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DF0D682">
      <w:pPr>
        <w:jc w:val="center"/>
        <w:rPr>
          <w:rFonts w:ascii="宋体" w:hAnsi="宋体" w:cs="宋体"/>
          <w:b/>
          <w:color w:val="auto"/>
          <w:kern w:val="0"/>
          <w:sz w:val="44"/>
          <w:szCs w:val="44"/>
          <w:highlight w:val="none"/>
        </w:rPr>
      </w:pPr>
      <w:bookmarkStart w:id="0" w:name="_Toc246996898"/>
      <w:bookmarkStart w:id="1" w:name="_Toc461631222"/>
      <w:bookmarkStart w:id="2" w:name="_Toc247085669"/>
      <w:bookmarkStart w:id="3" w:name="_Toc15058843"/>
      <w:bookmarkStart w:id="4" w:name="_Toc296602400"/>
      <w:bookmarkStart w:id="5" w:name="_Toc506107265"/>
      <w:bookmarkStart w:id="6" w:name="_Toc324404811"/>
      <w:bookmarkStart w:id="7" w:name="OLE_LINK5"/>
      <w:bookmarkStart w:id="8" w:name="OLE_LINK2"/>
      <w:bookmarkStart w:id="9" w:name="OLE_LINK4"/>
      <w:bookmarkStart w:id="10" w:name="OLE_LINK3"/>
      <w:bookmarkStart w:id="11" w:name="OLE_LINK1"/>
    </w:p>
    <w:p w14:paraId="47DD7C31">
      <w:pPr>
        <w:pStyle w:val="2"/>
        <w:ind w:firstLine="420"/>
        <w:rPr>
          <w:color w:val="auto"/>
          <w:highlight w:val="none"/>
        </w:rPr>
      </w:pPr>
    </w:p>
    <w:p w14:paraId="665D6013">
      <w:pPr>
        <w:jc w:val="center"/>
        <w:rPr>
          <w:rFonts w:ascii="宋体" w:hAnsi="宋体"/>
          <w:color w:val="auto"/>
          <w:sz w:val="52"/>
          <w:szCs w:val="52"/>
          <w:highlight w:val="none"/>
        </w:rPr>
      </w:pPr>
      <w:r>
        <w:rPr>
          <w:rFonts w:hint="eastAsia" w:hAnsi="宋体" w:cs="宋体"/>
          <w:b/>
          <w:color w:val="auto"/>
          <w:kern w:val="0"/>
          <w:sz w:val="52"/>
          <w:szCs w:val="52"/>
          <w:highlight w:val="none"/>
          <w:lang w:eastAsia="zh-CN"/>
        </w:rPr>
        <w:t>兴天矿业室外雾炮基础建设项目</w:t>
      </w:r>
    </w:p>
    <w:p w14:paraId="0076B829">
      <w:pPr>
        <w:pStyle w:val="2"/>
        <w:rPr>
          <w:color w:val="auto"/>
          <w:highlight w:val="none"/>
        </w:rPr>
      </w:pPr>
    </w:p>
    <w:p w14:paraId="2A3630CA">
      <w:pPr>
        <w:jc w:val="center"/>
        <w:rPr>
          <w:rFonts w:hint="eastAsia" w:ascii="宋体" w:hAnsi="宋体"/>
          <w:b/>
          <w:bCs/>
          <w:color w:val="auto"/>
          <w:sz w:val="96"/>
          <w:szCs w:val="96"/>
          <w:highlight w:val="none"/>
        </w:rPr>
      </w:pPr>
    </w:p>
    <w:p w14:paraId="6038C885">
      <w:pPr>
        <w:jc w:val="center"/>
        <w:rPr>
          <w:color w:val="auto"/>
          <w:sz w:val="28"/>
          <w:szCs w:val="28"/>
          <w:highlight w:val="none"/>
        </w:rPr>
      </w:pPr>
      <w:r>
        <w:rPr>
          <w:rFonts w:hint="eastAsia" w:ascii="宋体" w:hAnsi="宋体"/>
          <w:b/>
          <w:bCs/>
          <w:color w:val="auto"/>
          <w:sz w:val="96"/>
          <w:szCs w:val="96"/>
          <w:highlight w:val="none"/>
        </w:rPr>
        <w:t>招</w:t>
      </w:r>
      <w:r>
        <w:rPr>
          <w:rFonts w:hint="eastAsia" w:ascii="宋体" w:hAnsi="宋体"/>
          <w:b/>
          <w:bCs/>
          <w:color w:val="auto"/>
          <w:sz w:val="96"/>
          <w:szCs w:val="96"/>
          <w:highlight w:val="none"/>
          <w:lang w:val="en-US" w:eastAsia="zh-CN"/>
        </w:rPr>
        <w:t xml:space="preserve"> </w:t>
      </w:r>
      <w:r>
        <w:rPr>
          <w:rFonts w:hint="eastAsia" w:ascii="宋体"/>
          <w:b/>
          <w:bCs/>
          <w:color w:val="auto"/>
          <w:sz w:val="96"/>
          <w:szCs w:val="96"/>
          <w:highlight w:val="none"/>
        </w:rPr>
        <w:t>标</w:t>
      </w:r>
      <w:r>
        <w:rPr>
          <w:rFonts w:hint="eastAsia" w:ascii="宋体"/>
          <w:b/>
          <w:bCs/>
          <w:color w:val="auto"/>
          <w:sz w:val="96"/>
          <w:szCs w:val="96"/>
          <w:highlight w:val="none"/>
          <w:lang w:val="en-US" w:eastAsia="zh-CN"/>
        </w:rPr>
        <w:t xml:space="preserve"> </w:t>
      </w:r>
      <w:r>
        <w:rPr>
          <w:rFonts w:hint="eastAsia" w:ascii="宋体" w:hAnsi="宋体"/>
          <w:b/>
          <w:bCs/>
          <w:color w:val="auto"/>
          <w:sz w:val="96"/>
          <w:szCs w:val="96"/>
          <w:highlight w:val="none"/>
        </w:rPr>
        <w:t>文</w:t>
      </w:r>
      <w:r>
        <w:rPr>
          <w:rFonts w:hint="eastAsia" w:ascii="宋体" w:hAnsi="宋体"/>
          <w:b/>
          <w:bCs/>
          <w:color w:val="auto"/>
          <w:sz w:val="96"/>
          <w:szCs w:val="96"/>
          <w:highlight w:val="none"/>
          <w:lang w:val="en-US" w:eastAsia="zh-CN"/>
        </w:rPr>
        <w:t xml:space="preserve"> </w:t>
      </w:r>
      <w:r>
        <w:rPr>
          <w:rFonts w:hint="eastAsia" w:ascii="宋体" w:hAnsi="宋体"/>
          <w:b/>
          <w:bCs/>
          <w:color w:val="auto"/>
          <w:sz w:val="96"/>
          <w:szCs w:val="96"/>
          <w:highlight w:val="none"/>
        </w:rPr>
        <w:t>件</w:t>
      </w:r>
    </w:p>
    <w:p w14:paraId="48D08BA2">
      <w:pPr>
        <w:spacing w:line="400" w:lineRule="exact"/>
        <w:jc w:val="center"/>
        <w:rPr>
          <w:rFonts w:ascii="宋体" w:hAnsi="宋体"/>
          <w:b/>
          <w:color w:val="auto"/>
          <w:sz w:val="39"/>
          <w:highlight w:val="none"/>
        </w:rPr>
      </w:pPr>
    </w:p>
    <w:p w14:paraId="580DF33E">
      <w:pPr>
        <w:spacing w:line="400" w:lineRule="exact"/>
        <w:rPr>
          <w:color w:val="auto"/>
          <w:highlight w:val="none"/>
        </w:rPr>
      </w:pPr>
    </w:p>
    <w:p w14:paraId="17F6ED0D">
      <w:pPr>
        <w:rPr>
          <w:color w:val="auto"/>
          <w:highlight w:val="none"/>
        </w:rPr>
      </w:pPr>
    </w:p>
    <w:p w14:paraId="0FDB5A08">
      <w:pPr>
        <w:pStyle w:val="2"/>
        <w:rPr>
          <w:color w:val="auto"/>
          <w:highlight w:val="none"/>
        </w:rPr>
      </w:pPr>
    </w:p>
    <w:p w14:paraId="7DF49CF7">
      <w:pPr>
        <w:jc w:val="center"/>
        <w:rPr>
          <w:color w:val="auto"/>
          <w:highlight w:val="none"/>
        </w:rPr>
      </w:pPr>
      <w:r>
        <w:rPr>
          <w:rFonts w:hint="eastAsia" w:ascii="宋体" w:hAnsi="宋体" w:eastAsia="宋体" w:cs="宋体"/>
          <w:color w:val="auto"/>
          <w:highlight w:val="none"/>
        </w:rPr>
        <w:t>项目编号：HXJY1110001043410001</w:t>
      </w:r>
    </w:p>
    <w:p w14:paraId="79E5B4C1">
      <w:pPr>
        <w:rPr>
          <w:color w:val="auto"/>
          <w:highlight w:val="none"/>
        </w:rPr>
      </w:pPr>
    </w:p>
    <w:p w14:paraId="4E3D3D10">
      <w:pPr>
        <w:pStyle w:val="2"/>
        <w:rPr>
          <w:color w:val="auto"/>
          <w:highlight w:val="none"/>
        </w:rPr>
      </w:pPr>
    </w:p>
    <w:p w14:paraId="041A5E3F">
      <w:pPr>
        <w:rPr>
          <w:color w:val="auto"/>
          <w:highlight w:val="none"/>
        </w:rPr>
      </w:pPr>
    </w:p>
    <w:p w14:paraId="20C61F2E">
      <w:pPr>
        <w:pStyle w:val="2"/>
        <w:rPr>
          <w:color w:val="auto"/>
          <w:highlight w:val="none"/>
        </w:rPr>
      </w:pPr>
    </w:p>
    <w:p w14:paraId="5043FF4A">
      <w:pPr>
        <w:rPr>
          <w:color w:val="auto"/>
          <w:highlight w:val="none"/>
        </w:rPr>
      </w:pPr>
    </w:p>
    <w:p w14:paraId="2E5D9C52">
      <w:pPr>
        <w:pStyle w:val="2"/>
        <w:rPr>
          <w:color w:val="auto"/>
          <w:highlight w:val="none"/>
        </w:rPr>
      </w:pPr>
    </w:p>
    <w:p w14:paraId="20BE6CE3">
      <w:pPr>
        <w:spacing w:line="720" w:lineRule="exact"/>
        <w:rPr>
          <w:b/>
          <w:bCs/>
          <w:color w:val="auto"/>
          <w:sz w:val="28"/>
          <w:szCs w:val="28"/>
          <w:highlight w:val="none"/>
        </w:rPr>
      </w:pPr>
    </w:p>
    <w:p w14:paraId="5AE089C7">
      <w:pPr>
        <w:spacing w:before="156" w:beforeLines="50" w:after="156" w:afterLines="50" w:line="700" w:lineRule="exact"/>
        <w:jc w:val="center"/>
        <w:outlineLvl w:val="9"/>
        <w:rPr>
          <w:rFonts w:hint="eastAsia" w:ascii="宋体"/>
          <w:b/>
          <w:color w:val="auto"/>
          <w:sz w:val="32"/>
          <w:szCs w:val="32"/>
          <w:highlight w:val="none"/>
        </w:rPr>
      </w:pPr>
      <w:bookmarkStart w:id="12" w:name="_Toc32059"/>
      <w:bookmarkStart w:id="13" w:name="_Toc22225"/>
      <w:bookmarkStart w:id="14" w:name="_Toc25057"/>
      <w:bookmarkStart w:id="15" w:name="_Toc20499"/>
      <w:r>
        <w:rPr>
          <w:rFonts w:hint="eastAsia" w:ascii="宋体"/>
          <w:b/>
          <w:color w:val="auto"/>
          <w:sz w:val="32"/>
          <w:szCs w:val="32"/>
          <w:highlight w:val="none"/>
        </w:rPr>
        <w:t>招</w:t>
      </w:r>
      <w:r>
        <w:rPr>
          <w:rFonts w:hint="eastAsia" w:ascii="宋体"/>
          <w:b/>
          <w:color w:val="auto"/>
          <w:sz w:val="32"/>
          <w:szCs w:val="32"/>
          <w:highlight w:val="none"/>
          <w:lang w:val="en-US" w:eastAsia="zh-CN"/>
        </w:rPr>
        <w:t xml:space="preserve"> </w:t>
      </w:r>
      <w:r>
        <w:rPr>
          <w:rFonts w:hint="eastAsia" w:ascii="宋体"/>
          <w:b/>
          <w:color w:val="auto"/>
          <w:sz w:val="32"/>
          <w:szCs w:val="32"/>
          <w:highlight w:val="none"/>
        </w:rPr>
        <w:t xml:space="preserve"> </w:t>
      </w:r>
      <w:r>
        <w:rPr>
          <w:rFonts w:hint="eastAsia" w:ascii="宋体"/>
          <w:b/>
          <w:color w:val="auto"/>
          <w:sz w:val="32"/>
          <w:szCs w:val="32"/>
          <w:highlight w:val="none"/>
          <w:lang w:val="en-US" w:eastAsia="zh-CN"/>
        </w:rPr>
        <w:t xml:space="preserve"> </w:t>
      </w:r>
      <w:r>
        <w:rPr>
          <w:rFonts w:hint="eastAsia" w:ascii="宋体"/>
          <w:b/>
          <w:color w:val="auto"/>
          <w:sz w:val="32"/>
          <w:szCs w:val="32"/>
          <w:highlight w:val="none"/>
        </w:rPr>
        <w:t>标</w:t>
      </w:r>
      <w:r>
        <w:rPr>
          <w:rFonts w:hint="eastAsia" w:ascii="宋体"/>
          <w:b/>
          <w:color w:val="auto"/>
          <w:sz w:val="32"/>
          <w:szCs w:val="32"/>
          <w:highlight w:val="none"/>
          <w:lang w:val="en-US" w:eastAsia="zh-CN"/>
        </w:rPr>
        <w:t xml:space="preserve">  </w:t>
      </w:r>
      <w:r>
        <w:rPr>
          <w:rFonts w:hint="eastAsia" w:ascii="宋体"/>
          <w:b/>
          <w:color w:val="auto"/>
          <w:sz w:val="32"/>
          <w:szCs w:val="32"/>
          <w:highlight w:val="none"/>
        </w:rPr>
        <w:t xml:space="preserve"> 人：</w:t>
      </w:r>
      <w:r>
        <w:rPr>
          <w:rFonts w:hint="eastAsia" w:ascii="宋体"/>
          <w:b/>
          <w:color w:val="auto"/>
          <w:sz w:val="32"/>
          <w:szCs w:val="32"/>
          <w:highlight w:val="none"/>
          <w:u w:val="single"/>
          <w:lang w:val="en-US" w:eastAsia="zh-CN"/>
        </w:rPr>
        <w:t xml:space="preserve">   </w:t>
      </w:r>
      <w:r>
        <w:rPr>
          <w:rFonts w:hint="eastAsia" w:ascii="宋体"/>
          <w:b/>
          <w:color w:val="auto"/>
          <w:sz w:val="32"/>
          <w:szCs w:val="32"/>
          <w:highlight w:val="none"/>
          <w:u w:val="single"/>
          <w:lang w:eastAsia="zh-CN"/>
        </w:rPr>
        <w:t>滁州市兴天矿业有限公司</w:t>
      </w:r>
      <w:r>
        <w:rPr>
          <w:rFonts w:hint="eastAsia" w:ascii="宋体"/>
          <w:b/>
          <w:color w:val="auto"/>
          <w:sz w:val="32"/>
          <w:szCs w:val="32"/>
          <w:highlight w:val="none"/>
          <w:u w:val="single"/>
          <w:lang w:val="en-US" w:eastAsia="zh-CN"/>
        </w:rPr>
        <w:t xml:space="preserve">   </w:t>
      </w:r>
      <w:r>
        <w:rPr>
          <w:rFonts w:hint="eastAsia" w:ascii="宋体"/>
          <w:b/>
          <w:color w:val="auto"/>
          <w:sz w:val="32"/>
          <w:szCs w:val="32"/>
          <w:highlight w:val="none"/>
        </w:rPr>
        <w:t>（盖单位章）</w:t>
      </w:r>
      <w:bookmarkEnd w:id="12"/>
      <w:bookmarkEnd w:id="13"/>
      <w:bookmarkEnd w:id="14"/>
      <w:bookmarkEnd w:id="15"/>
    </w:p>
    <w:p w14:paraId="17DEC311">
      <w:pPr>
        <w:spacing w:before="156" w:beforeLines="50" w:after="156" w:afterLines="50" w:line="700" w:lineRule="exact"/>
        <w:rPr>
          <w:rFonts w:hint="eastAsia" w:ascii="宋体"/>
          <w:b/>
          <w:color w:val="auto"/>
          <w:sz w:val="32"/>
          <w:szCs w:val="32"/>
          <w:highlight w:val="none"/>
          <w:u w:val="single"/>
        </w:rPr>
      </w:pPr>
      <w:r>
        <w:rPr>
          <w:rFonts w:hint="eastAsia" w:ascii="宋体"/>
          <w:b/>
          <w:color w:val="auto"/>
          <w:sz w:val="32"/>
          <w:szCs w:val="32"/>
          <w:highlight w:val="none"/>
        </w:rPr>
        <w:t>招标代理机构：</w:t>
      </w:r>
      <w:r>
        <w:rPr>
          <w:rFonts w:hint="eastAsia" w:ascii="宋体"/>
          <w:b/>
          <w:color w:val="auto"/>
          <w:sz w:val="32"/>
          <w:szCs w:val="32"/>
          <w:highlight w:val="none"/>
          <w:u w:val="single"/>
          <w:lang w:val="en-US" w:eastAsia="zh-CN"/>
        </w:rPr>
        <w:t xml:space="preserve"> </w:t>
      </w:r>
      <w:r>
        <w:rPr>
          <w:rFonts w:hint="eastAsia" w:ascii="宋体"/>
          <w:b/>
          <w:color w:val="auto"/>
          <w:sz w:val="32"/>
          <w:szCs w:val="32"/>
          <w:highlight w:val="none"/>
          <w:u w:val="single"/>
        </w:rPr>
        <w:t>滁州市城投工程咨询管理有限公司</w:t>
      </w:r>
      <w:r>
        <w:rPr>
          <w:rFonts w:hint="eastAsia" w:ascii="宋体"/>
          <w:b/>
          <w:color w:val="auto"/>
          <w:sz w:val="32"/>
          <w:szCs w:val="32"/>
          <w:highlight w:val="none"/>
          <w:u w:val="single"/>
          <w:lang w:val="en-US" w:eastAsia="zh-CN"/>
        </w:rPr>
        <w:t xml:space="preserve"> </w:t>
      </w:r>
      <w:r>
        <w:rPr>
          <w:rFonts w:hint="eastAsia" w:ascii="宋体"/>
          <w:b/>
          <w:color w:val="auto"/>
          <w:sz w:val="32"/>
          <w:szCs w:val="32"/>
          <w:highlight w:val="none"/>
        </w:rPr>
        <w:t>（盖单位章）</w:t>
      </w:r>
    </w:p>
    <w:p w14:paraId="120AF76B">
      <w:pPr>
        <w:spacing w:before="156" w:beforeLines="50" w:after="156" w:afterLines="50" w:line="700" w:lineRule="exact"/>
        <w:jc w:val="center"/>
        <w:rPr>
          <w:rFonts w:ascii="宋体"/>
          <w:b/>
          <w:color w:val="auto"/>
          <w:sz w:val="32"/>
          <w:szCs w:val="32"/>
          <w:highlight w:val="none"/>
        </w:rPr>
      </w:pPr>
      <w:r>
        <w:rPr>
          <w:rFonts w:hint="eastAsia" w:ascii="宋体"/>
          <w:b/>
          <w:color w:val="auto"/>
          <w:sz w:val="32"/>
          <w:szCs w:val="32"/>
          <w:highlight w:val="none"/>
          <w:u w:val="single"/>
        </w:rPr>
        <w:t>202</w:t>
      </w:r>
      <w:r>
        <w:rPr>
          <w:rFonts w:hint="eastAsia" w:ascii="宋体"/>
          <w:b/>
          <w:color w:val="auto"/>
          <w:sz w:val="32"/>
          <w:szCs w:val="32"/>
          <w:highlight w:val="none"/>
          <w:u w:val="single"/>
          <w:lang w:val="en-US" w:eastAsia="zh-CN"/>
        </w:rPr>
        <w:t>5</w:t>
      </w:r>
      <w:r>
        <w:rPr>
          <w:rFonts w:hint="eastAsia" w:ascii="宋体"/>
          <w:b/>
          <w:color w:val="auto"/>
          <w:sz w:val="32"/>
          <w:szCs w:val="32"/>
          <w:highlight w:val="none"/>
        </w:rPr>
        <w:t>年</w:t>
      </w:r>
      <w:r>
        <w:rPr>
          <w:rFonts w:hint="eastAsia" w:ascii="宋体"/>
          <w:b/>
          <w:color w:val="auto"/>
          <w:sz w:val="32"/>
          <w:szCs w:val="32"/>
          <w:highlight w:val="none"/>
          <w:u w:val="single"/>
          <w:lang w:val="en-US" w:eastAsia="zh-CN"/>
        </w:rPr>
        <w:t>9</w:t>
      </w:r>
      <w:r>
        <w:rPr>
          <w:rFonts w:hint="eastAsia" w:ascii="宋体"/>
          <w:b/>
          <w:color w:val="auto"/>
          <w:sz w:val="32"/>
          <w:szCs w:val="32"/>
          <w:highlight w:val="none"/>
        </w:rPr>
        <w:t>月</w:t>
      </w:r>
    </w:p>
    <w:p w14:paraId="362BAB1C">
      <w:pPr>
        <w:jc w:val="center"/>
        <w:rPr>
          <w:color w:val="auto"/>
          <w:sz w:val="44"/>
          <w:szCs w:val="44"/>
          <w:highlight w:val="none"/>
        </w:rPr>
        <w:sectPr>
          <w:headerReference r:id="rId3" w:type="default"/>
          <w:footerReference r:id="rId4" w:type="default"/>
          <w:pgSz w:w="11906" w:h="16838"/>
          <w:pgMar w:top="1134" w:right="1417" w:bottom="1134" w:left="1417" w:header="851" w:footer="992" w:gutter="0"/>
          <w:pgNumType w:fmt="decimal"/>
          <w:cols w:space="720" w:num="1"/>
          <w:docGrid w:type="lines" w:linePitch="312" w:charSpace="0"/>
        </w:sectPr>
      </w:pPr>
    </w:p>
    <w:p w14:paraId="41DC6623">
      <w:pPr>
        <w:spacing w:line="700" w:lineRule="exact"/>
        <w:jc w:val="center"/>
        <w:rPr>
          <w:rFonts w:hint="eastAsia"/>
          <w:color w:val="auto"/>
          <w:sz w:val="44"/>
          <w:szCs w:val="44"/>
          <w:highlight w:val="none"/>
        </w:rPr>
      </w:pPr>
    </w:p>
    <w:p w14:paraId="36FA5A3F">
      <w:pPr>
        <w:spacing w:line="700" w:lineRule="exact"/>
        <w:jc w:val="center"/>
        <w:rPr>
          <w:color w:val="auto"/>
          <w:sz w:val="44"/>
          <w:szCs w:val="44"/>
          <w:highlight w:val="none"/>
        </w:rPr>
      </w:pPr>
      <w:r>
        <w:rPr>
          <w:rFonts w:hint="eastAsia"/>
          <w:color w:val="auto"/>
          <w:sz w:val="44"/>
          <w:szCs w:val="44"/>
          <w:highlight w:val="none"/>
        </w:rPr>
        <w:t>目   录</w:t>
      </w:r>
      <w:bookmarkEnd w:id="0"/>
      <w:bookmarkEnd w:id="1"/>
      <w:bookmarkEnd w:id="2"/>
      <w:bookmarkEnd w:id="3"/>
      <w:bookmarkEnd w:id="4"/>
      <w:bookmarkEnd w:id="5"/>
      <w:bookmarkEnd w:id="6"/>
      <w:bookmarkStart w:id="16" w:name="_Toc152045511"/>
      <w:bookmarkStart w:id="17" w:name="_Toc179632527"/>
      <w:bookmarkStart w:id="18" w:name="_Toc152042287"/>
      <w:bookmarkStart w:id="19" w:name="_Toc144974479"/>
    </w:p>
    <w:p w14:paraId="49DA90A4">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TOC \o "1-1" \h \u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_Toc7325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cs="宋体"/>
          <w:b w:val="0"/>
          <w:bCs w:val="0"/>
          <w:color w:val="auto"/>
          <w:sz w:val="28"/>
          <w:szCs w:val="28"/>
          <w:highlight w:val="none"/>
          <w:lang w:eastAsia="zh-CN"/>
        </w:rPr>
        <w:t>兴天矿业室外雾炮基础建设项目</w:t>
      </w:r>
      <w:r>
        <w:rPr>
          <w:rFonts w:hint="eastAsia" w:ascii="宋体" w:hAnsi="宋体" w:eastAsia="宋体" w:cs="宋体"/>
          <w:b w:val="0"/>
          <w:bCs w:val="0"/>
          <w:color w:val="auto"/>
          <w:sz w:val="28"/>
          <w:szCs w:val="28"/>
          <w:highlight w:val="none"/>
        </w:rPr>
        <w:t>招标公告信息</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_Toc7325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1</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08D794DE">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_Toc8980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sz w:val="28"/>
          <w:szCs w:val="28"/>
          <w:highlight w:val="none"/>
        </w:rPr>
        <w:t>第一章  投标人须知</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_Toc8980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4</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7F38CCA0">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_Toc10676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sz w:val="28"/>
          <w:szCs w:val="28"/>
          <w:highlight w:val="none"/>
        </w:rPr>
        <w:t>第二章  资格审查办法</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_Toc10676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18</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484F40EE">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_Toc30518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kern w:val="0"/>
          <w:sz w:val="28"/>
          <w:szCs w:val="28"/>
          <w:highlight w:val="none"/>
        </w:rPr>
        <w:t xml:space="preserve">第三章 </w:t>
      </w:r>
      <w:r>
        <w:rPr>
          <w:rFonts w:hint="eastAsia" w:ascii="宋体" w:hAnsi="宋体" w:eastAsia="宋体" w:cs="宋体"/>
          <w:b w:val="0"/>
          <w:bCs w:val="0"/>
          <w:color w:val="auto"/>
          <w:kern w:val="0"/>
          <w:sz w:val="28"/>
          <w:szCs w:val="28"/>
          <w:highlight w:val="none"/>
          <w:lang w:val="en-US" w:eastAsia="zh-CN"/>
        </w:rPr>
        <w:t xml:space="preserve"> </w:t>
      </w:r>
      <w:r>
        <w:rPr>
          <w:rFonts w:hint="eastAsia" w:ascii="宋体" w:hAnsi="宋体" w:eastAsia="宋体" w:cs="宋体"/>
          <w:b w:val="0"/>
          <w:bCs w:val="0"/>
          <w:color w:val="auto"/>
          <w:kern w:val="0"/>
          <w:sz w:val="28"/>
          <w:szCs w:val="28"/>
          <w:highlight w:val="none"/>
        </w:rPr>
        <w:t>评标办法</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_Toc30518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22</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1073C666">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_Toc7231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kern w:val="0"/>
          <w:sz w:val="28"/>
          <w:szCs w:val="28"/>
          <w:highlight w:val="none"/>
        </w:rPr>
        <w:t>第</w:t>
      </w:r>
      <w:r>
        <w:rPr>
          <w:rFonts w:hint="eastAsia" w:ascii="宋体" w:hAnsi="宋体" w:eastAsia="宋体" w:cs="宋体"/>
          <w:b w:val="0"/>
          <w:bCs w:val="0"/>
          <w:color w:val="auto"/>
          <w:kern w:val="0"/>
          <w:sz w:val="28"/>
          <w:szCs w:val="28"/>
          <w:highlight w:val="none"/>
          <w:lang w:val="en-US" w:eastAsia="zh-CN"/>
        </w:rPr>
        <w:t>四</w:t>
      </w:r>
      <w:r>
        <w:rPr>
          <w:rFonts w:hint="eastAsia" w:ascii="宋体" w:hAnsi="宋体" w:eastAsia="宋体" w:cs="宋体"/>
          <w:b w:val="0"/>
          <w:bCs w:val="0"/>
          <w:color w:val="auto"/>
          <w:kern w:val="0"/>
          <w:sz w:val="28"/>
          <w:szCs w:val="28"/>
          <w:highlight w:val="none"/>
        </w:rPr>
        <w:t>章  合同条款及格式</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_Toc7231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31</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5B97C67C">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_Toc23990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kern w:val="0"/>
          <w:sz w:val="28"/>
          <w:szCs w:val="28"/>
          <w:highlight w:val="none"/>
          <w:lang w:val="en-US" w:eastAsia="zh-CN" w:bidi="ar-SA"/>
        </w:rPr>
        <w:t>第五章</w:t>
      </w:r>
      <w:r>
        <w:rPr>
          <w:rFonts w:hint="eastAsia" w:ascii="宋体" w:hAnsi="宋体" w:eastAsia="宋体" w:cs="宋体"/>
          <w:b w:val="0"/>
          <w:bCs w:val="0"/>
          <w:color w:val="auto"/>
          <w:sz w:val="28"/>
          <w:szCs w:val="28"/>
          <w:highlight w:val="none"/>
        </w:rPr>
        <w:t xml:space="preserve"> </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工程量清单</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_Toc23990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71</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5F034AD5">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_Toc10023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kern w:val="0"/>
          <w:sz w:val="28"/>
          <w:szCs w:val="28"/>
          <w:highlight w:val="none"/>
          <w:lang w:val="en-US" w:eastAsia="zh-CN" w:bidi="ar-SA"/>
        </w:rPr>
        <w:t xml:space="preserve">第六章  </w:t>
      </w:r>
      <w:r>
        <w:rPr>
          <w:rFonts w:hint="eastAsia" w:ascii="宋体" w:hAnsi="宋体" w:eastAsia="宋体" w:cs="宋体"/>
          <w:b w:val="0"/>
          <w:bCs w:val="0"/>
          <w:color w:val="auto"/>
          <w:sz w:val="28"/>
          <w:szCs w:val="28"/>
          <w:highlight w:val="none"/>
          <w:lang w:val="en-US" w:eastAsia="zh-CN"/>
        </w:rPr>
        <w:t>图纸</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_Toc10023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75</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3706272D">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_Toc24902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sz w:val="28"/>
          <w:szCs w:val="28"/>
          <w:highlight w:val="none"/>
          <w:lang w:val="en-US" w:eastAsia="zh-CN"/>
        </w:rPr>
        <w:t>第七章  技术标准和要求</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_Toc24902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75</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62423F08">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_Toc5279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sz w:val="28"/>
          <w:szCs w:val="28"/>
          <w:highlight w:val="none"/>
        </w:rPr>
        <w:t>第</w:t>
      </w:r>
      <w:r>
        <w:rPr>
          <w:rFonts w:hint="eastAsia" w:ascii="宋体" w:hAnsi="宋体" w:eastAsia="宋体" w:cs="宋体"/>
          <w:b w:val="0"/>
          <w:bCs w:val="0"/>
          <w:color w:val="auto"/>
          <w:sz w:val="28"/>
          <w:szCs w:val="28"/>
          <w:highlight w:val="none"/>
          <w:lang w:val="en-US" w:eastAsia="zh-CN"/>
        </w:rPr>
        <w:t>八</w:t>
      </w:r>
      <w:r>
        <w:rPr>
          <w:rFonts w:hint="eastAsia" w:ascii="宋体" w:hAnsi="宋体" w:eastAsia="宋体" w:cs="宋体"/>
          <w:b w:val="0"/>
          <w:bCs w:val="0"/>
          <w:color w:val="auto"/>
          <w:sz w:val="28"/>
          <w:szCs w:val="28"/>
          <w:highlight w:val="none"/>
        </w:rPr>
        <w:t>章  投标文件格式</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_Toc5279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76</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5DA7EE6D">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_Toc8955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sz w:val="28"/>
          <w:szCs w:val="28"/>
          <w:highlight w:val="none"/>
        </w:rPr>
        <w:t>第</w:t>
      </w:r>
      <w:r>
        <w:rPr>
          <w:rFonts w:hint="eastAsia" w:ascii="宋体" w:hAnsi="宋体" w:eastAsia="宋体" w:cs="宋体"/>
          <w:b w:val="0"/>
          <w:bCs w:val="0"/>
          <w:color w:val="auto"/>
          <w:sz w:val="28"/>
          <w:szCs w:val="28"/>
          <w:highlight w:val="none"/>
          <w:lang w:val="en-US" w:eastAsia="zh-CN"/>
        </w:rPr>
        <w:t>九</w:t>
      </w:r>
      <w:r>
        <w:rPr>
          <w:rFonts w:hint="eastAsia" w:ascii="宋体" w:hAnsi="宋体" w:eastAsia="宋体" w:cs="宋体"/>
          <w:b w:val="0"/>
          <w:bCs w:val="0"/>
          <w:color w:val="auto"/>
          <w:sz w:val="28"/>
          <w:szCs w:val="28"/>
          <w:highlight w:val="none"/>
        </w:rPr>
        <w:t>章  招标单位、招标代理机构对本招标文件的确认</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_Toc8955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91</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42668408">
      <w:pPr>
        <w:pStyle w:val="32"/>
        <w:tabs>
          <w:tab w:val="right" w:leader="dot" w:pos="9062"/>
        </w:tabs>
        <w:spacing w:line="700" w:lineRule="exact"/>
        <w:ind w:firstLine="560" w:firstLineChars="200"/>
        <w:rPr>
          <w:rFonts w:hint="default" w:ascii="宋体" w:hAnsi="宋体" w:eastAsia="宋体" w:cs="宋体"/>
          <w:b w:val="0"/>
          <w:bCs w:val="0"/>
          <w:caps w:val="0"/>
          <w:color w:val="auto"/>
          <w:sz w:val="24"/>
          <w:szCs w:val="24"/>
          <w:highlight w:val="none"/>
          <w:lang w:val="en-US" w:eastAsia="zh-CN"/>
        </w:rPr>
      </w:pPr>
      <w:r>
        <w:rPr>
          <w:rFonts w:hint="eastAsia" w:ascii="宋体" w:hAnsi="宋体" w:eastAsia="宋体" w:cs="宋体"/>
          <w:b w:val="0"/>
          <w:bCs w:val="0"/>
          <w:caps w:val="0"/>
          <w:color w:val="auto"/>
          <w:sz w:val="28"/>
          <w:szCs w:val="28"/>
          <w:highlight w:val="none"/>
          <w:lang w:val="en-US" w:eastAsia="zh-CN"/>
        </w:rPr>
        <w:fldChar w:fldCharType="end"/>
      </w:r>
    </w:p>
    <w:p w14:paraId="0DCA3C39">
      <w:pPr>
        <w:pStyle w:val="2"/>
        <w:spacing w:line="700" w:lineRule="exact"/>
        <w:ind w:left="0" w:leftChars="0" w:firstLine="480"/>
        <w:jc w:val="left"/>
        <w:rPr>
          <w:color w:val="auto"/>
          <w:sz w:val="24"/>
          <w:szCs w:val="24"/>
          <w:highlight w:val="none"/>
        </w:rPr>
      </w:pPr>
    </w:p>
    <w:p w14:paraId="6AA5C02C">
      <w:pPr>
        <w:pStyle w:val="43"/>
        <w:spacing w:line="700" w:lineRule="exact"/>
        <w:jc w:val="left"/>
        <w:rPr>
          <w:color w:val="auto"/>
          <w:sz w:val="24"/>
          <w:szCs w:val="24"/>
          <w:highlight w:val="none"/>
        </w:rPr>
        <w:sectPr>
          <w:footerReference r:id="rId5" w:type="default"/>
          <w:pgSz w:w="11906" w:h="16838"/>
          <w:pgMar w:top="1134" w:right="1417" w:bottom="1134" w:left="1417" w:header="851" w:footer="992" w:gutter="0"/>
          <w:pgNumType w:fmt="decimal" w:start="1"/>
          <w:cols w:space="720" w:num="1"/>
          <w:docGrid w:type="lines" w:linePitch="312" w:charSpace="0"/>
        </w:sectPr>
      </w:pPr>
    </w:p>
    <w:bookmarkEnd w:id="16"/>
    <w:bookmarkEnd w:id="17"/>
    <w:bookmarkEnd w:id="18"/>
    <w:bookmarkEnd w:id="19"/>
    <w:p w14:paraId="3AD31285">
      <w:pPr>
        <w:pStyle w:val="43"/>
        <w:keepNext w:val="0"/>
        <w:keepLines w:val="0"/>
        <w:pageBreakBefore w:val="0"/>
        <w:widowControl w:val="0"/>
        <w:kinsoku/>
        <w:wordWrap/>
        <w:overflowPunct/>
        <w:topLinePunct w:val="0"/>
        <w:autoSpaceDE/>
        <w:autoSpaceDN/>
        <w:bidi w:val="0"/>
        <w:adjustRightInd w:val="0"/>
        <w:snapToGrid/>
        <w:spacing w:beforeLines="50" w:afterLines="50" w:line="400" w:lineRule="exact"/>
        <w:textAlignment w:val="baseline"/>
        <w:rPr>
          <w:bCs/>
          <w:color w:val="auto"/>
          <w:szCs w:val="32"/>
          <w:highlight w:val="none"/>
        </w:rPr>
      </w:pPr>
      <w:bookmarkStart w:id="20" w:name="_Toc21980"/>
      <w:bookmarkStart w:id="21" w:name="_Toc12261"/>
      <w:bookmarkStart w:id="22" w:name="_Toc7325"/>
      <w:bookmarkStart w:id="23" w:name="_Toc78803320"/>
      <w:bookmarkStart w:id="24" w:name="_Toc152045527"/>
      <w:bookmarkStart w:id="25" w:name="_Toc35425050"/>
      <w:bookmarkStart w:id="26" w:name="_Toc15058844"/>
      <w:bookmarkStart w:id="27" w:name="_Toc247085687"/>
      <w:bookmarkStart w:id="28" w:name="_Toc506107267"/>
      <w:bookmarkStart w:id="29" w:name="_Toc324404813"/>
      <w:bookmarkStart w:id="30" w:name="_Toc35424883"/>
      <w:bookmarkStart w:id="31" w:name="_Toc179632544"/>
      <w:bookmarkStart w:id="32" w:name="_Toc246996173"/>
      <w:bookmarkStart w:id="33" w:name="_Toc152042303"/>
      <w:bookmarkStart w:id="34" w:name="_Toc246996916"/>
      <w:bookmarkStart w:id="35" w:name="_Toc144974495"/>
      <w:r>
        <w:rPr>
          <w:rFonts w:hint="eastAsia"/>
          <w:bCs/>
          <w:color w:val="auto"/>
          <w:szCs w:val="32"/>
          <w:highlight w:val="none"/>
          <w:lang w:eastAsia="zh-CN"/>
        </w:rPr>
        <w:t>兴天矿业室外雾炮基础建设项目</w:t>
      </w:r>
      <w:r>
        <w:rPr>
          <w:rFonts w:hint="eastAsia"/>
          <w:bCs/>
          <w:color w:val="auto"/>
          <w:szCs w:val="32"/>
          <w:highlight w:val="none"/>
        </w:rPr>
        <w:t>招标公告信息</w:t>
      </w:r>
      <w:bookmarkEnd w:id="20"/>
      <w:bookmarkEnd w:id="21"/>
      <w:bookmarkEnd w:id="22"/>
      <w:bookmarkEnd w:id="23"/>
    </w:p>
    <w:tbl>
      <w:tblPr>
        <w:tblStyle w:val="46"/>
        <w:tblW w:w="9583"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Layout w:type="fixed"/>
        <w:tblCellMar>
          <w:top w:w="0" w:type="dxa"/>
          <w:left w:w="108" w:type="dxa"/>
          <w:bottom w:w="0" w:type="dxa"/>
          <w:right w:w="108" w:type="dxa"/>
        </w:tblCellMar>
      </w:tblPr>
      <w:tblGrid>
        <w:gridCol w:w="1511"/>
        <w:gridCol w:w="50"/>
        <w:gridCol w:w="2616"/>
        <w:gridCol w:w="513"/>
        <w:gridCol w:w="1977"/>
        <w:gridCol w:w="2916"/>
      </w:tblGrid>
      <w:tr w14:paraId="2F91C62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567"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072FD2AA">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宋体"/>
                <w:bCs/>
                <w:color w:val="auto"/>
                <w:kern w:val="1"/>
                <w:sz w:val="21"/>
                <w:szCs w:val="21"/>
                <w:highlight w:val="none"/>
              </w:rPr>
            </w:pPr>
            <w:bookmarkStart w:id="36" w:name="_Toc78803321"/>
            <w:r>
              <w:rPr>
                <w:rFonts w:hint="eastAsia" w:ascii="宋体" w:hAnsi="宋体" w:eastAsia="宋体" w:cs="宋体"/>
                <w:bCs/>
                <w:color w:val="auto"/>
                <w:kern w:val="1"/>
                <w:sz w:val="21"/>
                <w:szCs w:val="21"/>
                <w:highlight w:val="none"/>
                <w:lang w:val="en-US" w:eastAsia="zh-CN" w:bidi="ar"/>
              </w:rPr>
              <w:t>招标项目名称</w:t>
            </w:r>
          </w:p>
        </w:tc>
        <w:tc>
          <w:tcPr>
            <w:tcW w:w="8022"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14:paraId="6B13F094">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宋体"/>
                <w:bCs/>
                <w:color w:val="auto"/>
                <w:kern w:val="1"/>
                <w:sz w:val="21"/>
                <w:szCs w:val="21"/>
                <w:highlight w:val="none"/>
                <w:lang w:eastAsia="zh-CN"/>
              </w:rPr>
            </w:pPr>
            <w:r>
              <w:rPr>
                <w:rFonts w:hint="eastAsia" w:ascii="宋体" w:hAnsi="宋体" w:cs="宋体"/>
                <w:bCs/>
                <w:color w:val="auto"/>
                <w:kern w:val="1"/>
                <w:sz w:val="21"/>
                <w:szCs w:val="21"/>
                <w:highlight w:val="none"/>
                <w:lang w:eastAsia="zh-CN"/>
              </w:rPr>
              <w:t>兴天矿业室外雾炮基础建设项目</w:t>
            </w:r>
          </w:p>
        </w:tc>
      </w:tr>
      <w:tr w14:paraId="21749CB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567"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7352BDCD">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宋体"/>
                <w:bCs/>
                <w:color w:val="auto"/>
                <w:kern w:val="1"/>
                <w:sz w:val="21"/>
                <w:szCs w:val="21"/>
                <w:highlight w:val="none"/>
                <w:lang w:val="en-US" w:eastAsia="zh-CN" w:bidi="ar"/>
              </w:rPr>
            </w:pPr>
            <w:r>
              <w:rPr>
                <w:rFonts w:hint="eastAsia" w:ascii="宋体" w:hAnsi="宋体" w:eastAsia="宋体" w:cs="宋体"/>
                <w:bCs/>
                <w:color w:val="auto"/>
                <w:kern w:val="1"/>
                <w:sz w:val="21"/>
                <w:szCs w:val="21"/>
                <w:highlight w:val="none"/>
                <w:lang w:val="en-US" w:eastAsia="zh-CN" w:bidi="ar"/>
              </w:rPr>
              <w:t>项目编号</w:t>
            </w:r>
          </w:p>
        </w:tc>
        <w:tc>
          <w:tcPr>
            <w:tcW w:w="8022"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14:paraId="64DDBD3F">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cs="宋体"/>
                <w:bCs/>
                <w:color w:val="auto"/>
                <w:kern w:val="1"/>
                <w:sz w:val="21"/>
                <w:szCs w:val="21"/>
                <w:highlight w:val="none"/>
                <w:lang w:eastAsia="zh-CN"/>
              </w:rPr>
            </w:pPr>
            <w:r>
              <w:rPr>
                <w:rFonts w:hint="eastAsia" w:ascii="宋体" w:hAnsi="宋体" w:cs="宋体"/>
                <w:bCs/>
                <w:color w:val="auto"/>
                <w:kern w:val="1"/>
                <w:sz w:val="21"/>
                <w:szCs w:val="21"/>
                <w:highlight w:val="none"/>
                <w:lang w:eastAsia="zh-CN"/>
              </w:rPr>
              <w:t>HXJY1110001043410001</w:t>
            </w:r>
          </w:p>
        </w:tc>
      </w:tr>
      <w:tr w14:paraId="4AFEFB3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6729EF41">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招标方式</w:t>
            </w:r>
          </w:p>
        </w:tc>
        <w:tc>
          <w:tcPr>
            <w:tcW w:w="8022"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14:paraId="38B69534">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公开招标</w:t>
            </w:r>
          </w:p>
        </w:tc>
      </w:tr>
      <w:tr w14:paraId="3C10E18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567"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656F9382">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是否为网上电</w:t>
            </w:r>
          </w:p>
          <w:p w14:paraId="2F93F383">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子招投标项目</w:t>
            </w:r>
          </w:p>
        </w:tc>
        <w:tc>
          <w:tcPr>
            <w:tcW w:w="8022"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14:paraId="49F5D0A2">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是</w:t>
            </w:r>
          </w:p>
        </w:tc>
      </w:tr>
      <w:tr w14:paraId="28AA64B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3D5ABAE9">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投标资质要求</w:t>
            </w:r>
          </w:p>
        </w:tc>
        <w:tc>
          <w:tcPr>
            <w:tcW w:w="8022"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14:paraId="04939ECF">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1、投标人要求：须具备建设行政主管部门颁发的建筑工程施工总承包叁级（或以上）资质或市政公用工程施工总承包叁级（或以上）资质；</w:t>
            </w:r>
          </w:p>
          <w:p w14:paraId="06FE3176">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2、项目经理（建造师）要求：具有注册在投标单位的建筑工程（或市政公用工程）专业二级（或以上）注册建造师资格，且具备有效的安全生产考核合格(B类)证书。</w:t>
            </w:r>
          </w:p>
        </w:tc>
      </w:tr>
      <w:tr w14:paraId="534545C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404"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26B10510">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是否接受联合体投标</w:t>
            </w:r>
          </w:p>
        </w:tc>
        <w:tc>
          <w:tcPr>
            <w:tcW w:w="8022"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14:paraId="11907A21">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不接受</w:t>
            </w:r>
          </w:p>
        </w:tc>
      </w:tr>
      <w:tr w14:paraId="3AC4ABF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530"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41C26438">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招标项目规模</w:t>
            </w:r>
          </w:p>
        </w:tc>
        <w:tc>
          <w:tcPr>
            <w:tcW w:w="8022"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14:paraId="3EB799CB">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估算价约</w:t>
            </w:r>
            <w:r>
              <w:rPr>
                <w:rFonts w:hint="eastAsia" w:ascii="宋体" w:hAnsi="宋体" w:cs="宋体"/>
                <w:color w:val="auto"/>
                <w:kern w:val="0"/>
                <w:sz w:val="21"/>
                <w:szCs w:val="21"/>
                <w:highlight w:val="none"/>
                <w:lang w:val="en-US" w:eastAsia="zh-CN" w:bidi="ar"/>
              </w:rPr>
              <w:t>8.4万元</w:t>
            </w:r>
          </w:p>
        </w:tc>
      </w:tr>
      <w:tr w14:paraId="14A8956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730"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389FDFF9">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招标项目内容范围</w:t>
            </w:r>
          </w:p>
        </w:tc>
        <w:tc>
          <w:tcPr>
            <w:tcW w:w="8022"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14:paraId="7D9B49AA">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招标人提供的全套设计施工图纸及工程量清单中的全部内容</w:t>
            </w:r>
          </w:p>
        </w:tc>
      </w:tr>
      <w:tr w14:paraId="7E648D5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865"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06DC6760">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招标公告发布时间</w:t>
            </w:r>
          </w:p>
        </w:tc>
        <w:tc>
          <w:tcPr>
            <w:tcW w:w="8022"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14:paraId="7FF89A53">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
              </w:rPr>
              <w:t>202</w:t>
            </w:r>
            <w:r>
              <w:rPr>
                <w:rFonts w:hint="eastAsia" w:ascii="宋体" w:hAnsi="宋体" w:cs="宋体"/>
                <w:b w:val="0"/>
                <w:bCs w:val="0"/>
                <w:color w:val="auto"/>
                <w:kern w:val="0"/>
                <w:sz w:val="21"/>
                <w:szCs w:val="21"/>
                <w:highlight w:val="none"/>
                <w:lang w:val="en-US" w:eastAsia="zh-CN" w:bidi="ar"/>
              </w:rPr>
              <w:t>5</w:t>
            </w:r>
            <w:r>
              <w:rPr>
                <w:rFonts w:hint="eastAsia" w:ascii="宋体" w:hAnsi="宋体" w:eastAsia="宋体" w:cs="宋体"/>
                <w:b w:val="0"/>
                <w:bCs w:val="0"/>
                <w:color w:val="auto"/>
                <w:kern w:val="0"/>
                <w:sz w:val="21"/>
                <w:szCs w:val="21"/>
                <w:highlight w:val="none"/>
                <w:lang w:val="en-US" w:eastAsia="zh-CN" w:bidi="ar"/>
              </w:rPr>
              <w:t>年</w:t>
            </w:r>
            <w:r>
              <w:rPr>
                <w:rFonts w:hint="eastAsia" w:ascii="宋体" w:hAnsi="宋体" w:cs="宋体"/>
                <w:b w:val="0"/>
                <w:bCs w:val="0"/>
                <w:color w:val="auto"/>
                <w:kern w:val="0"/>
                <w:sz w:val="21"/>
                <w:szCs w:val="21"/>
                <w:highlight w:val="none"/>
                <w:lang w:val="en-US" w:eastAsia="zh-CN" w:bidi="ar"/>
              </w:rPr>
              <w:t>9</w:t>
            </w:r>
            <w:r>
              <w:rPr>
                <w:rFonts w:hint="eastAsia" w:ascii="宋体" w:hAnsi="宋体" w:eastAsia="宋体" w:cs="宋体"/>
                <w:b w:val="0"/>
                <w:bCs w:val="0"/>
                <w:color w:val="auto"/>
                <w:kern w:val="0"/>
                <w:sz w:val="21"/>
                <w:szCs w:val="21"/>
                <w:highlight w:val="none"/>
                <w:lang w:val="en-US" w:eastAsia="zh-CN" w:bidi="ar"/>
              </w:rPr>
              <w:t>月</w:t>
            </w:r>
            <w:r>
              <w:rPr>
                <w:rFonts w:hint="eastAsia" w:ascii="宋体" w:hAnsi="宋体" w:cs="宋体"/>
                <w:b w:val="0"/>
                <w:bCs w:val="0"/>
                <w:color w:val="auto"/>
                <w:kern w:val="0"/>
                <w:sz w:val="21"/>
                <w:szCs w:val="21"/>
                <w:highlight w:val="none"/>
                <w:lang w:val="en-US" w:eastAsia="zh-CN" w:bidi="ar"/>
              </w:rPr>
              <w:t>18</w:t>
            </w:r>
            <w:r>
              <w:rPr>
                <w:rFonts w:hint="eastAsia" w:ascii="宋体" w:hAnsi="宋体" w:eastAsia="宋体" w:cs="宋体"/>
                <w:b w:val="0"/>
                <w:bCs w:val="0"/>
                <w:color w:val="auto"/>
                <w:kern w:val="0"/>
                <w:sz w:val="21"/>
                <w:szCs w:val="21"/>
                <w:highlight w:val="none"/>
                <w:lang w:val="en-US" w:eastAsia="zh-CN" w:bidi="ar"/>
              </w:rPr>
              <w:t>日</w:t>
            </w:r>
          </w:p>
        </w:tc>
      </w:tr>
      <w:tr w14:paraId="3FD1149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820"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7D44BE50">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递交投标文件的截止时间</w:t>
            </w:r>
          </w:p>
        </w:tc>
        <w:tc>
          <w:tcPr>
            <w:tcW w:w="8022"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14:paraId="6EF2CC56">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
              </w:rPr>
              <w:t>202</w:t>
            </w:r>
            <w:r>
              <w:rPr>
                <w:rFonts w:hint="eastAsia" w:ascii="宋体" w:hAnsi="宋体" w:cs="宋体"/>
                <w:b w:val="0"/>
                <w:bCs w:val="0"/>
                <w:color w:val="auto"/>
                <w:kern w:val="0"/>
                <w:sz w:val="21"/>
                <w:szCs w:val="21"/>
                <w:highlight w:val="none"/>
                <w:lang w:val="en-US" w:eastAsia="zh-CN" w:bidi="ar"/>
              </w:rPr>
              <w:t>5</w:t>
            </w:r>
            <w:r>
              <w:rPr>
                <w:rFonts w:hint="eastAsia" w:ascii="宋体" w:hAnsi="宋体" w:eastAsia="宋体" w:cs="宋体"/>
                <w:b w:val="0"/>
                <w:bCs w:val="0"/>
                <w:color w:val="auto"/>
                <w:kern w:val="0"/>
                <w:sz w:val="21"/>
                <w:szCs w:val="21"/>
                <w:highlight w:val="none"/>
                <w:lang w:val="en-US" w:eastAsia="zh-CN" w:bidi="ar"/>
              </w:rPr>
              <w:t>年</w:t>
            </w:r>
            <w:r>
              <w:rPr>
                <w:rFonts w:hint="eastAsia" w:ascii="宋体" w:hAnsi="宋体" w:cs="宋体"/>
                <w:b w:val="0"/>
                <w:bCs w:val="0"/>
                <w:color w:val="auto"/>
                <w:kern w:val="0"/>
                <w:sz w:val="21"/>
                <w:szCs w:val="21"/>
                <w:highlight w:val="none"/>
                <w:lang w:val="en-US" w:eastAsia="zh-CN" w:bidi="ar"/>
              </w:rPr>
              <w:t>9</w:t>
            </w:r>
            <w:r>
              <w:rPr>
                <w:rFonts w:hint="eastAsia" w:ascii="宋体" w:hAnsi="宋体" w:eastAsia="宋体" w:cs="宋体"/>
                <w:b w:val="0"/>
                <w:bCs w:val="0"/>
                <w:color w:val="auto"/>
                <w:kern w:val="0"/>
                <w:sz w:val="21"/>
                <w:szCs w:val="21"/>
                <w:highlight w:val="none"/>
                <w:lang w:val="en-US" w:eastAsia="zh-CN" w:bidi="ar"/>
              </w:rPr>
              <w:t>月</w:t>
            </w:r>
            <w:r>
              <w:rPr>
                <w:rFonts w:hint="eastAsia" w:ascii="宋体" w:hAnsi="宋体" w:cs="宋体"/>
                <w:b w:val="0"/>
                <w:bCs w:val="0"/>
                <w:color w:val="auto"/>
                <w:kern w:val="0"/>
                <w:sz w:val="21"/>
                <w:szCs w:val="21"/>
                <w:highlight w:val="none"/>
                <w:lang w:val="en-US" w:eastAsia="zh-CN" w:bidi="ar"/>
              </w:rPr>
              <w:t>23</w:t>
            </w:r>
            <w:r>
              <w:rPr>
                <w:rFonts w:hint="eastAsia" w:ascii="宋体" w:hAnsi="宋体" w:eastAsia="宋体" w:cs="宋体"/>
                <w:b w:val="0"/>
                <w:bCs w:val="0"/>
                <w:color w:val="auto"/>
                <w:kern w:val="0"/>
                <w:sz w:val="21"/>
                <w:szCs w:val="21"/>
                <w:highlight w:val="none"/>
                <w:lang w:val="en-US" w:eastAsia="zh-CN" w:bidi="ar"/>
              </w:rPr>
              <w:t>日</w:t>
            </w:r>
            <w:r>
              <w:rPr>
                <w:rFonts w:hint="eastAsia" w:ascii="宋体" w:hAnsi="宋体" w:cs="宋体"/>
                <w:b w:val="0"/>
                <w:bCs w:val="0"/>
                <w:color w:val="auto"/>
                <w:kern w:val="0"/>
                <w:sz w:val="21"/>
                <w:szCs w:val="21"/>
                <w:highlight w:val="none"/>
                <w:lang w:val="en-US" w:eastAsia="zh-CN" w:bidi="ar"/>
              </w:rPr>
              <w:t>15时</w:t>
            </w:r>
            <w:r>
              <w:rPr>
                <w:rFonts w:hint="eastAsia" w:ascii="宋体" w:hAnsi="宋体" w:eastAsia="宋体" w:cs="宋体"/>
                <w:b w:val="0"/>
                <w:bCs w:val="0"/>
                <w:color w:val="auto"/>
                <w:kern w:val="0"/>
                <w:sz w:val="21"/>
                <w:szCs w:val="21"/>
                <w:highlight w:val="none"/>
                <w:lang w:val="en-US" w:eastAsia="zh-CN" w:bidi="ar"/>
              </w:rPr>
              <w:t>(北京时间)</w:t>
            </w:r>
          </w:p>
        </w:tc>
      </w:tr>
      <w:tr w14:paraId="45FA8AD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10"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0E8533C2">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开标时间</w:t>
            </w:r>
          </w:p>
        </w:tc>
        <w:tc>
          <w:tcPr>
            <w:tcW w:w="8022"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14:paraId="36B95FFC">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
              </w:rPr>
              <w:t>202</w:t>
            </w:r>
            <w:r>
              <w:rPr>
                <w:rFonts w:hint="eastAsia" w:ascii="宋体" w:hAnsi="宋体" w:cs="宋体"/>
                <w:b w:val="0"/>
                <w:bCs w:val="0"/>
                <w:color w:val="auto"/>
                <w:kern w:val="0"/>
                <w:sz w:val="21"/>
                <w:szCs w:val="21"/>
                <w:highlight w:val="none"/>
                <w:lang w:val="en-US" w:eastAsia="zh-CN" w:bidi="ar"/>
              </w:rPr>
              <w:t>5</w:t>
            </w:r>
            <w:r>
              <w:rPr>
                <w:rFonts w:hint="eastAsia" w:ascii="宋体" w:hAnsi="宋体" w:eastAsia="宋体" w:cs="宋体"/>
                <w:b w:val="0"/>
                <w:bCs w:val="0"/>
                <w:color w:val="auto"/>
                <w:kern w:val="0"/>
                <w:sz w:val="21"/>
                <w:szCs w:val="21"/>
                <w:highlight w:val="none"/>
                <w:lang w:val="en-US" w:eastAsia="zh-CN" w:bidi="ar"/>
              </w:rPr>
              <w:t>年</w:t>
            </w:r>
            <w:r>
              <w:rPr>
                <w:rFonts w:hint="eastAsia" w:ascii="宋体" w:hAnsi="宋体" w:cs="宋体"/>
                <w:b w:val="0"/>
                <w:bCs w:val="0"/>
                <w:color w:val="auto"/>
                <w:kern w:val="0"/>
                <w:sz w:val="21"/>
                <w:szCs w:val="21"/>
                <w:highlight w:val="none"/>
                <w:lang w:val="en-US" w:eastAsia="zh-CN" w:bidi="ar"/>
              </w:rPr>
              <w:t>9</w:t>
            </w:r>
            <w:r>
              <w:rPr>
                <w:rFonts w:hint="eastAsia" w:ascii="宋体" w:hAnsi="宋体" w:eastAsia="宋体" w:cs="宋体"/>
                <w:b w:val="0"/>
                <w:bCs w:val="0"/>
                <w:color w:val="auto"/>
                <w:kern w:val="0"/>
                <w:sz w:val="21"/>
                <w:szCs w:val="21"/>
                <w:highlight w:val="none"/>
                <w:lang w:val="en-US" w:eastAsia="zh-CN" w:bidi="ar"/>
              </w:rPr>
              <w:t>月</w:t>
            </w:r>
            <w:r>
              <w:rPr>
                <w:rFonts w:hint="eastAsia" w:ascii="宋体" w:hAnsi="宋体" w:cs="宋体"/>
                <w:b w:val="0"/>
                <w:bCs w:val="0"/>
                <w:color w:val="auto"/>
                <w:kern w:val="0"/>
                <w:sz w:val="21"/>
                <w:szCs w:val="21"/>
                <w:highlight w:val="none"/>
                <w:lang w:val="en-US" w:eastAsia="zh-CN" w:bidi="ar"/>
              </w:rPr>
              <w:t>23</w:t>
            </w:r>
            <w:r>
              <w:rPr>
                <w:rFonts w:hint="eastAsia" w:ascii="宋体" w:hAnsi="宋体" w:eastAsia="宋体" w:cs="宋体"/>
                <w:b w:val="0"/>
                <w:bCs w:val="0"/>
                <w:color w:val="auto"/>
                <w:kern w:val="0"/>
                <w:sz w:val="21"/>
                <w:szCs w:val="21"/>
                <w:highlight w:val="none"/>
                <w:lang w:val="en-US" w:eastAsia="zh-CN" w:bidi="ar"/>
              </w:rPr>
              <w:t>日</w:t>
            </w:r>
            <w:r>
              <w:rPr>
                <w:rFonts w:hint="eastAsia" w:ascii="宋体" w:hAnsi="宋体" w:cs="宋体"/>
                <w:b w:val="0"/>
                <w:bCs w:val="0"/>
                <w:color w:val="auto"/>
                <w:kern w:val="0"/>
                <w:sz w:val="21"/>
                <w:szCs w:val="21"/>
                <w:highlight w:val="none"/>
                <w:lang w:val="en-US" w:eastAsia="zh-CN" w:bidi="ar"/>
              </w:rPr>
              <w:t>15时</w:t>
            </w:r>
            <w:r>
              <w:rPr>
                <w:rFonts w:hint="eastAsia" w:ascii="宋体" w:hAnsi="宋体" w:eastAsia="宋体" w:cs="宋体"/>
                <w:b w:val="0"/>
                <w:bCs w:val="0"/>
                <w:color w:val="auto"/>
                <w:kern w:val="0"/>
                <w:sz w:val="21"/>
                <w:szCs w:val="21"/>
                <w:highlight w:val="none"/>
                <w:lang w:val="en-US" w:eastAsia="zh-CN" w:bidi="ar"/>
              </w:rPr>
              <w:t>(北京时间)</w:t>
            </w:r>
          </w:p>
        </w:tc>
      </w:tr>
      <w:tr w14:paraId="7359A6F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5"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1EF4CEE2">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开标地点</w:t>
            </w:r>
          </w:p>
        </w:tc>
        <w:tc>
          <w:tcPr>
            <w:tcW w:w="8022"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14:paraId="2ED85F84">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网上开标，投标人登录滁州市城投工程咨询</w:t>
            </w:r>
            <w:r>
              <w:rPr>
                <w:rFonts w:hint="eastAsia" w:ascii="宋体" w:hAnsi="宋体" w:cs="宋体"/>
                <w:b/>
                <w:bCs/>
                <w:color w:val="auto"/>
                <w:kern w:val="0"/>
                <w:sz w:val="21"/>
                <w:szCs w:val="21"/>
                <w:highlight w:val="none"/>
                <w:lang w:val="en-US" w:eastAsia="zh-CN"/>
              </w:rPr>
              <w:t>管理</w:t>
            </w:r>
            <w:r>
              <w:rPr>
                <w:rFonts w:hint="eastAsia" w:ascii="宋体" w:hAnsi="宋体" w:eastAsia="宋体" w:cs="宋体"/>
                <w:b/>
                <w:bCs/>
                <w:color w:val="auto"/>
                <w:kern w:val="0"/>
                <w:sz w:val="21"/>
                <w:szCs w:val="21"/>
                <w:highlight w:val="none"/>
              </w:rPr>
              <w:t>有限公司不见面开标系统参与网上开标（网址：http://js.etrading.cn/EpointBidOpening/bidopeninghallaction/hall/login）</w:t>
            </w:r>
          </w:p>
        </w:tc>
      </w:tr>
      <w:tr w14:paraId="2FF84D0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560"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4C24CCA1">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招标文件售价</w:t>
            </w:r>
          </w:p>
        </w:tc>
        <w:tc>
          <w:tcPr>
            <w:tcW w:w="8022"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14:paraId="601677A5">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0元</w:t>
            </w:r>
          </w:p>
        </w:tc>
      </w:tr>
      <w:tr w14:paraId="7ED012F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5" w:hRule="atLeast"/>
          <w:jc w:val="center"/>
        </w:trPr>
        <w:tc>
          <w:tcPr>
            <w:tcW w:w="9583" w:type="dxa"/>
            <w:gridSpan w:val="6"/>
            <w:tcBorders>
              <w:top w:val="single" w:color="auto" w:sz="12" w:space="0"/>
              <w:left w:val="single" w:color="auto" w:sz="12" w:space="0"/>
              <w:bottom w:val="single" w:color="auto" w:sz="12" w:space="0"/>
              <w:right w:val="single" w:color="auto" w:sz="12" w:space="0"/>
            </w:tcBorders>
            <w:shd w:val="clear" w:color="auto" w:fill="auto"/>
            <w:vAlign w:val="center"/>
          </w:tcPr>
          <w:p w14:paraId="0637FE1A">
            <w:pPr>
              <w:keepNext w:val="0"/>
              <w:keepLines w:val="0"/>
              <w:widowControl w:val="0"/>
              <w:suppressLineNumbers w:val="0"/>
              <w:autoSpaceDE w:val="0"/>
              <w:autoSpaceDN/>
              <w:spacing w:before="0" w:beforeAutospacing="0" w:after="0" w:afterAutospacing="0" w:line="3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信  息  内  容</w:t>
            </w:r>
          </w:p>
        </w:tc>
      </w:tr>
      <w:tr w14:paraId="59DD9AB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72" w:hRule="atLeast"/>
          <w:jc w:val="center"/>
        </w:trPr>
        <w:tc>
          <w:tcPr>
            <w:tcW w:w="1511" w:type="dxa"/>
            <w:tcBorders>
              <w:top w:val="single" w:color="auto" w:sz="12" w:space="0"/>
              <w:left w:val="single" w:color="auto" w:sz="12" w:space="0"/>
              <w:bottom w:val="single" w:color="auto" w:sz="12" w:space="0"/>
              <w:right w:val="single" w:color="auto" w:sz="12" w:space="0"/>
            </w:tcBorders>
            <w:shd w:val="clear" w:color="auto" w:fill="auto"/>
            <w:vAlign w:val="center"/>
          </w:tcPr>
          <w:p w14:paraId="3E91C43D">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工程概况</w:t>
            </w:r>
          </w:p>
        </w:tc>
        <w:tc>
          <w:tcPr>
            <w:tcW w:w="8072" w:type="dxa"/>
            <w:gridSpan w:val="5"/>
            <w:tcBorders>
              <w:top w:val="single" w:color="auto" w:sz="12" w:space="0"/>
              <w:left w:val="single" w:color="auto" w:sz="12" w:space="0"/>
              <w:bottom w:val="single" w:color="auto" w:sz="12" w:space="0"/>
              <w:right w:val="single" w:color="auto" w:sz="12" w:space="0"/>
            </w:tcBorders>
            <w:shd w:val="clear" w:color="auto" w:fill="auto"/>
            <w:vAlign w:val="center"/>
          </w:tcPr>
          <w:p w14:paraId="0B617844">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本工程</w:t>
            </w:r>
            <w:r>
              <w:rPr>
                <w:rFonts w:hint="eastAsia" w:ascii="宋体" w:hAnsi="宋体" w:cs="宋体"/>
                <w:bCs/>
                <w:color w:val="auto"/>
                <w:kern w:val="0"/>
                <w:sz w:val="21"/>
                <w:szCs w:val="21"/>
                <w:highlight w:val="none"/>
                <w:lang w:val="en-US" w:eastAsia="zh-CN" w:bidi="ar"/>
              </w:rPr>
              <w:t>建设内容为</w:t>
            </w:r>
            <w:r>
              <w:rPr>
                <w:rFonts w:hint="eastAsia" w:ascii="宋体" w:hAnsi="宋体" w:eastAsia="宋体" w:cs="宋体"/>
                <w:bCs/>
                <w:color w:val="auto"/>
                <w:kern w:val="0"/>
                <w:sz w:val="21"/>
                <w:szCs w:val="21"/>
                <w:highlight w:val="none"/>
                <w:lang w:val="en-US" w:eastAsia="zh-CN" w:bidi="ar"/>
              </w:rPr>
              <w:t>雾炮基础建设</w:t>
            </w:r>
            <w:r>
              <w:rPr>
                <w:rFonts w:hint="eastAsia" w:ascii="宋体" w:hAnsi="宋体" w:cs="宋体"/>
                <w:bCs/>
                <w:color w:val="auto"/>
                <w:kern w:val="0"/>
                <w:sz w:val="21"/>
                <w:szCs w:val="21"/>
                <w:highlight w:val="none"/>
                <w:lang w:val="en-US" w:eastAsia="zh-CN" w:bidi="ar"/>
              </w:rPr>
              <w:t>，</w:t>
            </w:r>
            <w:r>
              <w:rPr>
                <w:rFonts w:hint="eastAsia" w:ascii="宋体" w:hAnsi="宋体" w:eastAsia="宋体" w:cs="宋体"/>
                <w:bCs/>
                <w:color w:val="auto"/>
                <w:kern w:val="0"/>
                <w:sz w:val="21"/>
                <w:szCs w:val="21"/>
                <w:highlight w:val="none"/>
                <w:lang w:val="en-US" w:eastAsia="zh-CN" w:bidi="ar"/>
              </w:rPr>
              <w:t>具体内容详见施工图纸及工程量清单。</w:t>
            </w:r>
          </w:p>
        </w:tc>
      </w:tr>
      <w:tr w14:paraId="6AA946F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511" w:type="dxa"/>
            <w:tcBorders>
              <w:top w:val="single" w:color="auto" w:sz="12" w:space="0"/>
              <w:left w:val="single" w:color="auto" w:sz="12" w:space="0"/>
              <w:bottom w:val="single" w:color="auto" w:sz="12" w:space="0"/>
              <w:right w:val="single" w:color="auto" w:sz="12" w:space="0"/>
            </w:tcBorders>
            <w:shd w:val="clear" w:color="auto" w:fill="auto"/>
            <w:vAlign w:val="center"/>
          </w:tcPr>
          <w:p w14:paraId="5D496C9B">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标段划分</w:t>
            </w:r>
          </w:p>
        </w:tc>
        <w:tc>
          <w:tcPr>
            <w:tcW w:w="8072" w:type="dxa"/>
            <w:gridSpan w:val="5"/>
            <w:tcBorders>
              <w:top w:val="single" w:color="auto" w:sz="12" w:space="0"/>
              <w:left w:val="single" w:color="auto" w:sz="12" w:space="0"/>
              <w:bottom w:val="single" w:color="auto" w:sz="12" w:space="0"/>
              <w:right w:val="single" w:color="auto" w:sz="12" w:space="0"/>
            </w:tcBorders>
            <w:shd w:val="clear" w:color="auto" w:fill="auto"/>
            <w:vAlign w:val="center"/>
          </w:tcPr>
          <w:p w14:paraId="710B4FEB">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一个标段</w:t>
            </w:r>
          </w:p>
        </w:tc>
      </w:tr>
      <w:tr w14:paraId="156FD47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511" w:type="dxa"/>
            <w:tcBorders>
              <w:top w:val="single" w:color="auto" w:sz="12" w:space="0"/>
              <w:left w:val="single" w:color="auto" w:sz="12" w:space="0"/>
              <w:bottom w:val="single" w:color="auto" w:sz="12" w:space="0"/>
              <w:right w:val="single" w:color="auto" w:sz="12" w:space="0"/>
            </w:tcBorders>
            <w:shd w:val="clear" w:color="auto" w:fill="auto"/>
            <w:vAlign w:val="center"/>
          </w:tcPr>
          <w:p w14:paraId="61AE1011">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评标办法</w:t>
            </w:r>
          </w:p>
        </w:tc>
        <w:tc>
          <w:tcPr>
            <w:tcW w:w="2666"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773AC091">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综合评估法</w:t>
            </w:r>
          </w:p>
        </w:tc>
        <w:tc>
          <w:tcPr>
            <w:tcW w:w="2490"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0A4CE88C">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工程款支付方式</w:t>
            </w:r>
          </w:p>
        </w:tc>
        <w:tc>
          <w:tcPr>
            <w:tcW w:w="2916" w:type="dxa"/>
            <w:tcBorders>
              <w:top w:val="single" w:color="auto" w:sz="12" w:space="0"/>
              <w:left w:val="single" w:color="auto" w:sz="12" w:space="0"/>
              <w:bottom w:val="single" w:color="auto" w:sz="12" w:space="0"/>
              <w:right w:val="single" w:color="auto" w:sz="12" w:space="0"/>
            </w:tcBorders>
            <w:shd w:val="clear" w:color="auto" w:fill="auto"/>
            <w:vAlign w:val="center"/>
          </w:tcPr>
          <w:p w14:paraId="02A683A9">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详见招标文件</w:t>
            </w:r>
          </w:p>
        </w:tc>
      </w:tr>
      <w:tr w14:paraId="05B6EEC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567" w:hRule="atLeast"/>
          <w:jc w:val="center"/>
        </w:trPr>
        <w:tc>
          <w:tcPr>
            <w:tcW w:w="1511" w:type="dxa"/>
            <w:tcBorders>
              <w:top w:val="single" w:color="auto" w:sz="12" w:space="0"/>
              <w:left w:val="single" w:color="auto" w:sz="12" w:space="0"/>
              <w:bottom w:val="single" w:color="auto" w:sz="12" w:space="0"/>
              <w:right w:val="single" w:color="auto" w:sz="12" w:space="0"/>
            </w:tcBorders>
            <w:shd w:val="clear" w:color="auto" w:fill="auto"/>
            <w:vAlign w:val="center"/>
          </w:tcPr>
          <w:p w14:paraId="1E5C7323">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工程概算</w:t>
            </w:r>
          </w:p>
        </w:tc>
        <w:tc>
          <w:tcPr>
            <w:tcW w:w="2666"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155EB617">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约</w:t>
            </w:r>
            <w:r>
              <w:rPr>
                <w:rFonts w:hint="eastAsia" w:ascii="宋体" w:hAnsi="宋体" w:cs="宋体"/>
                <w:color w:val="auto"/>
                <w:kern w:val="2"/>
                <w:sz w:val="21"/>
                <w:szCs w:val="21"/>
                <w:highlight w:val="none"/>
                <w:lang w:val="en-US" w:eastAsia="zh-CN" w:bidi="ar"/>
              </w:rPr>
              <w:t>8.4万元</w:t>
            </w:r>
          </w:p>
        </w:tc>
        <w:tc>
          <w:tcPr>
            <w:tcW w:w="2490"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00226628">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计划工期</w:t>
            </w:r>
          </w:p>
        </w:tc>
        <w:tc>
          <w:tcPr>
            <w:tcW w:w="2916" w:type="dxa"/>
            <w:tcBorders>
              <w:top w:val="single" w:color="auto" w:sz="12" w:space="0"/>
              <w:left w:val="single" w:color="auto" w:sz="12" w:space="0"/>
              <w:bottom w:val="single" w:color="auto" w:sz="12" w:space="0"/>
              <w:right w:val="single" w:color="auto" w:sz="12" w:space="0"/>
            </w:tcBorders>
            <w:shd w:val="clear" w:color="auto" w:fill="auto"/>
            <w:vAlign w:val="center"/>
          </w:tcPr>
          <w:p w14:paraId="115C3EAE">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详见招标文件</w:t>
            </w:r>
          </w:p>
        </w:tc>
      </w:tr>
      <w:tr w14:paraId="28D5C38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567" w:hRule="atLeast"/>
          <w:jc w:val="center"/>
        </w:trPr>
        <w:tc>
          <w:tcPr>
            <w:tcW w:w="1511" w:type="dxa"/>
            <w:tcBorders>
              <w:top w:val="single" w:color="auto" w:sz="12" w:space="0"/>
              <w:left w:val="single" w:color="auto" w:sz="12" w:space="0"/>
              <w:bottom w:val="single" w:color="auto" w:sz="12" w:space="0"/>
              <w:right w:val="single" w:color="auto" w:sz="12" w:space="0"/>
            </w:tcBorders>
            <w:shd w:val="clear" w:color="auto" w:fill="auto"/>
            <w:vAlign w:val="center"/>
          </w:tcPr>
          <w:p w14:paraId="6ACDCFA6">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资金来源</w:t>
            </w:r>
          </w:p>
        </w:tc>
        <w:tc>
          <w:tcPr>
            <w:tcW w:w="2666"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19FBB435">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自筹资金</w:t>
            </w:r>
          </w:p>
        </w:tc>
        <w:tc>
          <w:tcPr>
            <w:tcW w:w="2490"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2F9E99B9">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spacing w:val="-4"/>
                <w:kern w:val="0"/>
                <w:sz w:val="21"/>
                <w:szCs w:val="21"/>
                <w:highlight w:val="none"/>
              </w:rPr>
            </w:pPr>
            <w:r>
              <w:rPr>
                <w:rFonts w:hint="eastAsia" w:ascii="宋体" w:hAnsi="宋体" w:eastAsia="宋体" w:cs="宋体"/>
                <w:color w:val="auto"/>
                <w:kern w:val="2"/>
                <w:sz w:val="21"/>
                <w:szCs w:val="21"/>
                <w:highlight w:val="none"/>
                <w:lang w:val="en-US" w:eastAsia="zh-CN" w:bidi="ar"/>
              </w:rPr>
              <w:t>招标文件等获取方式</w:t>
            </w:r>
          </w:p>
        </w:tc>
        <w:tc>
          <w:tcPr>
            <w:tcW w:w="2916" w:type="dxa"/>
            <w:tcBorders>
              <w:top w:val="single" w:color="auto" w:sz="12" w:space="0"/>
              <w:left w:val="single" w:color="auto" w:sz="12" w:space="0"/>
              <w:bottom w:val="single" w:color="auto" w:sz="12" w:space="0"/>
              <w:right w:val="single" w:color="auto" w:sz="12" w:space="0"/>
            </w:tcBorders>
            <w:shd w:val="clear" w:color="auto" w:fill="auto"/>
            <w:vAlign w:val="center"/>
          </w:tcPr>
          <w:p w14:paraId="08A44F45">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spacing w:val="-4"/>
                <w:kern w:val="0"/>
                <w:sz w:val="21"/>
                <w:szCs w:val="21"/>
                <w:highlight w:val="none"/>
              </w:rPr>
            </w:pPr>
            <w:r>
              <w:rPr>
                <w:rFonts w:hint="eastAsia" w:ascii="宋体" w:hAnsi="宋体" w:eastAsia="宋体" w:cs="宋体"/>
                <w:color w:val="auto"/>
                <w:kern w:val="2"/>
                <w:sz w:val="21"/>
                <w:szCs w:val="21"/>
                <w:highlight w:val="none"/>
                <w:lang w:val="en-US" w:eastAsia="zh-CN" w:bidi="ar"/>
              </w:rPr>
              <w:t>网上下载</w:t>
            </w:r>
          </w:p>
        </w:tc>
      </w:tr>
      <w:tr w14:paraId="5CF6DF4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583" w:type="dxa"/>
            <w:gridSpan w:val="6"/>
            <w:tcBorders>
              <w:top w:val="single" w:color="auto" w:sz="12" w:space="0"/>
              <w:left w:val="single" w:color="auto" w:sz="12" w:space="0"/>
              <w:bottom w:val="single" w:color="auto" w:sz="12" w:space="0"/>
              <w:right w:val="single" w:color="auto" w:sz="12" w:space="0"/>
            </w:tcBorders>
            <w:shd w:val="clear" w:color="auto" w:fill="auto"/>
            <w:vAlign w:val="center"/>
          </w:tcPr>
          <w:p w14:paraId="023C44FF">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投标保证金的金额：</w:t>
            </w:r>
            <w:r>
              <w:rPr>
                <w:rFonts w:hint="eastAsia" w:ascii="宋体" w:hAnsi="宋体" w:cs="宋体"/>
                <w:color w:val="auto"/>
                <w:kern w:val="2"/>
                <w:sz w:val="21"/>
                <w:szCs w:val="21"/>
                <w:highlight w:val="none"/>
                <w:lang w:val="en-US" w:eastAsia="zh-CN" w:bidi="ar"/>
              </w:rPr>
              <w:t>0.1</w:t>
            </w:r>
            <w:r>
              <w:rPr>
                <w:rFonts w:hint="eastAsia" w:ascii="宋体" w:hAnsi="宋体" w:eastAsia="宋体" w:cs="宋体"/>
                <w:color w:val="auto"/>
                <w:kern w:val="2"/>
                <w:sz w:val="21"/>
                <w:szCs w:val="21"/>
                <w:highlight w:val="none"/>
                <w:lang w:val="en-US" w:eastAsia="zh-CN" w:bidi="ar"/>
              </w:rPr>
              <w:t>万元</w:t>
            </w:r>
            <w:r>
              <w:rPr>
                <w:rFonts w:hint="eastAsia" w:ascii="宋体" w:hAnsi="宋体" w:cs="宋体"/>
                <w:color w:val="auto"/>
                <w:kern w:val="2"/>
                <w:sz w:val="21"/>
                <w:szCs w:val="21"/>
                <w:highlight w:val="none"/>
                <w:lang w:val="en-US" w:eastAsia="zh-CN" w:bidi="ar"/>
              </w:rPr>
              <w:t>；</w:t>
            </w:r>
          </w:p>
          <w:p w14:paraId="2E225A35">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是否要求提交投标保证金：</w:t>
            </w:r>
            <w:r>
              <w:rPr>
                <w:rFonts w:hint="eastAsia" w:ascii="宋体" w:hAnsi="宋体" w:cs="宋体"/>
                <w:color w:val="auto"/>
                <w:kern w:val="2"/>
                <w:sz w:val="21"/>
                <w:szCs w:val="21"/>
                <w:highlight w:val="none"/>
                <w:lang w:val="en-US" w:eastAsia="zh-CN" w:bidi="ar"/>
              </w:rPr>
              <w:t>不</w:t>
            </w:r>
            <w:r>
              <w:rPr>
                <w:rFonts w:hint="eastAsia" w:ascii="宋体" w:hAnsi="宋体" w:eastAsia="宋体" w:cs="宋体"/>
                <w:color w:val="auto"/>
                <w:kern w:val="2"/>
                <w:sz w:val="21"/>
                <w:szCs w:val="21"/>
                <w:highlight w:val="none"/>
                <w:lang w:val="en-US" w:eastAsia="zh-CN" w:bidi="ar"/>
              </w:rPr>
              <w:t>要求。</w:t>
            </w:r>
          </w:p>
        </w:tc>
      </w:tr>
      <w:tr w14:paraId="06E7DF1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567" w:hRule="atLeast"/>
          <w:jc w:val="center"/>
        </w:trPr>
        <w:tc>
          <w:tcPr>
            <w:tcW w:w="9583" w:type="dxa"/>
            <w:gridSpan w:val="6"/>
            <w:tcBorders>
              <w:top w:val="single" w:color="auto" w:sz="12" w:space="0"/>
              <w:left w:val="single" w:color="auto" w:sz="12" w:space="0"/>
              <w:bottom w:val="single" w:color="auto" w:sz="12" w:space="0"/>
              <w:right w:val="single" w:color="auto" w:sz="12" w:space="0"/>
            </w:tcBorders>
            <w:shd w:val="clear" w:color="auto" w:fill="auto"/>
            <w:vAlign w:val="center"/>
          </w:tcPr>
          <w:p w14:paraId="53CEC0D5">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重要说明：</w:t>
            </w:r>
          </w:p>
          <w:p w14:paraId="0E66B2C2">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本项目采用电子招投标方式，请投标人在“新点电子交易平台”办事指南下载“新点电子交易平台专用投标文件制作软件”，仔细阅读招标文件要求和相关操作手册，以免影响投标文件编制，因投标人未及时关注相关信息对投标造成的不利后果由其自行承担。投标软件制作工具下载：https://download.bqpoint.com/download/downloaddetail.html?SourceFrom=Ztb&amp;ZtbSoftXiaQuCode=0128&amp;ZtbSoftType=tballinclusive。</w:t>
            </w:r>
          </w:p>
          <w:p w14:paraId="3B6ECF34">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请于公告发布之日起从滁州市城投工程咨询管理有限公司官网（https://www.czctgczx.com/）下载本项目招标文件，或从滁州市城投工程咨询管理有限公司官网（https://www.czctgczx.com/），点击项目招标公告下方【我要投标】，登录新点电子交易平台后在【滁州专区】（https://www.etrading.cn/BREpointSSO/login/oauth2login?regioncode=DQ_ChuZhou）下载本项目招标文件。</w:t>
            </w:r>
          </w:p>
          <w:p w14:paraId="1933588C">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投标人参与投标的，须登录新点电子交易平台【滁州专区】查询、获取招标文件。首次登录办理入库手续，办理入库不收取任何费用。新点电子招投标统一认证平台使用相关问题（如系统登录、信息登记、录入及提交、数字证书关联等）请拨打服务电话：4009280095-5（工作日）。</w:t>
            </w:r>
          </w:p>
          <w:p w14:paraId="48BE99C2">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投标人登录新点电子交易平台【滁州专区】获取招标文件及其它资料（含澄清和补充说明等）。如在招标文件获取过程中遇到系统问题，请拨打技术支持服务热线4009280095或者网站首页在线客服。投标人自行承担因未按要求获取招标文件导致无法上传电子投标文件的风险。</w:t>
            </w:r>
          </w:p>
          <w:p w14:paraId="37C36BE2">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5.本项目采用不见面开标，投标人登录滁州市城投工程咨询有限公司不见面开标系统参与网上开标（网址：http://js.etrading.cn/EpointBidOpening/bidopeninghallaction/hall/login）。</w:t>
            </w:r>
          </w:p>
          <w:p w14:paraId="3A70EB46">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6.投标人应在投标截止时间之前，登录新点电子交易平台【滁州专区】上传投标文件。投标人逾期上传投标文件的，电子系统不予受理。</w:t>
            </w:r>
          </w:p>
          <w:p w14:paraId="5C9F7980">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7.本项目开评标实行全流程电子化，在线完成开评标活动。开标时投标人无需到达开标现场，不接受现场解密，实行远程解密和在线询标。各投标人认真学习《新点电子交易平台投标人操作手册》，务必掌握远程解密方法和在线回复询标方法。</w:t>
            </w:r>
          </w:p>
          <w:p w14:paraId="34DDCE86">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8.投标人的联系人电话(手机)、电子邮箱等通讯方式在开标过程中必须保持畅通，否则因上述原因造成的后果，责任自负。</w:t>
            </w:r>
          </w:p>
        </w:tc>
      </w:tr>
      <w:tr w14:paraId="6FDEEEC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5" w:hRule="atLeast"/>
          <w:jc w:val="center"/>
        </w:trPr>
        <w:tc>
          <w:tcPr>
            <w:tcW w:w="9583" w:type="dxa"/>
            <w:gridSpan w:val="6"/>
            <w:tcBorders>
              <w:top w:val="single" w:color="auto" w:sz="12" w:space="0"/>
              <w:left w:val="single" w:color="auto" w:sz="12" w:space="0"/>
              <w:bottom w:val="single" w:color="auto" w:sz="12" w:space="0"/>
              <w:right w:val="single" w:color="auto" w:sz="12" w:space="0"/>
            </w:tcBorders>
            <w:shd w:val="clear" w:color="auto" w:fill="auto"/>
            <w:vAlign w:val="center"/>
          </w:tcPr>
          <w:p w14:paraId="73416913">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招标文件获取时间：</w:t>
            </w:r>
            <w:r>
              <w:rPr>
                <w:rFonts w:hint="eastAsia" w:ascii="宋体" w:hAnsi="宋体" w:eastAsia="宋体" w:cs="宋体"/>
                <w:b/>
                <w:bCs/>
                <w:color w:val="auto"/>
                <w:kern w:val="0"/>
                <w:sz w:val="21"/>
                <w:szCs w:val="21"/>
                <w:highlight w:val="none"/>
                <w:lang w:val="en-US" w:eastAsia="zh-CN" w:bidi="ar"/>
              </w:rPr>
              <w:t>202</w:t>
            </w:r>
            <w:r>
              <w:rPr>
                <w:rFonts w:hint="eastAsia" w:ascii="宋体" w:hAnsi="宋体" w:cs="宋体"/>
                <w:b/>
                <w:bCs/>
                <w:color w:val="auto"/>
                <w:kern w:val="0"/>
                <w:sz w:val="21"/>
                <w:szCs w:val="21"/>
                <w:highlight w:val="none"/>
                <w:lang w:val="en-US" w:eastAsia="zh-CN" w:bidi="ar"/>
              </w:rPr>
              <w:t>5</w:t>
            </w:r>
            <w:r>
              <w:rPr>
                <w:rFonts w:hint="eastAsia" w:ascii="宋体" w:hAnsi="宋体" w:eastAsia="宋体" w:cs="宋体"/>
                <w:b/>
                <w:bCs/>
                <w:color w:val="auto"/>
                <w:kern w:val="0"/>
                <w:sz w:val="21"/>
                <w:szCs w:val="21"/>
                <w:highlight w:val="none"/>
                <w:lang w:val="en-US" w:eastAsia="zh-CN" w:bidi="ar"/>
              </w:rPr>
              <w:t>年</w:t>
            </w:r>
            <w:r>
              <w:rPr>
                <w:rFonts w:hint="eastAsia" w:ascii="宋体" w:hAnsi="宋体" w:cs="宋体"/>
                <w:b/>
                <w:bCs/>
                <w:color w:val="auto"/>
                <w:kern w:val="0"/>
                <w:sz w:val="21"/>
                <w:szCs w:val="21"/>
                <w:highlight w:val="none"/>
                <w:lang w:val="en-US" w:eastAsia="zh-CN" w:bidi="ar"/>
              </w:rPr>
              <w:t>9</w:t>
            </w:r>
            <w:r>
              <w:rPr>
                <w:rFonts w:hint="eastAsia" w:ascii="宋体" w:hAnsi="宋体" w:eastAsia="宋体" w:cs="宋体"/>
                <w:b/>
                <w:bCs/>
                <w:color w:val="auto"/>
                <w:kern w:val="0"/>
                <w:sz w:val="21"/>
                <w:szCs w:val="21"/>
                <w:highlight w:val="none"/>
                <w:lang w:val="en-US" w:eastAsia="zh-CN" w:bidi="ar"/>
              </w:rPr>
              <w:t>月</w:t>
            </w:r>
            <w:r>
              <w:rPr>
                <w:rFonts w:hint="eastAsia" w:ascii="宋体" w:hAnsi="宋体" w:cs="宋体"/>
                <w:b/>
                <w:bCs/>
                <w:color w:val="auto"/>
                <w:kern w:val="0"/>
                <w:sz w:val="21"/>
                <w:szCs w:val="21"/>
                <w:highlight w:val="none"/>
                <w:lang w:val="en-US" w:eastAsia="zh-CN" w:bidi="ar"/>
              </w:rPr>
              <w:t>18</w:t>
            </w:r>
            <w:r>
              <w:rPr>
                <w:rFonts w:hint="eastAsia" w:ascii="宋体" w:hAnsi="宋体" w:eastAsia="宋体" w:cs="宋体"/>
                <w:b/>
                <w:bCs/>
                <w:color w:val="auto"/>
                <w:kern w:val="0"/>
                <w:sz w:val="21"/>
                <w:szCs w:val="21"/>
                <w:highlight w:val="none"/>
                <w:lang w:val="en-US" w:eastAsia="zh-CN" w:bidi="ar"/>
              </w:rPr>
              <w:t>日17时后</w:t>
            </w:r>
            <w:r>
              <w:rPr>
                <w:rFonts w:hint="eastAsia" w:ascii="宋体" w:hAnsi="宋体" w:eastAsia="宋体" w:cs="宋体"/>
                <w:color w:val="auto"/>
                <w:kern w:val="0"/>
                <w:sz w:val="21"/>
                <w:szCs w:val="21"/>
                <w:highlight w:val="none"/>
                <w:lang w:val="en-US" w:eastAsia="zh-CN" w:bidi="ar"/>
              </w:rPr>
              <w:t>，如投标人不及时下载招标文件，造成后果由投标人自负。</w:t>
            </w:r>
          </w:p>
        </w:tc>
      </w:tr>
      <w:tr w14:paraId="36DD9D7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4690"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14:paraId="370BCB58">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招标人名称：</w:t>
            </w:r>
            <w:r>
              <w:rPr>
                <w:rFonts w:hint="eastAsia" w:ascii="宋体" w:hAnsi="宋体" w:cs="宋体"/>
                <w:color w:val="auto"/>
                <w:kern w:val="0"/>
                <w:sz w:val="21"/>
                <w:szCs w:val="21"/>
                <w:highlight w:val="none"/>
                <w:lang w:val="en-US" w:eastAsia="zh-CN" w:bidi="ar"/>
              </w:rPr>
              <w:t>滁州市兴天矿业有限公司</w:t>
            </w:r>
          </w:p>
          <w:p w14:paraId="027B759F">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地址：</w:t>
            </w:r>
            <w:r>
              <w:rPr>
                <w:rFonts w:hint="eastAsia" w:ascii="宋体" w:hAnsi="宋体" w:cs="宋体"/>
                <w:color w:val="auto"/>
                <w:kern w:val="0"/>
                <w:sz w:val="21"/>
                <w:szCs w:val="21"/>
                <w:highlight w:val="none"/>
                <w:lang w:val="en-US" w:eastAsia="zh-CN" w:bidi="ar"/>
              </w:rPr>
              <w:t>天长市广陵路南侧平安路东侧金融大楼B-17</w:t>
            </w:r>
          </w:p>
          <w:p w14:paraId="4ECDDB6A">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联系人：</w:t>
            </w:r>
            <w:r>
              <w:rPr>
                <w:rFonts w:hint="eastAsia" w:ascii="宋体" w:hAnsi="宋体" w:cs="宋体"/>
                <w:color w:val="auto"/>
                <w:kern w:val="0"/>
                <w:sz w:val="21"/>
                <w:szCs w:val="21"/>
                <w:highlight w:val="none"/>
                <w:lang w:val="en-US" w:eastAsia="zh-CN" w:bidi="ar"/>
              </w:rPr>
              <w:t>李超</w:t>
            </w:r>
          </w:p>
          <w:p w14:paraId="6353410C">
            <w:pPr>
              <w:keepNext w:val="0"/>
              <w:keepLines w:val="0"/>
              <w:widowControl/>
              <w:suppressLineNumbers w:val="0"/>
              <w:autoSpaceDE w:val="0"/>
              <w:autoSpaceDN/>
              <w:spacing w:before="0" w:beforeAutospacing="0" w:after="0" w:afterAutospacing="0" w:line="440" w:lineRule="exact"/>
              <w:ind w:left="0" w:right="0"/>
              <w:jc w:val="left"/>
              <w:rPr>
                <w:rFonts w:hint="default" w:ascii="宋体" w:hAnsi="宋体" w:eastAsia="宋体" w:cs="宋体"/>
                <w:color w:val="auto"/>
                <w:kern w:val="2"/>
                <w:sz w:val="21"/>
                <w:szCs w:val="21"/>
                <w:highlight w:val="none"/>
                <w:lang w:val="en-US"/>
              </w:rPr>
            </w:pPr>
            <w:r>
              <w:rPr>
                <w:rFonts w:hint="eastAsia" w:ascii="宋体" w:hAnsi="宋体" w:eastAsia="宋体" w:cs="宋体"/>
                <w:color w:val="auto"/>
                <w:kern w:val="0"/>
                <w:sz w:val="21"/>
                <w:szCs w:val="21"/>
                <w:highlight w:val="none"/>
                <w:lang w:val="en-US" w:eastAsia="zh-CN" w:bidi="ar"/>
              </w:rPr>
              <w:t>联系方式：</w:t>
            </w:r>
            <w:r>
              <w:rPr>
                <w:rFonts w:hint="eastAsia" w:ascii="宋体" w:hAnsi="宋体" w:cs="宋体"/>
                <w:color w:val="auto"/>
                <w:kern w:val="0"/>
                <w:sz w:val="21"/>
                <w:szCs w:val="21"/>
                <w:highlight w:val="none"/>
                <w:lang w:val="en-US" w:eastAsia="zh-CN" w:bidi="ar"/>
              </w:rPr>
              <w:t>15056501345</w:t>
            </w:r>
          </w:p>
        </w:tc>
        <w:tc>
          <w:tcPr>
            <w:tcW w:w="4893"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5B589817">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招标代理机构名称：滁州市城投工程咨询管理有限公司</w:t>
            </w:r>
          </w:p>
          <w:p w14:paraId="568EAEF4">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地址：滁州市龙蟠大道109号房产商务大厦6楼</w:t>
            </w:r>
          </w:p>
          <w:p w14:paraId="004DF22C">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联系人：胡国庆</w:t>
            </w:r>
          </w:p>
          <w:p w14:paraId="187E111E">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联系方式：0550-3519517、18005500950</w:t>
            </w:r>
          </w:p>
        </w:tc>
      </w:tr>
      <w:tr w14:paraId="5A1C3AD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567" w:hRule="atLeast"/>
          <w:jc w:val="center"/>
        </w:trPr>
        <w:tc>
          <w:tcPr>
            <w:tcW w:w="9583" w:type="dxa"/>
            <w:gridSpan w:val="6"/>
            <w:tcBorders>
              <w:top w:val="single" w:color="auto" w:sz="12" w:space="0"/>
              <w:left w:val="single" w:color="auto" w:sz="12" w:space="0"/>
              <w:bottom w:val="single" w:color="auto" w:sz="12" w:space="0"/>
              <w:right w:val="single" w:color="auto" w:sz="12" w:space="0"/>
            </w:tcBorders>
            <w:shd w:val="clear" w:color="auto" w:fill="auto"/>
            <w:vAlign w:val="center"/>
          </w:tcPr>
          <w:p w14:paraId="3FEC7B01">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公告发布媒体</w:t>
            </w:r>
            <w:r>
              <w:rPr>
                <w:rFonts w:hint="eastAsia" w:ascii="宋体" w:hAnsi="宋体" w:eastAsia="宋体" w:cs="宋体"/>
                <w:color w:val="auto"/>
                <w:kern w:val="2"/>
                <w:sz w:val="21"/>
                <w:szCs w:val="21"/>
                <w:highlight w:val="none"/>
                <w:lang w:val="en-US" w:eastAsia="zh-CN" w:bidi="ar"/>
              </w:rPr>
              <w:t>：</w:t>
            </w:r>
            <w:r>
              <w:rPr>
                <w:rFonts w:hint="eastAsia" w:ascii="宋体" w:hAnsi="宋体" w:cs="宋体"/>
                <w:color w:val="auto"/>
                <w:kern w:val="2"/>
                <w:sz w:val="21"/>
                <w:szCs w:val="21"/>
                <w:highlight w:val="none"/>
                <w:lang w:val="en-US" w:eastAsia="zh-CN" w:bidi="ar"/>
              </w:rPr>
              <w:t>中国招标投标公共服务平台（http://www.cebpubservice.com/）、安徽省招标投标信息网（http://www.ahtba.org.cn/）、滁州市城投工程咨询管理有限公司（https://www.czctgczx.com/）、滁州市兴滁矿业投资集团有限公司（http://www.xckytz.com/）</w:t>
            </w:r>
            <w:r>
              <w:rPr>
                <w:rFonts w:hint="eastAsia" w:ascii="宋体" w:hAnsi="宋体" w:eastAsia="宋体" w:cs="宋体"/>
                <w:color w:val="auto"/>
                <w:kern w:val="2"/>
                <w:sz w:val="21"/>
                <w:szCs w:val="21"/>
                <w:highlight w:val="none"/>
                <w:lang w:val="en-US" w:eastAsia="zh-CN" w:bidi="ar"/>
              </w:rPr>
              <w:t>网站</w:t>
            </w:r>
          </w:p>
        </w:tc>
      </w:tr>
    </w:tbl>
    <w:p w14:paraId="2BFDA484">
      <w:pPr>
        <w:pStyle w:val="43"/>
        <w:spacing w:beforeLines="50" w:afterLines="50" w:line="440" w:lineRule="exact"/>
        <w:rPr>
          <w:bCs/>
          <w:color w:val="auto"/>
          <w:szCs w:val="32"/>
          <w:highlight w:val="none"/>
        </w:rPr>
      </w:pPr>
      <w:r>
        <w:rPr>
          <w:rFonts w:hint="eastAsia"/>
          <w:bCs/>
          <w:color w:val="auto"/>
          <w:szCs w:val="32"/>
          <w:highlight w:val="none"/>
        </w:rPr>
        <w:br w:type="page"/>
      </w:r>
      <w:bookmarkStart w:id="37" w:name="_Toc22947"/>
      <w:bookmarkStart w:id="38" w:name="_Toc8980"/>
      <w:bookmarkStart w:id="39" w:name="_Toc18989"/>
      <w:r>
        <w:rPr>
          <w:rFonts w:hint="eastAsia"/>
          <w:bCs/>
          <w:color w:val="auto"/>
          <w:szCs w:val="32"/>
          <w:highlight w:val="none"/>
        </w:rPr>
        <w:t>第一章  投标人须知</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038B4F0B">
      <w:pPr>
        <w:spacing w:beforeLines="50" w:afterLines="50" w:line="440" w:lineRule="exact"/>
        <w:jc w:val="center"/>
        <w:rPr>
          <w:b/>
          <w:bCs/>
          <w:color w:val="auto"/>
          <w:sz w:val="28"/>
          <w:szCs w:val="28"/>
          <w:highlight w:val="none"/>
        </w:rPr>
      </w:pPr>
      <w:bookmarkStart w:id="40" w:name="_Toc144974496"/>
      <w:bookmarkStart w:id="41" w:name="_Toc247085688"/>
      <w:bookmarkStart w:id="42" w:name="_Toc15058845"/>
      <w:bookmarkStart w:id="43" w:name="_Toc179632545"/>
      <w:bookmarkStart w:id="44" w:name="_Toc152045528"/>
      <w:bookmarkStart w:id="45" w:name="_Toc506107268"/>
      <w:bookmarkStart w:id="46" w:name="_Toc35424884"/>
      <w:bookmarkStart w:id="47" w:name="_Toc324404814"/>
      <w:bookmarkStart w:id="48" w:name="_Toc152042304"/>
      <w:bookmarkStart w:id="49" w:name="_Toc35425051"/>
      <w:bookmarkStart w:id="50" w:name="_Toc246996917"/>
      <w:bookmarkStart w:id="51" w:name="_Toc246996174"/>
      <w:r>
        <w:rPr>
          <w:rFonts w:hint="eastAsia"/>
          <w:b/>
          <w:bCs/>
          <w:color w:val="auto"/>
          <w:sz w:val="28"/>
          <w:szCs w:val="28"/>
          <w:highlight w:val="none"/>
        </w:rPr>
        <w:t>投标人须知前附表</w:t>
      </w:r>
      <w:bookmarkEnd w:id="40"/>
      <w:bookmarkEnd w:id="41"/>
      <w:bookmarkEnd w:id="42"/>
      <w:bookmarkEnd w:id="43"/>
      <w:bookmarkEnd w:id="44"/>
      <w:bookmarkEnd w:id="45"/>
      <w:bookmarkEnd w:id="46"/>
      <w:bookmarkEnd w:id="47"/>
      <w:bookmarkEnd w:id="48"/>
      <w:bookmarkEnd w:id="49"/>
      <w:bookmarkEnd w:id="50"/>
      <w:bookmarkEnd w:id="51"/>
    </w:p>
    <w:tbl>
      <w:tblPr>
        <w:tblStyle w:val="46"/>
        <w:tblW w:w="9914" w:type="dxa"/>
        <w:jc w:val="center"/>
        <w:tblLayout w:type="fixed"/>
        <w:tblCellMar>
          <w:top w:w="0" w:type="dxa"/>
          <w:left w:w="108" w:type="dxa"/>
          <w:bottom w:w="0" w:type="dxa"/>
          <w:right w:w="108" w:type="dxa"/>
        </w:tblCellMar>
      </w:tblPr>
      <w:tblGrid>
        <w:gridCol w:w="868"/>
        <w:gridCol w:w="910"/>
        <w:gridCol w:w="1299"/>
        <w:gridCol w:w="6837"/>
      </w:tblGrid>
      <w:tr w14:paraId="0BDD4F3A">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300211F">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b/>
                <w:color w:val="auto"/>
                <w:szCs w:val="21"/>
                <w:highlight w:val="none"/>
              </w:rPr>
            </w:pPr>
            <w:bookmarkStart w:id="52" w:name="_Toc144974497"/>
            <w:bookmarkStart w:id="53" w:name="_Toc324404815"/>
            <w:bookmarkStart w:id="54" w:name="_Toc246996175"/>
            <w:bookmarkStart w:id="55" w:name="_Toc152042305"/>
            <w:bookmarkStart w:id="56" w:name="_Toc179632546"/>
            <w:bookmarkStart w:id="57" w:name="_Toc506107269"/>
            <w:bookmarkStart w:id="58" w:name="_Toc152045529"/>
            <w:bookmarkStart w:id="59" w:name="_Toc246996918"/>
            <w:bookmarkStart w:id="60" w:name="_Toc247085689"/>
            <w:r>
              <w:rPr>
                <w:rFonts w:hint="eastAsia" w:ascii="宋体" w:hAnsi="宋体" w:cs="宋体"/>
                <w:b/>
                <w:color w:val="auto"/>
                <w:szCs w:val="21"/>
                <w:highlight w:val="none"/>
              </w:rPr>
              <w:t>序号</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342837A">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b/>
                <w:color w:val="auto"/>
                <w:szCs w:val="21"/>
                <w:highlight w:val="none"/>
              </w:rPr>
            </w:pPr>
            <w:r>
              <w:rPr>
                <w:rFonts w:hint="eastAsia" w:ascii="宋体" w:hAnsi="宋体" w:cs="宋体"/>
                <w:b/>
                <w:color w:val="auto"/>
                <w:szCs w:val="21"/>
                <w:highlight w:val="none"/>
              </w:rPr>
              <w:t>条  款  名  称</w:t>
            </w:r>
          </w:p>
        </w:tc>
        <w:tc>
          <w:tcPr>
            <w:tcW w:w="6837" w:type="dxa"/>
            <w:tcBorders>
              <w:top w:val="single" w:color="auto" w:sz="4" w:space="0"/>
              <w:left w:val="single" w:color="auto" w:sz="4" w:space="0"/>
              <w:bottom w:val="single" w:color="auto" w:sz="4" w:space="0"/>
              <w:right w:val="single" w:color="auto" w:sz="4" w:space="0"/>
            </w:tcBorders>
            <w:noWrap/>
            <w:vAlign w:val="center"/>
          </w:tcPr>
          <w:p w14:paraId="4B914A43">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b/>
                <w:color w:val="auto"/>
                <w:szCs w:val="21"/>
                <w:highlight w:val="none"/>
              </w:rPr>
            </w:pPr>
            <w:r>
              <w:rPr>
                <w:rFonts w:hint="eastAsia" w:ascii="宋体" w:hAnsi="宋体" w:cs="宋体"/>
                <w:b/>
                <w:color w:val="auto"/>
                <w:szCs w:val="21"/>
                <w:highlight w:val="none"/>
              </w:rPr>
              <w:t>编  列  内  容</w:t>
            </w:r>
          </w:p>
        </w:tc>
      </w:tr>
      <w:tr w14:paraId="77A4F995">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889CB14">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C926067">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招标人</w:t>
            </w:r>
          </w:p>
        </w:tc>
        <w:tc>
          <w:tcPr>
            <w:tcW w:w="6837" w:type="dxa"/>
            <w:tcBorders>
              <w:top w:val="single" w:color="auto" w:sz="4" w:space="0"/>
              <w:left w:val="single" w:color="auto" w:sz="4" w:space="0"/>
              <w:bottom w:val="single" w:color="auto" w:sz="4" w:space="0"/>
              <w:right w:val="single" w:color="auto" w:sz="4" w:space="0"/>
            </w:tcBorders>
            <w:noWrap/>
            <w:vAlign w:val="center"/>
          </w:tcPr>
          <w:p w14:paraId="47F4E802">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left"/>
              <w:textAlignment w:val="auto"/>
              <w:rPr>
                <w:rFonts w:hint="eastAsia" w:eastAsia="宋体"/>
                <w:color w:val="auto"/>
                <w:kern w:val="2"/>
                <w:sz w:val="21"/>
                <w:szCs w:val="21"/>
                <w:highlight w:val="none"/>
                <w:lang w:eastAsia="zh-CN"/>
              </w:rPr>
            </w:pPr>
            <w:r>
              <w:rPr>
                <w:rFonts w:hint="eastAsia" w:ascii="宋体" w:hAnsi="宋体" w:eastAsia="宋体" w:cs="宋体"/>
                <w:color w:val="auto"/>
                <w:kern w:val="0"/>
                <w:szCs w:val="21"/>
                <w:highlight w:val="none"/>
              </w:rPr>
              <w:t>详见招标公告</w:t>
            </w:r>
          </w:p>
        </w:tc>
      </w:tr>
      <w:tr w14:paraId="6934FE20">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E50D381">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EB631D9">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招标代理机构</w:t>
            </w:r>
          </w:p>
        </w:tc>
        <w:tc>
          <w:tcPr>
            <w:tcW w:w="6837" w:type="dxa"/>
            <w:tcBorders>
              <w:top w:val="single" w:color="auto" w:sz="4" w:space="0"/>
              <w:left w:val="single" w:color="auto" w:sz="4" w:space="0"/>
              <w:bottom w:val="single" w:color="auto" w:sz="4" w:space="0"/>
              <w:right w:val="single" w:color="auto" w:sz="4" w:space="0"/>
            </w:tcBorders>
            <w:noWrap/>
            <w:vAlign w:val="center"/>
          </w:tcPr>
          <w:p w14:paraId="6A4F3868">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rPr>
              <w:t>详见招标公告</w:t>
            </w:r>
          </w:p>
        </w:tc>
      </w:tr>
      <w:tr w14:paraId="31BD3B61">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E30EF8C">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D14E141">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项目名称</w:t>
            </w:r>
          </w:p>
        </w:tc>
        <w:tc>
          <w:tcPr>
            <w:tcW w:w="6837" w:type="dxa"/>
            <w:tcBorders>
              <w:top w:val="single" w:color="auto" w:sz="4" w:space="0"/>
              <w:left w:val="single" w:color="auto" w:sz="4" w:space="0"/>
              <w:bottom w:val="single" w:color="auto" w:sz="4" w:space="0"/>
              <w:right w:val="single" w:color="auto" w:sz="4" w:space="0"/>
            </w:tcBorders>
            <w:noWrap/>
            <w:vAlign w:val="center"/>
          </w:tcPr>
          <w:p w14:paraId="244173E7">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rPr>
              <w:t>详见招标公告</w:t>
            </w:r>
          </w:p>
        </w:tc>
      </w:tr>
      <w:tr w14:paraId="08FFE5D0">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E667C68">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C87BA56">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建设地点</w:t>
            </w:r>
          </w:p>
        </w:tc>
        <w:tc>
          <w:tcPr>
            <w:tcW w:w="6837" w:type="dxa"/>
            <w:tcBorders>
              <w:top w:val="single" w:color="auto" w:sz="4" w:space="0"/>
              <w:left w:val="single" w:color="auto" w:sz="4" w:space="0"/>
              <w:bottom w:val="single" w:color="auto" w:sz="4" w:space="0"/>
              <w:right w:val="single" w:color="auto" w:sz="4" w:space="0"/>
            </w:tcBorders>
            <w:noWrap/>
            <w:vAlign w:val="center"/>
          </w:tcPr>
          <w:p w14:paraId="506B480C">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eastAsia="宋体" w:cs="宋体"/>
                <w:color w:val="auto"/>
                <w:kern w:val="0"/>
                <w:szCs w:val="21"/>
                <w:highlight w:val="none"/>
              </w:rPr>
              <w:t>详见招标公告</w:t>
            </w:r>
          </w:p>
        </w:tc>
      </w:tr>
      <w:tr w14:paraId="035A6C0C">
        <w:tblPrEx>
          <w:tblCellMar>
            <w:top w:w="0" w:type="dxa"/>
            <w:left w:w="108" w:type="dxa"/>
            <w:bottom w:w="0" w:type="dxa"/>
            <w:right w:w="108" w:type="dxa"/>
          </w:tblCellMar>
        </w:tblPrEx>
        <w:trPr>
          <w:trHeight w:val="555"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4CEDDCA">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16D1835">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 w:val="21"/>
                <w:szCs w:val="21"/>
                <w:highlight w:val="none"/>
              </w:rPr>
              <w:t>资金落实情况</w:t>
            </w:r>
          </w:p>
        </w:tc>
        <w:tc>
          <w:tcPr>
            <w:tcW w:w="6837" w:type="dxa"/>
            <w:tcBorders>
              <w:top w:val="single" w:color="auto" w:sz="4" w:space="0"/>
              <w:left w:val="single" w:color="auto" w:sz="4" w:space="0"/>
              <w:bottom w:val="single" w:color="auto" w:sz="4" w:space="0"/>
              <w:right w:val="single" w:color="auto" w:sz="4" w:space="0"/>
            </w:tcBorders>
            <w:noWrap/>
            <w:vAlign w:val="center"/>
          </w:tcPr>
          <w:p w14:paraId="3AD56AE8">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 w:val="21"/>
                <w:szCs w:val="21"/>
                <w:highlight w:val="none"/>
                <w:lang w:val="en-US" w:eastAsia="zh-CN"/>
              </w:rPr>
              <w:t>已落实</w:t>
            </w:r>
          </w:p>
        </w:tc>
      </w:tr>
      <w:tr w14:paraId="767AED2A">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2E04878">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77C3895">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招标范围</w:t>
            </w:r>
          </w:p>
        </w:tc>
        <w:tc>
          <w:tcPr>
            <w:tcW w:w="6837" w:type="dxa"/>
            <w:tcBorders>
              <w:top w:val="single" w:color="auto" w:sz="4" w:space="0"/>
              <w:left w:val="single" w:color="auto" w:sz="4" w:space="0"/>
              <w:bottom w:val="single" w:color="auto" w:sz="4" w:space="0"/>
              <w:right w:val="single" w:color="auto" w:sz="4" w:space="0"/>
            </w:tcBorders>
            <w:noWrap/>
            <w:vAlign w:val="center"/>
          </w:tcPr>
          <w:p w14:paraId="46D945E3">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color w:val="auto"/>
                <w:szCs w:val="21"/>
                <w:highlight w:val="none"/>
              </w:rPr>
              <w:t>详见招标公告</w:t>
            </w:r>
          </w:p>
        </w:tc>
      </w:tr>
      <w:tr w14:paraId="32245EDE">
        <w:tblPrEx>
          <w:tblCellMar>
            <w:top w:w="0" w:type="dxa"/>
            <w:left w:w="108" w:type="dxa"/>
            <w:bottom w:w="0" w:type="dxa"/>
            <w:right w:w="108" w:type="dxa"/>
          </w:tblCellMar>
        </w:tblPrEx>
        <w:trPr>
          <w:trHeight w:val="496"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67889DE">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7EFB0B0">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评标办法</w:t>
            </w:r>
          </w:p>
        </w:tc>
        <w:tc>
          <w:tcPr>
            <w:tcW w:w="6837" w:type="dxa"/>
            <w:tcBorders>
              <w:top w:val="single" w:color="auto" w:sz="4" w:space="0"/>
              <w:left w:val="single" w:color="auto" w:sz="4" w:space="0"/>
              <w:bottom w:val="single" w:color="auto" w:sz="4" w:space="0"/>
              <w:right w:val="single" w:color="auto" w:sz="4" w:space="0"/>
            </w:tcBorders>
            <w:noWrap/>
            <w:vAlign w:val="center"/>
          </w:tcPr>
          <w:p w14:paraId="26E51304">
            <w:pPr>
              <w:pStyle w:val="96"/>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eastAsia" w:ascii="宋体" w:hAnsi="宋体" w:eastAsia="宋体" w:cs="宋体"/>
                <w:color w:val="auto"/>
                <w:highlight w:val="none"/>
                <w:lang w:eastAsia="zh-CN"/>
              </w:rPr>
            </w:pPr>
            <w:r>
              <w:rPr>
                <w:rFonts w:hint="eastAsia" w:ascii="宋体" w:hAnsi="宋体" w:cs="宋体"/>
                <w:color w:val="auto"/>
                <w:highlight w:val="none"/>
                <w:lang w:eastAsia="zh-CN"/>
              </w:rPr>
              <w:t>综合评估法</w:t>
            </w:r>
          </w:p>
        </w:tc>
      </w:tr>
      <w:tr w14:paraId="08246C86">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B5D6FCC">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6B991FB">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工期</w:t>
            </w:r>
          </w:p>
        </w:tc>
        <w:tc>
          <w:tcPr>
            <w:tcW w:w="6837" w:type="dxa"/>
            <w:tcBorders>
              <w:top w:val="single" w:color="auto" w:sz="4" w:space="0"/>
              <w:left w:val="single" w:color="auto" w:sz="4" w:space="0"/>
              <w:bottom w:val="single" w:color="auto" w:sz="4" w:space="0"/>
              <w:right w:val="single" w:color="auto" w:sz="4" w:space="0"/>
            </w:tcBorders>
            <w:noWrap/>
            <w:vAlign w:val="center"/>
          </w:tcPr>
          <w:p w14:paraId="22AC1F9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rPr>
              <w:t>计划工期：</w:t>
            </w:r>
            <w:r>
              <w:rPr>
                <w:rFonts w:hint="eastAsia" w:ascii="宋体" w:hAnsi="宋体" w:cs="宋体"/>
                <w:b/>
                <w:color w:val="auto"/>
                <w:sz w:val="21"/>
                <w:szCs w:val="21"/>
                <w:highlight w:val="none"/>
                <w:lang w:val="en-US" w:eastAsia="zh-CN"/>
              </w:rPr>
              <w:t>自接招标人通知之日起不高于</w:t>
            </w:r>
            <w:r>
              <w:rPr>
                <w:rFonts w:hint="eastAsia" w:ascii="宋体" w:hAnsi="宋体" w:cs="宋体"/>
                <w:b/>
                <w:color w:val="auto"/>
                <w:sz w:val="21"/>
                <w:szCs w:val="21"/>
                <w:highlight w:val="none"/>
                <w:u w:val="single"/>
                <w:lang w:val="en-US" w:eastAsia="zh-CN"/>
              </w:rPr>
              <w:t xml:space="preserve"> 45 </w:t>
            </w:r>
            <w:r>
              <w:rPr>
                <w:rFonts w:hint="eastAsia" w:ascii="宋体" w:hAnsi="宋体" w:cs="宋体"/>
                <w:b/>
                <w:color w:val="auto"/>
                <w:sz w:val="21"/>
                <w:szCs w:val="21"/>
                <w:highlight w:val="none"/>
                <w:u w:val="none"/>
                <w:lang w:val="en-US" w:eastAsia="zh-CN"/>
              </w:rPr>
              <w:t>个</w:t>
            </w:r>
            <w:r>
              <w:rPr>
                <w:rFonts w:hint="eastAsia" w:ascii="宋体" w:hAnsi="宋体" w:cs="宋体"/>
                <w:b/>
                <w:color w:val="auto"/>
                <w:sz w:val="21"/>
                <w:szCs w:val="21"/>
                <w:highlight w:val="none"/>
                <w:lang w:val="en-US" w:eastAsia="zh-CN"/>
              </w:rPr>
              <w:t>日历天完工。</w:t>
            </w:r>
          </w:p>
          <w:p w14:paraId="62D820D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计划开工日期：双方签订合同时明确</w:t>
            </w:r>
            <w:r>
              <w:rPr>
                <w:rFonts w:hint="eastAsia" w:ascii="宋体" w:hAnsi="宋体" w:cs="宋体"/>
                <w:color w:val="auto"/>
                <w:sz w:val="21"/>
                <w:szCs w:val="21"/>
                <w:highlight w:val="none"/>
                <w:lang w:val="en-US" w:eastAsia="zh-CN"/>
              </w:rPr>
              <w:t xml:space="preserve"> </w:t>
            </w:r>
          </w:p>
          <w:p w14:paraId="1D6C9E7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计划竣工日期：双方签订合同时明确</w:t>
            </w:r>
          </w:p>
          <w:p w14:paraId="5032111F">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 w:val="21"/>
                <w:szCs w:val="21"/>
                <w:highlight w:val="none"/>
              </w:rPr>
              <w:t>注：投标人自报的承诺工期为考核标准。</w:t>
            </w:r>
            <w:r>
              <w:rPr>
                <w:rFonts w:hint="eastAsia" w:ascii="宋体" w:hAnsi="宋体" w:cs="宋体"/>
                <w:color w:val="auto"/>
                <w:sz w:val="21"/>
                <w:szCs w:val="21"/>
                <w:highlight w:val="none"/>
                <w:lang w:eastAsia="zh-CN"/>
              </w:rPr>
              <w:t>因中标人原因造成的工期延误，</w:t>
            </w:r>
            <w:r>
              <w:rPr>
                <w:rFonts w:hint="eastAsia" w:ascii="宋体" w:hAnsi="宋体" w:cs="宋体"/>
                <w:color w:val="auto"/>
                <w:sz w:val="21"/>
                <w:szCs w:val="21"/>
                <w:highlight w:val="none"/>
              </w:rPr>
              <w:t>工期每延误一天，处以</w:t>
            </w:r>
            <w:r>
              <w:rPr>
                <w:rFonts w:hint="eastAsia" w:ascii="宋体" w:hAnsi="宋体" w:cs="宋体"/>
                <w:color w:val="auto"/>
                <w:sz w:val="21"/>
                <w:szCs w:val="21"/>
                <w:highlight w:val="none"/>
                <w:u w:val="single"/>
                <w:lang w:val="en-US" w:eastAsia="zh-CN"/>
              </w:rPr>
              <w:t xml:space="preserve"> 1000 </w:t>
            </w:r>
            <w:r>
              <w:rPr>
                <w:rFonts w:hint="eastAsia" w:ascii="宋体" w:hAnsi="宋体" w:cs="宋体"/>
                <w:color w:val="auto"/>
                <w:sz w:val="21"/>
                <w:szCs w:val="21"/>
                <w:highlight w:val="none"/>
              </w:rPr>
              <w:t xml:space="preserve">元违约金，工期提前不奖励。   </w:t>
            </w:r>
          </w:p>
        </w:tc>
      </w:tr>
      <w:tr w14:paraId="52D1B80E">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52265A1">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8D86914">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质量要求</w:t>
            </w:r>
          </w:p>
        </w:tc>
        <w:tc>
          <w:tcPr>
            <w:tcW w:w="6837" w:type="dxa"/>
            <w:tcBorders>
              <w:top w:val="single" w:color="auto" w:sz="4" w:space="0"/>
              <w:left w:val="single" w:color="auto" w:sz="4" w:space="0"/>
              <w:bottom w:val="single" w:color="auto" w:sz="4" w:space="0"/>
              <w:right w:val="single" w:color="auto" w:sz="4" w:space="0"/>
            </w:tcBorders>
            <w:noWrap/>
            <w:vAlign w:val="center"/>
          </w:tcPr>
          <w:p w14:paraId="30D229F9">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kern w:val="0"/>
                <w:szCs w:val="21"/>
                <w:highlight w:val="none"/>
              </w:rPr>
              <w:t>必须达到国家工程施工质量验收</w:t>
            </w:r>
            <w:r>
              <w:rPr>
                <w:rFonts w:hint="eastAsia" w:ascii="宋体" w:hAnsi="宋体" w:cs="宋体"/>
                <w:color w:val="auto"/>
                <w:kern w:val="0"/>
                <w:szCs w:val="21"/>
                <w:highlight w:val="none"/>
                <w:u w:val="single"/>
              </w:rPr>
              <w:t xml:space="preserve"> 合格 </w:t>
            </w:r>
            <w:r>
              <w:rPr>
                <w:rFonts w:hint="eastAsia" w:ascii="宋体" w:hAnsi="宋体" w:cs="宋体"/>
                <w:color w:val="auto"/>
                <w:kern w:val="0"/>
                <w:szCs w:val="21"/>
                <w:highlight w:val="none"/>
              </w:rPr>
              <w:t>标准</w:t>
            </w:r>
            <w:r>
              <w:rPr>
                <w:rFonts w:hint="eastAsia" w:ascii="宋体" w:hAnsi="宋体" w:cs="宋体"/>
                <w:color w:val="auto"/>
                <w:szCs w:val="21"/>
                <w:highlight w:val="none"/>
              </w:rPr>
              <w:t xml:space="preserve">。 </w:t>
            </w:r>
          </w:p>
        </w:tc>
      </w:tr>
      <w:tr w14:paraId="14722C22">
        <w:tblPrEx>
          <w:tblCellMar>
            <w:top w:w="0" w:type="dxa"/>
            <w:left w:w="108" w:type="dxa"/>
            <w:bottom w:w="0" w:type="dxa"/>
            <w:right w:w="108" w:type="dxa"/>
          </w:tblCellMar>
        </w:tblPrEx>
        <w:trPr>
          <w:trHeight w:val="90" w:hRule="atLeast"/>
          <w:jc w:val="center"/>
        </w:trPr>
        <w:tc>
          <w:tcPr>
            <w:tcW w:w="868" w:type="dxa"/>
            <w:vMerge w:val="restart"/>
            <w:tcBorders>
              <w:top w:val="single" w:color="auto" w:sz="4" w:space="0"/>
              <w:left w:val="single" w:color="auto" w:sz="4" w:space="0"/>
              <w:bottom w:val="single" w:color="auto" w:sz="4" w:space="0"/>
              <w:right w:val="single" w:color="auto" w:sz="4" w:space="0"/>
            </w:tcBorders>
            <w:noWrap/>
            <w:vAlign w:val="center"/>
          </w:tcPr>
          <w:p w14:paraId="56270CA6">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10</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C8625C6">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投标人资质条件、能力和信誉</w:t>
            </w:r>
          </w:p>
        </w:tc>
        <w:tc>
          <w:tcPr>
            <w:tcW w:w="6837" w:type="dxa"/>
            <w:tcBorders>
              <w:top w:val="single" w:color="auto" w:sz="4" w:space="0"/>
              <w:left w:val="single" w:color="auto" w:sz="4" w:space="0"/>
              <w:bottom w:val="single" w:color="auto" w:sz="4" w:space="0"/>
              <w:right w:val="single" w:color="auto" w:sz="4" w:space="0"/>
            </w:tcBorders>
            <w:noWrap/>
            <w:vAlign w:val="center"/>
          </w:tcPr>
          <w:p w14:paraId="3661F8E0">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详见招标公告</w:t>
            </w:r>
          </w:p>
        </w:tc>
      </w:tr>
      <w:tr w14:paraId="26BB7244">
        <w:tblPrEx>
          <w:tblCellMar>
            <w:top w:w="0" w:type="dxa"/>
            <w:left w:w="108" w:type="dxa"/>
            <w:bottom w:w="0" w:type="dxa"/>
            <w:right w:w="108" w:type="dxa"/>
          </w:tblCellMar>
        </w:tblPrEx>
        <w:trPr>
          <w:trHeight w:val="575" w:hRule="atLeast"/>
          <w:jc w:val="center"/>
        </w:trPr>
        <w:tc>
          <w:tcPr>
            <w:tcW w:w="868" w:type="dxa"/>
            <w:vMerge w:val="continue"/>
            <w:tcBorders>
              <w:top w:val="single" w:color="auto" w:sz="4" w:space="0"/>
              <w:left w:val="single" w:color="auto" w:sz="4" w:space="0"/>
              <w:bottom w:val="single" w:color="auto" w:sz="4" w:space="0"/>
              <w:right w:val="single" w:color="auto" w:sz="4" w:space="0"/>
            </w:tcBorders>
            <w:noWrap/>
            <w:vAlign w:val="center"/>
          </w:tcPr>
          <w:p w14:paraId="2DE16956">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B651442">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招标文件发布时间</w:t>
            </w:r>
          </w:p>
        </w:tc>
        <w:tc>
          <w:tcPr>
            <w:tcW w:w="6837" w:type="dxa"/>
            <w:tcBorders>
              <w:top w:val="single" w:color="auto" w:sz="4" w:space="0"/>
              <w:left w:val="single" w:color="auto" w:sz="4" w:space="0"/>
              <w:bottom w:val="single" w:color="auto" w:sz="4" w:space="0"/>
              <w:right w:val="single" w:color="auto" w:sz="4" w:space="0"/>
            </w:tcBorders>
            <w:noWrap/>
            <w:vAlign w:val="center"/>
          </w:tcPr>
          <w:p w14:paraId="6E383383">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详见招标公告</w:t>
            </w:r>
          </w:p>
        </w:tc>
      </w:tr>
      <w:tr w14:paraId="3FFCBBF7">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C58AE1F">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11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52A809D">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pacing w:val="-4"/>
                <w:kern w:val="0"/>
                <w:szCs w:val="21"/>
                <w:highlight w:val="none"/>
              </w:rPr>
            </w:pPr>
            <w:r>
              <w:rPr>
                <w:rFonts w:hint="eastAsia" w:ascii="宋体" w:hAnsi="宋体" w:cs="宋体"/>
                <w:color w:val="auto"/>
                <w:spacing w:val="-4"/>
                <w:kern w:val="0"/>
                <w:szCs w:val="21"/>
                <w:highlight w:val="none"/>
              </w:rPr>
              <w:t>踏勘现场</w:t>
            </w:r>
          </w:p>
        </w:tc>
        <w:tc>
          <w:tcPr>
            <w:tcW w:w="6837" w:type="dxa"/>
            <w:tcBorders>
              <w:top w:val="single" w:color="auto" w:sz="4" w:space="0"/>
              <w:left w:val="single" w:color="auto" w:sz="4" w:space="0"/>
              <w:bottom w:val="single" w:color="auto" w:sz="4" w:space="0"/>
              <w:right w:val="single" w:color="auto" w:sz="4" w:space="0"/>
            </w:tcBorders>
            <w:noWrap/>
            <w:vAlign w:val="center"/>
          </w:tcPr>
          <w:p w14:paraId="6AA5E599">
            <w:pPr>
              <w:pStyle w:val="19"/>
              <w:keepNext w:val="0"/>
              <w:keepLines w:val="0"/>
              <w:pageBreakBefore w:val="0"/>
              <w:suppressLineNumbers w:val="0"/>
              <w:kinsoku/>
              <w:wordWrap/>
              <w:overflowPunct/>
              <w:topLinePunct/>
              <w:autoSpaceDN/>
              <w:bidi w:val="0"/>
              <w:spacing w:before="0" w:beforeAutospacing="0" w:after="0" w:afterAutospacing="0" w:line="440" w:lineRule="exact"/>
              <w:ind w:left="0" w:right="0"/>
              <w:textAlignment w:val="auto"/>
              <w:rPr>
                <w:rFonts w:hint="default" w:hAnsi="宋体" w:cs="宋体"/>
                <w:color w:val="auto"/>
                <w:spacing w:val="-4"/>
                <w:kern w:val="0"/>
                <w:sz w:val="21"/>
                <w:szCs w:val="21"/>
                <w:highlight w:val="none"/>
              </w:rPr>
            </w:pPr>
            <w:r>
              <w:rPr>
                <w:rFonts w:hint="eastAsia" w:hAnsi="宋体" w:cs="宋体"/>
                <w:color w:val="auto"/>
                <w:sz w:val="21"/>
                <w:szCs w:val="21"/>
                <w:highlight w:val="none"/>
              </w:rPr>
              <w:t>☑</w:t>
            </w:r>
            <w:r>
              <w:rPr>
                <w:rFonts w:hint="eastAsia" w:hAnsi="宋体" w:cs="宋体"/>
                <w:color w:val="auto"/>
                <w:spacing w:val="-4"/>
                <w:kern w:val="0"/>
                <w:sz w:val="21"/>
                <w:szCs w:val="21"/>
                <w:highlight w:val="none"/>
              </w:rPr>
              <w:t>不组织，投标人自行组织踏勘现场</w:t>
            </w:r>
            <w:r>
              <w:rPr>
                <w:rFonts w:hint="eastAsia" w:hAnsi="宋体" w:cs="宋体"/>
                <w:color w:val="auto"/>
                <w:sz w:val="21"/>
                <w:szCs w:val="21"/>
                <w:highlight w:val="none"/>
              </w:rPr>
              <w:t>；□组织</w:t>
            </w:r>
          </w:p>
        </w:tc>
      </w:tr>
      <w:tr w14:paraId="5EE952CD">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FD1E6E3">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12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638E5EC">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pacing w:val="-4"/>
                <w:kern w:val="0"/>
                <w:szCs w:val="21"/>
                <w:highlight w:val="none"/>
              </w:rPr>
            </w:pPr>
            <w:r>
              <w:rPr>
                <w:rFonts w:hint="eastAsia" w:ascii="宋体" w:hAnsi="宋体" w:cs="宋体"/>
                <w:color w:val="auto"/>
                <w:spacing w:val="-4"/>
                <w:kern w:val="0"/>
                <w:szCs w:val="21"/>
                <w:highlight w:val="none"/>
              </w:rPr>
              <w:t>投标预备会</w:t>
            </w:r>
          </w:p>
        </w:tc>
        <w:tc>
          <w:tcPr>
            <w:tcW w:w="6837" w:type="dxa"/>
            <w:tcBorders>
              <w:top w:val="single" w:color="auto" w:sz="4" w:space="0"/>
              <w:left w:val="single" w:color="auto" w:sz="4" w:space="0"/>
              <w:bottom w:val="single" w:color="auto" w:sz="4" w:space="0"/>
              <w:right w:val="single" w:color="auto" w:sz="4" w:space="0"/>
            </w:tcBorders>
            <w:noWrap/>
            <w:vAlign w:val="center"/>
          </w:tcPr>
          <w:p w14:paraId="7F81BA54">
            <w:pPr>
              <w:pStyle w:val="19"/>
              <w:keepNext w:val="0"/>
              <w:keepLines w:val="0"/>
              <w:pageBreakBefore w:val="0"/>
              <w:suppressLineNumbers w:val="0"/>
              <w:kinsoku/>
              <w:wordWrap/>
              <w:overflowPunct/>
              <w:topLinePunct/>
              <w:autoSpaceDN/>
              <w:bidi w:val="0"/>
              <w:spacing w:before="0" w:beforeAutospacing="0" w:after="0" w:afterAutospacing="0" w:line="440" w:lineRule="exact"/>
              <w:ind w:left="0" w:right="0"/>
              <w:textAlignment w:val="auto"/>
              <w:rPr>
                <w:rFonts w:hint="default" w:hAnsi="宋体" w:cs="宋体"/>
                <w:color w:val="auto"/>
                <w:spacing w:val="-4"/>
                <w:kern w:val="0"/>
                <w:sz w:val="21"/>
                <w:szCs w:val="21"/>
                <w:highlight w:val="none"/>
              </w:rPr>
            </w:pPr>
            <w:r>
              <w:rPr>
                <w:rFonts w:hint="eastAsia" w:hAnsi="宋体" w:cs="宋体"/>
                <w:color w:val="auto"/>
                <w:sz w:val="21"/>
                <w:szCs w:val="21"/>
                <w:highlight w:val="none"/>
                <w:lang w:eastAsia="zh-CN"/>
              </w:rPr>
              <w:t>☑</w:t>
            </w:r>
            <w:r>
              <w:rPr>
                <w:rFonts w:hint="eastAsia" w:hAnsi="宋体" w:cs="宋体"/>
                <w:color w:val="auto"/>
                <w:spacing w:val="-4"/>
                <w:kern w:val="0"/>
                <w:sz w:val="21"/>
                <w:szCs w:val="21"/>
                <w:highlight w:val="none"/>
              </w:rPr>
              <w:t>不召开</w:t>
            </w:r>
            <w:r>
              <w:rPr>
                <w:rFonts w:hint="eastAsia" w:hAnsi="宋体" w:cs="宋体"/>
                <w:color w:val="auto"/>
                <w:sz w:val="21"/>
                <w:szCs w:val="21"/>
                <w:highlight w:val="none"/>
              </w:rPr>
              <w:t>；</w:t>
            </w:r>
            <w:r>
              <w:rPr>
                <w:rFonts w:hint="eastAsia" w:hAnsi="宋体" w:cs="宋体"/>
                <w:color w:val="auto"/>
                <w:sz w:val="21"/>
                <w:szCs w:val="21"/>
                <w:highlight w:val="none"/>
                <w:lang w:eastAsia="zh-CN"/>
              </w:rPr>
              <w:t>□</w:t>
            </w:r>
            <w:r>
              <w:rPr>
                <w:rFonts w:hint="eastAsia" w:hAnsi="宋体" w:cs="宋体"/>
                <w:color w:val="auto"/>
                <w:sz w:val="21"/>
                <w:szCs w:val="21"/>
                <w:highlight w:val="none"/>
              </w:rPr>
              <w:t>召开</w:t>
            </w:r>
          </w:p>
        </w:tc>
      </w:tr>
      <w:tr w14:paraId="0BEEB6A8">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DC3317B">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13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9BBE135">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投标人提出问题的截止时间及方式</w:t>
            </w:r>
          </w:p>
        </w:tc>
        <w:tc>
          <w:tcPr>
            <w:tcW w:w="6837" w:type="dxa"/>
            <w:tcBorders>
              <w:top w:val="single" w:color="auto" w:sz="4" w:space="0"/>
              <w:left w:val="single" w:color="auto" w:sz="4" w:space="0"/>
              <w:bottom w:val="single" w:color="auto" w:sz="4" w:space="0"/>
              <w:right w:val="single" w:color="auto" w:sz="4" w:space="0"/>
            </w:tcBorders>
            <w:noWrap/>
            <w:vAlign w:val="center"/>
          </w:tcPr>
          <w:p w14:paraId="64F852B0">
            <w:pPr>
              <w:pStyle w:val="25"/>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eastAsia" w:hAnsi="宋体" w:eastAsia="宋体" w:cs="宋体"/>
                <w:color w:val="auto"/>
                <w:szCs w:val="21"/>
                <w:highlight w:val="none"/>
                <w:lang w:eastAsia="zh-CN"/>
              </w:rPr>
            </w:pPr>
            <w:r>
              <w:rPr>
                <w:rFonts w:hint="eastAsia" w:ascii="宋体" w:hAnsi="宋体" w:cs="宋体"/>
                <w:color w:val="auto"/>
                <w:kern w:val="0"/>
                <w:szCs w:val="21"/>
                <w:highlight w:val="none"/>
              </w:rPr>
              <w:t>如投标人对招标文件有疑问，请于</w:t>
            </w:r>
            <w:r>
              <w:rPr>
                <w:rFonts w:hint="eastAsia" w:ascii="宋体" w:hAnsi="宋体" w:cs="宋体"/>
                <w:b w:val="0"/>
                <w:bCs/>
                <w:color w:val="auto"/>
                <w:szCs w:val="21"/>
                <w:highlight w:val="none"/>
              </w:rPr>
              <w:t>202</w:t>
            </w:r>
            <w:r>
              <w:rPr>
                <w:rFonts w:hint="eastAsia" w:ascii="宋体" w:hAnsi="宋体" w:cs="宋体"/>
                <w:b w:val="0"/>
                <w:bCs/>
                <w:color w:val="auto"/>
                <w:szCs w:val="21"/>
                <w:highlight w:val="none"/>
                <w:lang w:val="en-US" w:eastAsia="zh-CN"/>
              </w:rPr>
              <w:t>5</w:t>
            </w:r>
            <w:r>
              <w:rPr>
                <w:rFonts w:hint="eastAsia" w:ascii="宋体" w:hAnsi="宋体" w:cs="宋体"/>
                <w:b w:val="0"/>
                <w:bCs/>
                <w:color w:val="auto"/>
                <w:szCs w:val="21"/>
                <w:highlight w:val="none"/>
              </w:rPr>
              <w:t>年</w:t>
            </w:r>
            <w:r>
              <w:rPr>
                <w:rFonts w:hint="eastAsia" w:ascii="宋体" w:hAnsi="宋体" w:cs="宋体"/>
                <w:b w:val="0"/>
                <w:bCs/>
                <w:color w:val="auto"/>
                <w:szCs w:val="21"/>
                <w:highlight w:val="none"/>
                <w:lang w:val="en-US" w:eastAsia="zh-CN"/>
              </w:rPr>
              <w:t>9</w:t>
            </w:r>
            <w:r>
              <w:rPr>
                <w:rFonts w:hint="eastAsia" w:ascii="宋体" w:hAnsi="宋体" w:cs="宋体"/>
                <w:b w:val="0"/>
                <w:bCs/>
                <w:color w:val="auto"/>
                <w:szCs w:val="21"/>
                <w:highlight w:val="none"/>
              </w:rPr>
              <w:t>月</w:t>
            </w:r>
            <w:r>
              <w:rPr>
                <w:rFonts w:hint="eastAsia" w:ascii="宋体" w:hAnsi="宋体" w:cs="宋体"/>
                <w:b w:val="0"/>
                <w:bCs/>
                <w:color w:val="auto"/>
                <w:szCs w:val="21"/>
                <w:highlight w:val="none"/>
                <w:lang w:val="en-US" w:eastAsia="zh-CN"/>
              </w:rPr>
              <w:t>21</w:t>
            </w:r>
            <w:r>
              <w:rPr>
                <w:rFonts w:hint="eastAsia" w:ascii="宋体" w:hAnsi="宋体" w:cs="宋体"/>
                <w:b w:val="0"/>
                <w:bCs/>
                <w:color w:val="auto"/>
                <w:szCs w:val="21"/>
                <w:highlight w:val="none"/>
              </w:rPr>
              <w:t>日1</w:t>
            </w:r>
            <w:r>
              <w:rPr>
                <w:rFonts w:hint="eastAsia" w:ascii="宋体" w:hAnsi="宋体" w:cs="宋体"/>
                <w:b w:val="0"/>
                <w:bCs/>
                <w:color w:val="auto"/>
                <w:szCs w:val="21"/>
                <w:highlight w:val="none"/>
                <w:lang w:val="en-US" w:eastAsia="zh-CN"/>
              </w:rPr>
              <w:t>7</w:t>
            </w:r>
            <w:r>
              <w:rPr>
                <w:rFonts w:hint="eastAsia" w:ascii="宋体" w:hAnsi="宋体" w:cs="宋体"/>
                <w:b w:val="0"/>
                <w:bCs/>
                <w:color w:val="auto"/>
                <w:szCs w:val="21"/>
                <w:highlight w:val="none"/>
              </w:rPr>
              <w:t>时</w:t>
            </w:r>
            <w:r>
              <w:rPr>
                <w:rFonts w:hint="eastAsia" w:ascii="宋体" w:hAnsi="宋体" w:cs="宋体"/>
                <w:color w:val="auto"/>
                <w:kern w:val="0"/>
                <w:szCs w:val="21"/>
                <w:highlight w:val="none"/>
              </w:rPr>
              <w:t>前</w:t>
            </w:r>
            <w:r>
              <w:rPr>
                <w:rFonts w:hint="eastAsia" w:ascii="宋体" w:hAnsi="宋体" w:cs="宋体"/>
                <w:color w:val="auto"/>
                <w:kern w:val="0"/>
                <w:szCs w:val="21"/>
                <w:highlight w:val="none"/>
                <w:lang w:val="en-US" w:eastAsia="zh-CN"/>
              </w:rPr>
              <w:t>通过新点电子交易平台【滁州专区】对招标文件提出澄清（质疑）。</w:t>
            </w:r>
          </w:p>
        </w:tc>
      </w:tr>
      <w:tr w14:paraId="2934A455">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730DD45">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14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8A0A15A">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招标人澄清的时间及方式</w:t>
            </w:r>
          </w:p>
        </w:tc>
        <w:tc>
          <w:tcPr>
            <w:tcW w:w="6837" w:type="dxa"/>
            <w:tcBorders>
              <w:top w:val="single" w:color="auto" w:sz="4" w:space="0"/>
              <w:left w:val="single" w:color="auto" w:sz="4" w:space="0"/>
              <w:bottom w:val="single" w:color="auto" w:sz="4" w:space="0"/>
              <w:right w:val="single" w:color="auto" w:sz="4" w:space="0"/>
            </w:tcBorders>
            <w:noWrap/>
            <w:vAlign w:val="center"/>
          </w:tcPr>
          <w:p w14:paraId="35D92E49">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rPr>
              <w:t>将在2025年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日17时</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rPr>
              <w:t>以澄清公告形式在滁州市兴滁矿业投资集团有限公司（http://www.xckytz.com/）</w:t>
            </w:r>
            <w:r>
              <w:rPr>
                <w:rFonts w:hint="eastAsia" w:ascii="宋体" w:hAnsi="宋体" w:cs="宋体"/>
                <w:color w:val="auto"/>
                <w:szCs w:val="21"/>
                <w:highlight w:val="none"/>
                <w:lang w:eastAsia="zh-CN"/>
              </w:rPr>
              <w:t>、</w:t>
            </w:r>
            <w:r>
              <w:rPr>
                <w:rFonts w:hint="eastAsia" w:ascii="宋体" w:hAnsi="宋体" w:cs="宋体"/>
                <w:color w:val="auto"/>
                <w:szCs w:val="21"/>
                <w:highlight w:val="none"/>
              </w:rPr>
              <w:t>滁州市城投工程咨询管理有限公司（https://www.czctgczx.com/）网站发布，请各位投标人注意查看有关澄清内容，如不及时查看造成后果由投标人自负。</w:t>
            </w:r>
          </w:p>
        </w:tc>
      </w:tr>
      <w:tr w14:paraId="3BD97139">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552998E">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6CB156C">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分包</w:t>
            </w:r>
          </w:p>
        </w:tc>
        <w:tc>
          <w:tcPr>
            <w:tcW w:w="6837" w:type="dxa"/>
            <w:tcBorders>
              <w:top w:val="single" w:color="auto" w:sz="4" w:space="0"/>
              <w:left w:val="single" w:color="auto" w:sz="4" w:space="0"/>
              <w:bottom w:val="single" w:color="auto" w:sz="4" w:space="0"/>
              <w:right w:val="single" w:color="auto" w:sz="4" w:space="0"/>
            </w:tcBorders>
            <w:noWrap/>
            <w:vAlign w:val="center"/>
          </w:tcPr>
          <w:p w14:paraId="62C55BF9">
            <w:pPr>
              <w:pStyle w:val="19"/>
              <w:keepNext w:val="0"/>
              <w:keepLines w:val="0"/>
              <w:pageBreakBefore w:val="0"/>
              <w:suppressLineNumbers w:val="0"/>
              <w:kinsoku/>
              <w:wordWrap/>
              <w:overflowPunct/>
              <w:autoSpaceDN/>
              <w:bidi w:val="0"/>
              <w:spacing w:before="0" w:beforeAutospacing="0" w:after="0" w:afterAutospacing="0" w:line="440" w:lineRule="exact"/>
              <w:ind w:left="0" w:right="0"/>
              <w:jc w:val="left"/>
              <w:textAlignment w:val="auto"/>
              <w:rPr>
                <w:rFonts w:hint="eastAsia" w:hAnsi="宋体" w:cs="宋体"/>
                <w:color w:val="auto"/>
                <w:sz w:val="21"/>
                <w:szCs w:val="21"/>
                <w:highlight w:val="none"/>
              </w:rPr>
            </w:pPr>
            <w:r>
              <w:rPr>
                <w:rFonts w:hint="eastAsia" w:hAnsi="宋体" w:cs="宋体"/>
                <w:color w:val="auto"/>
                <w:sz w:val="21"/>
                <w:szCs w:val="21"/>
                <w:highlight w:val="none"/>
                <w:lang w:eastAsia="zh-CN"/>
              </w:rPr>
              <w:t>☑</w:t>
            </w:r>
            <w:r>
              <w:rPr>
                <w:rFonts w:hint="eastAsia" w:hAnsi="宋体" w:cs="宋体"/>
                <w:color w:val="auto"/>
                <w:sz w:val="21"/>
                <w:szCs w:val="21"/>
                <w:highlight w:val="none"/>
              </w:rPr>
              <w:t>不允许</w:t>
            </w:r>
          </w:p>
          <w:p w14:paraId="4C7F9585">
            <w:pPr>
              <w:keepNext w:val="0"/>
              <w:keepLines w:val="0"/>
              <w:pageBreakBefore w:val="0"/>
              <w:suppressLineNumbers w:val="0"/>
              <w:kinsoku/>
              <w:wordWrap/>
              <w:overflowPunct/>
              <w:autoSpaceDN/>
              <w:bidi w:val="0"/>
              <w:spacing w:before="0" w:beforeAutospacing="0" w:after="0" w:afterAutospacing="0" w:line="440" w:lineRule="exact"/>
              <w:ind w:left="0" w:right="0"/>
              <w:jc w:val="left"/>
              <w:textAlignment w:val="auto"/>
              <w:rPr>
                <w:rFonts w:hint="eastAsia"/>
                <w:color w:val="auto"/>
                <w:szCs w:val="21"/>
                <w:highlight w:val="none"/>
              </w:rPr>
            </w:pPr>
            <w:r>
              <w:rPr>
                <w:rFonts w:hint="eastAsia" w:hAnsi="宋体" w:cs="宋体"/>
                <w:color w:val="auto"/>
                <w:sz w:val="21"/>
                <w:szCs w:val="21"/>
                <w:highlight w:val="none"/>
                <w:lang w:eastAsia="zh-CN"/>
              </w:rPr>
              <w:t>□</w:t>
            </w:r>
            <w:r>
              <w:rPr>
                <w:rFonts w:hint="eastAsia" w:ascii="宋体" w:hAnsi="宋体" w:cs="宋体"/>
                <w:color w:val="auto"/>
                <w:szCs w:val="21"/>
                <w:highlight w:val="none"/>
              </w:rPr>
              <w:t>允许，分包内容要求：/</w:t>
            </w:r>
          </w:p>
          <w:p w14:paraId="1E02A672">
            <w:pPr>
              <w:keepNext w:val="0"/>
              <w:keepLines w:val="0"/>
              <w:pageBreakBefore w:val="0"/>
              <w:suppressLineNumbers w:val="0"/>
              <w:kinsoku/>
              <w:wordWrap/>
              <w:overflowPunct/>
              <w:autoSpaceDN/>
              <w:bidi w:val="0"/>
              <w:spacing w:before="0" w:beforeAutospacing="0" w:after="0" w:afterAutospacing="0" w:line="440" w:lineRule="exact"/>
              <w:ind w:left="0" w:right="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分包金额要求：/</w:t>
            </w:r>
          </w:p>
          <w:p w14:paraId="5CDD9F6D">
            <w:pPr>
              <w:pStyle w:val="19"/>
              <w:keepNext w:val="0"/>
              <w:keepLines w:val="0"/>
              <w:pageBreakBefore w:val="0"/>
              <w:suppressLineNumbers w:val="0"/>
              <w:kinsoku/>
              <w:wordWrap/>
              <w:overflowPunct/>
              <w:autoSpaceDN/>
              <w:bidi w:val="0"/>
              <w:spacing w:before="0" w:beforeAutospacing="0" w:after="0" w:afterAutospacing="0" w:line="440" w:lineRule="exact"/>
              <w:ind w:left="0" w:right="0"/>
              <w:jc w:val="left"/>
              <w:textAlignment w:val="auto"/>
              <w:rPr>
                <w:rFonts w:hint="eastAsia"/>
                <w:color w:val="auto"/>
                <w:highlight w:val="none"/>
              </w:rPr>
            </w:pPr>
            <w:r>
              <w:rPr>
                <w:rFonts w:hint="eastAsia" w:hAnsi="宋体" w:cs="宋体"/>
                <w:color w:val="auto"/>
                <w:sz w:val="21"/>
                <w:szCs w:val="21"/>
                <w:highlight w:val="none"/>
              </w:rPr>
              <w:t>接受分包的第三人资质要求：/</w:t>
            </w:r>
          </w:p>
        </w:tc>
      </w:tr>
      <w:tr w14:paraId="6713B92B">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E6AA00C">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CACEC4D">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偏离</w:t>
            </w:r>
          </w:p>
        </w:tc>
        <w:tc>
          <w:tcPr>
            <w:tcW w:w="6837" w:type="dxa"/>
            <w:tcBorders>
              <w:top w:val="single" w:color="auto" w:sz="4" w:space="0"/>
              <w:left w:val="single" w:color="auto" w:sz="4" w:space="0"/>
              <w:bottom w:val="single" w:color="auto" w:sz="4" w:space="0"/>
              <w:right w:val="single" w:color="auto" w:sz="4" w:space="0"/>
            </w:tcBorders>
            <w:noWrap/>
            <w:vAlign w:val="center"/>
          </w:tcPr>
          <w:p w14:paraId="03189168">
            <w:pPr>
              <w:pStyle w:val="19"/>
              <w:keepNext w:val="0"/>
              <w:keepLines w:val="0"/>
              <w:pageBreakBefore w:val="0"/>
              <w:suppressLineNumbers w:val="0"/>
              <w:kinsoku/>
              <w:wordWrap/>
              <w:overflowPunct/>
              <w:topLinePunct/>
              <w:autoSpaceDN/>
              <w:bidi w:val="0"/>
              <w:spacing w:before="0" w:beforeAutospacing="0" w:after="0" w:afterAutospacing="0" w:line="440" w:lineRule="exact"/>
              <w:ind w:left="0" w:right="0"/>
              <w:textAlignment w:val="auto"/>
              <w:rPr>
                <w:rFonts w:hint="default" w:hAnsi="宋体" w:cs="宋体"/>
                <w:color w:val="auto"/>
                <w:sz w:val="21"/>
                <w:szCs w:val="21"/>
                <w:highlight w:val="none"/>
              </w:rPr>
            </w:pPr>
            <w:r>
              <w:rPr>
                <w:rFonts w:hint="eastAsia"/>
                <w:color w:val="auto"/>
                <w:highlight w:val="none"/>
              </w:rPr>
              <w:t>☑</w:t>
            </w:r>
            <w:r>
              <w:rPr>
                <w:rFonts w:hint="eastAsia" w:hAnsi="宋体" w:cs="宋体"/>
                <w:color w:val="auto"/>
                <w:sz w:val="21"/>
                <w:szCs w:val="21"/>
                <w:highlight w:val="none"/>
              </w:rPr>
              <w:t>不允许；□允许</w:t>
            </w:r>
          </w:p>
        </w:tc>
      </w:tr>
      <w:tr w14:paraId="5647E6D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78A5071">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D6549EB">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构成招标文件的其他材料</w:t>
            </w:r>
          </w:p>
        </w:tc>
        <w:tc>
          <w:tcPr>
            <w:tcW w:w="6837" w:type="dxa"/>
            <w:tcBorders>
              <w:top w:val="single" w:color="auto" w:sz="4" w:space="0"/>
              <w:left w:val="single" w:color="auto" w:sz="4" w:space="0"/>
              <w:bottom w:val="single" w:color="auto" w:sz="4" w:space="0"/>
              <w:right w:val="single" w:color="auto" w:sz="4" w:space="0"/>
            </w:tcBorders>
            <w:noWrap/>
            <w:vAlign w:val="center"/>
          </w:tcPr>
          <w:p w14:paraId="0FA3530B">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rPr>
              <w:t>招标人提供的其他材料及招标澄清答疑文件</w:t>
            </w:r>
            <w:r>
              <w:rPr>
                <w:rFonts w:hint="eastAsia" w:ascii="宋体" w:hAnsi="宋体" w:cs="宋体"/>
                <w:color w:val="auto"/>
                <w:szCs w:val="21"/>
                <w:highlight w:val="none"/>
                <w:lang w:val="en-US" w:eastAsia="zh-CN"/>
              </w:rPr>
              <w:t>等</w:t>
            </w:r>
            <w:r>
              <w:rPr>
                <w:rFonts w:hint="eastAsia" w:ascii="宋体" w:hAnsi="宋体" w:cs="宋体"/>
                <w:color w:val="auto"/>
                <w:szCs w:val="21"/>
                <w:highlight w:val="none"/>
              </w:rPr>
              <w:t>。</w:t>
            </w:r>
          </w:p>
        </w:tc>
      </w:tr>
      <w:tr w14:paraId="50FF530F">
        <w:tblPrEx>
          <w:tblCellMar>
            <w:top w:w="0" w:type="dxa"/>
            <w:left w:w="108" w:type="dxa"/>
            <w:bottom w:w="0" w:type="dxa"/>
            <w:right w:w="108" w:type="dxa"/>
          </w:tblCellMar>
        </w:tblPrEx>
        <w:trPr>
          <w:trHeight w:val="404"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341D046">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90C7E43">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投标人要求澄清招标文件的截止时间及方式</w:t>
            </w:r>
          </w:p>
        </w:tc>
        <w:tc>
          <w:tcPr>
            <w:tcW w:w="6837" w:type="dxa"/>
            <w:tcBorders>
              <w:top w:val="single" w:color="auto" w:sz="4" w:space="0"/>
              <w:left w:val="single" w:color="auto" w:sz="4" w:space="0"/>
              <w:bottom w:val="single" w:color="auto" w:sz="4" w:space="0"/>
              <w:right w:val="single" w:color="auto" w:sz="4" w:space="0"/>
            </w:tcBorders>
            <w:noWrap/>
            <w:vAlign w:val="center"/>
          </w:tcPr>
          <w:p w14:paraId="75CFFED3">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rPr>
              <w:t>同本表第13条</w:t>
            </w:r>
          </w:p>
        </w:tc>
      </w:tr>
      <w:tr w14:paraId="6B0CA663">
        <w:tblPrEx>
          <w:tblCellMar>
            <w:top w:w="0" w:type="dxa"/>
            <w:left w:w="108" w:type="dxa"/>
            <w:bottom w:w="0" w:type="dxa"/>
            <w:right w:w="108" w:type="dxa"/>
          </w:tblCellMar>
        </w:tblPrEx>
        <w:trPr>
          <w:trHeight w:val="404"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4F3D9DF">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5518DC6">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增值税税金</w:t>
            </w:r>
          </w:p>
        </w:tc>
        <w:tc>
          <w:tcPr>
            <w:tcW w:w="6837" w:type="dxa"/>
            <w:tcBorders>
              <w:top w:val="single" w:color="auto" w:sz="4" w:space="0"/>
              <w:left w:val="single" w:color="auto" w:sz="4" w:space="0"/>
              <w:bottom w:val="single" w:color="auto" w:sz="4" w:space="0"/>
              <w:right w:val="single" w:color="auto" w:sz="4" w:space="0"/>
            </w:tcBorders>
            <w:noWrap/>
            <w:vAlign w:val="top"/>
          </w:tcPr>
          <w:p w14:paraId="1840E859">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（1）计税方法：</w:t>
            </w:r>
          </w:p>
          <w:p w14:paraId="31D53991">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firstLine="420" w:firstLineChars="20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lang w:eastAsia="zh-CN"/>
              </w:rPr>
              <w:t>☑</w:t>
            </w:r>
            <w:r>
              <w:rPr>
                <w:rFonts w:hint="eastAsia" w:ascii="宋体" w:hAnsi="宋体" w:eastAsia="宋体" w:cs="宋体"/>
                <w:bCs/>
                <w:snapToGrid w:val="0"/>
                <w:color w:val="auto"/>
                <w:kern w:val="0"/>
                <w:sz w:val="21"/>
                <w:szCs w:val="21"/>
                <w:highlight w:val="none"/>
              </w:rPr>
              <w:t>一般计税方法</w:t>
            </w:r>
          </w:p>
          <w:p w14:paraId="397E3A73">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firstLine="420" w:firstLineChars="20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 xml:space="preserve">□简易计算方法 </w:t>
            </w:r>
          </w:p>
          <w:p w14:paraId="0F1F9674">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（2）发票类型：</w:t>
            </w:r>
          </w:p>
          <w:p w14:paraId="5286D3E8">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firstLine="420" w:firstLineChars="20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lang w:eastAsia="zh-CN"/>
              </w:rPr>
              <w:t>☑</w:t>
            </w:r>
            <w:r>
              <w:rPr>
                <w:rFonts w:hint="eastAsia" w:ascii="宋体" w:hAnsi="宋体" w:eastAsia="宋体" w:cs="宋体"/>
                <w:bCs/>
                <w:snapToGrid w:val="0"/>
                <w:color w:val="auto"/>
                <w:kern w:val="0"/>
                <w:sz w:val="21"/>
                <w:szCs w:val="21"/>
                <w:highlight w:val="none"/>
              </w:rPr>
              <w:t>增值税专用发票</w:t>
            </w:r>
          </w:p>
          <w:p w14:paraId="2C50DB13">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firstLine="420" w:firstLineChars="20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□增值税普通发票</w:t>
            </w:r>
          </w:p>
          <w:p w14:paraId="16E44764">
            <w:pPr>
              <w:keepNext w:val="0"/>
              <w:keepLines w:val="0"/>
              <w:pageBreakBefore w:val="0"/>
              <w:numPr>
                <w:ilvl w:val="0"/>
                <w:numId w:val="1"/>
              </w:numPr>
              <w:suppressLineNumbers w:val="0"/>
              <w:kinsoku/>
              <w:wordWrap/>
              <w:overflowPunct/>
              <w:autoSpaceDN/>
              <w:bidi w:val="0"/>
              <w:adjustRightInd w:val="0"/>
              <w:snapToGrid w:val="0"/>
              <w:spacing w:before="0" w:beforeAutospacing="0" w:after="0" w:afterAutospacing="0" w:line="440" w:lineRule="exact"/>
              <w:ind w:left="0" w:right="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增值税税率按照国家有关规定执行。</w:t>
            </w:r>
          </w:p>
          <w:p w14:paraId="3E8B0272">
            <w:pPr>
              <w:pStyle w:val="19"/>
              <w:keepNext w:val="0"/>
              <w:keepLines w:val="0"/>
              <w:pageBreakBefore w:val="0"/>
              <w:suppressLineNumbers w:val="0"/>
              <w:kinsoku/>
              <w:wordWrap/>
              <w:overflowPunct/>
              <w:topLinePunct/>
              <w:autoSpaceDN/>
              <w:bidi w:val="0"/>
              <w:adjustRightInd w:val="0"/>
              <w:snapToGrid w:val="0"/>
              <w:spacing w:before="0" w:beforeAutospacing="0" w:after="0" w:afterAutospacing="0" w:line="440" w:lineRule="exact"/>
              <w:ind w:left="0" w:right="0" w:firstLine="525" w:firstLineChars="250"/>
              <w:textAlignment w:val="auto"/>
              <w:rPr>
                <w:rFonts w:hint="eastAsia" w:ascii="宋体" w:hAnsi="宋体" w:cs="宋体"/>
                <w:color w:val="auto"/>
                <w:szCs w:val="21"/>
                <w:highlight w:val="none"/>
              </w:rPr>
            </w:pPr>
            <w:r>
              <w:rPr>
                <w:rFonts w:hint="eastAsia" w:ascii="宋体" w:hAnsi="宋体" w:eastAsia="宋体" w:cs="宋体"/>
                <w:bCs/>
                <w:snapToGrid w:val="0"/>
                <w:color w:val="auto"/>
                <w:kern w:val="0"/>
                <w:sz w:val="21"/>
                <w:szCs w:val="21"/>
                <w:highlight w:val="none"/>
              </w:rPr>
              <w:t>其它：</w:t>
            </w:r>
            <w:r>
              <w:rPr>
                <w:rFonts w:hint="eastAsia" w:ascii="宋体" w:hAnsi="宋体" w:eastAsia="宋体" w:cs="宋体"/>
                <w:bCs/>
                <w:snapToGrid w:val="0"/>
                <w:color w:val="auto"/>
                <w:kern w:val="0"/>
                <w:sz w:val="21"/>
                <w:szCs w:val="21"/>
                <w:highlight w:val="none"/>
                <w:u w:val="single"/>
                <w:lang w:val="en-US" w:eastAsia="zh-CN"/>
              </w:rPr>
              <w:t>/</w:t>
            </w:r>
            <w:r>
              <w:rPr>
                <w:rFonts w:hint="eastAsia" w:ascii="宋体" w:hAnsi="宋体" w:eastAsia="宋体" w:cs="宋体"/>
                <w:bCs/>
                <w:snapToGrid w:val="0"/>
                <w:color w:val="auto"/>
                <w:kern w:val="0"/>
                <w:sz w:val="21"/>
                <w:szCs w:val="21"/>
                <w:highlight w:val="none"/>
              </w:rPr>
              <w:t xml:space="preserve"> 。</w:t>
            </w:r>
          </w:p>
        </w:tc>
      </w:tr>
      <w:tr w14:paraId="3484A480">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8A31C2D">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490671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b/>
                <w:bCs/>
                <w:color w:val="auto"/>
                <w:sz w:val="21"/>
                <w:szCs w:val="21"/>
                <w:highlight w:val="none"/>
              </w:rPr>
              <w:t>最高投标限价</w:t>
            </w:r>
          </w:p>
        </w:tc>
        <w:tc>
          <w:tcPr>
            <w:tcW w:w="6837" w:type="dxa"/>
            <w:tcBorders>
              <w:top w:val="single" w:color="auto" w:sz="4" w:space="0"/>
              <w:left w:val="single" w:color="auto" w:sz="4" w:space="0"/>
              <w:bottom w:val="single" w:color="auto" w:sz="4" w:space="0"/>
              <w:right w:val="single" w:color="auto" w:sz="4" w:space="0"/>
            </w:tcBorders>
            <w:noWrap/>
            <w:vAlign w:val="center"/>
          </w:tcPr>
          <w:p w14:paraId="5ED4160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宋体" w:hAnsi="宋体" w:eastAsia="宋体" w:cs="宋体"/>
                <w:b/>
                <w:color w:val="auto"/>
                <w:szCs w:val="21"/>
                <w:highlight w:val="none"/>
                <w:u w:val="single"/>
                <w:lang w:eastAsia="zh-CN"/>
              </w:rPr>
            </w:pPr>
            <w:r>
              <w:rPr>
                <w:rFonts w:hint="eastAsia" w:ascii="宋体" w:hAnsi="宋体" w:cs="宋体"/>
                <w:color w:val="auto"/>
                <w:sz w:val="21"/>
                <w:szCs w:val="21"/>
                <w:highlight w:val="none"/>
              </w:rPr>
              <w:t>公布的最高投标限价：</w:t>
            </w:r>
            <w:r>
              <w:rPr>
                <w:rFonts w:hint="eastAsia" w:ascii="宋体" w:hAnsi="宋体" w:cs="宋体"/>
                <w:color w:val="auto"/>
                <w:sz w:val="21"/>
                <w:szCs w:val="21"/>
                <w:highlight w:val="none"/>
                <w:u w:val="single"/>
                <w:lang w:val="en-US" w:eastAsia="zh-CN"/>
              </w:rPr>
              <w:t xml:space="preserve"> 83467.64 </w:t>
            </w:r>
            <w:r>
              <w:rPr>
                <w:rFonts w:hint="eastAsia" w:ascii="宋体" w:hAnsi="宋体" w:cs="宋体"/>
                <w:color w:val="auto"/>
                <w:sz w:val="21"/>
                <w:szCs w:val="21"/>
                <w:highlight w:val="none"/>
              </w:rPr>
              <w:t>元（其中含暂列金额</w:t>
            </w:r>
            <w:r>
              <w:rPr>
                <w:rFonts w:hint="eastAsia" w:ascii="宋体" w:hAnsi="宋体" w:cs="宋体"/>
                <w:color w:val="auto"/>
                <w:sz w:val="21"/>
                <w:szCs w:val="21"/>
                <w:highlight w:val="none"/>
                <w:u w:val="single"/>
                <w:lang w:val="en-US" w:eastAsia="zh-CN"/>
              </w:rPr>
              <w:t xml:space="preserve"> 10000 </w:t>
            </w:r>
            <w:r>
              <w:rPr>
                <w:rFonts w:hint="eastAsia" w:ascii="宋体" w:hAnsi="宋体" w:cs="宋体"/>
                <w:color w:val="auto"/>
                <w:sz w:val="21"/>
                <w:szCs w:val="21"/>
                <w:highlight w:val="none"/>
              </w:rPr>
              <w:t>元）。</w:t>
            </w:r>
            <w:r>
              <w:rPr>
                <w:rFonts w:hint="eastAsia" w:ascii="宋体" w:hAnsi="宋体" w:cs="宋体"/>
                <w:color w:val="auto"/>
                <w:sz w:val="21"/>
                <w:szCs w:val="21"/>
                <w:highlight w:val="none"/>
                <w:lang w:val="en-US" w:eastAsia="zh-CN"/>
              </w:rPr>
              <w:t>具体内容详见附件。</w:t>
            </w:r>
            <w:r>
              <w:rPr>
                <w:rFonts w:hint="eastAsia" w:ascii="宋体" w:hAnsi="宋体" w:cs="宋体"/>
                <w:b/>
                <w:bCs/>
                <w:color w:val="auto"/>
                <w:sz w:val="21"/>
                <w:szCs w:val="21"/>
                <w:highlight w:val="none"/>
              </w:rPr>
              <w:t xml:space="preserve"> </w:t>
            </w:r>
          </w:p>
        </w:tc>
      </w:tr>
      <w:tr w14:paraId="33653CF6">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F558C06">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EBAC128">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投标有效期</w:t>
            </w:r>
          </w:p>
        </w:tc>
        <w:tc>
          <w:tcPr>
            <w:tcW w:w="6837" w:type="dxa"/>
            <w:tcBorders>
              <w:top w:val="single" w:color="auto" w:sz="4" w:space="0"/>
              <w:left w:val="single" w:color="auto" w:sz="4" w:space="0"/>
              <w:bottom w:val="single" w:color="auto" w:sz="4" w:space="0"/>
              <w:right w:val="single" w:color="auto" w:sz="4" w:space="0"/>
            </w:tcBorders>
            <w:noWrap/>
            <w:vAlign w:val="center"/>
          </w:tcPr>
          <w:p w14:paraId="0D43EDBA">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eastAsia="宋体" w:cs="宋体"/>
                <w:color w:val="auto"/>
                <w:kern w:val="0"/>
                <w:sz w:val="21"/>
                <w:szCs w:val="21"/>
                <w:highlight w:val="none"/>
              </w:rPr>
              <w:t>自投标人递交投标文件截止之日起计算</w:t>
            </w:r>
            <w:r>
              <w:rPr>
                <w:rFonts w:hint="eastAsia" w:ascii="宋体" w:hAnsi="宋体" w:eastAsia="宋体" w:cs="宋体"/>
                <w:color w:val="auto"/>
                <w:kern w:val="0"/>
                <w:sz w:val="21"/>
                <w:szCs w:val="21"/>
                <w:highlight w:val="none"/>
                <w:lang w:val="en-US" w:eastAsia="zh-CN"/>
              </w:rPr>
              <w:t>90</w:t>
            </w:r>
            <w:r>
              <w:rPr>
                <w:rFonts w:hint="eastAsia" w:ascii="宋体" w:hAnsi="宋体" w:eastAsia="宋体" w:cs="宋体"/>
                <w:color w:val="auto"/>
                <w:kern w:val="0"/>
                <w:sz w:val="21"/>
                <w:szCs w:val="21"/>
                <w:highlight w:val="none"/>
              </w:rPr>
              <w:t>日历天。在此期限内，凡符合本招标文件要求的投标文件均保持有效。</w:t>
            </w:r>
          </w:p>
        </w:tc>
      </w:tr>
      <w:tr w14:paraId="3B5D074E">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0637DDA">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5CB4137">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投标保证金</w:t>
            </w:r>
          </w:p>
        </w:tc>
        <w:tc>
          <w:tcPr>
            <w:tcW w:w="6837" w:type="dxa"/>
            <w:tcBorders>
              <w:top w:val="single" w:color="auto" w:sz="4" w:space="0"/>
              <w:left w:val="single" w:color="auto" w:sz="4" w:space="0"/>
              <w:bottom w:val="single" w:color="auto" w:sz="4" w:space="0"/>
              <w:right w:val="single" w:color="auto" w:sz="4" w:space="0"/>
            </w:tcBorders>
            <w:noWrap/>
            <w:vAlign w:val="center"/>
          </w:tcPr>
          <w:p w14:paraId="594EE2DC">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rPr>
              <w:t>详见招标公告</w:t>
            </w:r>
          </w:p>
        </w:tc>
      </w:tr>
      <w:tr w14:paraId="4B169B30">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F03BC22">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ED0E852">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签字或盖章要求</w:t>
            </w:r>
          </w:p>
        </w:tc>
        <w:tc>
          <w:tcPr>
            <w:tcW w:w="6837" w:type="dxa"/>
            <w:tcBorders>
              <w:top w:val="single" w:color="auto" w:sz="4" w:space="0"/>
              <w:left w:val="single" w:color="auto" w:sz="4" w:space="0"/>
              <w:bottom w:val="single" w:color="auto" w:sz="4" w:space="0"/>
              <w:right w:val="single" w:color="auto" w:sz="4" w:space="0"/>
            </w:tcBorders>
            <w:noWrap/>
            <w:vAlign w:val="center"/>
          </w:tcPr>
          <w:p w14:paraId="4C935010">
            <w:pPr>
              <w:keepNext w:val="0"/>
              <w:keepLines w:val="0"/>
              <w:pageBreakBefore w:val="0"/>
              <w:widowControl/>
              <w:suppressLineNumbers w:val="0"/>
              <w:kinsoku/>
              <w:wordWrap/>
              <w:overflowPunct/>
              <w:autoSpaceDN/>
              <w:bidi w:val="0"/>
              <w:spacing w:before="0" w:beforeAutospacing="0" w:after="0" w:afterAutospacing="0" w:line="440" w:lineRule="exact"/>
              <w:ind w:left="0" w:right="0"/>
              <w:jc w:val="left"/>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电子投标文件须按格式文件要求签字或盖章（电子签章），招标文件格式中要求“签章”部位，指电子签章或盖章后扫描上传均可。</w:t>
            </w:r>
          </w:p>
          <w:p w14:paraId="1FB90A74">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b/>
                <w:color w:val="auto"/>
                <w:kern w:val="0"/>
                <w:szCs w:val="21"/>
                <w:highlight w:val="none"/>
              </w:rPr>
              <w:t>否则经评委会一致认定按照无效投标处理。</w:t>
            </w:r>
          </w:p>
        </w:tc>
      </w:tr>
      <w:tr w14:paraId="45EB7379">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C064C1F">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E93C699">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投标文件份数</w:t>
            </w:r>
          </w:p>
        </w:tc>
        <w:tc>
          <w:tcPr>
            <w:tcW w:w="6837" w:type="dxa"/>
            <w:tcBorders>
              <w:top w:val="single" w:color="auto" w:sz="4" w:space="0"/>
              <w:left w:val="single" w:color="auto" w:sz="4" w:space="0"/>
              <w:bottom w:val="single" w:color="auto" w:sz="4" w:space="0"/>
              <w:right w:val="single" w:color="auto" w:sz="4" w:space="0"/>
            </w:tcBorders>
            <w:noWrap/>
            <w:vAlign w:val="center"/>
          </w:tcPr>
          <w:p w14:paraId="56900DD7">
            <w:pPr>
              <w:pStyle w:val="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firstLine="0" w:firstLineChars="0"/>
              <w:textAlignment w:val="auto"/>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加密电子投标文件投标人应在投标截止时间前通过新点电子交易平台后在【滁州专区】（https://www.etrading.cn/BREpointSSO/login/oauth2login?regioncode=DQ_ChuZhou）交易系统递交电子投标文件。</w:t>
            </w:r>
          </w:p>
          <w:p w14:paraId="4FE5B874">
            <w:pPr>
              <w:pStyle w:val="2"/>
              <w:keepNext w:val="0"/>
              <w:keepLines w:val="0"/>
              <w:pageBreakBefore w:val="0"/>
              <w:suppressLineNumbers w:val="0"/>
              <w:kinsoku/>
              <w:wordWrap/>
              <w:overflowPunct/>
              <w:autoSpaceDN/>
              <w:bidi w:val="0"/>
              <w:spacing w:before="0" w:beforeAutospacing="0" w:after="0" w:afterAutospacing="0" w:line="440" w:lineRule="exact"/>
              <w:ind w:left="0" w:leftChars="0" w:right="0" w:firstLine="0" w:firstLineChars="0"/>
              <w:textAlignment w:val="auto"/>
              <w:rPr>
                <w:rFonts w:hint="default"/>
                <w:color w:val="auto"/>
                <w:highlight w:val="none"/>
              </w:rPr>
            </w:pPr>
            <w:r>
              <w:rPr>
                <w:rFonts w:hint="eastAsia" w:ascii="宋体" w:hAnsi="宋体" w:cs="宋体"/>
                <w:b/>
                <w:color w:val="auto"/>
                <w:kern w:val="0"/>
                <w:szCs w:val="21"/>
                <w:highlight w:val="none"/>
              </w:rPr>
              <w:t>（投标人中标后须递交与网上电子投标文件完全一致的纸质版投标文件，并按要求加盖单位章；份数：正本 1 份，副本 2 份；中标人领取中标通知书时，一并递交给招标代理机构）。</w:t>
            </w:r>
          </w:p>
        </w:tc>
      </w:tr>
      <w:tr w14:paraId="0C6864E0">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right w:val="single" w:color="auto" w:sz="4" w:space="0"/>
            </w:tcBorders>
            <w:noWrap/>
            <w:vAlign w:val="center"/>
          </w:tcPr>
          <w:p w14:paraId="18A5B89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default" w:ascii="宋体" w:hAnsi="宋体" w:cs="宋体"/>
                <w:color w:val="auto"/>
                <w:szCs w:val="21"/>
                <w:highlight w:val="none"/>
                <w:lang w:val="en-US"/>
              </w:rPr>
            </w:pPr>
            <w:r>
              <w:rPr>
                <w:rFonts w:hint="eastAsia" w:ascii="宋体" w:hAnsi="宋体" w:cs="宋体"/>
                <w:color w:val="auto"/>
                <w:kern w:val="2"/>
                <w:highlight w:val="none"/>
                <w:lang w:val="en-US" w:eastAsia="zh-CN"/>
              </w:rPr>
              <w:t>25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CA10E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宋体" w:hAnsi="宋体" w:eastAsia="宋体" w:cs="宋体"/>
                <w:color w:val="auto"/>
                <w:szCs w:val="21"/>
                <w:highlight w:val="none"/>
                <w:lang w:val="en-US" w:eastAsia="zh-CN"/>
              </w:rPr>
            </w:pPr>
            <w:r>
              <w:rPr>
                <w:rFonts w:hint="eastAsia" w:ascii="宋体"/>
                <w:color w:val="auto"/>
                <w:sz w:val="21"/>
                <w:szCs w:val="21"/>
                <w:highlight w:val="none"/>
              </w:rPr>
              <w:t>投标文件</w:t>
            </w:r>
            <w:r>
              <w:rPr>
                <w:rFonts w:hint="eastAsia" w:ascii="宋体" w:hAnsi="宋体" w:cs="宋体"/>
                <w:color w:val="auto"/>
                <w:szCs w:val="21"/>
                <w:highlight w:val="none"/>
                <w:lang w:val="en-US" w:eastAsia="zh-CN"/>
              </w:rPr>
              <w:t>提交截止时间</w:t>
            </w:r>
          </w:p>
        </w:tc>
        <w:tc>
          <w:tcPr>
            <w:tcW w:w="6837" w:type="dxa"/>
            <w:tcBorders>
              <w:top w:val="single" w:color="auto" w:sz="4" w:space="0"/>
              <w:left w:val="single" w:color="auto" w:sz="4" w:space="0"/>
              <w:bottom w:val="single" w:color="auto" w:sz="4" w:space="0"/>
              <w:right w:val="single" w:color="auto" w:sz="4" w:space="0"/>
            </w:tcBorders>
            <w:noWrap/>
            <w:vAlign w:val="center"/>
          </w:tcPr>
          <w:p w14:paraId="0F2F46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18" w:firstLineChars="9"/>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网上递交投标文件截止时间：2025年</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23</w:t>
            </w:r>
            <w:r>
              <w:rPr>
                <w:rFonts w:hint="eastAsia" w:ascii="宋体" w:hAnsi="宋体" w:eastAsia="宋体" w:cs="宋体"/>
                <w:color w:val="auto"/>
                <w:sz w:val="21"/>
                <w:szCs w:val="21"/>
                <w:highlight w:val="none"/>
                <w:lang w:val="en-US" w:eastAsia="zh-CN"/>
              </w:rPr>
              <w:t>日</w:t>
            </w:r>
            <w:r>
              <w:rPr>
                <w:rFonts w:hint="eastAsia" w:ascii="宋体" w:hAnsi="宋体" w:cs="宋体"/>
                <w:color w:val="auto"/>
                <w:sz w:val="21"/>
                <w:szCs w:val="21"/>
                <w:highlight w:val="none"/>
                <w:lang w:val="en-US" w:eastAsia="zh-CN"/>
              </w:rPr>
              <w:t>15时</w:t>
            </w:r>
            <w:r>
              <w:rPr>
                <w:rFonts w:hint="eastAsia" w:ascii="宋体" w:hAnsi="宋体" w:eastAsia="宋体" w:cs="宋体"/>
                <w:color w:val="auto"/>
                <w:sz w:val="21"/>
                <w:szCs w:val="21"/>
                <w:highlight w:val="none"/>
                <w:lang w:val="en-US" w:eastAsia="zh-CN"/>
              </w:rPr>
              <w:t>00分（北京时间）</w:t>
            </w:r>
          </w:p>
          <w:p w14:paraId="56C71E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19" w:firstLineChars="9"/>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注：以投标人在投标截止时间前网上递交的电子投标文件为准，逾期提交的，投标文件将被拒绝。</w:t>
            </w:r>
          </w:p>
          <w:p w14:paraId="4BD260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18" w:firstLineChars="9"/>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1.解密程序开始后30分钟内（以本项目网上招投标系统解密倒计时为准）。</w:t>
            </w:r>
          </w:p>
        </w:tc>
      </w:tr>
      <w:tr w14:paraId="18EF77F6">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469E38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default" w:ascii="宋体" w:hAnsi="宋体" w:eastAsia="宋体" w:cs="宋体"/>
                <w:color w:val="auto"/>
                <w:kern w:val="2"/>
                <w:highlight w:val="none"/>
                <w:lang w:val="en-US" w:eastAsia="zh-CN"/>
              </w:rPr>
            </w:pPr>
            <w:r>
              <w:rPr>
                <w:rFonts w:hint="eastAsia" w:ascii="宋体" w:hAnsi="宋体" w:cs="宋体"/>
                <w:color w:val="auto"/>
                <w:kern w:val="2"/>
                <w:highlight w:val="none"/>
                <w:lang w:val="en-US" w:eastAsia="zh-CN"/>
              </w:rPr>
              <w:t>26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23770E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宋体" w:eastAsia="宋体" w:cs="宋体"/>
                <w:color w:val="auto"/>
                <w:kern w:val="2"/>
                <w:sz w:val="21"/>
                <w:szCs w:val="21"/>
                <w:highlight w:val="none"/>
                <w:u w:color="000000"/>
                <w:lang w:val="en-US" w:eastAsia="zh-CN" w:bidi="ar"/>
              </w:rPr>
              <w:t>是否允许递交备选投标方案</w:t>
            </w:r>
          </w:p>
        </w:tc>
        <w:tc>
          <w:tcPr>
            <w:tcW w:w="6837" w:type="dxa"/>
            <w:tcBorders>
              <w:top w:val="single" w:color="auto" w:sz="4" w:space="0"/>
              <w:left w:val="single" w:color="auto" w:sz="4" w:space="0"/>
              <w:bottom w:val="single" w:color="auto" w:sz="4" w:space="0"/>
              <w:right w:val="single" w:color="auto" w:sz="4" w:space="0"/>
            </w:tcBorders>
            <w:noWrap/>
            <w:vAlign w:val="center"/>
          </w:tcPr>
          <w:p w14:paraId="28BDF73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left"/>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宋体" w:eastAsia="宋体" w:cs="宋体"/>
                <w:color w:val="auto"/>
                <w:kern w:val="2"/>
                <w:sz w:val="21"/>
                <w:szCs w:val="21"/>
                <w:highlight w:val="none"/>
                <w:u w:color="000000"/>
                <w:lang w:val="en-US" w:eastAsia="zh-CN" w:bidi="ar"/>
              </w:rPr>
              <w:t>☑不允许；</w:t>
            </w:r>
          </w:p>
          <w:p w14:paraId="2C0FA23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left"/>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宋体" w:cs="宋体"/>
                <w:color w:val="auto"/>
                <w:kern w:val="2"/>
                <w:sz w:val="21"/>
                <w:szCs w:val="21"/>
                <w:highlight w:val="none"/>
                <w:u w:color="000000"/>
                <w:lang w:val="en-US" w:eastAsia="zh-CN" w:bidi="ar"/>
              </w:rPr>
              <w:t>□</w:t>
            </w:r>
            <w:r>
              <w:rPr>
                <w:rFonts w:hint="eastAsia" w:ascii="宋体" w:hAnsi="宋体" w:eastAsia="宋体" w:cs="宋体"/>
                <w:color w:val="auto"/>
                <w:kern w:val="2"/>
                <w:sz w:val="21"/>
                <w:szCs w:val="21"/>
                <w:highlight w:val="none"/>
                <w:u w:color="000000"/>
                <w:lang w:val="en-US" w:eastAsia="zh-CN" w:bidi="ar"/>
              </w:rPr>
              <w:t>允许：/</w:t>
            </w:r>
          </w:p>
        </w:tc>
      </w:tr>
      <w:tr w14:paraId="67446FC6">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A2924C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default" w:ascii="宋体" w:hAnsi="宋体" w:cs="宋体"/>
                <w:color w:val="auto"/>
                <w:szCs w:val="21"/>
                <w:highlight w:val="none"/>
                <w:lang w:val="en-US"/>
              </w:rPr>
            </w:pPr>
            <w:r>
              <w:rPr>
                <w:rFonts w:hint="eastAsia" w:ascii="宋体" w:hAnsi="宋体" w:eastAsia="宋体" w:cs="宋体"/>
                <w:color w:val="auto"/>
                <w:kern w:val="2"/>
                <w:highlight w:val="none"/>
                <w:lang w:val="en-US" w:eastAsia="zh-CN"/>
              </w:rPr>
              <w:t>2</w:t>
            </w:r>
            <w:r>
              <w:rPr>
                <w:rFonts w:hint="eastAsia" w:ascii="宋体" w:hAnsi="宋体" w:cs="宋体"/>
                <w:color w:val="auto"/>
                <w:kern w:val="2"/>
                <w:highlight w:val="none"/>
                <w:lang w:val="en-US" w:eastAsia="zh-CN"/>
              </w:rPr>
              <w:t>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0114B2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highlight w:val="none"/>
                <w:u w:color="000000"/>
                <w:lang w:val="en-US" w:eastAsia="zh-CN" w:bidi="ar"/>
              </w:rPr>
              <w:t>是否退还投标文件</w:t>
            </w:r>
          </w:p>
        </w:tc>
        <w:tc>
          <w:tcPr>
            <w:tcW w:w="6837" w:type="dxa"/>
            <w:tcBorders>
              <w:top w:val="single" w:color="auto" w:sz="4" w:space="0"/>
              <w:left w:val="single" w:color="auto" w:sz="4" w:space="0"/>
              <w:bottom w:val="single" w:color="auto" w:sz="4" w:space="0"/>
              <w:right w:val="single" w:color="auto" w:sz="4" w:space="0"/>
            </w:tcBorders>
            <w:noWrap/>
            <w:vAlign w:val="center"/>
          </w:tcPr>
          <w:p w14:paraId="3B01A5A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u w:color="000000"/>
                <w:lang w:val="en-US" w:eastAsia="zh-CN" w:bidi="ar"/>
              </w:rPr>
              <w:t>否</w:t>
            </w:r>
          </w:p>
        </w:tc>
      </w:tr>
      <w:tr w14:paraId="554E5010">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7D5599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eastAsia" w:ascii="宋体" w:hAnsi="宋体" w:cs="宋体"/>
                <w:color w:val="auto"/>
                <w:szCs w:val="21"/>
                <w:highlight w:val="none"/>
              </w:rPr>
            </w:pPr>
            <w:r>
              <w:rPr>
                <w:rFonts w:hint="eastAsia" w:ascii="宋体" w:hAnsi="宋体" w:eastAsia="宋体" w:cs="宋体"/>
                <w:color w:val="auto"/>
                <w:kern w:val="2"/>
                <w:highlight w:val="none"/>
                <w:lang w:val="en-US" w:eastAsia="zh-CN"/>
              </w:rPr>
              <w:t>2</w:t>
            </w:r>
            <w:r>
              <w:rPr>
                <w:rFonts w:hint="eastAsia" w:ascii="宋体" w:hAnsi="宋体" w:cs="宋体"/>
                <w:color w:val="auto"/>
                <w:kern w:val="2"/>
                <w:highlight w:val="none"/>
                <w:lang w:val="en-US" w:eastAsia="zh-CN"/>
              </w:rPr>
              <w:t>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B96C2A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highlight w:val="none"/>
                <w:u w:color="000000"/>
                <w:lang w:val="en-US" w:eastAsia="zh-CN" w:bidi="ar"/>
              </w:rPr>
              <w:t>开标时间及地点</w:t>
            </w:r>
          </w:p>
        </w:tc>
        <w:tc>
          <w:tcPr>
            <w:tcW w:w="6837" w:type="dxa"/>
            <w:tcBorders>
              <w:top w:val="single" w:color="auto" w:sz="4" w:space="0"/>
              <w:left w:val="single" w:color="auto" w:sz="4" w:space="0"/>
              <w:bottom w:val="single" w:color="auto" w:sz="4" w:space="0"/>
              <w:right w:val="single" w:color="auto" w:sz="4" w:space="0"/>
            </w:tcBorders>
            <w:noWrap/>
            <w:vAlign w:val="center"/>
          </w:tcPr>
          <w:p w14:paraId="3DA97AB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u w:color="000000"/>
                <w:lang w:val="en-US" w:eastAsia="zh-CN" w:bidi="ar"/>
              </w:rPr>
              <w:t>详见招标公告</w:t>
            </w:r>
          </w:p>
        </w:tc>
      </w:tr>
      <w:tr w14:paraId="59938181">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BA1119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default" w:ascii="宋体" w:hAnsi="宋体" w:cs="宋体"/>
                <w:color w:val="auto"/>
                <w:szCs w:val="21"/>
                <w:highlight w:val="none"/>
                <w:lang w:val="en-US"/>
              </w:rPr>
            </w:pPr>
            <w:r>
              <w:rPr>
                <w:rFonts w:hint="eastAsia" w:ascii="宋体" w:hAnsi="宋体" w:cs="宋体"/>
                <w:color w:val="auto"/>
                <w:kern w:val="2"/>
                <w:highlight w:val="none"/>
                <w:lang w:val="en-US" w:eastAsia="zh-CN"/>
              </w:rPr>
              <w:t>29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59BE0F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highlight w:val="none"/>
                <w:u w:color="000000"/>
                <w:lang w:val="en-US" w:eastAsia="zh-CN" w:bidi="ar"/>
              </w:rPr>
              <w:t>开标程序</w:t>
            </w:r>
          </w:p>
        </w:tc>
        <w:tc>
          <w:tcPr>
            <w:tcW w:w="6837" w:type="dxa"/>
            <w:tcBorders>
              <w:top w:val="single" w:color="auto" w:sz="4" w:space="0"/>
              <w:left w:val="single" w:color="auto" w:sz="4" w:space="0"/>
              <w:bottom w:val="single" w:color="auto" w:sz="4" w:space="0"/>
              <w:right w:val="single" w:color="auto" w:sz="4" w:space="0"/>
            </w:tcBorders>
            <w:noWrap/>
            <w:vAlign w:val="center"/>
          </w:tcPr>
          <w:p w14:paraId="312B3E8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解密电子投标文件后，由评标委员会评审。</w:t>
            </w:r>
          </w:p>
        </w:tc>
      </w:tr>
      <w:tr w14:paraId="5A3CC426">
        <w:tblPrEx>
          <w:tblCellMar>
            <w:top w:w="0" w:type="dxa"/>
            <w:left w:w="108" w:type="dxa"/>
            <w:bottom w:w="0" w:type="dxa"/>
            <w:right w:w="108" w:type="dxa"/>
          </w:tblCellMar>
        </w:tblPrEx>
        <w:trPr>
          <w:trHeight w:val="488"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B6DF455">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30</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F2B105D">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评标委员会的组建</w:t>
            </w:r>
          </w:p>
        </w:tc>
        <w:tc>
          <w:tcPr>
            <w:tcW w:w="6837" w:type="dxa"/>
            <w:tcBorders>
              <w:top w:val="single" w:color="auto" w:sz="4" w:space="0"/>
              <w:left w:val="single" w:color="auto" w:sz="4" w:space="0"/>
              <w:bottom w:val="single" w:color="auto" w:sz="4" w:space="0"/>
              <w:right w:val="single" w:color="auto" w:sz="4" w:space="0"/>
            </w:tcBorders>
            <w:noWrap/>
            <w:vAlign w:val="center"/>
          </w:tcPr>
          <w:p w14:paraId="09FACAFB">
            <w:pPr>
              <w:keepNext w:val="0"/>
              <w:keepLines w:val="0"/>
              <w:pageBreakBefore w:val="0"/>
              <w:suppressLineNumbers w:val="0"/>
              <w:kinsoku/>
              <w:wordWrap/>
              <w:overflowPunct/>
              <w:autoSpaceDE/>
              <w:autoSpaceDN/>
              <w:bidi w:val="0"/>
              <w:spacing w:before="0" w:beforeAutospacing="0" w:after="0" w:afterAutospacing="0" w:line="440" w:lineRule="exact"/>
              <w:ind w:left="0" w:right="0"/>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宋体" w:eastAsia="宋体" w:cs="宋体"/>
                <w:color w:val="auto"/>
                <w:kern w:val="2"/>
                <w:sz w:val="21"/>
                <w:szCs w:val="21"/>
                <w:highlight w:val="none"/>
                <w:u w:color="000000"/>
                <w:lang w:val="en-US" w:eastAsia="zh-CN" w:bidi="ar"/>
              </w:rPr>
              <w:t>评标委员会</w:t>
            </w:r>
            <w:r>
              <w:rPr>
                <w:rFonts w:hint="eastAsia" w:ascii="宋体" w:hAnsi="宋体" w:cs="宋体"/>
                <w:color w:val="auto"/>
                <w:kern w:val="2"/>
                <w:sz w:val="21"/>
                <w:szCs w:val="21"/>
                <w:highlight w:val="none"/>
                <w:u w:color="000000"/>
                <w:lang w:val="en-US" w:eastAsia="zh-CN" w:bidi="ar"/>
              </w:rPr>
              <w:t>组建：</w:t>
            </w:r>
            <w:r>
              <w:rPr>
                <w:rFonts w:hint="eastAsia" w:ascii="宋体" w:hAnsi="宋体" w:cs="宋体"/>
                <w:color w:val="auto"/>
                <w:kern w:val="2"/>
                <w:sz w:val="21"/>
                <w:szCs w:val="21"/>
                <w:highlight w:val="none"/>
                <w:u w:val="single" w:color="auto"/>
                <w:lang w:val="en-US" w:eastAsia="zh-CN" w:bidi="ar"/>
              </w:rPr>
              <w:t>由招标人依法组建</w:t>
            </w:r>
            <w:r>
              <w:rPr>
                <w:rFonts w:hint="eastAsia" w:ascii="宋体" w:hAnsi="宋体" w:eastAsia="宋体" w:cs="宋体"/>
                <w:color w:val="auto"/>
                <w:kern w:val="2"/>
                <w:sz w:val="21"/>
                <w:szCs w:val="21"/>
                <w:highlight w:val="none"/>
                <w:u w:color="000000"/>
                <w:lang w:val="en-US" w:eastAsia="zh-CN" w:bidi="ar"/>
              </w:rPr>
              <w:t>；</w:t>
            </w:r>
          </w:p>
          <w:p w14:paraId="36B0EA06">
            <w:pPr>
              <w:keepNext w:val="0"/>
              <w:keepLines w:val="0"/>
              <w:pageBreakBefore w:val="0"/>
              <w:suppressLineNumbers w:val="0"/>
              <w:kinsoku/>
              <w:wordWrap/>
              <w:overflowPunct/>
              <w:autoSpaceDE/>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eastAsia="宋体" w:cs="宋体"/>
                <w:color w:val="auto"/>
                <w:kern w:val="2"/>
                <w:sz w:val="21"/>
                <w:szCs w:val="21"/>
                <w:highlight w:val="none"/>
                <w:u w:color="000000"/>
                <w:lang w:val="en-US" w:eastAsia="zh-CN" w:bidi="ar"/>
              </w:rPr>
              <w:t>评标专家确定方式：专家评委由招标人在开标前从专家库中随机抽取。</w:t>
            </w:r>
          </w:p>
        </w:tc>
      </w:tr>
      <w:tr w14:paraId="6BB9958E">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9EED145">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b/>
                <w:bCs/>
                <w:color w:val="auto"/>
                <w:szCs w:val="21"/>
                <w:highlight w:val="none"/>
                <w:lang w:val="en-US" w:eastAsia="zh-CN"/>
              </w:rPr>
            </w:pPr>
            <w:r>
              <w:rPr>
                <w:rFonts w:hint="eastAsia" w:ascii="宋体" w:hAnsi="宋体" w:cs="宋体"/>
                <w:color w:val="auto"/>
                <w:szCs w:val="21"/>
                <w:highlight w:val="none"/>
                <w:lang w:val="en-US" w:eastAsia="zh-CN"/>
              </w:rPr>
              <w:t>31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91A01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宋体" w:hAnsi="宋体" w:cs="宋体"/>
                <w:bCs/>
                <w:color w:val="auto"/>
                <w:szCs w:val="21"/>
                <w:highlight w:val="none"/>
              </w:rPr>
            </w:pPr>
            <w:r>
              <w:rPr>
                <w:rFonts w:hint="eastAsia" w:ascii="宋体" w:hAnsi="宋体" w:eastAsia="宋体" w:cs="宋体"/>
                <w:b w:val="0"/>
                <w:bCs w:val="0"/>
                <w:color w:val="auto"/>
                <w:sz w:val="21"/>
                <w:szCs w:val="21"/>
                <w:highlight w:val="none"/>
              </w:rPr>
              <w:t>评标委员会确定中标候选人的人数</w:t>
            </w:r>
          </w:p>
        </w:tc>
        <w:tc>
          <w:tcPr>
            <w:tcW w:w="6837" w:type="dxa"/>
            <w:tcBorders>
              <w:top w:val="single" w:color="auto" w:sz="4" w:space="0"/>
              <w:left w:val="single" w:color="auto" w:sz="4" w:space="0"/>
              <w:bottom w:val="single" w:color="auto" w:sz="4" w:space="0"/>
              <w:right w:val="single" w:color="auto" w:sz="4" w:space="0"/>
            </w:tcBorders>
            <w:noWrap/>
            <w:vAlign w:val="center"/>
          </w:tcPr>
          <w:p w14:paraId="66BAC0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textAlignment w:val="auto"/>
              <w:rPr>
                <w:rFonts w:hint="default" w:ascii="宋体" w:hAnsi="宋体" w:cs="宋体"/>
                <w:bCs/>
                <w:color w:val="auto"/>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名，并标明排序。</w:t>
            </w:r>
          </w:p>
        </w:tc>
      </w:tr>
      <w:tr w14:paraId="75E93D81">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right w:val="single" w:color="auto" w:sz="4" w:space="0"/>
            </w:tcBorders>
            <w:noWrap/>
            <w:vAlign w:val="center"/>
          </w:tcPr>
          <w:p w14:paraId="5EF03F75">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32</w:t>
            </w:r>
          </w:p>
        </w:tc>
        <w:tc>
          <w:tcPr>
            <w:tcW w:w="2209" w:type="dxa"/>
            <w:gridSpan w:val="2"/>
            <w:tcBorders>
              <w:top w:val="single" w:color="auto" w:sz="4" w:space="0"/>
              <w:left w:val="single" w:color="auto" w:sz="4" w:space="0"/>
              <w:right w:val="single" w:color="auto" w:sz="4" w:space="0"/>
            </w:tcBorders>
            <w:noWrap/>
            <w:vAlign w:val="center"/>
          </w:tcPr>
          <w:p w14:paraId="3C2BCE70">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中标候选人公示媒介</w:t>
            </w:r>
          </w:p>
        </w:tc>
        <w:tc>
          <w:tcPr>
            <w:tcW w:w="6837" w:type="dxa"/>
            <w:tcBorders>
              <w:top w:val="single" w:color="auto" w:sz="4" w:space="0"/>
              <w:left w:val="single" w:color="auto" w:sz="4" w:space="0"/>
              <w:right w:val="single" w:color="auto" w:sz="4" w:space="0"/>
            </w:tcBorders>
            <w:noWrap/>
            <w:vAlign w:val="center"/>
          </w:tcPr>
          <w:p w14:paraId="5934AC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公示媒介：同招标公告发布媒介</w:t>
            </w:r>
          </w:p>
          <w:p w14:paraId="141B9AA6">
            <w:pPr>
              <w:keepNext w:val="0"/>
              <w:keepLines w:val="0"/>
              <w:pageBreakBefore w:val="0"/>
              <w:suppressLineNumbers w:val="0"/>
              <w:kinsoku/>
              <w:wordWrap/>
              <w:overflowPunct/>
              <w:autoSpaceDE/>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eastAsia="宋体" w:cs="宋体"/>
                <w:b w:val="0"/>
                <w:bCs w:val="0"/>
                <w:color w:val="auto"/>
                <w:sz w:val="21"/>
                <w:szCs w:val="21"/>
                <w:highlight w:val="none"/>
              </w:rPr>
              <w:t>公示期限：公示发布次日起3日（如公示第三日为休息日或节假日，则顺延至休息日或节假日后第一个工作日）</w:t>
            </w:r>
          </w:p>
        </w:tc>
      </w:tr>
      <w:tr w14:paraId="1E99CD29">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right w:val="single" w:color="auto" w:sz="4" w:space="0"/>
            </w:tcBorders>
            <w:noWrap/>
            <w:vAlign w:val="center"/>
          </w:tcPr>
          <w:p w14:paraId="5CD3FD14">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33</w:t>
            </w:r>
          </w:p>
        </w:tc>
        <w:tc>
          <w:tcPr>
            <w:tcW w:w="2209" w:type="dxa"/>
            <w:gridSpan w:val="2"/>
            <w:tcBorders>
              <w:top w:val="single" w:color="auto" w:sz="4" w:space="0"/>
              <w:left w:val="single" w:color="auto" w:sz="4" w:space="0"/>
              <w:right w:val="single" w:color="auto" w:sz="4" w:space="0"/>
            </w:tcBorders>
            <w:noWrap/>
            <w:vAlign w:val="center"/>
          </w:tcPr>
          <w:p w14:paraId="78948775">
            <w:pPr>
              <w:keepNext w:val="0"/>
              <w:keepLines w:val="0"/>
              <w:pageBreakBefore w:val="0"/>
              <w:suppressLineNumbers w:val="0"/>
              <w:kinsoku/>
              <w:wordWrap/>
              <w:overflowPunct/>
              <w:autoSpaceDE/>
              <w:autoSpaceDN/>
              <w:bidi w:val="0"/>
              <w:adjustRightInd w:val="0"/>
              <w:snapToGrid w:val="0"/>
              <w:spacing w:before="0" w:beforeAutospacing="0" w:after="0" w:afterAutospacing="0" w:line="440" w:lineRule="exact"/>
              <w:ind w:left="0" w:right="0"/>
              <w:textAlignment w:val="auto"/>
              <w:rPr>
                <w:rFonts w:hint="eastAsia" w:ascii="宋体" w:hAnsi="宋体" w:eastAsia="宋体" w:cs="宋体"/>
                <w:color w:val="auto"/>
                <w:kern w:val="2"/>
                <w:sz w:val="21"/>
                <w:szCs w:val="21"/>
                <w:highlight w:val="none"/>
                <w:lang w:val="en-US" w:eastAsia="zh-CN" w:bidi="ar-SA"/>
              </w:rPr>
            </w:pPr>
            <w:r>
              <w:rPr>
                <w:rFonts w:hint="eastAsia"/>
                <w:color w:val="auto"/>
                <w:sz w:val="21"/>
                <w:szCs w:val="21"/>
                <w:highlight w:val="none"/>
              </w:rPr>
              <w:t>中标通知书发出形式</w:t>
            </w:r>
          </w:p>
        </w:tc>
        <w:tc>
          <w:tcPr>
            <w:tcW w:w="6837" w:type="dxa"/>
            <w:tcBorders>
              <w:top w:val="single" w:color="auto" w:sz="4" w:space="0"/>
              <w:left w:val="single" w:color="auto" w:sz="4" w:space="0"/>
              <w:right w:val="single" w:color="auto" w:sz="4" w:space="0"/>
            </w:tcBorders>
            <w:noWrap/>
            <w:vAlign w:val="center"/>
          </w:tcPr>
          <w:p w14:paraId="72945261">
            <w:pPr>
              <w:keepNext w:val="0"/>
              <w:keepLines w:val="0"/>
              <w:pageBreakBefore w:val="0"/>
              <w:widowControl/>
              <w:suppressLineNumbers w:val="0"/>
              <w:kinsoku/>
              <w:wordWrap/>
              <w:overflowPunct/>
              <w:autoSpaceDE/>
              <w:autoSpaceDN/>
              <w:bidi w:val="0"/>
              <w:adjustRightInd w:val="0"/>
              <w:snapToGrid w:val="0"/>
              <w:spacing w:before="0" w:beforeAutospacing="0" w:after="0" w:afterAutospacing="0" w:line="440" w:lineRule="exact"/>
              <w:ind w:left="0" w:right="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u w:color="000000"/>
                <w:lang w:val="en-US" w:eastAsia="zh-CN" w:bidi="ar"/>
              </w:rPr>
              <w:t>中标通知书须加盖招标人、招标代理公司公章后方可发出。</w:t>
            </w:r>
          </w:p>
        </w:tc>
      </w:tr>
      <w:tr w14:paraId="616DD867">
        <w:tblPrEx>
          <w:tblCellMar>
            <w:top w:w="0" w:type="dxa"/>
            <w:left w:w="108" w:type="dxa"/>
            <w:bottom w:w="0" w:type="dxa"/>
            <w:right w:w="108" w:type="dxa"/>
          </w:tblCellMar>
        </w:tblPrEx>
        <w:trPr>
          <w:trHeight w:val="97"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3D5A16C">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6979CC5">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履约担保</w:t>
            </w:r>
          </w:p>
        </w:tc>
        <w:tc>
          <w:tcPr>
            <w:tcW w:w="6837" w:type="dxa"/>
            <w:tcBorders>
              <w:top w:val="single" w:color="auto" w:sz="4" w:space="0"/>
              <w:left w:val="single" w:color="auto" w:sz="4" w:space="0"/>
              <w:bottom w:val="single" w:color="auto" w:sz="4" w:space="0"/>
              <w:right w:val="single" w:color="auto" w:sz="4" w:space="0"/>
            </w:tcBorders>
            <w:noWrap/>
            <w:vAlign w:val="center"/>
          </w:tcPr>
          <w:p w14:paraId="654CF6E9">
            <w:pPr>
              <w:keepNext w:val="0"/>
              <w:keepLines w:val="0"/>
              <w:pageBreakBefore w:val="0"/>
              <w:suppressLineNumbers w:val="0"/>
              <w:kinsoku/>
              <w:wordWrap/>
              <w:overflowPunct/>
              <w:autoSpaceDE/>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bCs/>
                <w:color w:val="auto"/>
                <w:szCs w:val="21"/>
                <w:highlight w:val="none"/>
                <w:lang w:val="en-US" w:eastAsia="zh-CN"/>
              </w:rPr>
              <w:t>是否要求交纳履约担保：不要求。</w:t>
            </w:r>
          </w:p>
        </w:tc>
      </w:tr>
      <w:tr w14:paraId="00B21AE1">
        <w:tblPrEx>
          <w:tblCellMar>
            <w:top w:w="0" w:type="dxa"/>
            <w:left w:w="108" w:type="dxa"/>
            <w:bottom w:w="0" w:type="dxa"/>
            <w:right w:w="108" w:type="dxa"/>
          </w:tblCellMar>
        </w:tblPrEx>
        <w:trPr>
          <w:trHeight w:val="90" w:hRule="atLeast"/>
          <w:jc w:val="center"/>
        </w:trPr>
        <w:tc>
          <w:tcPr>
            <w:tcW w:w="9914" w:type="dxa"/>
            <w:gridSpan w:val="4"/>
            <w:tcBorders>
              <w:top w:val="single" w:color="auto" w:sz="4" w:space="0"/>
              <w:left w:val="single" w:color="auto" w:sz="4" w:space="0"/>
              <w:bottom w:val="single" w:color="auto" w:sz="4" w:space="0"/>
              <w:right w:val="single" w:color="auto" w:sz="4" w:space="0"/>
            </w:tcBorders>
            <w:noWrap/>
            <w:vAlign w:val="center"/>
          </w:tcPr>
          <w:p w14:paraId="4EA6DC93">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需要补充的其他内容</w:t>
            </w:r>
          </w:p>
        </w:tc>
      </w:tr>
      <w:tr w14:paraId="570BA4C9">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1ACBEBFC">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 w:val="21"/>
                <w:szCs w:val="21"/>
                <w:highlight w:val="none"/>
              </w:rPr>
              <w:t>招标代理服务费</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510B69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代理服务具体金额：</w:t>
            </w:r>
            <w:r>
              <w:rPr>
                <w:rFonts w:hint="eastAsia" w:ascii="宋体" w:hAnsi="宋体" w:cs="宋体"/>
                <w:color w:val="auto"/>
                <w:kern w:val="0"/>
                <w:szCs w:val="21"/>
                <w:highlight w:val="none"/>
                <w:lang w:val="en-US" w:eastAsia="zh-CN"/>
              </w:rPr>
              <w:t>1500</w:t>
            </w:r>
            <w:r>
              <w:rPr>
                <w:rFonts w:hint="eastAsia" w:ascii="宋体" w:hAnsi="宋体" w:cs="宋体"/>
                <w:color w:val="auto"/>
                <w:kern w:val="0"/>
                <w:szCs w:val="21"/>
                <w:highlight w:val="none"/>
              </w:rPr>
              <w:t>元</w:t>
            </w:r>
            <w:r>
              <w:rPr>
                <w:rFonts w:hint="eastAsia" w:ascii="宋体" w:hAnsi="宋体" w:cs="宋体"/>
                <w:bCs/>
                <w:color w:val="auto"/>
                <w:kern w:val="0"/>
                <w:highlight w:val="none"/>
              </w:rPr>
              <w:t>。</w:t>
            </w:r>
          </w:p>
          <w:p w14:paraId="56F56F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kern w:val="0"/>
                <w:szCs w:val="21"/>
                <w:highlight w:val="none"/>
              </w:rPr>
              <w:t>代理服务费支付主体</w:t>
            </w:r>
            <w:r>
              <w:rPr>
                <w:rFonts w:hint="eastAsia" w:ascii="宋体" w:hAnsi="宋体" w:cs="宋体"/>
                <w:color w:val="auto"/>
                <w:szCs w:val="21"/>
                <w:highlight w:val="none"/>
              </w:rPr>
              <w:t>：中标单位</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rPr>
              <w:t>由中标单位在领取中标通知书时，一次性支付给代理机构。</w:t>
            </w:r>
          </w:p>
        </w:tc>
      </w:tr>
      <w:tr w14:paraId="425DA5AE">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33169FCB">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eastAsia" w:ascii="宋体" w:hAnsi="宋体" w:cs="宋体"/>
                <w:color w:val="auto"/>
                <w:szCs w:val="21"/>
                <w:highlight w:val="none"/>
              </w:rPr>
            </w:pPr>
            <w:r>
              <w:rPr>
                <w:rFonts w:hint="eastAsia" w:ascii="宋体" w:hAnsi="宋体" w:cs="宋体"/>
                <w:color w:val="auto"/>
                <w:sz w:val="21"/>
                <w:szCs w:val="21"/>
                <w:highlight w:val="none"/>
              </w:rPr>
              <w:t>专家评审劳务费</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723DA48D">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费用或支付标准：</w:t>
            </w:r>
            <w:r>
              <w:rPr>
                <w:rFonts w:hint="eastAsia" w:ascii="宋体" w:hAnsi="宋体" w:cs="宋体"/>
                <w:color w:val="auto"/>
                <w:sz w:val="21"/>
                <w:szCs w:val="21"/>
                <w:highlight w:val="none"/>
                <w:lang w:val="en-US" w:eastAsia="zh-CN"/>
              </w:rPr>
              <w:t>以实际发生为准。</w:t>
            </w:r>
          </w:p>
          <w:p w14:paraId="23D6C3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cs="宋体"/>
                <w:color w:val="auto"/>
                <w:kern w:val="0"/>
                <w:szCs w:val="21"/>
                <w:highlight w:val="none"/>
              </w:rPr>
            </w:pPr>
            <w:r>
              <w:rPr>
                <w:rFonts w:hint="eastAsia"/>
                <w:color w:val="auto"/>
                <w:sz w:val="21"/>
                <w:szCs w:val="21"/>
                <w:highlight w:val="none"/>
              </w:rPr>
              <w:t>支付主体：</w:t>
            </w:r>
            <w:r>
              <w:rPr>
                <w:rFonts w:hint="eastAsia"/>
                <w:color w:val="auto"/>
                <w:sz w:val="21"/>
                <w:szCs w:val="21"/>
                <w:highlight w:val="none"/>
                <w:lang w:val="en-US" w:eastAsia="zh-CN"/>
              </w:rPr>
              <w:t>中标单位。</w:t>
            </w:r>
          </w:p>
        </w:tc>
      </w:tr>
      <w:tr w14:paraId="30820828">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64C042B1">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评标过程中的澄清、说明或补正</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3638D8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rPr>
            </w:pPr>
            <w:r>
              <w:rPr>
                <w:rFonts w:hint="eastAsia"/>
                <w:color w:val="auto"/>
                <w:sz w:val="21"/>
                <w:szCs w:val="21"/>
                <w:highlight w:val="none"/>
              </w:rPr>
              <w:t>（1）评标委员会通过网上招投标系统将需要澄清、说明或补正的内容以询标函的形式发送给投标人，投标人应安排专人登录网上招投标系统并保持在线状态，以便及</w:t>
            </w:r>
            <w:bookmarkStart w:id="1082" w:name="_GoBack"/>
            <w:r>
              <w:rPr>
                <w:rFonts w:hint="eastAsia"/>
                <w:color w:val="auto"/>
                <w:sz w:val="21"/>
                <w:szCs w:val="21"/>
                <w:highlight w:val="none"/>
              </w:rPr>
              <w:t>时</w:t>
            </w:r>
            <w:bookmarkEnd w:id="1082"/>
            <w:r>
              <w:rPr>
                <w:rFonts w:hint="eastAsia"/>
                <w:color w:val="auto"/>
                <w:sz w:val="21"/>
                <w:szCs w:val="21"/>
                <w:highlight w:val="none"/>
              </w:rPr>
              <w:t>接收评标委员会可能发出的询标函。</w:t>
            </w:r>
          </w:p>
          <w:p w14:paraId="55C709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rPr>
            </w:pPr>
            <w:r>
              <w:rPr>
                <w:rFonts w:hint="eastAsia"/>
                <w:color w:val="auto"/>
                <w:sz w:val="21"/>
                <w:szCs w:val="21"/>
                <w:highlight w:val="none"/>
              </w:rPr>
              <w:t>（2）因投标人未登录网上招投标系统导致无法及时接收询标函（远程网上询标）或未在规定时间内按评标委员会要求进行澄清、说明或补正内容的视同投标人放弃澄清、说明或补正内容的权利，评标委员会可按对投标人不利的解释进行判定。</w:t>
            </w:r>
          </w:p>
        </w:tc>
      </w:tr>
      <w:tr w14:paraId="0AB7A94F">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08EE1E01">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相关要求</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3D3F54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rPr>
            </w:pPr>
            <w:r>
              <w:rPr>
                <w:rFonts w:hint="eastAsia"/>
                <w:color w:val="auto"/>
                <w:sz w:val="21"/>
                <w:szCs w:val="21"/>
                <w:highlight w:val="none"/>
              </w:rPr>
              <w:t>1、除非合同另有规定，工程量清单中有标价的单价和总价均已包括了为实施和完成合同工程所需的劳务、材料、机械、质检（自检）、安装、缺陷修复、管理、保险、税费、利润等费用，以及合同明示或暗示的所有责任、义务和一般风险。投标人应将工程量清单与交易文件、合同通用条款、专用条款以及技术规范和图纸一起对照阅读。</w:t>
            </w:r>
          </w:p>
          <w:p w14:paraId="1D470E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rPr>
            </w:pPr>
            <w:r>
              <w:rPr>
                <w:rFonts w:hint="eastAsia"/>
                <w:color w:val="auto"/>
                <w:sz w:val="21"/>
                <w:szCs w:val="21"/>
                <w:highlight w:val="none"/>
              </w:rPr>
              <w:t>2、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14:paraId="298CE0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rPr>
            </w:pPr>
            <w:r>
              <w:rPr>
                <w:rFonts w:hint="eastAsia"/>
                <w:color w:val="auto"/>
                <w:sz w:val="21"/>
                <w:szCs w:val="21"/>
                <w:highlight w:val="none"/>
              </w:rPr>
              <w:t>3、承包人用于本合同工程的各类装备的提供、运输、维护、拆卸、拼装等支付的费用，已包括在工程量清单的单价与总价之中。</w:t>
            </w:r>
          </w:p>
          <w:p w14:paraId="3720D9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eastAsia="宋体"/>
                <w:color w:val="auto"/>
                <w:sz w:val="21"/>
                <w:szCs w:val="21"/>
                <w:highlight w:val="none"/>
                <w:lang w:val="en-US" w:eastAsia="zh-CN"/>
              </w:rPr>
            </w:pPr>
            <w:r>
              <w:rPr>
                <w:rFonts w:hint="eastAsia"/>
                <w:color w:val="auto"/>
                <w:sz w:val="21"/>
                <w:szCs w:val="21"/>
                <w:highlight w:val="none"/>
              </w:rPr>
              <w:t>4、本项目施工现场涉及的水电费用，由承包人承担，</w:t>
            </w:r>
            <w:r>
              <w:rPr>
                <w:rFonts w:hint="eastAsia"/>
                <w:b w:val="0"/>
                <w:bCs w:val="0"/>
                <w:color w:val="auto"/>
                <w:sz w:val="21"/>
                <w:szCs w:val="21"/>
                <w:highlight w:val="none"/>
              </w:rPr>
              <w:t>含在响应报价中</w:t>
            </w:r>
            <w:r>
              <w:rPr>
                <w:rFonts w:hint="eastAsia"/>
                <w:b w:val="0"/>
                <w:bCs w:val="0"/>
                <w:color w:val="auto"/>
                <w:sz w:val="21"/>
                <w:szCs w:val="21"/>
                <w:highlight w:val="none"/>
                <w:lang w:val="en-US" w:eastAsia="zh-CN"/>
              </w:rPr>
              <w:t>。</w:t>
            </w:r>
          </w:p>
        </w:tc>
      </w:tr>
      <w:tr w14:paraId="316D6CAC">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4EA325E1">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现场管理</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4AD781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rPr>
            </w:pPr>
            <w:r>
              <w:rPr>
                <w:rFonts w:hint="eastAsia"/>
                <w:color w:val="auto"/>
                <w:sz w:val="21"/>
                <w:szCs w:val="21"/>
                <w:highlight w:val="none"/>
              </w:rPr>
              <w:t>1、施工过程中，项目管理及施工人员以外的无关人员一律不得留宿施工现场，项目负责人负责管理及清理出场；</w:t>
            </w:r>
          </w:p>
          <w:p w14:paraId="670556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rPr>
            </w:pPr>
            <w:r>
              <w:rPr>
                <w:rFonts w:hint="eastAsia"/>
                <w:color w:val="auto"/>
                <w:sz w:val="21"/>
                <w:szCs w:val="21"/>
                <w:highlight w:val="none"/>
              </w:rPr>
              <w:t>2、施工过程中，严格执行国家及地方针对环保、禁噪、防尘、防护等措施，必须满足当地行政主管部门相关规定及要求。</w:t>
            </w:r>
          </w:p>
          <w:p w14:paraId="3B2D0B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rPr>
            </w:pPr>
            <w:r>
              <w:rPr>
                <w:rFonts w:hint="eastAsia"/>
                <w:color w:val="auto"/>
                <w:sz w:val="21"/>
                <w:szCs w:val="21"/>
                <w:highlight w:val="none"/>
              </w:rPr>
              <w:t>3、所有专业承包工程，若总承包单位无此项专业承包施工资质，分包单位的选择必须经业主方认可，才能进行专业分包。</w:t>
            </w:r>
          </w:p>
          <w:p w14:paraId="1F7F4F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rPr>
            </w:pPr>
            <w:r>
              <w:rPr>
                <w:rFonts w:hint="eastAsia"/>
                <w:color w:val="auto"/>
                <w:sz w:val="21"/>
                <w:szCs w:val="21"/>
                <w:highlight w:val="none"/>
              </w:rPr>
              <w:t>4、施工场地及周边场地、道路、绿化、管线、围墙等，若被施工方损坏，施工方必须无偿按照原貌恢复。</w:t>
            </w:r>
          </w:p>
          <w:p w14:paraId="3CAA3D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rPr>
            </w:pPr>
            <w:r>
              <w:rPr>
                <w:rFonts w:hint="eastAsia"/>
                <w:color w:val="auto"/>
                <w:sz w:val="21"/>
                <w:szCs w:val="21"/>
                <w:highlight w:val="none"/>
              </w:rPr>
              <w:t>5、供应商自行勘察施工现场情况，因供应商未踏勘现场而造成的损失由供应商承担。</w:t>
            </w:r>
          </w:p>
          <w:p w14:paraId="0D2783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rPr>
            </w:pPr>
            <w:r>
              <w:rPr>
                <w:rFonts w:hint="eastAsia"/>
                <w:color w:val="auto"/>
                <w:sz w:val="21"/>
                <w:szCs w:val="21"/>
                <w:highlight w:val="none"/>
              </w:rPr>
              <w:t>6、在工程建设过程中，出现质量、安全、进度、文明施工、扬尘污染、人员不在岗履职等违约行为的，发包人将给予违约处罚。</w:t>
            </w:r>
          </w:p>
        </w:tc>
      </w:tr>
      <w:tr w14:paraId="527F8741">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19F24BFC">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7E93C2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rPr>
              <w:t>1、本招标文件前后条款若有不一致之处，在澄清答疑时又未作出明确规定时，各投标人的投标文件只要满足其中任一条款，均视为对本招标文件的响应。</w:t>
            </w:r>
          </w:p>
          <w:p w14:paraId="27DA18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rPr>
              <w:t>2、本项目招标公告与本招标文件不一致之处，以本招标文件为准。</w:t>
            </w:r>
          </w:p>
          <w:p w14:paraId="25D6F4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rPr>
              <w:t>3、本项目严禁非法转包，一经发现，招标人依法处理。</w:t>
            </w:r>
          </w:p>
          <w:p w14:paraId="7BDF3D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宋体"/>
                <w:strike/>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、本文件的最终解释权归招标人、招标代理机构所有。</w:t>
            </w:r>
          </w:p>
        </w:tc>
      </w:tr>
    </w:tbl>
    <w:p w14:paraId="621305A5">
      <w:pPr>
        <w:rPr>
          <w:rFonts w:hint="eastAsia" w:ascii="宋体" w:hAnsi="宋体" w:eastAsia="宋体" w:cs="宋体"/>
          <w:color w:val="auto"/>
          <w:sz w:val="24"/>
          <w:szCs w:val="24"/>
          <w:highlight w:val="none"/>
        </w:rPr>
      </w:pPr>
      <w:bookmarkStart w:id="61" w:name="_Toc15058846"/>
      <w:bookmarkStart w:id="62" w:name="_Toc78803322"/>
      <w:bookmarkStart w:id="63" w:name="_Toc35425053"/>
      <w:bookmarkStart w:id="64" w:name="_Toc35424887"/>
      <w:bookmarkStart w:id="65" w:name="_Toc5813"/>
      <w:r>
        <w:rPr>
          <w:rFonts w:hint="eastAsia" w:ascii="宋体" w:hAnsi="宋体" w:eastAsia="宋体" w:cs="宋体"/>
          <w:color w:val="auto"/>
          <w:sz w:val="24"/>
          <w:szCs w:val="24"/>
          <w:highlight w:val="none"/>
        </w:rPr>
        <w:br w:type="page"/>
      </w:r>
    </w:p>
    <w:p w14:paraId="397CD072">
      <w:pPr>
        <w:pStyle w:val="7"/>
        <w:pageBreakBefore w:val="0"/>
        <w:widowControl w:val="0"/>
        <w:kinsoku/>
        <w:wordWrap/>
        <w:overflowPunct/>
        <w:topLinePunct w:val="0"/>
        <w:autoSpaceDE/>
        <w:autoSpaceDN/>
        <w:bidi w:val="0"/>
        <w:spacing w:beforeLines="50" w:afterLines="50" w:line="42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总则</w:t>
      </w:r>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1602C201">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kern w:val="44"/>
          <w:highlight w:val="none"/>
        </w:rPr>
      </w:pPr>
      <w:bookmarkStart w:id="66" w:name="_Toc152045530"/>
      <w:bookmarkStart w:id="67" w:name="_Toc152042306"/>
      <w:bookmarkStart w:id="68" w:name="_Toc15058847"/>
      <w:bookmarkStart w:id="69" w:name="_Toc296602421"/>
      <w:bookmarkStart w:id="70" w:name="_Toc35424888"/>
      <w:bookmarkStart w:id="71" w:name="_Toc247085690"/>
      <w:bookmarkStart w:id="72" w:name="_Toc246996919"/>
      <w:bookmarkStart w:id="73" w:name="_Toc35425054"/>
      <w:bookmarkStart w:id="74" w:name="_Toc324404816"/>
      <w:bookmarkStart w:id="75" w:name="_Toc78803323"/>
      <w:bookmarkStart w:id="76" w:name="_Toc144974498"/>
      <w:bookmarkStart w:id="77" w:name="_Toc4678"/>
      <w:bookmarkStart w:id="78" w:name="_Toc246996176"/>
      <w:bookmarkStart w:id="79" w:name="_Toc506107270"/>
      <w:bookmarkStart w:id="80" w:name="_Toc179632547"/>
      <w:r>
        <w:rPr>
          <w:rFonts w:hint="eastAsia" w:ascii="宋体" w:hAnsi="宋体" w:eastAsia="宋体" w:cs="宋体"/>
          <w:color w:val="auto"/>
          <w:kern w:val="44"/>
          <w:highlight w:val="none"/>
        </w:rPr>
        <w:t>1.1 项目概况</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5A8A10A7">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1.1.1根据《中华人民共和国招标投标法》《中华人民共和国招标投标法实施条例》等有关法律、法规和规章的规定，本招标项目已具备招标条件，现对本项目施工进行招标。</w:t>
      </w:r>
    </w:p>
    <w:p w14:paraId="02C7F195">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1.1.2 本招标项目招标人：见投标人须知前附表。</w:t>
      </w:r>
    </w:p>
    <w:p w14:paraId="175168C5">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1.1.3 本招标项目招标代理机构：见投标人须知前附表。</w:t>
      </w:r>
    </w:p>
    <w:p w14:paraId="1242FC7B">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1.1.4 本招标项目名称：见投标人须知前附表。</w:t>
      </w:r>
    </w:p>
    <w:p w14:paraId="3D8E07DB">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1.1.5 本招标项目建设地点：见投标人须知前附表。</w:t>
      </w:r>
    </w:p>
    <w:p w14:paraId="09E7A798">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81" w:name="_Toc506107271"/>
      <w:bookmarkStart w:id="82" w:name="_Toc7142"/>
      <w:bookmarkStart w:id="83" w:name="_Toc296602422"/>
      <w:bookmarkStart w:id="84" w:name="_Toc324404817"/>
      <w:bookmarkStart w:id="85" w:name="_Toc15058848"/>
      <w:bookmarkStart w:id="86" w:name="_Toc144974499"/>
      <w:bookmarkStart w:id="87" w:name="_Toc246996920"/>
      <w:bookmarkStart w:id="88" w:name="_Toc35424889"/>
      <w:bookmarkStart w:id="89" w:name="_Toc152045531"/>
      <w:bookmarkStart w:id="90" w:name="_Toc247085691"/>
      <w:bookmarkStart w:id="91" w:name="_Toc78803324"/>
      <w:bookmarkStart w:id="92" w:name="_Toc35425055"/>
      <w:bookmarkStart w:id="93" w:name="_Toc152042307"/>
      <w:bookmarkStart w:id="94" w:name="_Toc246996177"/>
      <w:bookmarkStart w:id="95" w:name="_Toc179632548"/>
      <w:r>
        <w:rPr>
          <w:rFonts w:hint="eastAsia" w:ascii="宋体" w:hAnsi="宋体" w:eastAsia="宋体" w:cs="宋体"/>
          <w:color w:val="auto"/>
          <w:highlight w:val="none"/>
        </w:rPr>
        <w:t>1.2 资金来源和落实情况</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24C6BD83">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1.2.1 本招标项目的资金来源及出资比例：见投标人须知前附表。</w:t>
      </w:r>
    </w:p>
    <w:p w14:paraId="373DD181">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1.2.2 本招标项目的资金落实情况：见投标人须知前附表。</w:t>
      </w:r>
    </w:p>
    <w:p w14:paraId="2592236A">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96" w:name="_Toc246996178"/>
      <w:bookmarkStart w:id="97" w:name="_Toc6330"/>
      <w:bookmarkStart w:id="98" w:name="_Toc247085692"/>
      <w:bookmarkStart w:id="99" w:name="_Toc246996921"/>
      <w:bookmarkStart w:id="100" w:name="_Toc152042308"/>
      <w:bookmarkStart w:id="101" w:name="_Toc144974500"/>
      <w:bookmarkStart w:id="102" w:name="_Toc15058849"/>
      <w:bookmarkStart w:id="103" w:name="_Toc324404818"/>
      <w:bookmarkStart w:id="104" w:name="_Toc506107272"/>
      <w:bookmarkStart w:id="105" w:name="_Toc35424890"/>
      <w:bookmarkStart w:id="106" w:name="_Toc152045532"/>
      <w:bookmarkStart w:id="107" w:name="_Toc296602423"/>
      <w:bookmarkStart w:id="108" w:name="_Toc35425056"/>
      <w:bookmarkStart w:id="109" w:name="_Toc179632549"/>
      <w:bookmarkStart w:id="110" w:name="_Toc78803325"/>
      <w:r>
        <w:rPr>
          <w:rFonts w:hint="eastAsia" w:ascii="宋体" w:hAnsi="宋体" w:eastAsia="宋体" w:cs="宋体"/>
          <w:color w:val="auto"/>
          <w:highlight w:val="none"/>
        </w:rPr>
        <w:t>1.3 招标范围、</w:t>
      </w:r>
      <w:r>
        <w:rPr>
          <w:rFonts w:hint="eastAsia" w:ascii="宋体" w:hAnsi="宋体" w:eastAsia="宋体" w:cs="宋体"/>
          <w:color w:val="auto"/>
          <w:highlight w:val="none"/>
          <w:lang w:val="en-US" w:eastAsia="zh-CN"/>
        </w:rPr>
        <w:t>工期</w:t>
      </w:r>
      <w:r>
        <w:rPr>
          <w:rFonts w:hint="eastAsia" w:ascii="宋体" w:hAnsi="宋体" w:eastAsia="宋体" w:cs="宋体"/>
          <w:color w:val="auto"/>
          <w:highlight w:val="none"/>
        </w:rPr>
        <w:t>、质量要求</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00EC76BF">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1.3.1 本次招标范围：见投标人须知前附表。</w:t>
      </w:r>
    </w:p>
    <w:p w14:paraId="3D0015EF">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1.3.2 本招标项目的</w:t>
      </w:r>
      <w:r>
        <w:rPr>
          <w:rFonts w:hint="eastAsia" w:ascii="宋体" w:hAnsi="宋体" w:cs="宋体"/>
          <w:color w:val="auto"/>
          <w:szCs w:val="21"/>
          <w:highlight w:val="none"/>
          <w:lang w:val="en-US" w:eastAsia="zh-CN"/>
        </w:rPr>
        <w:t>工期</w:t>
      </w:r>
      <w:r>
        <w:rPr>
          <w:rFonts w:hint="eastAsia" w:ascii="宋体" w:hAnsi="宋体" w:cs="宋体"/>
          <w:color w:val="auto"/>
          <w:szCs w:val="21"/>
          <w:highlight w:val="none"/>
        </w:rPr>
        <w:t>：见投标人须知前附表。</w:t>
      </w:r>
    </w:p>
    <w:p w14:paraId="723ECF17">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1.3.3 本招标项目的质量要求：见投标人须知前附表。</w:t>
      </w:r>
    </w:p>
    <w:p w14:paraId="62F4DDBF">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111" w:name="_Toc324404819"/>
      <w:bookmarkStart w:id="112" w:name="_Toc296602424"/>
      <w:bookmarkStart w:id="113" w:name="_Toc152045534"/>
      <w:bookmarkStart w:id="114" w:name="_Toc506107273"/>
      <w:bookmarkStart w:id="115" w:name="_Toc152042310"/>
      <w:bookmarkStart w:id="116" w:name="_Toc179632551"/>
      <w:bookmarkStart w:id="117" w:name="_Toc144974502"/>
      <w:bookmarkStart w:id="118" w:name="_Toc15058850"/>
      <w:bookmarkStart w:id="119" w:name="_Toc26897"/>
      <w:bookmarkStart w:id="120" w:name="_Toc35425057"/>
      <w:bookmarkStart w:id="121" w:name="_Toc246996922"/>
      <w:bookmarkStart w:id="122" w:name="_Toc35424891"/>
      <w:bookmarkStart w:id="123" w:name="_Toc78803326"/>
      <w:bookmarkStart w:id="124" w:name="_Toc247085693"/>
      <w:bookmarkStart w:id="125" w:name="_Toc246996179"/>
      <w:r>
        <w:rPr>
          <w:rFonts w:hint="eastAsia" w:ascii="宋体" w:hAnsi="宋体" w:eastAsia="宋体" w:cs="宋体"/>
          <w:color w:val="auto"/>
          <w:highlight w:val="none"/>
        </w:rPr>
        <w:t>1.4 投标人资格要求</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03808A21">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1.4.1 投标人应具备承担本项目</w:t>
      </w:r>
      <w:r>
        <w:rPr>
          <w:rFonts w:hint="eastAsia" w:ascii="宋体" w:hAnsi="宋体" w:cs="宋体"/>
          <w:color w:val="auto"/>
          <w:szCs w:val="21"/>
          <w:highlight w:val="none"/>
          <w:lang w:val="en-US" w:eastAsia="zh-CN"/>
        </w:rPr>
        <w:t>施工</w:t>
      </w:r>
      <w:r>
        <w:rPr>
          <w:rFonts w:hint="eastAsia" w:ascii="宋体" w:hAnsi="宋体" w:cs="宋体"/>
          <w:color w:val="auto"/>
          <w:szCs w:val="21"/>
          <w:highlight w:val="none"/>
        </w:rPr>
        <w:t>的资质条件、能力和信誉。</w:t>
      </w:r>
    </w:p>
    <w:p w14:paraId="24FF60AC">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（1）资质条件：见投标人须知前附表；</w:t>
      </w:r>
    </w:p>
    <w:p w14:paraId="3D1D9B82">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（2）项目</w:t>
      </w:r>
      <w:r>
        <w:rPr>
          <w:rFonts w:hint="eastAsia" w:ascii="宋体" w:hAnsi="宋体" w:cs="宋体"/>
          <w:color w:val="auto"/>
          <w:szCs w:val="21"/>
          <w:highlight w:val="none"/>
          <w:lang w:val="en-US" w:eastAsia="zh-CN"/>
        </w:rPr>
        <w:t>经理</w:t>
      </w:r>
      <w:r>
        <w:rPr>
          <w:rFonts w:hint="eastAsia" w:ascii="宋体" w:hAnsi="宋体" w:cs="宋体"/>
          <w:color w:val="auto"/>
          <w:szCs w:val="21"/>
          <w:highlight w:val="none"/>
        </w:rPr>
        <w:t>资格：见投标人须知前附表；</w:t>
      </w:r>
    </w:p>
    <w:p w14:paraId="4AD897A7">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（3）信誉要求：见投标人须知前附表；</w:t>
      </w:r>
    </w:p>
    <w:p w14:paraId="7E29362C">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）其他要求：见投标人须知前附表。</w:t>
      </w:r>
    </w:p>
    <w:p w14:paraId="6AB64CF0">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1.4.2 投标人不得存在下列情形之一：</w:t>
      </w:r>
    </w:p>
    <w:p w14:paraId="6048E025">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（1）为招标人不具有独立法人资格的附属机构（单位）；</w:t>
      </w:r>
    </w:p>
    <w:p w14:paraId="623529E7">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（2）与招标人存在利害关系且可能影响招标公正性；</w:t>
      </w:r>
    </w:p>
    <w:p w14:paraId="4F6A068B">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（3）与本标段的其他投标人同为一个单位负责人；</w:t>
      </w:r>
    </w:p>
    <w:p w14:paraId="00E0631A">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（4）与本标段的其他投标人存在控股、管理关系；</w:t>
      </w:r>
    </w:p>
    <w:p w14:paraId="002B2231">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（5）为本标段前期准备提供设计或咨询服务的法人或其任何附属机构（单位）；</w:t>
      </w:r>
    </w:p>
    <w:p w14:paraId="5301E19F">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（6）为本标段的</w:t>
      </w:r>
      <w:r>
        <w:rPr>
          <w:rFonts w:hint="eastAsia" w:ascii="宋体" w:hAnsi="宋体" w:cs="宋体"/>
          <w:color w:val="auto"/>
          <w:szCs w:val="21"/>
          <w:highlight w:val="none"/>
          <w:lang w:eastAsia="zh-CN"/>
        </w:rPr>
        <w:t>发包人</w:t>
      </w:r>
      <w:r>
        <w:rPr>
          <w:rFonts w:hint="eastAsia" w:ascii="宋体" w:hAnsi="宋体" w:cs="宋体"/>
          <w:color w:val="auto"/>
          <w:szCs w:val="21"/>
          <w:highlight w:val="none"/>
        </w:rPr>
        <w:t>；</w:t>
      </w:r>
    </w:p>
    <w:p w14:paraId="45A5B8FE">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（7）为本标段的代建人；</w:t>
      </w:r>
    </w:p>
    <w:p w14:paraId="3D5C44B8">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（8）为本标段的招标代理机构；</w:t>
      </w:r>
    </w:p>
    <w:p w14:paraId="4F2469C2">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（9）与本标段的</w:t>
      </w:r>
      <w:r>
        <w:rPr>
          <w:rFonts w:hint="eastAsia" w:ascii="宋体" w:hAnsi="宋体" w:cs="宋体"/>
          <w:color w:val="auto"/>
          <w:szCs w:val="21"/>
          <w:highlight w:val="none"/>
          <w:lang w:eastAsia="zh-CN"/>
        </w:rPr>
        <w:t>发包人</w:t>
      </w:r>
      <w:r>
        <w:rPr>
          <w:rFonts w:hint="eastAsia" w:ascii="宋体" w:hAnsi="宋体" w:cs="宋体"/>
          <w:color w:val="auto"/>
          <w:szCs w:val="21"/>
          <w:highlight w:val="none"/>
        </w:rPr>
        <w:t>或代建人或招标代理机构同为一个法定代表人；</w:t>
      </w:r>
    </w:p>
    <w:p w14:paraId="21DDF52B">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（10）与本标段的</w:t>
      </w:r>
      <w:r>
        <w:rPr>
          <w:rFonts w:hint="eastAsia" w:ascii="宋体" w:hAnsi="宋体" w:cs="宋体"/>
          <w:color w:val="auto"/>
          <w:szCs w:val="21"/>
          <w:highlight w:val="none"/>
          <w:lang w:eastAsia="zh-CN"/>
        </w:rPr>
        <w:t>发包人</w:t>
      </w:r>
      <w:r>
        <w:rPr>
          <w:rFonts w:hint="eastAsia" w:ascii="宋体" w:hAnsi="宋体" w:cs="宋体"/>
          <w:color w:val="auto"/>
          <w:szCs w:val="21"/>
          <w:highlight w:val="none"/>
        </w:rPr>
        <w:t>或代建人或招标代理机构存在控股或参股关系；</w:t>
      </w:r>
    </w:p>
    <w:p w14:paraId="111AA22B">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（11）法律法规或投标人须知前附表规定的其他情形。</w:t>
      </w:r>
    </w:p>
    <w:p w14:paraId="41946C8F">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1.4.3 单位负责人为同一人或者存在控股、管理关系的不同单位，不得同时参加本招标项目投标。</w:t>
      </w:r>
    </w:p>
    <w:p w14:paraId="4BC6C2B0">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126" w:name="_Toc15058851"/>
      <w:bookmarkStart w:id="127" w:name="_Toc35425058"/>
      <w:bookmarkStart w:id="128" w:name="_Toc35424892"/>
      <w:bookmarkStart w:id="129" w:name="_Toc506107274"/>
      <w:bookmarkStart w:id="130" w:name="_Toc144974503"/>
      <w:bookmarkStart w:id="131" w:name="_Toc179632552"/>
      <w:bookmarkStart w:id="132" w:name="_Toc10179"/>
      <w:bookmarkStart w:id="133" w:name="_Toc296602425"/>
      <w:bookmarkStart w:id="134" w:name="_Toc246996923"/>
      <w:bookmarkStart w:id="135" w:name="_Toc152045535"/>
      <w:bookmarkStart w:id="136" w:name="_Toc78803327"/>
      <w:bookmarkStart w:id="137" w:name="_Toc246996180"/>
      <w:bookmarkStart w:id="138" w:name="_Toc324404820"/>
      <w:bookmarkStart w:id="139" w:name="_Toc152042311"/>
      <w:bookmarkStart w:id="140" w:name="_Toc247085694"/>
      <w:r>
        <w:rPr>
          <w:rFonts w:hint="eastAsia" w:ascii="宋体" w:hAnsi="宋体" w:eastAsia="宋体" w:cs="宋体"/>
          <w:color w:val="auto"/>
          <w:highlight w:val="none"/>
        </w:rPr>
        <w:t>1.5 费用承担</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4A0E6571">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投标人准备和参加投标活动发生的费用自理。</w:t>
      </w:r>
    </w:p>
    <w:p w14:paraId="40BDE53B">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141" w:name="_Toc324404821"/>
      <w:bookmarkStart w:id="142" w:name="_Toc35425059"/>
      <w:bookmarkStart w:id="143" w:name="_Toc4092"/>
      <w:bookmarkStart w:id="144" w:name="_Toc35424893"/>
      <w:bookmarkStart w:id="145" w:name="_Toc246996924"/>
      <w:bookmarkStart w:id="146" w:name="_Toc506107275"/>
      <w:bookmarkStart w:id="147" w:name="_Toc78803328"/>
      <w:bookmarkStart w:id="148" w:name="_Toc15058852"/>
      <w:bookmarkStart w:id="149" w:name="_Toc179632553"/>
      <w:bookmarkStart w:id="150" w:name="_Toc296602426"/>
      <w:bookmarkStart w:id="151" w:name="_Toc152042312"/>
      <w:bookmarkStart w:id="152" w:name="_Toc246996181"/>
      <w:bookmarkStart w:id="153" w:name="_Toc247085695"/>
      <w:bookmarkStart w:id="154" w:name="_Toc144974504"/>
      <w:bookmarkStart w:id="155" w:name="_Toc152045536"/>
      <w:r>
        <w:rPr>
          <w:rFonts w:hint="eastAsia" w:ascii="宋体" w:hAnsi="宋体" w:eastAsia="宋体" w:cs="宋体"/>
          <w:color w:val="auto"/>
          <w:highlight w:val="none"/>
        </w:rPr>
        <w:t>1.6 保密</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406A465F">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参与招标投标活动的各方应对招标文件和投标文件中的商业和技术等秘密保密，违者应对由此造成的后果承担法律责任。 </w:t>
      </w:r>
    </w:p>
    <w:p w14:paraId="416FA317">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156" w:name="_Toc144974505"/>
      <w:bookmarkStart w:id="157" w:name="_Toc15058853"/>
      <w:bookmarkStart w:id="158" w:name="_Toc296602427"/>
      <w:bookmarkStart w:id="159" w:name="_Toc324404822"/>
      <w:bookmarkStart w:id="160" w:name="_Toc179632554"/>
      <w:bookmarkStart w:id="161" w:name="_Toc35425060"/>
      <w:bookmarkStart w:id="162" w:name="_Toc152045537"/>
      <w:bookmarkStart w:id="163" w:name="_Toc506107276"/>
      <w:bookmarkStart w:id="164" w:name="_Toc152042313"/>
      <w:bookmarkStart w:id="165" w:name="_Toc246996925"/>
      <w:bookmarkStart w:id="166" w:name="_Toc4119"/>
      <w:bookmarkStart w:id="167" w:name="_Toc78803329"/>
      <w:bookmarkStart w:id="168" w:name="_Toc35424894"/>
      <w:bookmarkStart w:id="169" w:name="_Toc246996182"/>
      <w:bookmarkStart w:id="170" w:name="_Toc247085696"/>
      <w:r>
        <w:rPr>
          <w:rFonts w:hint="eastAsia" w:ascii="宋体" w:hAnsi="宋体" w:eastAsia="宋体" w:cs="宋体"/>
          <w:color w:val="auto"/>
          <w:highlight w:val="none"/>
        </w:rPr>
        <w:t>1.7 语言</w:t>
      </w:r>
      <w:bookmarkEnd w:id="156"/>
      <w:r>
        <w:rPr>
          <w:rFonts w:hint="eastAsia" w:ascii="宋体" w:hAnsi="宋体" w:eastAsia="宋体" w:cs="宋体"/>
          <w:color w:val="auto"/>
          <w:highlight w:val="none"/>
        </w:rPr>
        <w:t>文字</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67969EAE">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bookmarkStart w:id="171" w:name="_Toc152045538"/>
      <w:bookmarkStart w:id="172" w:name="_Toc246996183"/>
      <w:bookmarkStart w:id="173" w:name="_Toc152042314"/>
      <w:bookmarkStart w:id="174" w:name="_Toc247085697"/>
      <w:bookmarkStart w:id="175" w:name="_Toc246996926"/>
      <w:bookmarkStart w:id="176" w:name="_Toc179632555"/>
      <w:bookmarkStart w:id="177" w:name="_Toc144974506"/>
      <w:r>
        <w:rPr>
          <w:rFonts w:hint="eastAsia" w:ascii="宋体" w:hAnsi="宋体" w:cs="宋体"/>
          <w:color w:val="auto"/>
          <w:szCs w:val="21"/>
          <w:highlight w:val="none"/>
        </w:rPr>
        <w:t>招标投标文件使用的语言文字为中文。专用术语使用外文的，应附有中文注释。</w:t>
      </w:r>
    </w:p>
    <w:p w14:paraId="32BE040E">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178" w:name="_Toc35425061"/>
      <w:bookmarkStart w:id="179" w:name="_Toc506107277"/>
      <w:bookmarkStart w:id="180" w:name="_Toc15058854"/>
      <w:bookmarkStart w:id="181" w:name="_Toc324404823"/>
      <w:bookmarkStart w:id="182" w:name="_Toc296602428"/>
      <w:bookmarkStart w:id="183" w:name="_Toc78803330"/>
      <w:bookmarkStart w:id="184" w:name="_Toc13408"/>
      <w:bookmarkStart w:id="185" w:name="_Toc35424895"/>
      <w:r>
        <w:rPr>
          <w:rFonts w:hint="eastAsia" w:ascii="宋体" w:hAnsi="宋体" w:eastAsia="宋体" w:cs="宋体"/>
          <w:color w:val="auto"/>
          <w:highlight w:val="none"/>
        </w:rPr>
        <w:t>1.8 计量单位</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352E05A5">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所有计量均采用中华人民共和国法定计量单位。</w:t>
      </w:r>
    </w:p>
    <w:p w14:paraId="2CDDED85">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186" w:name="_Toc35425062"/>
      <w:bookmarkStart w:id="187" w:name="_Toc296602429"/>
      <w:bookmarkStart w:id="188" w:name="_Toc15058855"/>
      <w:bookmarkStart w:id="189" w:name="_Toc247592876"/>
      <w:bookmarkStart w:id="190" w:name="_Toc506107278"/>
      <w:bookmarkStart w:id="191" w:name="_Toc35424896"/>
      <w:bookmarkStart w:id="192" w:name="_Toc144974507"/>
      <w:bookmarkStart w:id="193" w:name="_Toc78803331"/>
      <w:bookmarkStart w:id="194" w:name="_Toc152042315"/>
      <w:bookmarkStart w:id="195" w:name="_Toc324404824"/>
      <w:bookmarkStart w:id="196" w:name="_Toc247527563"/>
      <w:bookmarkStart w:id="197" w:name="_Toc11493"/>
      <w:bookmarkStart w:id="198" w:name="_Toc247513962"/>
      <w:bookmarkStart w:id="199" w:name="_Toc152045539"/>
      <w:r>
        <w:rPr>
          <w:rFonts w:hint="eastAsia" w:ascii="宋体" w:hAnsi="宋体" w:eastAsia="宋体" w:cs="宋体"/>
          <w:color w:val="auto"/>
          <w:highlight w:val="none"/>
        </w:rPr>
        <w:t>1.9 踏勘现场</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4824D526">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1.9.1 投标人须知前附表规定组织踏勘现场的，招标人按投标人须知前附表规定的时间、地点组织投标人踏勘项目现场。 </w:t>
      </w:r>
    </w:p>
    <w:p w14:paraId="3400E979">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1.9.2 投标人踏勘现场发生的费用自理。</w:t>
      </w:r>
    </w:p>
    <w:p w14:paraId="37C774C9">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1.9.3 除招标人的原因外，投标人自行负责在踏勘现场中所发生的人员伤亡和财产损失。</w:t>
      </w:r>
    </w:p>
    <w:p w14:paraId="608A1DCE">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1.9.4 招标人在踏勘现场中介绍的工程场地和相关的周边环境情况，供投标人在编制投标文件时参考，招标人不对投标人据此作出的判断和决策负责。</w:t>
      </w:r>
    </w:p>
    <w:p w14:paraId="71AACDF5">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200" w:name="_Toc152042316"/>
      <w:bookmarkStart w:id="201" w:name="_Toc296602430"/>
      <w:bookmarkStart w:id="202" w:name="_Toc78803332"/>
      <w:bookmarkStart w:id="203" w:name="_Toc506107279"/>
      <w:bookmarkStart w:id="204" w:name="_Toc247592877"/>
      <w:bookmarkStart w:id="205" w:name="_Toc144974508"/>
      <w:bookmarkStart w:id="206" w:name="_Toc35425063"/>
      <w:bookmarkStart w:id="207" w:name="_Toc247513963"/>
      <w:bookmarkStart w:id="208" w:name="_Toc15058856"/>
      <w:bookmarkStart w:id="209" w:name="_Toc22954"/>
      <w:bookmarkStart w:id="210" w:name="_Toc35424897"/>
      <w:bookmarkStart w:id="211" w:name="_Toc247527564"/>
      <w:bookmarkStart w:id="212" w:name="_Toc324404825"/>
      <w:bookmarkStart w:id="213" w:name="_Toc152045540"/>
      <w:r>
        <w:rPr>
          <w:rFonts w:hint="eastAsia" w:ascii="宋体" w:hAnsi="宋体" w:eastAsia="宋体" w:cs="宋体"/>
          <w:color w:val="auto"/>
          <w:highlight w:val="none"/>
        </w:rPr>
        <w:t>1.10 投标预备会</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1F4A4356">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1.10.1投标人须知前附表规定召开投标预备会的，招标人按投标人须知前附表规定的时间和地点召开投标预备会，澄清投标人提出的问题。</w:t>
      </w:r>
    </w:p>
    <w:p w14:paraId="19372174">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1.10.2投标人应在投标人须知前附表规定的时间前，将提出的问题送达招标人，以便招标人澄清。</w:t>
      </w:r>
    </w:p>
    <w:p w14:paraId="166EBEA0">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1.10.3招标人在投标人须知前附表规定的时间，将对投标人所提的问题进行澄清。该澄清内容为招标文件的组成部分。</w:t>
      </w:r>
    </w:p>
    <w:p w14:paraId="29D1FE60">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214" w:name="_Toc296602431"/>
      <w:bookmarkStart w:id="215" w:name="_Toc506107280"/>
      <w:bookmarkStart w:id="216" w:name="_Toc324404826"/>
      <w:bookmarkStart w:id="217" w:name="_Toc15058857"/>
      <w:bookmarkStart w:id="218" w:name="_Toc83301699"/>
      <w:bookmarkStart w:id="219" w:name="_Toc60061444"/>
      <w:bookmarkStart w:id="220" w:name="_Toc95223347"/>
      <w:bookmarkStart w:id="221" w:name="_Toc246996930"/>
      <w:bookmarkStart w:id="222" w:name="_Toc152045542"/>
      <w:bookmarkStart w:id="223" w:name="_Toc4012"/>
      <w:bookmarkStart w:id="224" w:name="_Toc35424899"/>
      <w:bookmarkStart w:id="225" w:name="_Toc246996187"/>
      <w:bookmarkStart w:id="226" w:name="_Toc179632560"/>
      <w:bookmarkStart w:id="227" w:name="_Toc78803334"/>
      <w:bookmarkStart w:id="228" w:name="_Toc144974510"/>
      <w:bookmarkStart w:id="229" w:name="_Toc247085701"/>
      <w:bookmarkStart w:id="230" w:name="_Toc152042318"/>
      <w:bookmarkStart w:id="231" w:name="_Toc35425065"/>
      <w:bookmarkStart w:id="232" w:name="_Toc324404827"/>
      <w:bookmarkStart w:id="233" w:name="_Toc506107281"/>
      <w:bookmarkStart w:id="234" w:name="_Toc15058858"/>
      <w:r>
        <w:rPr>
          <w:rFonts w:hint="eastAsia" w:ascii="宋体" w:hAnsi="宋体" w:eastAsia="宋体" w:cs="宋体"/>
          <w:color w:val="auto"/>
          <w:highlight w:val="none"/>
        </w:rPr>
        <w:t xml:space="preserve">1.11 </w:t>
      </w:r>
      <w:bookmarkEnd w:id="214"/>
      <w:bookmarkEnd w:id="215"/>
      <w:bookmarkEnd w:id="216"/>
      <w:bookmarkEnd w:id="217"/>
      <w:r>
        <w:rPr>
          <w:rFonts w:hint="eastAsia" w:ascii="宋体" w:hAnsi="宋体" w:eastAsia="宋体" w:cs="宋体"/>
          <w:color w:val="auto"/>
          <w:highlight w:val="none"/>
        </w:rPr>
        <w:t>分包</w:t>
      </w:r>
      <w:bookmarkEnd w:id="218"/>
      <w:bookmarkEnd w:id="219"/>
      <w:bookmarkEnd w:id="220"/>
    </w:p>
    <w:p w14:paraId="1C2ED910">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1.11.1 投标人拟在中标后将中标项目的部分非主体、非关键性工作进行分包的，应符合以下规定：</w:t>
      </w:r>
    </w:p>
    <w:p w14:paraId="79C10CA4">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（1）分包内容要求：招标人允许分包或不允许分包的专业工程（如有）应在投标人须知前附表中载明；</w:t>
      </w:r>
    </w:p>
    <w:p w14:paraId="79B1134C">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（2）接受分包的第三人资格要求：分包人的资格能力应与其分包工程的标准和规模相适应，且具备投标人须知前附表中规定的资格条件；</w:t>
      </w:r>
    </w:p>
    <w:p w14:paraId="682A8BA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（3）其他要求：</w:t>
      </w:r>
      <w:r>
        <w:rPr>
          <w:rFonts w:hint="eastAsia" w:ascii="宋体" w:hAnsi="宋体" w:cs="宋体"/>
          <w:color w:val="auto"/>
          <w:szCs w:val="21"/>
          <w:highlight w:val="none"/>
          <w:lang w:val="en-US" w:eastAsia="zh-CN"/>
        </w:rPr>
        <w:t>无。</w:t>
      </w:r>
    </w:p>
    <w:p w14:paraId="72DC977C">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1.11.2中标人不得向他人转让中标项目，接受分包的人不得再次分包。中标人应就分包项目向招标人负责，接受分包的人就分包项目承担连带责任。</w:t>
      </w:r>
    </w:p>
    <w:p w14:paraId="68ADCF22">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235" w:name="_Toc60061445"/>
      <w:bookmarkStart w:id="236" w:name="_Toc95223348"/>
      <w:bookmarkStart w:id="237" w:name="_Toc83301700"/>
      <w:r>
        <w:rPr>
          <w:rFonts w:hint="eastAsia" w:ascii="宋体" w:hAnsi="宋体" w:eastAsia="宋体" w:cs="宋体"/>
          <w:color w:val="auto"/>
          <w:highlight w:val="none"/>
        </w:rPr>
        <w:t>1.12 偏离</w:t>
      </w:r>
      <w:bookmarkEnd w:id="235"/>
      <w:bookmarkEnd w:id="236"/>
      <w:bookmarkEnd w:id="237"/>
    </w:p>
    <w:p w14:paraId="6AC99724">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1.12.1投标文件偏离招标文件某些要求，视为投标文件存在偏差。偏差包括重大偏差和细微偏差。</w:t>
      </w:r>
    </w:p>
    <w:p w14:paraId="4F53D581">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1.12.2投标文件应对招标文件的实质性要求和条件作出满足性或更有利于招标人的响应，否则，视为投标文件存在重大偏差，投标人的投标将被否决。</w:t>
      </w:r>
    </w:p>
    <w:p w14:paraId="2AFC0F67">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投标文件存在第</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章“评标办法”中所列任一无效投标情形的，均属于存在重大偏差。</w:t>
      </w:r>
    </w:p>
    <w:p w14:paraId="3D0622E7">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1.12.3投标文件中的下列偏差为细微偏差：</w:t>
      </w:r>
    </w:p>
    <w:p w14:paraId="747FCCD6">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（1）在按照第</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章“评标办法”的规定对投标价进行算术性错误修正及其他错误修正后，最终投标报价未超过最高投标限价（如有）或未被否决投标的情况下，出现第</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章“评标办法”规定的算术性错误和投标报价的其他错误；</w:t>
      </w:r>
    </w:p>
    <w:p w14:paraId="63E877C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（2）投标文件个别文字有遗漏错误等不影响投标文件实质性内容的偏差。</w:t>
      </w:r>
    </w:p>
    <w:p w14:paraId="03C13F02">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1.12.4评标委员会对投标文件中的细微偏差按如下规定处理：</w:t>
      </w:r>
    </w:p>
    <w:p w14:paraId="587CB984">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对于本章第 1.12.3 项（1）目所述的细微偏差，按照第</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章“评标办法”的规定予以修正并要求投标人进行澄清；</w:t>
      </w:r>
    </w:p>
    <w:p w14:paraId="42119073">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对于本章第 1.12.3 项（2）目所述的细微偏差，可要求投标人对细微偏差进行澄清。</w:t>
      </w:r>
    </w:p>
    <w:p w14:paraId="7AD4D020">
      <w:pPr>
        <w:pStyle w:val="7"/>
        <w:pageBreakBefore w:val="0"/>
        <w:widowControl w:val="0"/>
        <w:kinsoku/>
        <w:wordWrap/>
        <w:overflowPunct/>
        <w:topLinePunct w:val="0"/>
        <w:autoSpaceDE/>
        <w:autoSpaceDN/>
        <w:bidi w:val="0"/>
        <w:spacing w:beforeLines="50" w:afterLines="50" w:line="420" w:lineRule="exact"/>
        <w:ind w:firstLine="482"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 招标文件</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1617D227">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238" w:name="_Toc247085702"/>
      <w:bookmarkStart w:id="239" w:name="_Toc246996188"/>
      <w:bookmarkStart w:id="240" w:name="_Toc506107282"/>
      <w:bookmarkStart w:id="241" w:name="_Toc78803335"/>
      <w:bookmarkStart w:id="242" w:name="_Toc152045543"/>
      <w:bookmarkStart w:id="243" w:name="_Toc246996931"/>
      <w:bookmarkStart w:id="244" w:name="_Toc35425066"/>
      <w:bookmarkStart w:id="245" w:name="_Toc179632561"/>
      <w:bookmarkStart w:id="246" w:name="_Toc296602433"/>
      <w:bookmarkStart w:id="247" w:name="_Toc152042319"/>
      <w:bookmarkStart w:id="248" w:name="_Toc13213"/>
      <w:bookmarkStart w:id="249" w:name="_Toc144974511"/>
      <w:bookmarkStart w:id="250" w:name="_Toc15058859"/>
      <w:bookmarkStart w:id="251" w:name="_Toc35424900"/>
      <w:bookmarkStart w:id="252" w:name="_Toc324404828"/>
      <w:r>
        <w:rPr>
          <w:rFonts w:hint="eastAsia" w:ascii="宋体" w:hAnsi="宋体" w:eastAsia="宋体" w:cs="宋体"/>
          <w:color w:val="auto"/>
          <w:highlight w:val="none"/>
        </w:rPr>
        <w:t>2.1 招标文件的组成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40CEAFFC">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2.1.1 本招标文件包括：</w:t>
      </w:r>
    </w:p>
    <w:p w14:paraId="42D2F2F8">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（1）招标公告；</w:t>
      </w:r>
    </w:p>
    <w:p w14:paraId="5902BE93">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（2）投标人须知；</w:t>
      </w:r>
    </w:p>
    <w:p w14:paraId="16B1B426">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（3）资格审查办法</w:t>
      </w:r>
    </w:p>
    <w:p w14:paraId="6F91010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（4）评标办法；</w:t>
      </w:r>
    </w:p>
    <w:p w14:paraId="7B5ABAB2">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（5）合同条款及格式；</w:t>
      </w:r>
    </w:p>
    <w:p w14:paraId="6A9F5163">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（6）工程量清单； </w:t>
      </w:r>
    </w:p>
    <w:p w14:paraId="72D9E735">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（7）图纸；</w:t>
      </w:r>
    </w:p>
    <w:p w14:paraId="6F368A3D">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技术标准和要求</w:t>
      </w:r>
      <w:r>
        <w:rPr>
          <w:rFonts w:hint="eastAsia" w:ascii="宋体" w:hAnsi="宋体" w:cs="宋体"/>
          <w:color w:val="auto"/>
          <w:szCs w:val="21"/>
          <w:highlight w:val="none"/>
          <w:lang w:val="en-US" w:eastAsia="zh-CN"/>
        </w:rPr>
        <w:t>；</w:t>
      </w:r>
    </w:p>
    <w:p w14:paraId="043FA20C">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）投标文件格式；</w:t>
      </w:r>
    </w:p>
    <w:p w14:paraId="29C1FDEB">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）投标人须知前附表规定的其他材料。</w:t>
      </w:r>
    </w:p>
    <w:p w14:paraId="2A7E5CD1">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2.1.2 根据本章第1.10款、第2.2款和第2.3款对招标文件所作的澄清、修改，构成招标文件的组成部分。</w:t>
      </w:r>
    </w:p>
    <w:p w14:paraId="5AF466DE">
      <w:pPr>
        <w:pStyle w:val="20"/>
        <w:pageBreakBefore w:val="0"/>
        <w:widowControl w:val="0"/>
        <w:kinsoku/>
        <w:wordWrap/>
        <w:overflowPunct/>
        <w:topLinePunct w:val="0"/>
        <w:autoSpaceDE/>
        <w:autoSpaceDN/>
        <w:bidi w:val="0"/>
        <w:adjustRightInd w:val="0"/>
        <w:snapToGrid w:val="0"/>
        <w:spacing w:after="0" w:line="420" w:lineRule="exact"/>
        <w:ind w:firstLine="420" w:firstLineChars="200"/>
        <w:textAlignment w:val="auto"/>
        <w:rPr>
          <w:color w:val="auto"/>
          <w:highlight w:val="none"/>
        </w:rPr>
      </w:pPr>
      <w:r>
        <w:rPr>
          <w:rFonts w:hint="eastAsia" w:ascii="宋体" w:hAnsi="宋体" w:cs="宋体"/>
          <w:color w:val="auto"/>
          <w:szCs w:val="21"/>
          <w:highlight w:val="none"/>
        </w:rPr>
        <w:t>2.1.3当招标文件、招标文件的澄清或修改等在同一内容的表述上不一致时，以最后发出的文件为准。</w:t>
      </w:r>
    </w:p>
    <w:p w14:paraId="2918C0BF">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lang w:eastAsia="zh-CN"/>
        </w:rPr>
      </w:pPr>
      <w:bookmarkStart w:id="253" w:name="_Toc324404829"/>
      <w:bookmarkStart w:id="254" w:name="_Toc296602434"/>
      <w:bookmarkStart w:id="255" w:name="_Toc35424901"/>
      <w:bookmarkStart w:id="256" w:name="_Toc246996932"/>
      <w:bookmarkStart w:id="257" w:name="_Toc152042320"/>
      <w:bookmarkStart w:id="258" w:name="_Toc15058860"/>
      <w:bookmarkStart w:id="259" w:name="_Toc247085703"/>
      <w:bookmarkStart w:id="260" w:name="_Toc32239"/>
      <w:bookmarkStart w:id="261" w:name="_Toc144974512"/>
      <w:bookmarkStart w:id="262" w:name="_Toc78803336"/>
      <w:bookmarkStart w:id="263" w:name="_Toc152045544"/>
      <w:bookmarkStart w:id="264" w:name="_Toc506107283"/>
      <w:bookmarkStart w:id="265" w:name="_Toc179632562"/>
      <w:bookmarkStart w:id="266" w:name="_Toc35425067"/>
      <w:bookmarkStart w:id="267" w:name="_Toc246996189"/>
      <w:r>
        <w:rPr>
          <w:rFonts w:hint="eastAsia" w:ascii="宋体" w:hAnsi="宋体" w:eastAsia="宋体" w:cs="宋体"/>
          <w:color w:val="auto"/>
          <w:highlight w:val="none"/>
        </w:rPr>
        <w:t>2.2 招标文件的</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Pr>
          <w:rFonts w:hint="eastAsia" w:ascii="宋体" w:hAnsi="宋体" w:eastAsia="宋体" w:cs="宋体"/>
          <w:color w:val="auto"/>
          <w:highlight w:val="none"/>
          <w:lang w:val="en-US" w:eastAsia="zh-CN"/>
        </w:rPr>
        <w:t>异议</w:t>
      </w:r>
    </w:p>
    <w:p w14:paraId="06C3224B">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Cs w:val="21"/>
          <w:highlight w:val="none"/>
        </w:rPr>
        <w:t>投标人或其他利害关系人投标人应仔细阅读和检查招标文件的全部内容，对招标文件有异议的，应在投标人须知前附表规定的</w:t>
      </w:r>
      <w:r>
        <w:rPr>
          <w:rFonts w:hint="eastAsia" w:ascii="宋体" w:hAnsi="宋体" w:eastAsia="宋体" w:cs="宋体"/>
          <w:color w:val="auto"/>
          <w:szCs w:val="21"/>
          <w:highlight w:val="none"/>
          <w:lang w:val="en-US" w:eastAsia="zh-CN"/>
        </w:rPr>
        <w:t>时间前以</w:t>
      </w:r>
      <w:r>
        <w:rPr>
          <w:rFonts w:hint="eastAsia" w:ascii="宋体" w:hAnsi="宋体" w:eastAsia="宋体" w:cs="宋体"/>
          <w:color w:val="auto"/>
          <w:szCs w:val="21"/>
          <w:highlight w:val="none"/>
        </w:rPr>
        <w:t>网上留言或书面形式提出。招标人将在滁州市兴滁矿业投资集团有限公司（http://www.xckytz.com/）</w:t>
      </w:r>
      <w:r>
        <w:rPr>
          <w:rFonts w:hint="eastAsia" w:ascii="宋体" w:hAnsi="宋体" w:cs="宋体"/>
          <w:color w:val="auto"/>
          <w:szCs w:val="21"/>
          <w:highlight w:val="none"/>
          <w:lang w:eastAsia="zh-CN"/>
        </w:rPr>
        <w:t>、“滁州市城投工程咨询管理有限公司”（https://www.czctgczx.com/）</w:t>
      </w:r>
      <w:r>
        <w:rPr>
          <w:rFonts w:hint="eastAsia" w:ascii="宋体" w:hAnsi="宋体" w:cs="宋体"/>
          <w:color w:val="auto"/>
          <w:szCs w:val="21"/>
          <w:highlight w:val="none"/>
          <w:lang w:val="en-US" w:eastAsia="zh-CN"/>
        </w:rPr>
        <w:t>网</w:t>
      </w:r>
      <w:r>
        <w:rPr>
          <w:rFonts w:hint="eastAsia" w:ascii="宋体" w:hAnsi="宋体" w:cs="宋体"/>
          <w:color w:val="auto"/>
          <w:szCs w:val="21"/>
          <w:highlight w:val="none"/>
        </w:rPr>
        <w:t xml:space="preserve">发布，但不指明澄清问题的来源。 </w:t>
      </w:r>
    </w:p>
    <w:p w14:paraId="159D9C20">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lang w:eastAsia="zh-CN"/>
        </w:rPr>
      </w:pPr>
      <w:bookmarkStart w:id="268" w:name="_Toc24633"/>
      <w:bookmarkStart w:id="269" w:name="_Toc15058861"/>
      <w:bookmarkStart w:id="270" w:name="_Toc144974513"/>
      <w:bookmarkStart w:id="271" w:name="_Toc324404830"/>
      <w:bookmarkStart w:id="272" w:name="_Toc152042321"/>
      <w:bookmarkStart w:id="273" w:name="_Toc179632563"/>
      <w:bookmarkStart w:id="274" w:name="_Toc246996190"/>
      <w:bookmarkStart w:id="275" w:name="_Toc246996933"/>
      <w:bookmarkStart w:id="276" w:name="_Toc506107284"/>
      <w:bookmarkStart w:id="277" w:name="_Toc35424902"/>
      <w:bookmarkStart w:id="278" w:name="_Toc296602435"/>
      <w:bookmarkStart w:id="279" w:name="_Toc35425068"/>
      <w:bookmarkStart w:id="280" w:name="_Toc78803337"/>
      <w:bookmarkStart w:id="281" w:name="_Toc152045545"/>
      <w:bookmarkStart w:id="282" w:name="_Toc247085704"/>
      <w:r>
        <w:rPr>
          <w:rFonts w:hint="eastAsia" w:ascii="宋体" w:hAnsi="宋体" w:eastAsia="宋体" w:cs="宋体"/>
          <w:color w:val="auto"/>
          <w:highlight w:val="none"/>
        </w:rPr>
        <w:t>2.3 招标文件的</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Pr>
          <w:rFonts w:hint="eastAsia" w:ascii="宋体" w:hAnsi="宋体" w:eastAsia="宋体" w:cs="宋体"/>
          <w:color w:val="auto"/>
          <w:highlight w:val="none"/>
          <w:lang w:val="en-US" w:eastAsia="zh-CN"/>
        </w:rPr>
        <w:t>澄清</w:t>
      </w:r>
    </w:p>
    <w:p w14:paraId="7AAF5301">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pacing w:val="0"/>
          <w:sz w:val="21"/>
          <w:szCs w:val="21"/>
          <w:highlight w:val="none"/>
        </w:rPr>
      </w:pPr>
      <w:r>
        <w:rPr>
          <w:rFonts w:hint="eastAsia" w:ascii="宋体" w:hAnsi="宋体" w:cs="宋体"/>
          <w:color w:val="auto"/>
          <w:spacing w:val="0"/>
          <w:sz w:val="21"/>
          <w:szCs w:val="21"/>
          <w:highlight w:val="none"/>
        </w:rPr>
        <w:t>招标人可以澄清招标文件，并以投标人须知前附表规定澄清的方式在滁州市兴滁矿业投资集团有限公司（http://www.xckytz.com/）</w:t>
      </w:r>
      <w:r>
        <w:rPr>
          <w:rFonts w:hint="eastAsia" w:ascii="宋体" w:hAnsi="宋体" w:cs="宋体"/>
          <w:color w:val="auto"/>
          <w:spacing w:val="0"/>
          <w:sz w:val="21"/>
          <w:szCs w:val="21"/>
          <w:highlight w:val="none"/>
          <w:lang w:eastAsia="zh-CN"/>
        </w:rPr>
        <w:t>、“滁州市城投工程咨询管理有限公司”（https://www.czctgczx.com/）</w:t>
      </w:r>
      <w:r>
        <w:rPr>
          <w:rFonts w:hint="eastAsia"/>
          <w:color w:val="auto"/>
          <w:spacing w:val="0"/>
          <w:sz w:val="21"/>
          <w:highlight w:val="none"/>
        </w:rPr>
        <w:t xml:space="preserve"> 网</w:t>
      </w:r>
      <w:r>
        <w:rPr>
          <w:rFonts w:hint="eastAsia" w:ascii="宋体" w:hAnsi="宋体" w:cs="宋体"/>
          <w:color w:val="auto"/>
          <w:spacing w:val="0"/>
          <w:sz w:val="21"/>
          <w:szCs w:val="21"/>
          <w:highlight w:val="none"/>
        </w:rPr>
        <w:t>发布。但如果修改内容影响投标文件编制的，将相应延长投标截止时间。</w:t>
      </w:r>
    </w:p>
    <w:p w14:paraId="75317E1D">
      <w:pPr>
        <w:pStyle w:val="7"/>
        <w:pageBreakBefore w:val="0"/>
        <w:widowControl w:val="0"/>
        <w:kinsoku/>
        <w:wordWrap/>
        <w:overflowPunct/>
        <w:topLinePunct w:val="0"/>
        <w:autoSpaceDE/>
        <w:autoSpaceDN/>
        <w:bidi w:val="0"/>
        <w:spacing w:beforeLines="50" w:afterLines="50" w:line="420" w:lineRule="exact"/>
        <w:ind w:firstLine="482" w:firstLineChars="200"/>
        <w:textAlignment w:val="auto"/>
        <w:rPr>
          <w:rFonts w:ascii="宋体" w:hAnsi="宋体" w:eastAsia="宋体" w:cs="宋体"/>
          <w:color w:val="auto"/>
          <w:sz w:val="24"/>
          <w:szCs w:val="24"/>
          <w:highlight w:val="none"/>
        </w:rPr>
      </w:pPr>
      <w:bookmarkStart w:id="283" w:name="_Toc179632564"/>
      <w:bookmarkStart w:id="284" w:name="_Toc15058863"/>
      <w:bookmarkStart w:id="285" w:name="_Toc6464"/>
      <w:bookmarkStart w:id="286" w:name="_Toc35424904"/>
      <w:bookmarkStart w:id="287" w:name="_Toc152045546"/>
      <w:bookmarkStart w:id="288" w:name="_Toc246996934"/>
      <w:bookmarkStart w:id="289" w:name="_Toc324404832"/>
      <w:bookmarkStart w:id="290" w:name="_Toc246996191"/>
      <w:bookmarkStart w:id="291" w:name="_Toc506107285"/>
      <w:bookmarkStart w:id="292" w:name="_Toc78803339"/>
      <w:bookmarkStart w:id="293" w:name="_Toc152042322"/>
      <w:bookmarkStart w:id="294" w:name="_Toc35425070"/>
      <w:bookmarkStart w:id="295" w:name="_Toc144974514"/>
      <w:bookmarkStart w:id="296" w:name="_Toc247085705"/>
      <w:r>
        <w:rPr>
          <w:rFonts w:hint="eastAsia" w:ascii="宋体" w:hAnsi="宋体" w:eastAsia="宋体" w:cs="宋体"/>
          <w:color w:val="auto"/>
          <w:sz w:val="24"/>
          <w:szCs w:val="24"/>
          <w:highlight w:val="none"/>
        </w:rPr>
        <w:t>3. 投标文件</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713998A4">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297" w:name="_Toc506107286"/>
      <w:bookmarkStart w:id="298" w:name="_Toc296602437"/>
      <w:bookmarkStart w:id="299" w:name="_Toc152045547"/>
      <w:bookmarkStart w:id="300" w:name="_Toc35425071"/>
      <w:bookmarkStart w:id="301" w:name="_Toc246996192"/>
      <w:bookmarkStart w:id="302" w:name="_Toc78803340"/>
      <w:bookmarkStart w:id="303" w:name="_Toc324404833"/>
      <w:bookmarkStart w:id="304" w:name="_Toc152042323"/>
      <w:bookmarkStart w:id="305" w:name="_Toc157"/>
      <w:bookmarkStart w:id="306" w:name="_Toc179632565"/>
      <w:bookmarkStart w:id="307" w:name="_Toc35424905"/>
      <w:bookmarkStart w:id="308" w:name="_Toc144974515"/>
      <w:bookmarkStart w:id="309" w:name="_Toc247085706"/>
      <w:bookmarkStart w:id="310" w:name="_Toc15058864"/>
      <w:bookmarkStart w:id="311" w:name="_Toc246996935"/>
      <w:r>
        <w:rPr>
          <w:rFonts w:hint="eastAsia" w:ascii="宋体" w:hAnsi="宋体" w:eastAsia="宋体" w:cs="宋体"/>
          <w:color w:val="auto"/>
          <w:highlight w:val="none"/>
        </w:rPr>
        <w:t>3.1 投标文件的组成</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37296B2B">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投标文件的具体组成部分及材料要求详见本招标文件第</w:t>
      </w:r>
      <w:r>
        <w:rPr>
          <w:rFonts w:hint="eastAsia" w:ascii="宋体" w:hAnsi="宋体" w:cs="宋体"/>
          <w:color w:val="auto"/>
          <w:szCs w:val="21"/>
          <w:highlight w:val="none"/>
          <w:lang w:val="en-US" w:eastAsia="zh-CN"/>
        </w:rPr>
        <w:t>八</w:t>
      </w:r>
      <w:r>
        <w:rPr>
          <w:rFonts w:hint="eastAsia" w:ascii="宋体" w:hAnsi="宋体" w:cs="宋体"/>
          <w:color w:val="auto"/>
          <w:szCs w:val="21"/>
          <w:highlight w:val="none"/>
        </w:rPr>
        <w:t>章“投标文件格式”。</w:t>
      </w:r>
    </w:p>
    <w:p w14:paraId="43674CA5">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312" w:name="_Toc35424906"/>
      <w:bookmarkStart w:id="313" w:name="_Toc15058865"/>
      <w:bookmarkStart w:id="314" w:name="_Toc324404834"/>
      <w:bookmarkStart w:id="315" w:name="_Toc152042324"/>
      <w:bookmarkStart w:id="316" w:name="_Toc78803341"/>
      <w:bookmarkStart w:id="317" w:name="_Toc296602438"/>
      <w:bookmarkStart w:id="318" w:name="_Toc179632566"/>
      <w:bookmarkStart w:id="319" w:name="_Toc506107287"/>
      <w:bookmarkStart w:id="320" w:name="_Toc152045548"/>
      <w:bookmarkStart w:id="321" w:name="_Toc6829"/>
      <w:bookmarkStart w:id="322" w:name="_Toc144974516"/>
      <w:bookmarkStart w:id="323" w:name="_Toc247085707"/>
      <w:bookmarkStart w:id="324" w:name="_Toc246996936"/>
      <w:bookmarkStart w:id="325" w:name="_Toc246996193"/>
      <w:bookmarkStart w:id="326" w:name="_Toc35425072"/>
      <w:r>
        <w:rPr>
          <w:rFonts w:hint="eastAsia" w:ascii="宋体" w:hAnsi="宋体" w:eastAsia="宋体" w:cs="宋体"/>
          <w:color w:val="auto"/>
          <w:highlight w:val="none"/>
        </w:rPr>
        <w:t>3.2 投标报价</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16F1D4ED">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bookmarkStart w:id="327" w:name="_Toc506107288"/>
      <w:bookmarkStart w:id="328" w:name="_Toc296602439"/>
      <w:bookmarkStart w:id="329" w:name="_Toc144974517"/>
      <w:bookmarkStart w:id="330" w:name="_Toc152042325"/>
      <w:bookmarkStart w:id="331" w:name="_Toc152045549"/>
      <w:bookmarkStart w:id="332" w:name="_Toc15058866"/>
      <w:bookmarkStart w:id="333" w:name="_Toc247085708"/>
      <w:bookmarkStart w:id="334" w:name="_Toc246996194"/>
      <w:bookmarkStart w:id="335" w:name="_Toc78803342"/>
      <w:bookmarkStart w:id="336" w:name="_Toc324404835"/>
      <w:bookmarkStart w:id="337" w:name="_Toc246996937"/>
      <w:bookmarkStart w:id="338" w:name="_Toc31735"/>
      <w:bookmarkStart w:id="339" w:name="_Toc35425073"/>
      <w:bookmarkStart w:id="340" w:name="_Toc35424907"/>
      <w:bookmarkStart w:id="341" w:name="_Toc179632567"/>
      <w:r>
        <w:rPr>
          <w:rFonts w:hint="eastAsia" w:ascii="宋体" w:hAnsi="宋体" w:eastAsia="宋体" w:cs="宋体"/>
          <w:color w:val="auto"/>
          <w:szCs w:val="21"/>
          <w:highlight w:val="none"/>
        </w:rPr>
        <w:t>3.2.1投标报价应包括国家规定的增值税税金，除投标人须知前附表另有规定外，增值税税金按一般计税方法计算。投标人应按第</w:t>
      </w:r>
      <w:r>
        <w:rPr>
          <w:rFonts w:hint="eastAsia" w:ascii="宋体" w:hAnsi="宋体" w:cs="宋体"/>
          <w:color w:val="auto"/>
          <w:szCs w:val="21"/>
          <w:highlight w:val="none"/>
          <w:lang w:val="en-US" w:eastAsia="zh-CN"/>
        </w:rPr>
        <w:t>八</w:t>
      </w:r>
      <w:r>
        <w:rPr>
          <w:rFonts w:hint="eastAsia" w:ascii="宋体" w:hAnsi="宋体" w:eastAsia="宋体" w:cs="宋体"/>
          <w:color w:val="auto"/>
          <w:szCs w:val="21"/>
          <w:highlight w:val="none"/>
        </w:rPr>
        <w:t>章“投标文件格式”的要求在投标函中进行报价并填写工程量清单相应表格。</w:t>
      </w:r>
    </w:p>
    <w:p w14:paraId="76676277">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3.2.2投标人应充分了解本项目的总体情况以及影响投标报价的其他要素。</w:t>
      </w:r>
    </w:p>
    <w:p w14:paraId="4D796BD4">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3.2.3投标人在投标截止时间前修改投标函中的投标报价总额，应同时修改“已标价工程量清单”中的相应报价，投标报价总额为各分项金额之和。此修改须符合本章第4.4款的有关要求。</w:t>
      </w:r>
    </w:p>
    <w:p w14:paraId="13F722C0">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3.2.4招标人设有最高投标限价的，投标人的投标报价不得超过最高投标限价，最高投标限价在投标人须知前附表中载明。</w:t>
      </w:r>
    </w:p>
    <w:p w14:paraId="6C4EE0EF">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3.3 投标有效期</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7E5B1EDF">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3.3.1 除投标人须知前附表另有规定外，投标有效期为90天。</w:t>
      </w:r>
    </w:p>
    <w:p w14:paraId="7C6861E9">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3.3.2在投标有效期内，投标人撤销或修改其投标文件的，应承担招标文件和法律规定的责任。</w:t>
      </w:r>
    </w:p>
    <w:p w14:paraId="5EB52D86">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00146EB0">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342" w:name="_Toc324404836"/>
      <w:bookmarkStart w:id="343" w:name="_Toc247085709"/>
      <w:bookmarkStart w:id="344" w:name="_Toc35425074"/>
      <w:bookmarkStart w:id="345" w:name="_Toc179632568"/>
      <w:bookmarkStart w:id="346" w:name="_Toc144974518"/>
      <w:bookmarkStart w:id="347" w:name="_Toc15058867"/>
      <w:bookmarkStart w:id="348" w:name="_Toc78803343"/>
      <w:bookmarkStart w:id="349" w:name="_Toc506107289"/>
      <w:bookmarkStart w:id="350" w:name="_Toc35424908"/>
      <w:bookmarkStart w:id="351" w:name="_Toc246996938"/>
      <w:bookmarkStart w:id="352" w:name="_Toc246996195"/>
      <w:bookmarkStart w:id="353" w:name="_Toc296602440"/>
      <w:bookmarkStart w:id="354" w:name="_Toc152042326"/>
      <w:bookmarkStart w:id="355" w:name="_Toc10714"/>
      <w:bookmarkStart w:id="356" w:name="_Toc152045550"/>
      <w:r>
        <w:rPr>
          <w:rFonts w:hint="eastAsia" w:ascii="宋体" w:hAnsi="宋体" w:eastAsia="宋体" w:cs="宋体"/>
          <w:color w:val="auto"/>
          <w:highlight w:val="none"/>
        </w:rPr>
        <w:t>3.4 投标保证金</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1D11B245">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 投标人须知前附表规定递交投标保证金的，投标人在递交投标文件的同时，应按投标人须知前附表规定的金额、担保形式规定的或者事先经过招标人认可的保证金格式递交保证金，并作为其投标文件的组成部分。联合体投标的，其投标保证金由牵头人递交，并应符合投标人须知前附表的规定。</w:t>
      </w:r>
    </w:p>
    <w:p w14:paraId="3F78018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论采取何种形式的投标保证金，投标保证金有效期均应与投标有效期一致（采用保函的保证期截止时间不得早于该项目投标有效期的截止时间）。招标人如果按本章第3.3.3项的规定延长了投标有效期，则投标保证金的有效期也相应延长。</w:t>
      </w:r>
    </w:p>
    <w:p w14:paraId="56FF5AE7">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 投标人不按本章第3.4.1项要求提交投标保证金的，评标委员会将否决其投标。</w:t>
      </w:r>
    </w:p>
    <w:p w14:paraId="77920BDF">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xml:space="preserve">有下列情形之一的，投标保证金将不予退还： </w:t>
      </w:r>
    </w:p>
    <w:p w14:paraId="0DD74E7F">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（1）投标截止后投标人撤销投标文件的；</w:t>
      </w:r>
    </w:p>
    <w:p w14:paraId="38EC08CC">
      <w:pPr>
        <w:pageBreakBefore w:val="0"/>
        <w:widowControl w:val="0"/>
        <w:kinsoku/>
        <w:wordWrap/>
        <w:overflowPunct/>
        <w:topLinePunct w:val="0"/>
        <w:autoSpaceDE/>
        <w:autoSpaceDN/>
        <w:bidi w:val="0"/>
        <w:spacing w:line="420" w:lineRule="exact"/>
        <w:ind w:firstLine="420" w:firstLineChars="200"/>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（2）中标人无正当理由不与招标人订立合同，在签订合同时向招标人提出附加条件，或者不按照招标文件要求提交履约保证金的。</w:t>
      </w:r>
    </w:p>
    <w:p w14:paraId="1E0B748B">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357" w:name="_Toc35425075"/>
      <w:bookmarkStart w:id="358" w:name="_Toc78803344"/>
      <w:bookmarkStart w:id="359" w:name="_Toc15058868"/>
      <w:bookmarkStart w:id="360" w:name="_Toc324404837"/>
      <w:bookmarkStart w:id="361" w:name="_Toc19037"/>
      <w:bookmarkStart w:id="362" w:name="_Toc35424909"/>
      <w:bookmarkStart w:id="363" w:name="_Toc296602442"/>
      <w:bookmarkStart w:id="364" w:name="_Toc506107290"/>
      <w:bookmarkStart w:id="365" w:name="_Toc246996940"/>
      <w:bookmarkStart w:id="366" w:name="_Toc152045553"/>
      <w:bookmarkStart w:id="367" w:name="_Toc179632571"/>
      <w:bookmarkStart w:id="368" w:name="_Toc246996197"/>
      <w:bookmarkStart w:id="369" w:name="_Toc152042329"/>
      <w:bookmarkStart w:id="370" w:name="_Toc144974521"/>
      <w:bookmarkStart w:id="371" w:name="_Toc247085711"/>
      <w:r>
        <w:rPr>
          <w:rFonts w:hint="eastAsia" w:ascii="宋体" w:hAnsi="宋体" w:eastAsia="宋体" w:cs="宋体"/>
          <w:color w:val="auto"/>
          <w:highlight w:val="none"/>
        </w:rPr>
        <w:t>3.5投标文件的编制</w:t>
      </w:r>
      <w:bookmarkEnd w:id="357"/>
      <w:bookmarkEnd w:id="358"/>
      <w:bookmarkEnd w:id="359"/>
      <w:bookmarkEnd w:id="360"/>
      <w:bookmarkEnd w:id="361"/>
      <w:bookmarkEnd w:id="362"/>
      <w:bookmarkEnd w:id="363"/>
      <w:bookmarkEnd w:id="364"/>
    </w:p>
    <w:p w14:paraId="5EADB78B">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3.5.1投标文件应按第</w:t>
      </w:r>
      <w:r>
        <w:rPr>
          <w:rFonts w:hint="eastAsia" w:ascii="宋体" w:hAnsi="宋体" w:cs="宋体"/>
          <w:color w:val="auto"/>
          <w:szCs w:val="21"/>
          <w:highlight w:val="none"/>
          <w:lang w:val="en-US" w:eastAsia="zh-CN"/>
        </w:rPr>
        <w:t>八</w:t>
      </w:r>
      <w:r>
        <w:rPr>
          <w:rFonts w:hint="eastAsia" w:ascii="宋体" w:hAnsi="宋体" w:eastAsia="宋体" w:cs="宋体"/>
          <w:color w:val="auto"/>
          <w:szCs w:val="21"/>
          <w:highlight w:val="none"/>
        </w:rPr>
        <w:t>章“投标文件格式”进行编写，如有必要，可以增加附页，作为投标文件的组成部分。其中，投标函在满足招标文件实质性要求的基础上，可以提出比招标文件要求更有利于招标人的承诺。施工组织设计编制的特殊要求见投标人须知前附表。</w:t>
      </w:r>
    </w:p>
    <w:bookmarkEnd w:id="365"/>
    <w:bookmarkEnd w:id="366"/>
    <w:bookmarkEnd w:id="367"/>
    <w:bookmarkEnd w:id="368"/>
    <w:bookmarkEnd w:id="369"/>
    <w:bookmarkEnd w:id="370"/>
    <w:bookmarkEnd w:id="371"/>
    <w:p w14:paraId="0C2C8A6B">
      <w:pPr>
        <w:pageBreakBefore w:val="0"/>
        <w:widowControl w:val="0"/>
        <w:kinsoku/>
        <w:wordWrap/>
        <w:overflowPunct/>
        <w:topLinePunct w:val="0"/>
        <w:autoSpaceDE/>
        <w:autoSpaceDN/>
        <w:bidi w:val="0"/>
        <w:spacing w:line="420" w:lineRule="exact"/>
        <w:ind w:firstLine="422" w:firstLineChars="200"/>
        <w:jc w:val="left"/>
        <w:textAlignment w:val="auto"/>
        <w:rPr>
          <w:rFonts w:hint="eastAsia" w:ascii="宋体" w:hAnsi="宋体" w:eastAsia="宋体" w:cs="宋体"/>
          <w:color w:val="auto"/>
          <w:szCs w:val="21"/>
          <w:highlight w:val="none"/>
        </w:rPr>
      </w:pPr>
      <w:bookmarkStart w:id="372" w:name="_Toc152042331"/>
      <w:bookmarkStart w:id="373" w:name="_Toc152045555"/>
      <w:bookmarkStart w:id="374" w:name="_Toc246996942"/>
      <w:bookmarkStart w:id="375" w:name="_Toc179632573"/>
      <w:bookmarkStart w:id="376" w:name="_Toc324404838"/>
      <w:bookmarkStart w:id="377" w:name="_Toc144974523"/>
      <w:bookmarkStart w:id="378" w:name="_Toc247085713"/>
      <w:bookmarkStart w:id="379" w:name="_Toc246996199"/>
      <w:r>
        <w:rPr>
          <w:rFonts w:hint="eastAsia" w:ascii="宋体" w:hAnsi="宋体" w:eastAsia="宋体" w:cs="宋体"/>
          <w:b/>
          <w:bCs/>
          <w:color w:val="auto"/>
          <w:szCs w:val="21"/>
          <w:highlight w:val="none"/>
        </w:rPr>
        <w:t>3.5.2本次投标不需要提供纸质投标文件，投标人应按照</w:t>
      </w:r>
      <w:r>
        <w:rPr>
          <w:rFonts w:hint="eastAsia" w:ascii="宋体" w:hAnsi="宋体" w:eastAsia="宋体" w:cs="宋体"/>
          <w:b/>
          <w:bCs/>
          <w:color w:val="auto"/>
          <w:szCs w:val="21"/>
          <w:highlight w:val="none"/>
          <w:lang w:val="en-US" w:eastAsia="zh-CN"/>
        </w:rPr>
        <w:t>招标文件</w:t>
      </w:r>
      <w:r>
        <w:rPr>
          <w:rFonts w:hint="eastAsia" w:ascii="宋体" w:hAnsi="宋体" w:eastAsia="宋体" w:cs="宋体"/>
          <w:b/>
          <w:bCs/>
          <w:color w:val="auto"/>
          <w:szCs w:val="21"/>
          <w:highlight w:val="none"/>
        </w:rPr>
        <w:t>的要求，制作、签章、</w:t>
      </w:r>
      <w:r>
        <w:rPr>
          <w:rFonts w:hint="eastAsia" w:ascii="宋体" w:hAnsi="宋体" w:cs="宋体"/>
          <w:b/>
          <w:bCs/>
          <w:color w:val="auto"/>
          <w:szCs w:val="21"/>
          <w:highlight w:val="none"/>
          <w:lang w:val="en-US" w:eastAsia="zh-CN"/>
        </w:rPr>
        <w:t>上传</w:t>
      </w:r>
      <w:r>
        <w:rPr>
          <w:rFonts w:hint="eastAsia" w:ascii="宋体" w:hAnsi="宋体" w:eastAsia="宋体" w:cs="宋体"/>
          <w:b/>
          <w:bCs/>
          <w:color w:val="auto"/>
          <w:szCs w:val="21"/>
          <w:highlight w:val="none"/>
        </w:rPr>
        <w:t>加密的电子投标文件。</w:t>
      </w:r>
    </w:p>
    <w:p w14:paraId="2C6DC4A8">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3.5.3投标文件应当对招标文件有关工期、投标有效期、质量要求、技术标准和要求、招标范围等实质性内容作出响应。</w:t>
      </w:r>
    </w:p>
    <w:p w14:paraId="69663F81">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3.5.4 投标人须知前附表规定接受联合体投标的，资格审查资料应包括联合体各方相关情况。</w:t>
      </w:r>
    </w:p>
    <w:p w14:paraId="4A7347D2">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3.5.5 招标人有权核查投标人在投标文件中提供的资料，若在评标期间发现投标人提供了虚假资料，其投标将被否决；若在签订合同前发现作为中标候选人的投标人提供了虚假资料，招标人有权取消其中标资格；</w:t>
      </w:r>
      <w:r>
        <w:rPr>
          <w:rFonts w:hint="eastAsia" w:ascii="宋体" w:hAnsi="宋体" w:eastAsia="宋体" w:cs="宋体"/>
          <w:b/>
          <w:bCs/>
          <w:color w:val="auto"/>
          <w:szCs w:val="21"/>
          <w:highlight w:val="none"/>
        </w:rPr>
        <w:t>如果签订合同后发现中标人提供了虚假材料，招标人有权解除合同。</w:t>
      </w:r>
      <w:r>
        <w:rPr>
          <w:rFonts w:hint="eastAsia" w:ascii="宋体" w:hAnsi="宋体" w:eastAsia="宋体" w:cs="宋体"/>
          <w:color w:val="auto"/>
          <w:szCs w:val="21"/>
          <w:highlight w:val="none"/>
        </w:rPr>
        <w:t>同时招标人将投标人上述弄虚作假行为上报</w:t>
      </w:r>
      <w:r>
        <w:rPr>
          <w:rFonts w:hint="eastAsia" w:ascii="宋体" w:hAnsi="宋体" w:eastAsia="宋体" w:cs="宋体"/>
          <w:color w:val="auto"/>
          <w:szCs w:val="21"/>
          <w:highlight w:val="none"/>
          <w:lang w:val="en-US" w:eastAsia="zh-CN"/>
        </w:rPr>
        <w:t>相关</w:t>
      </w:r>
      <w:r>
        <w:rPr>
          <w:rFonts w:hint="eastAsia" w:ascii="宋体" w:hAnsi="宋体" w:eastAsia="宋体" w:cs="宋体"/>
          <w:color w:val="auto"/>
          <w:szCs w:val="21"/>
          <w:highlight w:val="none"/>
        </w:rPr>
        <w:t>部门处理。</w:t>
      </w:r>
    </w:p>
    <w:p w14:paraId="2751B063">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投标文件的制作应满足以下规定：</w:t>
      </w:r>
    </w:p>
    <w:p w14:paraId="514B3A76">
      <w:pPr>
        <w:pageBreakBefore w:val="0"/>
        <w:widowControl w:val="0"/>
        <w:numPr>
          <w:ilvl w:val="0"/>
          <w:numId w:val="0"/>
        </w:numPr>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（1）投标文件由投标人使用新点电子交易平台提供的“投标文件制作工具”制作生成。“投标文件制作工具”可以通过电子交易系统下载。</w:t>
      </w:r>
    </w:p>
    <w:p w14:paraId="71101C40">
      <w:pPr>
        <w:pageBreakBefore w:val="0"/>
        <w:widowControl w:val="0"/>
        <w:numPr>
          <w:ilvl w:val="0"/>
          <w:numId w:val="0"/>
        </w:numPr>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b/>
          <w:bCs/>
          <w:color w:val="auto"/>
          <w:szCs w:val="21"/>
          <w:highlight w:val="none"/>
        </w:rPr>
        <w:t>招标文件中“签章”是指签字或盖章。</w:t>
      </w:r>
      <w:r>
        <w:rPr>
          <w:rFonts w:hint="eastAsia" w:ascii="宋体" w:hAnsi="宋体" w:eastAsia="宋体" w:cs="宋体"/>
          <w:color w:val="auto"/>
          <w:szCs w:val="21"/>
          <w:highlight w:val="none"/>
        </w:rPr>
        <w:t>在第</w:t>
      </w:r>
      <w:r>
        <w:rPr>
          <w:rFonts w:hint="eastAsia" w:ascii="宋体" w:hAnsi="宋体" w:cs="宋体"/>
          <w:color w:val="auto"/>
          <w:szCs w:val="21"/>
          <w:highlight w:val="none"/>
          <w:lang w:val="en-US" w:eastAsia="zh-CN"/>
        </w:rPr>
        <w:t>八</w:t>
      </w:r>
      <w:r>
        <w:rPr>
          <w:rFonts w:hint="eastAsia" w:ascii="宋体" w:hAnsi="宋体" w:eastAsia="宋体" w:cs="宋体"/>
          <w:color w:val="auto"/>
          <w:szCs w:val="21"/>
          <w:highlight w:val="none"/>
        </w:rPr>
        <w:t>章“投标文件格式”中要求签章处，投标人应加盖投标人单位电子印章和法定代表人的个人电子印章/电子签名章或直接上传加盖投标人单位印章和法定代表人的印章（或签字）的原件彩色扫描件。联合体投标的，除联合体协议书外，投标文件由联合体牵头人按上述规定加盖联合体牵头人单位电子印章和法定代表人的个人电子印章/电子签名章或直接上传加盖联合体牵头人单位印章和法定代表人的印章（或签字）的原件彩色扫描件。</w:t>
      </w:r>
    </w:p>
    <w:p w14:paraId="4157439C">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投标文件制作完成后，投标人应对投标文件进行文件加密，形成加密的投标文件。采用CA数字证书加密的，加密时投标文件的所有内容均只能使用同一把CA数字证书进行加密，否则引起的解密失败责任由投标人自行承担。</w:t>
      </w:r>
    </w:p>
    <w:p w14:paraId="0D39D96A">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kern w:val="2"/>
          <w:sz w:val="21"/>
          <w:szCs w:val="21"/>
          <w:highlight w:val="none"/>
          <w:lang w:val="en-US" w:eastAsia="zh-CN" w:bidi="ar-SA"/>
        </w:rPr>
        <w:t>3.5.7 因投标人自身原因而导致投标文件无法导入电子交易系统电子开标、评标系统，该投标视为无效投标，投标人自行承担由此导致的全部责任</w:t>
      </w:r>
      <w:r>
        <w:rPr>
          <w:rFonts w:hint="eastAsia" w:ascii="宋体" w:hAnsi="宋体" w:eastAsia="宋体" w:cs="宋体"/>
          <w:color w:val="auto"/>
          <w:szCs w:val="21"/>
          <w:highlight w:val="none"/>
          <w:lang w:eastAsia="zh-CN"/>
        </w:rPr>
        <w:t>。</w:t>
      </w:r>
    </w:p>
    <w:p w14:paraId="3AFD8E88">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3.6 备选投标方案</w:t>
      </w:r>
    </w:p>
    <w:p w14:paraId="4C07A0F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3.6.1除投标人须知前附表规定允许外，投标人不得递交备选投标方案，否则其投标将被否决。</w:t>
      </w:r>
    </w:p>
    <w:p w14:paraId="46C31E67">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3.6.2允许投标人递交备选投标方案的，只有中标人所递交的备选投标方案方可予以考虑。评标委员会认为中标人的备选投标方案优于其按照招标文件要求编制的投标方案的，招标人可以接受该备选投标方案。</w:t>
      </w:r>
    </w:p>
    <w:p w14:paraId="062A6E15">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3.6.3投标人提供两个或两个以上投标报价，或在投标文件中提供一个报价，但同时提供两个或两个以上施工组织设计的，视为提供备选方案。</w:t>
      </w:r>
    </w:p>
    <w:p w14:paraId="7D818A36">
      <w:pPr>
        <w:pStyle w:val="7"/>
        <w:pageBreakBefore w:val="0"/>
        <w:widowControl w:val="0"/>
        <w:kinsoku/>
        <w:wordWrap/>
        <w:overflowPunct/>
        <w:topLinePunct w:val="0"/>
        <w:autoSpaceDE/>
        <w:autoSpaceDN/>
        <w:bidi w:val="0"/>
        <w:spacing w:beforeLines="50" w:afterLines="50" w:line="420" w:lineRule="exact"/>
        <w:ind w:firstLine="482" w:firstLineChars="200"/>
        <w:textAlignment w:val="auto"/>
        <w:rPr>
          <w:rFonts w:ascii="宋体" w:hAnsi="宋体" w:eastAsia="宋体" w:cs="宋体"/>
          <w:color w:val="auto"/>
          <w:sz w:val="24"/>
          <w:szCs w:val="24"/>
          <w:highlight w:val="none"/>
        </w:rPr>
      </w:pPr>
      <w:bookmarkStart w:id="380" w:name="_Toc35424910"/>
      <w:bookmarkStart w:id="381" w:name="_Toc506107291"/>
      <w:bookmarkStart w:id="382" w:name="_Toc15058869"/>
      <w:bookmarkStart w:id="383" w:name="_Toc19455"/>
      <w:bookmarkStart w:id="384" w:name="_Toc78803345"/>
      <w:bookmarkStart w:id="385" w:name="_Toc35425076"/>
      <w:r>
        <w:rPr>
          <w:rFonts w:hint="eastAsia" w:ascii="宋体" w:hAnsi="宋体" w:eastAsia="宋体" w:cs="宋体"/>
          <w:color w:val="auto"/>
          <w:sz w:val="24"/>
          <w:szCs w:val="24"/>
          <w:highlight w:val="none"/>
        </w:rPr>
        <w:t>4.投标</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428D5FF5">
      <w:pPr>
        <w:pStyle w:val="7"/>
        <w:pageBreakBefore w:val="0"/>
        <w:widowControl w:val="0"/>
        <w:kinsoku/>
        <w:wordWrap/>
        <w:overflowPunct/>
        <w:topLinePunct w:val="0"/>
        <w:autoSpaceDE/>
        <w:autoSpaceDN/>
        <w:bidi w:val="0"/>
        <w:spacing w:line="420" w:lineRule="exact"/>
        <w:ind w:firstLine="422" w:firstLineChars="200"/>
        <w:textAlignment w:val="auto"/>
        <w:rPr>
          <w:rFonts w:hint="default" w:ascii="宋体" w:hAnsi="宋体" w:eastAsia="宋体" w:cs="宋体"/>
          <w:color w:val="auto"/>
          <w:highlight w:val="none"/>
          <w:lang w:val="en-US" w:eastAsia="zh-CN"/>
        </w:rPr>
      </w:pPr>
      <w:bookmarkStart w:id="386" w:name="_Toc35425077"/>
      <w:bookmarkStart w:id="387" w:name="_Toc78803346"/>
      <w:bookmarkStart w:id="388" w:name="_Toc15058870"/>
      <w:bookmarkStart w:id="389" w:name="_Toc14473"/>
      <w:bookmarkStart w:id="390" w:name="_Toc35424911"/>
      <w:r>
        <w:rPr>
          <w:rFonts w:hint="eastAsia" w:ascii="宋体" w:hAnsi="宋体" w:eastAsia="宋体" w:cs="宋体"/>
          <w:color w:val="auto"/>
          <w:highlight w:val="none"/>
        </w:rPr>
        <w:t>4.1投标文件</w:t>
      </w:r>
      <w:bookmarkEnd w:id="386"/>
      <w:bookmarkEnd w:id="387"/>
      <w:bookmarkEnd w:id="388"/>
      <w:bookmarkEnd w:id="389"/>
      <w:bookmarkEnd w:id="390"/>
      <w:r>
        <w:rPr>
          <w:rFonts w:hint="eastAsia" w:ascii="宋体" w:hAnsi="宋体" w:eastAsia="宋体" w:cs="宋体"/>
          <w:color w:val="auto"/>
          <w:highlight w:val="none"/>
          <w:lang w:val="en-US" w:eastAsia="zh-CN"/>
        </w:rPr>
        <w:t>的提交</w:t>
      </w:r>
    </w:p>
    <w:p w14:paraId="4F7DAAFD">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4.1.1请投标人通过</w:t>
      </w:r>
      <w:r>
        <w:rPr>
          <w:rFonts w:hint="eastAsia" w:ascii="宋体" w:hAnsi="宋体" w:eastAsia="宋体" w:cs="宋体"/>
          <w:color w:val="auto"/>
          <w:szCs w:val="21"/>
          <w:highlight w:val="none"/>
          <w:lang w:val="en-US" w:eastAsia="zh-CN"/>
        </w:rPr>
        <w:t>新点电子交易平台</w:t>
      </w:r>
      <w:r>
        <w:rPr>
          <w:rFonts w:hint="eastAsia" w:ascii="宋体" w:hAnsi="宋体" w:eastAsia="宋体" w:cs="宋体"/>
          <w:color w:val="auto"/>
          <w:szCs w:val="21"/>
          <w:highlight w:val="none"/>
        </w:rPr>
        <w:t>下载投标工具制作投标文件，并利用CA数字证书进行上传投标文件，上传已加密的投标文件，务必通过此方式上传投标文件。</w:t>
      </w:r>
    </w:p>
    <w:p w14:paraId="041AC3C3">
      <w:pPr>
        <w:pageBreakBefore w:val="0"/>
        <w:widowControl w:val="0"/>
        <w:kinsoku/>
        <w:wordWrap/>
        <w:overflowPunct/>
        <w:topLinePunct w:val="0"/>
        <w:autoSpaceDE/>
        <w:autoSpaceDN/>
        <w:bidi w:val="0"/>
        <w:spacing w:line="420" w:lineRule="exact"/>
        <w:ind w:firstLine="422" w:firstLineChars="200"/>
        <w:jc w:val="left"/>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4.1.2</w:t>
      </w:r>
      <w:r>
        <w:rPr>
          <w:rFonts w:hint="eastAsia" w:ascii="宋体" w:hAnsi="宋体" w:eastAsia="宋体" w:cs="宋体"/>
          <w:b/>
          <w:bCs/>
          <w:color w:val="auto"/>
          <w:szCs w:val="21"/>
          <w:highlight w:val="none"/>
          <w:lang w:val="en-US" w:eastAsia="zh-CN"/>
        </w:rPr>
        <w:t>投标人在投标文件编制、签章、上传过程中如有任何操作的疑问请及时联系技术支持，电话：400928009-5 （工作日）或者网站首页在线客服</w:t>
      </w:r>
      <w:r>
        <w:rPr>
          <w:rFonts w:hint="eastAsia" w:ascii="宋体" w:hAnsi="宋体" w:eastAsia="宋体" w:cs="宋体"/>
          <w:b/>
          <w:bCs/>
          <w:color w:val="auto"/>
          <w:szCs w:val="21"/>
          <w:highlight w:val="none"/>
          <w:u w:val="none"/>
          <w:lang w:val="en-US" w:eastAsia="zh-CN"/>
        </w:rPr>
        <w:t>。</w:t>
      </w:r>
    </w:p>
    <w:p w14:paraId="74182504">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391" w:name="_Toc35425080"/>
      <w:bookmarkStart w:id="392" w:name="_Toc78803347"/>
      <w:bookmarkStart w:id="393" w:name="_Toc152042334"/>
      <w:bookmarkStart w:id="394" w:name="_Toc246996202"/>
      <w:bookmarkStart w:id="395" w:name="_Toc179632576"/>
      <w:bookmarkStart w:id="396" w:name="_Toc246996945"/>
      <w:bookmarkStart w:id="397" w:name="_Toc247085716"/>
      <w:bookmarkStart w:id="398" w:name="_Toc19572"/>
      <w:bookmarkStart w:id="399" w:name="_Toc506107294"/>
      <w:bookmarkStart w:id="400" w:name="_Toc35424914"/>
      <w:bookmarkStart w:id="401" w:name="_Toc324404841"/>
      <w:bookmarkStart w:id="402" w:name="_Toc144974526"/>
      <w:bookmarkStart w:id="403" w:name="_Toc15058873"/>
      <w:bookmarkStart w:id="404" w:name="_Toc296602446"/>
      <w:bookmarkStart w:id="405" w:name="_Toc152045558"/>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 投标文件的修改与撤回</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2DB18BE7">
      <w:pPr>
        <w:pageBreakBefore w:val="0"/>
        <w:widowControl w:val="0"/>
        <w:kinsoku/>
        <w:wordWrap/>
        <w:overflowPunct/>
        <w:topLinePunct w:val="0"/>
        <w:autoSpaceDE/>
        <w:autoSpaceDN/>
        <w:bidi w:val="0"/>
        <w:spacing w:line="420" w:lineRule="exact"/>
        <w:ind w:firstLine="422" w:firstLineChars="200"/>
        <w:jc w:val="left"/>
        <w:textAlignment w:val="auto"/>
        <w:rPr>
          <w:rFonts w:ascii="宋体" w:hAnsi="宋体" w:cs="宋体"/>
          <w:color w:val="auto"/>
          <w:szCs w:val="21"/>
          <w:highlight w:val="none"/>
        </w:rPr>
      </w:pPr>
      <w:r>
        <w:rPr>
          <w:rFonts w:hint="eastAsia" w:ascii="宋体" w:hAnsi="宋体" w:cs="宋体"/>
          <w:b/>
          <w:color w:val="auto"/>
          <w:szCs w:val="21"/>
          <w:highlight w:val="none"/>
        </w:rPr>
        <w:t>4.</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.1 在规定的投标截止时间前，投标人可以自行从网上新点电子交易平台撤回已递交的投标文件，并可修改后重新加密上传，开标时以投标截止时间前投标人最终上传的投标文件为准。</w:t>
      </w:r>
    </w:p>
    <w:p w14:paraId="54810E39">
      <w:pPr>
        <w:pStyle w:val="7"/>
        <w:pageBreakBefore w:val="0"/>
        <w:widowControl w:val="0"/>
        <w:kinsoku/>
        <w:wordWrap/>
        <w:overflowPunct/>
        <w:topLinePunct w:val="0"/>
        <w:autoSpaceDE/>
        <w:autoSpaceDN/>
        <w:bidi w:val="0"/>
        <w:spacing w:beforeLines="50" w:afterLines="50" w:line="420" w:lineRule="exact"/>
        <w:ind w:firstLine="482" w:firstLineChars="200"/>
        <w:textAlignment w:val="auto"/>
        <w:rPr>
          <w:rFonts w:ascii="宋体" w:hAnsi="宋体" w:eastAsia="宋体" w:cs="宋体"/>
          <w:color w:val="auto"/>
          <w:sz w:val="24"/>
          <w:szCs w:val="24"/>
          <w:highlight w:val="none"/>
        </w:rPr>
      </w:pPr>
      <w:bookmarkStart w:id="406" w:name="_Toc246996946"/>
      <w:bookmarkStart w:id="407" w:name="_Toc78803348"/>
      <w:bookmarkStart w:id="408" w:name="_Toc506107295"/>
      <w:bookmarkStart w:id="409" w:name="_Toc152042335"/>
      <w:bookmarkStart w:id="410" w:name="_Toc246996203"/>
      <w:bookmarkStart w:id="411" w:name="_Toc144974527"/>
      <w:bookmarkStart w:id="412" w:name="_Toc35424915"/>
      <w:bookmarkStart w:id="413" w:name="_Toc15058874"/>
      <w:bookmarkStart w:id="414" w:name="_Toc152045559"/>
      <w:bookmarkStart w:id="415" w:name="_Toc35425081"/>
      <w:bookmarkStart w:id="416" w:name="_Toc247085717"/>
      <w:bookmarkStart w:id="417" w:name="_Toc324404842"/>
      <w:bookmarkStart w:id="418" w:name="_Toc179632577"/>
      <w:bookmarkStart w:id="419" w:name="_Toc29639"/>
      <w:r>
        <w:rPr>
          <w:rFonts w:hint="eastAsia" w:ascii="宋体" w:hAnsi="宋体" w:eastAsia="宋体" w:cs="宋体"/>
          <w:color w:val="auto"/>
          <w:sz w:val="24"/>
          <w:szCs w:val="24"/>
          <w:highlight w:val="none"/>
        </w:rPr>
        <w:t>5. 开标</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53EC18D2">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420" w:name="_Toc35424916"/>
      <w:bookmarkStart w:id="421" w:name="_Toc13691"/>
      <w:bookmarkStart w:id="422" w:name="_Toc179632578"/>
      <w:bookmarkStart w:id="423" w:name="_Toc246996204"/>
      <w:bookmarkStart w:id="424" w:name="_Toc35425082"/>
      <w:bookmarkStart w:id="425" w:name="_Toc15058875"/>
      <w:bookmarkStart w:id="426" w:name="_Toc296602448"/>
      <w:bookmarkStart w:id="427" w:name="_Toc324404843"/>
      <w:bookmarkStart w:id="428" w:name="_Toc506107296"/>
      <w:bookmarkStart w:id="429" w:name="_Toc152045560"/>
      <w:bookmarkStart w:id="430" w:name="_Toc152042336"/>
      <w:bookmarkStart w:id="431" w:name="_Toc246996947"/>
      <w:bookmarkStart w:id="432" w:name="_Toc78803349"/>
      <w:bookmarkStart w:id="433" w:name="_Toc247085718"/>
      <w:bookmarkStart w:id="434" w:name="_Toc144974528"/>
      <w:r>
        <w:rPr>
          <w:rFonts w:hint="eastAsia" w:ascii="宋体" w:hAnsi="宋体" w:eastAsia="宋体" w:cs="宋体"/>
          <w:color w:val="auto"/>
          <w:highlight w:val="none"/>
        </w:rPr>
        <w:t>5.1 开标时间和地点</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35BB653F">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招标人在投标人须知前附表规定的投标截止时间（开标时间）和地点通过新点电子交易平台公开开标。</w:t>
      </w:r>
    </w:p>
    <w:p w14:paraId="269D989E">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435" w:name="_Toc144974529"/>
      <w:bookmarkStart w:id="436" w:name="_Toc246996205"/>
      <w:bookmarkStart w:id="437" w:name="_Toc296602449"/>
      <w:bookmarkStart w:id="438" w:name="_Toc78803350"/>
      <w:bookmarkStart w:id="439" w:name="_Toc35425083"/>
      <w:bookmarkStart w:id="440" w:name="_Toc246996948"/>
      <w:bookmarkStart w:id="441" w:name="_Toc324404844"/>
      <w:bookmarkStart w:id="442" w:name="_Toc152042337"/>
      <w:bookmarkStart w:id="443" w:name="_Toc506107297"/>
      <w:bookmarkStart w:id="444" w:name="_Toc247085719"/>
      <w:bookmarkStart w:id="445" w:name="_Toc32451"/>
      <w:bookmarkStart w:id="446" w:name="_Toc152045561"/>
      <w:bookmarkStart w:id="447" w:name="_Toc35424917"/>
      <w:bookmarkStart w:id="448" w:name="_Toc179632579"/>
      <w:bookmarkStart w:id="449" w:name="_Toc15058876"/>
      <w:r>
        <w:rPr>
          <w:rFonts w:hint="eastAsia" w:ascii="宋体" w:hAnsi="宋体" w:eastAsia="宋体" w:cs="宋体"/>
          <w:color w:val="auto"/>
          <w:highlight w:val="none"/>
        </w:rPr>
        <w:t>5.2 开标程序</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1AF56C4E">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主持人按下列程序进行开标：</w:t>
      </w:r>
      <w:bookmarkStart w:id="450" w:name="_Toc324404845"/>
      <w:bookmarkStart w:id="451" w:name="_Toc296602450"/>
    </w:p>
    <w:p w14:paraId="2E43154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bookmarkStart w:id="452" w:name="_Toc15058877"/>
      <w:bookmarkStart w:id="453" w:name="_Toc506107298"/>
      <w:r>
        <w:rPr>
          <w:rFonts w:hint="eastAsia" w:ascii="宋体" w:hAnsi="宋体" w:cs="宋体"/>
          <w:color w:val="auto"/>
          <w:szCs w:val="21"/>
          <w:highlight w:val="none"/>
        </w:rPr>
        <w:t>（1）</w:t>
      </w:r>
      <w:bookmarkEnd w:id="452"/>
      <w:bookmarkStart w:id="454" w:name="_Toc15058882"/>
      <w:r>
        <w:rPr>
          <w:rFonts w:hint="eastAsia" w:ascii="宋体" w:hAnsi="宋体" w:cs="宋体"/>
          <w:color w:val="auto"/>
          <w:szCs w:val="21"/>
          <w:highlight w:val="none"/>
        </w:rPr>
        <w:t>公布在投标截止时间前通过</w:t>
      </w:r>
      <w:r>
        <w:rPr>
          <w:rFonts w:hint="eastAsia" w:ascii="宋体" w:hAnsi="宋体" w:cs="宋体"/>
          <w:color w:val="auto"/>
          <w:szCs w:val="21"/>
          <w:highlight w:val="none"/>
          <w:lang w:val="en-US" w:eastAsia="zh-CN"/>
        </w:rPr>
        <w:t>新点电子交易平台</w:t>
      </w:r>
      <w:r>
        <w:rPr>
          <w:rFonts w:hint="eastAsia" w:ascii="宋体" w:hAnsi="宋体" w:cs="宋体"/>
          <w:color w:val="auto"/>
          <w:szCs w:val="21"/>
          <w:highlight w:val="none"/>
        </w:rPr>
        <w:t>完成投标文件递交的投标人名称；</w:t>
      </w:r>
    </w:p>
    <w:p w14:paraId="3452F290">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（2）投标人在投标截止时间后在投标人须知前附表规定的解密时间内完成投标文件的解密工作；</w:t>
      </w:r>
    </w:p>
    <w:p w14:paraId="40129C21">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（3）招标人或招标代理机构完成解密工作，导入并读取所有成功解密的投标文件；</w:t>
      </w:r>
    </w:p>
    <w:p w14:paraId="1D5BF688">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（4）按投标人须知前附表规定公布投标人名称、投标报价</w:t>
      </w:r>
      <w:r>
        <w:rPr>
          <w:rFonts w:hint="eastAsia" w:ascii="宋体" w:hAnsi="宋体" w:cs="宋体"/>
          <w:color w:val="auto"/>
          <w:szCs w:val="21"/>
          <w:highlight w:val="none"/>
          <w:lang w:val="en-US" w:eastAsia="zh-CN"/>
        </w:rPr>
        <w:t>等</w:t>
      </w:r>
      <w:r>
        <w:rPr>
          <w:rFonts w:hint="eastAsia" w:ascii="宋体" w:hAnsi="宋体" w:cs="宋体"/>
          <w:color w:val="auto"/>
          <w:szCs w:val="21"/>
          <w:highlight w:val="none"/>
        </w:rPr>
        <w:t>内容；</w:t>
      </w:r>
    </w:p>
    <w:p w14:paraId="2C9966FF">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（5）开标结束。</w:t>
      </w:r>
      <w:bookmarkEnd w:id="454"/>
    </w:p>
    <w:p w14:paraId="7024519A">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5.3 开标异议</w:t>
      </w:r>
    </w:p>
    <w:p w14:paraId="6DC38D07">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投标人对开标有异议的，应当在开标过程中提出，招标人在开标过程中作出答复，并制作记录。异议与答复应通过新点电子交易平台进行。</w:t>
      </w:r>
    </w:p>
    <w:bookmarkEnd w:id="450"/>
    <w:bookmarkEnd w:id="451"/>
    <w:bookmarkEnd w:id="453"/>
    <w:p w14:paraId="6DA8798D">
      <w:pPr>
        <w:pStyle w:val="7"/>
        <w:pageBreakBefore w:val="0"/>
        <w:widowControl w:val="0"/>
        <w:kinsoku/>
        <w:wordWrap/>
        <w:overflowPunct/>
        <w:topLinePunct w:val="0"/>
        <w:autoSpaceDE/>
        <w:autoSpaceDN/>
        <w:bidi w:val="0"/>
        <w:spacing w:beforeLines="50" w:afterLines="50" w:line="420" w:lineRule="exact"/>
        <w:ind w:firstLine="482" w:firstLineChars="200"/>
        <w:textAlignment w:val="auto"/>
        <w:rPr>
          <w:rFonts w:ascii="宋体" w:hAnsi="宋体" w:eastAsia="宋体" w:cs="宋体"/>
          <w:color w:val="auto"/>
          <w:sz w:val="24"/>
          <w:szCs w:val="24"/>
          <w:highlight w:val="none"/>
        </w:rPr>
      </w:pPr>
      <w:bookmarkStart w:id="455" w:name="_Toc35425085"/>
      <w:bookmarkStart w:id="456" w:name="_Toc152045562"/>
      <w:bookmarkStart w:id="457" w:name="_Toc35424919"/>
      <w:bookmarkStart w:id="458" w:name="_Toc246996206"/>
      <w:bookmarkStart w:id="459" w:name="_Toc152042338"/>
      <w:bookmarkStart w:id="460" w:name="_Toc179632580"/>
      <w:bookmarkStart w:id="461" w:name="_Toc78803352"/>
      <w:bookmarkStart w:id="462" w:name="_Toc246996949"/>
      <w:bookmarkStart w:id="463" w:name="_Toc506107299"/>
      <w:bookmarkStart w:id="464" w:name="_Toc324404846"/>
      <w:bookmarkStart w:id="465" w:name="_Toc15058884"/>
      <w:bookmarkStart w:id="466" w:name="_Toc20689"/>
      <w:bookmarkStart w:id="467" w:name="_Toc144974530"/>
      <w:bookmarkStart w:id="468" w:name="_Toc247085720"/>
      <w:r>
        <w:rPr>
          <w:rFonts w:hint="eastAsia" w:ascii="宋体" w:hAnsi="宋体" w:eastAsia="宋体" w:cs="宋体"/>
          <w:color w:val="auto"/>
          <w:sz w:val="24"/>
          <w:szCs w:val="24"/>
          <w:highlight w:val="none"/>
        </w:rPr>
        <w:t>6. 评标</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78701A69">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469" w:name="_Toc35425086"/>
      <w:bookmarkStart w:id="470" w:name="_Toc15058885"/>
      <w:bookmarkStart w:id="471" w:name="_Toc152045563"/>
      <w:bookmarkStart w:id="472" w:name="_Toc246996207"/>
      <w:bookmarkStart w:id="473" w:name="_Toc14249"/>
      <w:bookmarkStart w:id="474" w:name="_Toc144974531"/>
      <w:bookmarkStart w:id="475" w:name="_Toc179632581"/>
      <w:bookmarkStart w:id="476" w:name="_Toc506107300"/>
      <w:bookmarkStart w:id="477" w:name="_Toc324404847"/>
      <w:bookmarkStart w:id="478" w:name="_Toc78803353"/>
      <w:bookmarkStart w:id="479" w:name="_Toc152042339"/>
      <w:bookmarkStart w:id="480" w:name="_Toc247085721"/>
      <w:bookmarkStart w:id="481" w:name="_Toc35424920"/>
      <w:bookmarkStart w:id="482" w:name="_Toc246996950"/>
      <w:bookmarkStart w:id="483" w:name="_Toc296602452"/>
      <w:r>
        <w:rPr>
          <w:rFonts w:hint="eastAsia" w:ascii="宋体" w:hAnsi="宋体" w:eastAsia="宋体" w:cs="宋体"/>
          <w:color w:val="auto"/>
          <w:highlight w:val="none"/>
        </w:rPr>
        <w:t>6.1 评标委员会</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4C6C8C5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24440D6">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6.1.2 评标委员会成员有下列情形之一的，应当回避：</w:t>
      </w:r>
    </w:p>
    <w:p w14:paraId="6F7C2F02">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（1）项目主管部门或行政监督管理部门，项目属地的公共资源交易综合管理部门、交易中心的工作人员； </w:t>
      </w:r>
    </w:p>
    <w:p w14:paraId="3768D94D">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（2）与竞争主体主要负责人或者授权参与交易的代理人有近亲属关系的人员； </w:t>
      </w:r>
    </w:p>
    <w:p w14:paraId="66067B0A">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（3）竞争主体的工作人员或者退休人员； </w:t>
      </w:r>
    </w:p>
    <w:p w14:paraId="231F4BCD">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（4）竞争主体的上级主管、控股或者被控股单位等相关利害关系的人员，或任职单位与竞争主体单位为同一法定代表人的； </w:t>
      </w:r>
    </w:p>
    <w:p w14:paraId="545A2346">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（5）存在其他法定回避情形的。</w:t>
      </w:r>
    </w:p>
    <w:p w14:paraId="69F17898">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项目实施主体及其子公司、下属单位、上级主管部门或者控股公司的工作人员或者退休人员不得以专家身份参与本单位或者代理项目的评标评审。 </w:t>
      </w:r>
    </w:p>
    <w:p w14:paraId="3AB26326">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评标委员会或评审机构成员有前两款规定情形的，应当主动提出回避；已经进入的应当更换，被更换的成员评标评审意见无效。 </w:t>
      </w:r>
    </w:p>
    <w:p w14:paraId="424AFD3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6.1.3评标过程中，评标委员会成员有回避事由、擅离职守或因健康等原因不能继续评标的， 招标人有权更换。被更换的评标委员会成员作出的评审结论无效，由更换后的评标委员会成员重新进行评审。</w:t>
      </w:r>
    </w:p>
    <w:p w14:paraId="5F83F45C">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484" w:name="_Toc506107301"/>
      <w:bookmarkStart w:id="485" w:name="_Toc12948"/>
      <w:bookmarkStart w:id="486" w:name="_Toc15058886"/>
      <w:bookmarkStart w:id="487" w:name="_Toc35424921"/>
      <w:bookmarkStart w:id="488" w:name="_Toc152045564"/>
      <w:bookmarkStart w:id="489" w:name="_Toc246996951"/>
      <w:bookmarkStart w:id="490" w:name="_Toc179632582"/>
      <w:bookmarkStart w:id="491" w:name="_Toc35425087"/>
      <w:bookmarkStart w:id="492" w:name="_Toc296602453"/>
      <w:bookmarkStart w:id="493" w:name="_Toc246996208"/>
      <w:bookmarkStart w:id="494" w:name="_Toc144974532"/>
      <w:bookmarkStart w:id="495" w:name="_Toc324404848"/>
      <w:bookmarkStart w:id="496" w:name="_Toc152042340"/>
      <w:bookmarkStart w:id="497" w:name="_Toc247085722"/>
      <w:bookmarkStart w:id="498" w:name="_Toc78803354"/>
      <w:r>
        <w:rPr>
          <w:rFonts w:hint="eastAsia" w:ascii="宋体" w:hAnsi="宋体" w:eastAsia="宋体" w:cs="宋体"/>
          <w:color w:val="auto"/>
          <w:highlight w:val="none"/>
        </w:rPr>
        <w:t>6.2 评标原则</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609DF64E">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评标活动遵循公平、公正、科学和择优的原则。</w:t>
      </w:r>
    </w:p>
    <w:p w14:paraId="2CC2DB36">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499" w:name="_Toc152045565"/>
      <w:bookmarkStart w:id="500" w:name="_Toc296602454"/>
      <w:bookmarkStart w:id="501" w:name="_Toc35424922"/>
      <w:bookmarkStart w:id="502" w:name="_Toc35425088"/>
      <w:bookmarkStart w:id="503" w:name="_Toc78803355"/>
      <w:bookmarkStart w:id="504" w:name="_Toc14892"/>
      <w:bookmarkStart w:id="505" w:name="_Toc506107302"/>
      <w:bookmarkStart w:id="506" w:name="_Toc152042341"/>
      <w:bookmarkStart w:id="507" w:name="_Toc246996952"/>
      <w:bookmarkStart w:id="508" w:name="_Toc144974533"/>
      <w:bookmarkStart w:id="509" w:name="_Toc179632583"/>
      <w:bookmarkStart w:id="510" w:name="_Toc15058887"/>
      <w:bookmarkStart w:id="511" w:name="_Toc324404849"/>
      <w:bookmarkStart w:id="512" w:name="_Toc246996209"/>
      <w:bookmarkStart w:id="513" w:name="_Toc247085723"/>
      <w:r>
        <w:rPr>
          <w:rFonts w:hint="eastAsia" w:ascii="宋体" w:hAnsi="宋体" w:eastAsia="宋体" w:cs="宋体"/>
          <w:color w:val="auto"/>
          <w:highlight w:val="none"/>
        </w:rPr>
        <w:t>6.3 评标</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676AE677">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bookmarkStart w:id="514" w:name="_Toc144974534"/>
      <w:bookmarkStart w:id="515" w:name="_Toc152045566"/>
      <w:bookmarkStart w:id="516" w:name="_Toc179632584"/>
      <w:bookmarkStart w:id="517" w:name="_Toc246996953"/>
      <w:bookmarkStart w:id="518" w:name="_Toc247085724"/>
      <w:bookmarkStart w:id="519" w:name="_Toc324404850"/>
      <w:bookmarkStart w:id="520" w:name="_Toc246996210"/>
      <w:bookmarkStart w:id="521" w:name="_Toc152042342"/>
      <w:r>
        <w:rPr>
          <w:rFonts w:hint="eastAsia" w:ascii="宋体" w:hAnsi="宋体" w:cs="宋体"/>
          <w:color w:val="auto"/>
          <w:szCs w:val="21"/>
          <w:highlight w:val="none"/>
        </w:rPr>
        <w:t>6.3.1评标委员会按照第三章“评标办法”规定的方法、评审因素、标准和程序对投标文件进行评审。第三章“评标办法”没有规定的方法、评审因素和标准，不作为评标依据。</w:t>
      </w:r>
    </w:p>
    <w:p w14:paraId="500306B2">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6.3.2评标完成后，评标委员会应向招标人提交书面评标报告和中标候选人名单。评标委员会推荐中标候选人的人数见投标人须知前附表。</w:t>
      </w:r>
    </w:p>
    <w:p w14:paraId="0CE8491E">
      <w:pPr>
        <w:pStyle w:val="7"/>
        <w:pageBreakBefore w:val="0"/>
        <w:widowControl w:val="0"/>
        <w:kinsoku/>
        <w:wordWrap/>
        <w:overflowPunct/>
        <w:topLinePunct w:val="0"/>
        <w:autoSpaceDE/>
        <w:autoSpaceDN/>
        <w:bidi w:val="0"/>
        <w:spacing w:beforeLines="50" w:afterLines="50" w:line="420" w:lineRule="exact"/>
        <w:ind w:firstLine="482" w:firstLineChars="200"/>
        <w:textAlignment w:val="auto"/>
        <w:rPr>
          <w:rFonts w:ascii="宋体" w:hAnsi="宋体" w:eastAsia="宋体" w:cs="宋体"/>
          <w:color w:val="auto"/>
          <w:sz w:val="24"/>
          <w:szCs w:val="24"/>
          <w:highlight w:val="none"/>
        </w:rPr>
      </w:pPr>
      <w:bookmarkStart w:id="522" w:name="_Toc15058888"/>
      <w:bookmarkStart w:id="523" w:name="_Toc35425089"/>
      <w:bookmarkStart w:id="524" w:name="_Toc35424923"/>
      <w:bookmarkStart w:id="525" w:name="_Toc78803356"/>
      <w:bookmarkStart w:id="526" w:name="_Toc506107303"/>
      <w:bookmarkStart w:id="527" w:name="_Toc26182"/>
      <w:r>
        <w:rPr>
          <w:rFonts w:hint="eastAsia" w:ascii="宋体" w:hAnsi="宋体" w:eastAsia="宋体" w:cs="宋体"/>
          <w:color w:val="auto"/>
          <w:sz w:val="24"/>
          <w:szCs w:val="24"/>
          <w:highlight w:val="none"/>
        </w:rPr>
        <w:t>7. 合同授予</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14:paraId="0064B0A8">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528" w:name="_Toc296602457"/>
      <w:bookmarkStart w:id="529" w:name="_Toc83301726"/>
      <w:bookmarkStart w:id="530" w:name="_Toc95223374"/>
      <w:bookmarkStart w:id="531" w:name="_Toc506107305"/>
      <w:bookmarkStart w:id="532" w:name="_Toc15058890"/>
      <w:bookmarkStart w:id="533" w:name="_Toc60061472"/>
      <w:bookmarkStart w:id="534" w:name="_Toc324404852"/>
      <w:bookmarkStart w:id="535" w:name="_Toc4204"/>
      <w:bookmarkStart w:id="536" w:name="_Toc152045568"/>
      <w:bookmarkStart w:id="537" w:name="_Toc296602458"/>
      <w:bookmarkStart w:id="538" w:name="_Toc247085726"/>
      <w:bookmarkStart w:id="539" w:name="_Toc246996212"/>
      <w:bookmarkStart w:id="540" w:name="_Toc506107306"/>
      <w:bookmarkStart w:id="541" w:name="_Toc246996955"/>
      <w:bookmarkStart w:id="542" w:name="_Toc78803360"/>
      <w:bookmarkStart w:id="543" w:name="_Toc15058891"/>
      <w:bookmarkStart w:id="544" w:name="_Toc179632586"/>
      <w:bookmarkStart w:id="545" w:name="_Toc152042344"/>
      <w:bookmarkStart w:id="546" w:name="_Toc35425093"/>
      <w:bookmarkStart w:id="547" w:name="_Toc14692"/>
      <w:bookmarkStart w:id="548" w:name="_Toc35424927"/>
      <w:bookmarkStart w:id="549" w:name="_Toc324404853"/>
      <w:bookmarkStart w:id="550" w:name="_Toc144974536"/>
      <w:r>
        <w:rPr>
          <w:rFonts w:hint="eastAsia" w:ascii="宋体" w:hAnsi="宋体" w:eastAsia="宋体" w:cs="宋体"/>
          <w:color w:val="auto"/>
          <w:highlight w:val="none"/>
        </w:rPr>
        <w:t>7.1 中标候选人公示</w:t>
      </w:r>
      <w:bookmarkEnd w:id="528"/>
      <w:bookmarkEnd w:id="529"/>
      <w:bookmarkEnd w:id="530"/>
      <w:bookmarkEnd w:id="531"/>
      <w:bookmarkEnd w:id="532"/>
      <w:bookmarkEnd w:id="533"/>
      <w:bookmarkEnd w:id="534"/>
    </w:p>
    <w:p w14:paraId="689684D2">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招标人在收到评标报告之日起3日内，按照投标人须知前附表规定的公示媒介和期限依法公示。中标候选人公示期不得少于3日。</w:t>
      </w:r>
    </w:p>
    <w:p w14:paraId="097F7836">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7.2 评标结果异议</w:t>
      </w:r>
    </w:p>
    <w:p w14:paraId="4AE5D7F2">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投标人或其他利害关系人对评标结果有异议的，应在中标候选人公示期内提出。招标人将在收到异议之日起3日内作出答复；作出答复前，将暂停招标投标活动。</w:t>
      </w:r>
    </w:p>
    <w:bookmarkEnd w:id="535"/>
    <w:p w14:paraId="36849310">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7.3 中标候选人履约能力审查</w:t>
      </w:r>
    </w:p>
    <w:p w14:paraId="2B7F7477">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中标候选人的经营、财务状况发生较大变化或者存在违法行为，招标人认为可能影响其履约能力的，应当在发出中标通知书前由原评标委员会按照招标文件规定的标准和方法审查确认。</w:t>
      </w:r>
    </w:p>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14:paraId="4D32A218">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551" w:name="_Toc83301727"/>
      <w:bookmarkStart w:id="552" w:name="_Toc95223375"/>
      <w:bookmarkStart w:id="553" w:name="_Toc60061474"/>
      <w:bookmarkStart w:id="554" w:name="_Toc324404855"/>
      <w:bookmarkStart w:id="555" w:name="_Toc15058893"/>
      <w:bookmarkStart w:id="556" w:name="_Toc152045570"/>
      <w:bookmarkStart w:id="557" w:name="_Toc506107308"/>
      <w:bookmarkStart w:id="558" w:name="_Toc296602460"/>
      <w:bookmarkStart w:id="559" w:name="_Toc35424930"/>
      <w:bookmarkStart w:id="560" w:name="_Toc144974538"/>
      <w:bookmarkStart w:id="561" w:name="_Toc247085728"/>
      <w:bookmarkStart w:id="562" w:name="_Toc35425096"/>
      <w:bookmarkStart w:id="563" w:name="_Toc246996214"/>
      <w:bookmarkStart w:id="564" w:name="_Toc11010"/>
      <w:bookmarkStart w:id="565" w:name="_Toc246996957"/>
      <w:bookmarkStart w:id="566" w:name="_Toc179632588"/>
      <w:bookmarkStart w:id="567" w:name="_Toc152042346"/>
      <w:bookmarkStart w:id="568" w:name="_Toc78803363"/>
      <w:r>
        <w:rPr>
          <w:rFonts w:hint="eastAsia" w:ascii="宋体" w:hAnsi="宋体" w:eastAsia="宋体" w:cs="宋体"/>
          <w:color w:val="auto"/>
          <w:highlight w:val="none"/>
        </w:rPr>
        <w:t>7.</w:t>
      </w:r>
      <w:r>
        <w:rPr>
          <w:rFonts w:hint="eastAsia" w:ascii="宋体" w:hAnsi="宋体" w:eastAsia="宋体" w:cs="宋体"/>
          <w:color w:val="auto"/>
          <w:highlight w:val="none"/>
          <w:lang w:val="en-US" w:eastAsia="zh-CN"/>
        </w:rPr>
        <w:t xml:space="preserve">4 </w:t>
      </w:r>
      <w:r>
        <w:rPr>
          <w:rFonts w:hint="eastAsia" w:ascii="宋体" w:hAnsi="宋体" w:eastAsia="宋体" w:cs="宋体"/>
          <w:color w:val="auto"/>
          <w:highlight w:val="none"/>
        </w:rPr>
        <w:t>定标</w:t>
      </w:r>
      <w:bookmarkEnd w:id="551"/>
      <w:bookmarkEnd w:id="552"/>
    </w:p>
    <w:p w14:paraId="714925AD">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096BE9DF">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569" w:name="_Toc95223376"/>
      <w:bookmarkStart w:id="570" w:name="_Toc83301728"/>
      <w:r>
        <w:rPr>
          <w:rFonts w:hint="eastAsia" w:ascii="宋体" w:hAnsi="宋体" w:eastAsia="宋体" w:cs="宋体"/>
          <w:color w:val="auto"/>
          <w:highlight w:val="none"/>
        </w:rPr>
        <w:t>7.</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 中标通知</w:t>
      </w:r>
      <w:bookmarkEnd w:id="553"/>
      <w:bookmarkEnd w:id="569"/>
      <w:bookmarkEnd w:id="570"/>
    </w:p>
    <w:p w14:paraId="4AD65EFF">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在本招标文件规定的投标有效期内，招标人向中标人发出中标通知书，同时将中标结果通知未中标的投标人。</w:t>
      </w:r>
    </w:p>
    <w:p w14:paraId="4294DA74">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571" w:name="_Toc95223377"/>
      <w:r>
        <w:rPr>
          <w:rFonts w:hint="eastAsia" w:ascii="宋体" w:hAnsi="宋体" w:eastAsia="宋体" w:cs="宋体"/>
          <w:color w:val="auto"/>
          <w:highlight w:val="none"/>
        </w:rPr>
        <w:t>7.</w:t>
      </w:r>
      <w:r>
        <w:rPr>
          <w:rFonts w:hint="eastAsia" w:ascii="宋体" w:hAnsi="宋体" w:eastAsia="宋体" w:cs="宋体"/>
          <w:color w:val="auto"/>
          <w:highlight w:val="none"/>
          <w:lang w:val="en-US" w:eastAsia="zh-CN"/>
        </w:rPr>
        <w:t xml:space="preserve">6 </w:t>
      </w:r>
      <w:r>
        <w:rPr>
          <w:rFonts w:hint="eastAsia" w:ascii="宋体" w:hAnsi="宋体" w:eastAsia="宋体" w:cs="宋体"/>
          <w:color w:val="auto"/>
          <w:highlight w:val="none"/>
        </w:rPr>
        <w:t>中标结果公示</w:t>
      </w:r>
      <w:bookmarkEnd w:id="571"/>
    </w:p>
    <w:p w14:paraId="3E5A2F8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招标人在确定中标人之日起3日内，按照投标人须知前附表规定的公示媒介和期限依法公示中标结果。</w:t>
      </w:r>
    </w:p>
    <w:p w14:paraId="29F52F53">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572" w:name="_Toc15058892"/>
      <w:bookmarkStart w:id="573" w:name="_Toc324404854"/>
      <w:bookmarkStart w:id="574" w:name="_Toc60061476"/>
      <w:bookmarkStart w:id="575" w:name="_Toc179632587"/>
      <w:bookmarkStart w:id="576" w:name="_Toc246996956"/>
      <w:bookmarkStart w:id="577" w:name="_Toc246996213"/>
      <w:bookmarkStart w:id="578" w:name="_Toc83301730"/>
      <w:bookmarkStart w:id="579" w:name="_Toc506107307"/>
      <w:bookmarkStart w:id="580" w:name="_Toc152042345"/>
      <w:bookmarkStart w:id="581" w:name="_Toc144974537"/>
      <w:bookmarkStart w:id="582" w:name="_Toc152045569"/>
      <w:bookmarkStart w:id="583" w:name="_Toc296602459"/>
      <w:bookmarkStart w:id="584" w:name="_Toc247085727"/>
      <w:bookmarkStart w:id="585" w:name="_Toc95223378"/>
      <w:r>
        <w:rPr>
          <w:rFonts w:hint="eastAsia" w:ascii="宋体" w:hAnsi="宋体" w:eastAsia="宋体" w:cs="宋体"/>
          <w:color w:val="auto"/>
          <w:highlight w:val="none"/>
        </w:rPr>
        <w:t>7.8 履约担保</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14:paraId="137F686B">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7.8.1在签订合同前，中标人应按投标人须知前附表规定的担保形式和招标文件第</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章“合同条款及格式”规定的或者事先经过招标人书面认可的履约担保格式向招标人提交履约担保。联合体中标的，其履约担保应符合投标人须知前附表规定的金额、担保形式和招标文件第</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章“合同条款及格式”规定的履约担保格式要求。</w:t>
      </w:r>
    </w:p>
    <w:p w14:paraId="221B81DC">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7.8.2 中标人不能按本章第7.8.1项要求提交履约担保的，视为放弃中标，其投标保证金不予退还，给招标人造成的损失超过投标保证金数额的，中标人还应当对超过部分予以赔偿。</w:t>
      </w:r>
    </w:p>
    <w:p w14:paraId="4242DBC1">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586" w:name="_Toc83301731"/>
      <w:bookmarkStart w:id="587" w:name="_Toc60061477"/>
      <w:bookmarkStart w:id="588" w:name="_Toc95223379"/>
      <w:r>
        <w:rPr>
          <w:rFonts w:hint="eastAsia" w:ascii="宋体" w:hAnsi="宋体" w:eastAsia="宋体" w:cs="宋体"/>
          <w:color w:val="auto"/>
          <w:highlight w:val="none"/>
        </w:rPr>
        <w:t>7.9 签订合同</w:t>
      </w:r>
      <w:bookmarkEnd w:id="586"/>
      <w:bookmarkEnd w:id="587"/>
      <w:bookmarkEnd w:id="588"/>
    </w:p>
    <w:p w14:paraId="0ADABA11">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7.9.1本招标工程的施工合同将授予按本须知第7.</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款规定所确定的中标人。</w:t>
      </w:r>
    </w:p>
    <w:p w14:paraId="4B7A5D0A">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7.9.2招标人和中标人应当自中标通知书发出之日起30天内，根据招标文件和中标人的投标文件订立书面合同。中标人无正当理由拒签合同的，在签订合同时向招标人提出附加条件，或不按照招标文件要求提交履约保证金的，招标人取消其中标资格，其投标保证金不予退还；给招标人造成的损失超过投标保证金数额的，中标人还应当对超过部分予以赔偿。</w:t>
      </w:r>
    </w:p>
    <w:p w14:paraId="7B7101AC">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7.9.3 发出中标通知书后，招标人无正当理由拒签合同的，招标人向中标人退还投标保证金；给中标人造成损失的，还应当赔偿损失。</w:t>
      </w:r>
    </w:p>
    <w:p w14:paraId="70ABAA7E">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7.9.4 除法定情形外，建设工程合同履行期间项目经理（建造师）不得更换。项目经理（建造师）确需变更的，应根据招标文件要求，变更后的项目经理（建造师）不低于投标文件中拟派项目经理（建造师）的资格条件。</w:t>
      </w:r>
    </w:p>
    <w:p w14:paraId="1CE704B8">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7.9.5 联合体中标的，联合体各方应当共同与招标人签订合同，就中标项目向招标人承担连带责任。</w:t>
      </w:r>
    </w:p>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14:paraId="10B04D04">
      <w:pPr>
        <w:pStyle w:val="7"/>
        <w:pageBreakBefore w:val="0"/>
        <w:widowControl w:val="0"/>
        <w:kinsoku/>
        <w:wordWrap/>
        <w:overflowPunct/>
        <w:topLinePunct w:val="0"/>
        <w:autoSpaceDE/>
        <w:autoSpaceDN/>
        <w:bidi w:val="0"/>
        <w:spacing w:beforeLines="50" w:afterLines="50" w:line="420" w:lineRule="exact"/>
        <w:ind w:firstLine="422" w:firstLineChars="200"/>
        <w:textAlignment w:val="auto"/>
        <w:rPr>
          <w:rFonts w:hint="eastAsia" w:ascii="宋体" w:hAnsi="宋体" w:eastAsia="宋体" w:cs="宋体"/>
          <w:color w:val="auto"/>
          <w:highlight w:val="none"/>
        </w:rPr>
      </w:pPr>
      <w:bookmarkStart w:id="589" w:name="_Toc144974539"/>
      <w:bookmarkStart w:id="590" w:name="_Toc152042347"/>
      <w:bookmarkStart w:id="591" w:name="_Toc60061478"/>
      <w:bookmarkStart w:id="592" w:name="_Toc179632589"/>
      <w:bookmarkStart w:id="593" w:name="_Toc95223381"/>
      <w:bookmarkStart w:id="594" w:name="_Toc152045571"/>
      <w:bookmarkStart w:id="595" w:name="_Toc83301732"/>
      <w:bookmarkStart w:id="596" w:name="_Toc35425097"/>
      <w:bookmarkStart w:id="597" w:name="_Toc25375"/>
      <w:bookmarkStart w:id="598" w:name="_Toc26974"/>
      <w:bookmarkStart w:id="599" w:name="_Toc31686"/>
      <w:bookmarkStart w:id="600" w:name="_Toc35424931"/>
      <w:bookmarkStart w:id="601" w:name="_Toc78803367"/>
      <w:bookmarkStart w:id="602" w:name="_Toc324404864"/>
      <w:bookmarkStart w:id="603" w:name="_Toc15058902"/>
      <w:bookmarkStart w:id="604" w:name="_Toc35425105"/>
      <w:bookmarkStart w:id="605" w:name="_Toc506107317"/>
      <w:bookmarkStart w:id="606" w:name="_Toc35424939"/>
      <w:bookmarkStart w:id="607" w:name="_Toc296602475"/>
      <w:r>
        <w:rPr>
          <w:rFonts w:hint="eastAsia" w:ascii="宋体" w:hAnsi="宋体" w:eastAsia="宋体" w:cs="宋体"/>
          <w:color w:val="auto"/>
          <w:highlight w:val="none"/>
        </w:rPr>
        <w:t>8. 重新招标和不再招标</w:t>
      </w:r>
      <w:bookmarkEnd w:id="589"/>
      <w:bookmarkEnd w:id="590"/>
      <w:bookmarkEnd w:id="591"/>
      <w:bookmarkEnd w:id="592"/>
      <w:bookmarkEnd w:id="593"/>
      <w:bookmarkEnd w:id="594"/>
      <w:bookmarkEnd w:id="595"/>
    </w:p>
    <w:p w14:paraId="4D38A18F">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608" w:name="_Toc95223382"/>
      <w:bookmarkStart w:id="609" w:name="_Toc83301733"/>
      <w:bookmarkStart w:id="610" w:name="_Toc152045572"/>
      <w:bookmarkStart w:id="611" w:name="_Toc144974540"/>
      <w:bookmarkStart w:id="612" w:name="_Toc60061479"/>
      <w:bookmarkStart w:id="613" w:name="_Toc179632590"/>
      <w:bookmarkStart w:id="614" w:name="_Toc152042348"/>
      <w:r>
        <w:rPr>
          <w:rFonts w:hint="eastAsia" w:ascii="宋体" w:hAnsi="宋体" w:eastAsia="宋体" w:cs="宋体"/>
          <w:color w:val="auto"/>
          <w:highlight w:val="none"/>
        </w:rPr>
        <w:t>8.1 重新招标</w:t>
      </w:r>
      <w:bookmarkEnd w:id="608"/>
      <w:bookmarkEnd w:id="609"/>
      <w:bookmarkEnd w:id="610"/>
      <w:bookmarkEnd w:id="611"/>
      <w:bookmarkEnd w:id="612"/>
      <w:bookmarkEnd w:id="613"/>
      <w:bookmarkEnd w:id="614"/>
    </w:p>
    <w:p w14:paraId="14E74ABE">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依法必须招标的项目有下列情形之一的，招标人将重新招标：</w:t>
      </w:r>
    </w:p>
    <w:p w14:paraId="0C8D903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（1）投标截止时间止，投标人少于3个的；</w:t>
      </w:r>
    </w:p>
    <w:p w14:paraId="1A247841">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（2）经评标委员会评审后否决所有投标的；</w:t>
      </w:r>
    </w:p>
    <w:p w14:paraId="39036754">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（3）中标候选人均未与招标人签订合同的；</w:t>
      </w:r>
    </w:p>
    <w:p w14:paraId="07E813B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（4）法律、法规规定的其他情形。</w:t>
      </w:r>
    </w:p>
    <w:p w14:paraId="01404FF6">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615" w:name="_Toc179632591"/>
      <w:bookmarkStart w:id="616" w:name="_Toc152042349"/>
      <w:bookmarkStart w:id="617" w:name="_Toc95223383"/>
      <w:bookmarkStart w:id="618" w:name="_Toc60061480"/>
      <w:bookmarkStart w:id="619" w:name="_Toc152045573"/>
      <w:bookmarkStart w:id="620" w:name="_Toc144974541"/>
      <w:bookmarkStart w:id="621" w:name="_Toc83301734"/>
      <w:r>
        <w:rPr>
          <w:rFonts w:hint="eastAsia" w:ascii="宋体" w:hAnsi="宋体" w:eastAsia="宋体" w:cs="宋体"/>
          <w:color w:val="auto"/>
          <w:highlight w:val="none"/>
        </w:rPr>
        <w:t>8.2 不再招标</w:t>
      </w:r>
      <w:bookmarkEnd w:id="615"/>
      <w:bookmarkEnd w:id="616"/>
      <w:bookmarkEnd w:id="617"/>
      <w:bookmarkEnd w:id="618"/>
      <w:bookmarkEnd w:id="619"/>
      <w:bookmarkEnd w:id="620"/>
      <w:bookmarkEnd w:id="621"/>
    </w:p>
    <w:p w14:paraId="395FA9F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重新招标后投标人仍少于3个或者所有投标被否决的，属于必须审批或核准的工程建设项目，经原审批或核准部门批准后不再进行招标。</w:t>
      </w:r>
    </w:p>
    <w:p w14:paraId="6AE86776">
      <w:pPr>
        <w:pStyle w:val="7"/>
        <w:pageBreakBefore w:val="0"/>
        <w:widowControl w:val="0"/>
        <w:kinsoku/>
        <w:wordWrap/>
        <w:overflowPunct/>
        <w:topLinePunct w:val="0"/>
        <w:autoSpaceDE/>
        <w:autoSpaceDN/>
        <w:bidi w:val="0"/>
        <w:spacing w:beforeLines="50" w:afterLines="50" w:line="420" w:lineRule="exact"/>
        <w:ind w:firstLine="422"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9. 纪律和监督</w:t>
      </w:r>
      <w:bookmarkEnd w:id="596"/>
      <w:bookmarkEnd w:id="597"/>
      <w:bookmarkEnd w:id="598"/>
      <w:bookmarkEnd w:id="599"/>
      <w:bookmarkEnd w:id="600"/>
      <w:bookmarkEnd w:id="601"/>
    </w:p>
    <w:p w14:paraId="4CA92C32">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622" w:name="_Toc2855"/>
      <w:bookmarkStart w:id="623" w:name="_Toc152042351"/>
      <w:bookmarkStart w:id="624" w:name="_Toc296590983"/>
      <w:bookmarkStart w:id="625" w:name="_Toc35425098"/>
      <w:bookmarkStart w:id="626" w:name="_Toc506107310"/>
      <w:bookmarkStart w:id="627" w:name="_Toc152045575"/>
      <w:bookmarkStart w:id="628" w:name="_Toc247085733"/>
      <w:bookmarkStart w:id="629" w:name="_Toc246996962"/>
      <w:bookmarkStart w:id="630" w:name="_Toc15607"/>
      <w:bookmarkStart w:id="631" w:name="_Toc246996219"/>
      <w:bookmarkStart w:id="632" w:name="_Toc15058895"/>
      <w:bookmarkStart w:id="633" w:name="_Toc296602462"/>
      <w:bookmarkStart w:id="634" w:name="_Toc144974543"/>
      <w:bookmarkStart w:id="635" w:name="_Toc35424932"/>
      <w:bookmarkStart w:id="636" w:name="_Toc78803368"/>
      <w:bookmarkStart w:id="637" w:name="_Toc179632593"/>
      <w:bookmarkStart w:id="638" w:name="_Toc324404857"/>
      <w:r>
        <w:rPr>
          <w:rFonts w:hint="eastAsia" w:ascii="宋体" w:hAnsi="宋体" w:eastAsia="宋体" w:cs="宋体"/>
          <w:color w:val="auto"/>
          <w:highlight w:val="none"/>
        </w:rPr>
        <w:t>9.1 对招标人的纪律要求</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14:paraId="49DC6FF7">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招标人不得泄漏招标投标活动中应当保密的情况和资料，不得与投标人串通损害国家利益、社会公共利益或者他人合法权益。</w:t>
      </w:r>
    </w:p>
    <w:p w14:paraId="68A4A0C7">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639" w:name="_Toc78803369"/>
      <w:bookmarkStart w:id="640" w:name="_Toc35425099"/>
      <w:bookmarkStart w:id="641" w:name="_Toc324404858"/>
      <w:bookmarkStart w:id="642" w:name="_Toc35424933"/>
      <w:bookmarkStart w:id="643" w:name="_Toc15058896"/>
      <w:bookmarkStart w:id="644" w:name="_Toc246996963"/>
      <w:bookmarkStart w:id="645" w:name="_Toc247085734"/>
      <w:bookmarkStart w:id="646" w:name="_Toc19779"/>
      <w:bookmarkStart w:id="647" w:name="_Toc144974544"/>
      <w:bookmarkStart w:id="648" w:name="_Toc246996220"/>
      <w:bookmarkStart w:id="649" w:name="_Toc179632594"/>
      <w:bookmarkStart w:id="650" w:name="_Toc32177"/>
      <w:bookmarkStart w:id="651" w:name="_Toc506107311"/>
      <w:bookmarkStart w:id="652" w:name="_Toc296602463"/>
      <w:bookmarkStart w:id="653" w:name="_Toc152045576"/>
      <w:bookmarkStart w:id="654" w:name="_Toc152042352"/>
      <w:r>
        <w:rPr>
          <w:rFonts w:hint="eastAsia" w:ascii="宋体" w:hAnsi="宋体" w:eastAsia="宋体" w:cs="宋体"/>
          <w:color w:val="auto"/>
          <w:highlight w:val="none"/>
        </w:rPr>
        <w:t>9.2 对投标人的纪律要求</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14:paraId="0ABB96BC">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7C2EC713">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655" w:name="_Toc179632595"/>
      <w:bookmarkStart w:id="656" w:name="_Toc296602464"/>
      <w:bookmarkStart w:id="657" w:name="_Toc35424934"/>
      <w:bookmarkStart w:id="658" w:name="_Toc12564"/>
      <w:bookmarkStart w:id="659" w:name="_Toc246996964"/>
      <w:bookmarkStart w:id="660" w:name="_Toc13043"/>
      <w:bookmarkStart w:id="661" w:name="_Toc35425100"/>
      <w:bookmarkStart w:id="662" w:name="_Toc506107312"/>
      <w:bookmarkStart w:id="663" w:name="_Toc152042353"/>
      <w:bookmarkStart w:id="664" w:name="_Toc247085735"/>
      <w:bookmarkStart w:id="665" w:name="_Toc15058897"/>
      <w:bookmarkStart w:id="666" w:name="_Toc324404859"/>
      <w:bookmarkStart w:id="667" w:name="_Toc152045577"/>
      <w:bookmarkStart w:id="668" w:name="_Toc144974545"/>
      <w:bookmarkStart w:id="669" w:name="_Toc78803370"/>
      <w:bookmarkStart w:id="670" w:name="_Toc246996221"/>
      <w:r>
        <w:rPr>
          <w:rFonts w:hint="eastAsia" w:ascii="宋体" w:hAnsi="宋体" w:eastAsia="宋体" w:cs="宋体"/>
          <w:color w:val="auto"/>
          <w:highlight w:val="none"/>
        </w:rPr>
        <w:t>9.3 对评标委员会成员的纪律要求</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482A0CAE">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567F3A90">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671" w:name="_Toc246996222"/>
      <w:bookmarkStart w:id="672" w:name="_Toc15058898"/>
      <w:bookmarkStart w:id="673" w:name="_Toc246996965"/>
      <w:bookmarkStart w:id="674" w:name="_Toc35424935"/>
      <w:bookmarkStart w:id="675" w:name="_Toc18329"/>
      <w:bookmarkStart w:id="676" w:name="_Toc35425101"/>
      <w:bookmarkStart w:id="677" w:name="_Toc296602465"/>
      <w:bookmarkStart w:id="678" w:name="_Toc152045578"/>
      <w:bookmarkStart w:id="679" w:name="_Toc179632596"/>
      <w:bookmarkStart w:id="680" w:name="_Toc324404860"/>
      <w:bookmarkStart w:id="681" w:name="_Toc247085736"/>
      <w:bookmarkStart w:id="682" w:name="_Toc78803371"/>
      <w:bookmarkStart w:id="683" w:name="_Toc506107313"/>
      <w:bookmarkStart w:id="684" w:name="_Toc32214"/>
      <w:bookmarkStart w:id="685" w:name="_Toc152042354"/>
      <w:bookmarkStart w:id="686" w:name="_Toc144974546"/>
      <w:r>
        <w:rPr>
          <w:rFonts w:hint="eastAsia" w:ascii="宋体" w:hAnsi="宋体" w:eastAsia="宋体" w:cs="宋体"/>
          <w:color w:val="auto"/>
          <w:highlight w:val="none"/>
        </w:rPr>
        <w:t>9.4 对与评标活动有关的工作人员的纪律要求</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p>
    <w:p w14:paraId="2E47BC5D">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bookmarkStart w:id="687" w:name="_Toc152042355"/>
      <w:r>
        <w:rPr>
          <w:rFonts w:hint="eastAsia" w:ascii="宋体" w:hAnsi="宋体" w:cs="宋体"/>
          <w:color w:val="auto"/>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687"/>
    </w:p>
    <w:p w14:paraId="13717A0C">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688" w:name="_Toc246996966"/>
      <w:bookmarkStart w:id="689" w:name="_Toc35425102"/>
      <w:bookmarkStart w:id="690" w:name="_Toc152045579"/>
      <w:bookmarkStart w:id="691" w:name="_Toc23607"/>
      <w:bookmarkStart w:id="692" w:name="_Toc35424936"/>
      <w:bookmarkStart w:id="693" w:name="_Toc247085737"/>
      <w:bookmarkStart w:id="694" w:name="_Toc78803372"/>
      <w:bookmarkStart w:id="695" w:name="_Toc324404861"/>
      <w:bookmarkStart w:id="696" w:name="_Toc2811"/>
      <w:bookmarkStart w:id="697" w:name="_Toc179632597"/>
      <w:bookmarkStart w:id="698" w:name="_Toc15058899"/>
      <w:bookmarkStart w:id="699" w:name="_Toc506107314"/>
      <w:bookmarkStart w:id="700" w:name="_Toc246996223"/>
      <w:bookmarkStart w:id="701" w:name="_Toc296602466"/>
      <w:bookmarkStart w:id="702" w:name="_Toc152042356"/>
      <w:r>
        <w:rPr>
          <w:rFonts w:hint="eastAsia" w:ascii="宋体" w:hAnsi="宋体" w:eastAsia="宋体" w:cs="宋体"/>
          <w:color w:val="auto"/>
          <w:highlight w:val="none"/>
        </w:rPr>
        <w:t>9.5 投诉</w:t>
      </w:r>
      <w:bookmarkEnd w:id="686"/>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14:paraId="5A4327AC">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bookmarkStart w:id="703" w:name="_Toc35425103"/>
      <w:bookmarkStart w:id="704" w:name="_Toc152042357"/>
      <w:bookmarkStart w:id="705" w:name="_Toc31643"/>
      <w:bookmarkStart w:id="706" w:name="_Toc16463"/>
      <w:bookmarkStart w:id="707" w:name="_Toc246996224"/>
      <w:bookmarkStart w:id="708" w:name="_Toc247085738"/>
      <w:bookmarkStart w:id="709" w:name="_Toc15058900"/>
      <w:bookmarkStart w:id="710" w:name="_Toc78803373"/>
      <w:bookmarkStart w:id="711" w:name="_Toc20669"/>
      <w:bookmarkStart w:id="712" w:name="_Toc152045580"/>
      <w:bookmarkStart w:id="713" w:name="_Toc179632598"/>
      <w:bookmarkStart w:id="714" w:name="_Toc506107315"/>
      <w:bookmarkStart w:id="715" w:name="_Toc324404862"/>
      <w:bookmarkStart w:id="716" w:name="_Toc246996967"/>
      <w:bookmarkStart w:id="717" w:name="_Toc144974547"/>
      <w:bookmarkStart w:id="718" w:name="_Toc35424937"/>
      <w:r>
        <w:rPr>
          <w:rFonts w:hint="eastAsia" w:ascii="宋体" w:hAnsi="宋体" w:eastAsia="宋体" w:cs="宋体"/>
          <w:color w:val="auto"/>
          <w:szCs w:val="21"/>
          <w:highlight w:val="none"/>
        </w:rPr>
        <w:t>9.5.1投标人或者其他利害关系人认为招标投标活动违反法律、法规和规章规定的，有权向相关行政监督部门投诉。投诉应当有明确的请求和必要的证明材料。</w:t>
      </w:r>
    </w:p>
    <w:p w14:paraId="67E3BE54">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9.5.2投标人和其他利害关系人对招标文件、开标和评标结果事项投诉的，应当按照投标人须知的规定先向招标人提出异议。异议答复期间不计算在第9.5.1项规定的期限内。</w:t>
      </w:r>
    </w:p>
    <w:p w14:paraId="4FEAD4F3">
      <w:pPr>
        <w:pStyle w:val="7"/>
        <w:pageBreakBefore w:val="0"/>
        <w:widowControl w:val="0"/>
        <w:kinsoku/>
        <w:wordWrap/>
        <w:overflowPunct/>
        <w:topLinePunct w:val="0"/>
        <w:autoSpaceDE/>
        <w:autoSpaceDN/>
        <w:bidi w:val="0"/>
        <w:spacing w:beforeLines="50" w:afterLines="50" w:line="420" w:lineRule="exact"/>
        <w:ind w:firstLine="422"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10.需要补充的其他内容</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14:paraId="0045BA9A">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bookmarkStart w:id="719" w:name="_Toc15058901"/>
      <w:r>
        <w:rPr>
          <w:rFonts w:hint="eastAsia" w:ascii="宋体" w:hAnsi="宋体" w:cs="宋体"/>
          <w:color w:val="auto"/>
          <w:szCs w:val="21"/>
          <w:highlight w:val="none"/>
        </w:rPr>
        <w:t>需要补充的其他内容：见投标人须知前附表。</w:t>
      </w:r>
      <w:bookmarkEnd w:id="719"/>
    </w:p>
    <w:p w14:paraId="33B215FF">
      <w:pPr>
        <w:spacing w:line="440" w:lineRule="exact"/>
        <w:jc w:val="left"/>
        <w:rPr>
          <w:rFonts w:ascii="宋体" w:hAnsi="宋体" w:cs="宋体"/>
          <w:color w:val="auto"/>
          <w:szCs w:val="21"/>
          <w:highlight w:val="none"/>
        </w:rPr>
      </w:pPr>
    </w:p>
    <w:p w14:paraId="20C1C40C">
      <w:pPr>
        <w:pageBreakBefore/>
        <w:spacing w:beforeLines="80" w:afterLines="80" w:line="440" w:lineRule="exact"/>
        <w:jc w:val="center"/>
        <w:outlineLvl w:val="0"/>
        <w:rPr>
          <w:rFonts w:ascii="宋体"/>
          <w:b/>
          <w:color w:val="auto"/>
          <w:sz w:val="32"/>
          <w:szCs w:val="32"/>
          <w:highlight w:val="none"/>
        </w:rPr>
      </w:pPr>
      <w:bookmarkStart w:id="720" w:name="_Toc78803375"/>
      <w:bookmarkStart w:id="721" w:name="_Toc10676"/>
      <w:bookmarkStart w:id="722" w:name="_Toc5501"/>
      <w:r>
        <w:rPr>
          <w:rFonts w:hint="eastAsia" w:ascii="宋体"/>
          <w:b/>
          <w:color w:val="auto"/>
          <w:sz w:val="32"/>
          <w:szCs w:val="32"/>
          <w:highlight w:val="none"/>
        </w:rPr>
        <w:t>第二章  资格审查</w:t>
      </w:r>
      <w:bookmarkEnd w:id="602"/>
      <w:r>
        <w:rPr>
          <w:rFonts w:hint="eastAsia" w:ascii="宋体"/>
          <w:b/>
          <w:color w:val="auto"/>
          <w:sz w:val="32"/>
          <w:szCs w:val="32"/>
          <w:highlight w:val="none"/>
        </w:rPr>
        <w:t>办法</w:t>
      </w:r>
      <w:bookmarkEnd w:id="603"/>
      <w:bookmarkEnd w:id="604"/>
      <w:bookmarkEnd w:id="605"/>
      <w:bookmarkEnd w:id="606"/>
      <w:bookmarkEnd w:id="720"/>
      <w:bookmarkEnd w:id="721"/>
      <w:bookmarkEnd w:id="722"/>
    </w:p>
    <w:p w14:paraId="444B806A">
      <w:pPr>
        <w:keepNext w:val="0"/>
        <w:keepLines w:val="0"/>
        <w:widowControl w:val="0"/>
        <w:suppressLineNumbers w:val="0"/>
        <w:adjustRightInd w:val="0"/>
        <w:snapToGrid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bookmarkStart w:id="723" w:name="_Toc35424940"/>
      <w:bookmarkStart w:id="724" w:name="_Toc15058903"/>
      <w:bookmarkStart w:id="725" w:name="_Toc506107318"/>
      <w:bookmarkStart w:id="726" w:name="_Toc324404865"/>
      <w:bookmarkStart w:id="727" w:name="_Toc35425106"/>
      <w:r>
        <w:rPr>
          <w:rFonts w:hint="eastAsia" w:ascii="宋体" w:hAnsi="宋体" w:eastAsia="宋体" w:cs="宋体"/>
          <w:color w:val="auto"/>
          <w:kern w:val="2"/>
          <w:sz w:val="21"/>
          <w:szCs w:val="21"/>
          <w:highlight w:val="none"/>
          <w:lang w:val="en-US" w:eastAsia="zh-CN" w:bidi="ar"/>
        </w:rPr>
        <w:t>先对解密成功的投标人报价按计算标准计算得分后汇总，总得分按照从高到低进行排序（如总得分相等，以投标报价低的优先，投标报价仍相等，由评标委员会或招标人随机抽取确定排名，不得并列）。对排序前三名的投标人资信、技术、商务标文件进行评审并确定中标候选人。若排序前三名的投标人资信或技术或商务标文件评审不通过，则按得分排序递补</w:t>
      </w:r>
      <w:r>
        <w:rPr>
          <w:rFonts w:hint="eastAsia" w:ascii="宋体" w:hAnsi="宋体" w:eastAsia="宋体" w:cs="宋体"/>
          <w:b/>
          <w:bCs w:val="0"/>
          <w:color w:val="auto"/>
          <w:kern w:val="2"/>
          <w:sz w:val="21"/>
          <w:szCs w:val="21"/>
          <w:highlight w:val="none"/>
          <w:lang w:val="en-US" w:eastAsia="zh-CN" w:bidi="ar"/>
        </w:rPr>
        <w:t>至3家</w:t>
      </w:r>
      <w:r>
        <w:rPr>
          <w:rFonts w:hint="eastAsia" w:ascii="宋体" w:hAnsi="宋体" w:eastAsia="宋体" w:cs="宋体"/>
          <w:color w:val="auto"/>
          <w:kern w:val="2"/>
          <w:sz w:val="21"/>
          <w:szCs w:val="21"/>
          <w:highlight w:val="none"/>
          <w:lang w:val="en-US" w:eastAsia="zh-CN" w:bidi="ar"/>
        </w:rPr>
        <w:t>投标人进行资信、技术、商务文件进行评审。</w:t>
      </w:r>
    </w:p>
    <w:p w14:paraId="0074D89F">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b/>
          <w:bCs/>
          <w:color w:val="auto"/>
          <w:kern w:val="2"/>
          <w:sz w:val="28"/>
          <w:szCs w:val="28"/>
          <w:highlight w:val="none"/>
        </w:rPr>
      </w:pPr>
      <w:r>
        <w:rPr>
          <w:rFonts w:hint="eastAsia" w:ascii="宋体" w:hAnsi="宋体" w:eastAsia="宋体" w:cs="宋体"/>
          <w:b/>
          <w:bCs/>
          <w:color w:val="auto"/>
          <w:kern w:val="2"/>
          <w:sz w:val="28"/>
          <w:szCs w:val="28"/>
          <w:highlight w:val="none"/>
          <w:lang w:val="en-US" w:eastAsia="zh-CN" w:bidi="ar"/>
        </w:rPr>
        <w:t>（一）得分计算</w:t>
      </w:r>
    </w:p>
    <w:tbl>
      <w:tblPr>
        <w:tblStyle w:val="46"/>
        <w:tblW w:w="9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66"/>
        <w:gridCol w:w="7685"/>
      </w:tblGrid>
      <w:tr w14:paraId="51E2E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3" w:hRule="atLeast"/>
          <w:jc w:val="center"/>
        </w:trPr>
        <w:tc>
          <w:tcPr>
            <w:tcW w:w="2266" w:type="dxa"/>
            <w:tcBorders>
              <w:top w:val="single" w:color="auto" w:sz="4" w:space="0"/>
              <w:left w:val="single" w:color="auto" w:sz="4" w:space="0"/>
              <w:bottom w:val="single" w:color="auto" w:sz="4" w:space="0"/>
              <w:right w:val="single" w:color="auto" w:sz="4" w:space="0"/>
            </w:tcBorders>
            <w:shd w:val="clear" w:color="auto" w:fill="auto"/>
            <w:vAlign w:val="center"/>
          </w:tcPr>
          <w:p w14:paraId="444ADD07">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条款号</w:t>
            </w:r>
          </w:p>
        </w:tc>
        <w:tc>
          <w:tcPr>
            <w:tcW w:w="7685" w:type="dxa"/>
            <w:tcBorders>
              <w:top w:val="single" w:color="auto" w:sz="4" w:space="0"/>
              <w:left w:val="nil"/>
              <w:bottom w:val="single" w:color="auto" w:sz="4" w:space="0"/>
              <w:right w:val="single" w:color="auto" w:sz="4" w:space="0"/>
            </w:tcBorders>
            <w:shd w:val="clear" w:color="auto" w:fill="auto"/>
            <w:vAlign w:val="center"/>
          </w:tcPr>
          <w:p w14:paraId="0B30E5B9">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计算标准</w:t>
            </w:r>
          </w:p>
        </w:tc>
      </w:tr>
      <w:tr w14:paraId="49685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2266" w:type="dxa"/>
            <w:tcBorders>
              <w:top w:val="single" w:color="auto" w:sz="4" w:space="0"/>
              <w:left w:val="single" w:color="auto" w:sz="4" w:space="0"/>
              <w:bottom w:val="single" w:color="auto" w:sz="4" w:space="0"/>
              <w:right w:val="single" w:color="auto" w:sz="4" w:space="0"/>
            </w:tcBorders>
            <w:shd w:val="clear" w:color="auto" w:fill="auto"/>
            <w:vAlign w:val="center"/>
          </w:tcPr>
          <w:p w14:paraId="06AEEE25">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报价评分</w:t>
            </w:r>
          </w:p>
          <w:p w14:paraId="08984BB9">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（100分）</w:t>
            </w:r>
          </w:p>
        </w:tc>
        <w:tc>
          <w:tcPr>
            <w:tcW w:w="7685" w:type="dxa"/>
            <w:tcBorders>
              <w:top w:val="single" w:color="auto" w:sz="4" w:space="0"/>
              <w:left w:val="nil"/>
              <w:bottom w:val="single" w:color="auto" w:sz="4" w:space="0"/>
              <w:right w:val="single" w:color="auto" w:sz="4" w:space="0"/>
            </w:tcBorders>
            <w:shd w:val="clear" w:color="auto" w:fill="auto"/>
            <w:vAlign w:val="center"/>
          </w:tcPr>
          <w:p w14:paraId="15F323A2">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得分按下列步骤计算：</w:t>
            </w:r>
          </w:p>
          <w:p w14:paraId="535042D3">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第一步：计算B值。</w:t>
            </w:r>
          </w:p>
          <w:p w14:paraId="0698C795">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①本项目T取值为50。</w:t>
            </w:r>
          </w:p>
          <w:p w14:paraId="061E38CF">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②投标报价不超过A值的投标人数量为M。</w:t>
            </w:r>
          </w:p>
          <w:p w14:paraId="31402ACF">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③若M 未超过 T 时，B值为符合上述条件的M个投标人投标报价的算术平均值。</w:t>
            </w:r>
          </w:p>
          <w:p w14:paraId="6E203E32">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④若M 超过 T 时，B值为符合上述条件的M个投标人投标报价中去除(M-T)/2【M-T 为奇数时，则为(M-T+1)/2】个最高价和(M-T)/2【M-T为奇数时，则为(M-T-1)/2】个最低价后，剩余有效投标报价的算术平均值（如去高去低的最后一名存在报价相同的，则通过随机抽取确定被去除的投标人。只保留T个投标人的投标报价）。</w:t>
            </w:r>
          </w:p>
          <w:p w14:paraId="15EA19FB">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第二步：计算评标基准价F值。</w:t>
            </w:r>
          </w:p>
          <w:p w14:paraId="26F246FF">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①F=B×（1-K），其中K为调整系数，K的取值为-0.5%（1号），0%（2号），0.5%（3号），1.0%（4号），1.5%（5号）。</w:t>
            </w:r>
          </w:p>
          <w:p w14:paraId="7D5CF61C">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第三步：计算报价偏差率。</w:t>
            </w:r>
          </w:p>
          <w:p w14:paraId="5AC23654">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①偏差率=|（投标报价-评标基准价）/评标基准价|×100%</w:t>
            </w:r>
          </w:p>
          <w:p w14:paraId="2D7A6B92">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第四步：计算报价得分</w:t>
            </w:r>
          </w:p>
          <w:p w14:paraId="5D7BEA29">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①投标报价等于评标基准价的得满分。</w:t>
            </w:r>
          </w:p>
          <w:p w14:paraId="7C021D52">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②投标报价高于评标基准价的，投标报价得分=报价满分值-偏差率×100×1</w:t>
            </w:r>
          </w:p>
          <w:p w14:paraId="113D1C4A">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③投标报价低于评标基准价的，投标报价得分=报价满分值-偏差率×100×0.5</w:t>
            </w:r>
          </w:p>
          <w:p w14:paraId="237A8820">
            <w:pPr>
              <w:keepNext w:val="0"/>
              <w:keepLines w:val="0"/>
              <w:widowControl w:val="0"/>
              <w:suppressLineNumbers w:val="0"/>
              <w:adjustRightInd w:val="0"/>
              <w:snapToGrid w:val="0"/>
              <w:spacing w:before="0" w:beforeAutospacing="0" w:after="0" w:afterAutospacing="0" w:line="56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注：计算过程中，B值、评标基准价F值、偏差率、报价得分均保留两位小数，小数点后第三位四舍五入。</w:t>
            </w:r>
          </w:p>
        </w:tc>
      </w:tr>
    </w:tbl>
    <w:p w14:paraId="4770F19D">
      <w:pPr>
        <w:keepNext w:val="0"/>
        <w:keepLines w:val="0"/>
        <w:widowControl w:val="0"/>
        <w:suppressLineNumbers w:val="0"/>
        <w:adjustRightInd w:val="0"/>
        <w:snapToGrid w:val="0"/>
        <w:spacing w:before="0" w:beforeAutospacing="0" w:after="0" w:afterAutospacing="0" w:line="560" w:lineRule="exact"/>
        <w:ind w:left="0" w:right="0" w:firstLine="316" w:firstLineChars="150"/>
        <w:jc w:val="both"/>
        <w:rPr>
          <w:rFonts w:hint="eastAsia" w:ascii="黑体" w:hAnsi="宋体" w:eastAsia="黑体" w:cs="黑体"/>
          <w:b/>
          <w:bCs w:val="0"/>
          <w:color w:val="auto"/>
          <w:kern w:val="2"/>
          <w:sz w:val="21"/>
          <w:szCs w:val="21"/>
          <w:highlight w:val="none"/>
        </w:rPr>
      </w:pPr>
      <w:r>
        <w:rPr>
          <w:rFonts w:hint="eastAsia" w:ascii="黑体" w:hAnsi="宋体" w:eastAsia="黑体" w:cs="黑体"/>
          <w:b/>
          <w:bCs w:val="0"/>
          <w:color w:val="auto"/>
          <w:kern w:val="2"/>
          <w:sz w:val="21"/>
          <w:szCs w:val="21"/>
          <w:highlight w:val="none"/>
          <w:lang w:val="en-US" w:eastAsia="zh-CN" w:bidi="ar"/>
        </w:rPr>
        <w:t>注：</w:t>
      </w:r>
      <w:r>
        <w:rPr>
          <w:rFonts w:hint="eastAsia" w:ascii="黑体" w:hAnsi="宋体" w:eastAsia="黑体" w:cs="黑体"/>
          <w:color w:val="auto"/>
          <w:kern w:val="2"/>
          <w:sz w:val="21"/>
          <w:szCs w:val="21"/>
          <w:highlight w:val="none"/>
          <w:lang w:val="en-US" w:eastAsia="zh-CN" w:bidi="ar"/>
        </w:rPr>
        <w:t>1、</w:t>
      </w:r>
      <w:r>
        <w:rPr>
          <w:rFonts w:hint="eastAsia" w:ascii="黑体" w:hAnsi="宋体" w:eastAsia="黑体" w:cs="黑体"/>
          <w:b/>
          <w:bCs/>
          <w:color w:val="auto"/>
          <w:kern w:val="2"/>
          <w:sz w:val="21"/>
          <w:szCs w:val="21"/>
          <w:highlight w:val="none"/>
          <w:lang w:val="en-US" w:eastAsia="zh-CN" w:bidi="ar"/>
        </w:rPr>
        <w:t>投标人总报价如超过A值，A值=</w:t>
      </w:r>
      <w:r>
        <w:rPr>
          <w:rFonts w:hint="eastAsia" w:ascii="黑体" w:hAnsi="宋体" w:eastAsia="黑体" w:cs="黑体"/>
          <w:b/>
          <w:bCs/>
          <w:color w:val="auto"/>
          <w:kern w:val="2"/>
          <w:sz w:val="21"/>
          <w:szCs w:val="21"/>
          <w:highlight w:val="none"/>
          <w:u w:val="single"/>
          <w:lang w:val="en-US" w:eastAsia="zh-CN" w:bidi="ar"/>
        </w:rPr>
        <w:t xml:space="preserve">最高投标限价×（1-J） +（暂列金额+暂估价）×1.09×J（其中J= 13%，该值由招标人根据具体项目情况自行设定），则商务标不得分，且该投标报价不参与B值计算。 </w:t>
      </w:r>
    </w:p>
    <w:p w14:paraId="4B597FA4">
      <w:pPr>
        <w:keepNext w:val="0"/>
        <w:keepLines w:val="0"/>
        <w:widowControl w:val="0"/>
        <w:suppressLineNumbers w:val="0"/>
        <w:adjustRightInd w:val="0"/>
        <w:snapToGrid w:val="0"/>
        <w:spacing w:before="0" w:beforeAutospacing="0" w:after="0" w:afterAutospacing="0" w:line="560" w:lineRule="exact"/>
        <w:ind w:left="0" w:right="0" w:firstLine="315" w:firstLineChars="1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2、本表所称投标报价是指</w:t>
      </w:r>
      <w:r>
        <w:rPr>
          <w:rFonts w:hint="eastAsia" w:ascii="宋体" w:hAnsi="宋体" w:eastAsia="宋体" w:cs="宋体"/>
          <w:b/>
          <w:bCs w:val="0"/>
          <w:color w:val="auto"/>
          <w:kern w:val="2"/>
          <w:sz w:val="21"/>
          <w:szCs w:val="21"/>
          <w:highlight w:val="none"/>
          <w:lang w:val="en-US" w:eastAsia="zh-CN" w:bidi="ar"/>
        </w:rPr>
        <w:t>解密成功后开标记录表中投标人的报价</w:t>
      </w:r>
      <w:r>
        <w:rPr>
          <w:rFonts w:hint="eastAsia" w:ascii="宋体" w:hAnsi="宋体" w:eastAsia="宋体" w:cs="宋体"/>
          <w:color w:val="auto"/>
          <w:kern w:val="2"/>
          <w:sz w:val="21"/>
          <w:szCs w:val="21"/>
          <w:highlight w:val="none"/>
          <w:lang w:val="en-US" w:eastAsia="zh-CN" w:bidi="ar"/>
        </w:rPr>
        <w:t>，报价以元为单位，保留两位小数，小数点后第三位四舍五入。</w:t>
      </w:r>
    </w:p>
    <w:p w14:paraId="47227A92">
      <w:pPr>
        <w:keepNext w:val="0"/>
        <w:keepLines w:val="0"/>
        <w:widowControl w:val="0"/>
        <w:suppressLineNumbers w:val="0"/>
        <w:adjustRightInd w:val="0"/>
        <w:snapToGrid w:val="0"/>
        <w:spacing w:before="0" w:beforeAutospacing="0" w:after="0" w:afterAutospacing="0" w:line="560" w:lineRule="exact"/>
        <w:ind w:left="0" w:right="0" w:firstLine="315" w:firstLineChars="1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3、K值（评标基准价系数）的抽取：招标人现场随机抽取K值，评标委员会根据抽取的K值计算F值。</w:t>
      </w:r>
    </w:p>
    <w:p w14:paraId="6C2CB989">
      <w:pPr>
        <w:keepNext w:val="0"/>
        <w:keepLines w:val="0"/>
        <w:widowControl w:val="0"/>
        <w:suppressLineNumbers w:val="0"/>
        <w:adjustRightInd w:val="0"/>
        <w:snapToGrid w:val="0"/>
        <w:spacing w:before="0" w:beforeAutospacing="0" w:after="0" w:afterAutospacing="0" w:line="560" w:lineRule="exact"/>
        <w:ind w:left="0" w:right="0" w:firstLine="316" w:firstLineChars="150"/>
        <w:jc w:val="both"/>
        <w:rPr>
          <w:rFonts w:hint="default" w:ascii="Times New Roman" w:hAnsi="Times New Roman" w:eastAsia="宋体" w:cs="Times New Roman"/>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4、评标办法中的评标基准价计算出来后，除数字计算错误外，其他情况均不再调整。</w:t>
      </w:r>
    </w:p>
    <w:p w14:paraId="66451390">
      <w:pPr>
        <w:spacing w:beforeLines="50" w:afterLines="50" w:line="440" w:lineRule="exact"/>
        <w:jc w:val="center"/>
        <w:rPr>
          <w:rFonts w:hint="eastAsia" w:ascii="宋体" w:hAnsi="宋体" w:cs="宋体"/>
          <w:b/>
          <w:bCs/>
          <w:color w:val="auto"/>
          <w:sz w:val="28"/>
          <w:szCs w:val="22"/>
          <w:highlight w:val="none"/>
        </w:rPr>
      </w:pPr>
    </w:p>
    <w:p w14:paraId="6B0246E5">
      <w:pPr>
        <w:spacing w:beforeLines="50" w:afterLines="50" w:line="440" w:lineRule="exact"/>
        <w:jc w:val="center"/>
        <w:rPr>
          <w:rFonts w:hint="eastAsia" w:ascii="宋体" w:hAnsi="宋体" w:cs="宋体"/>
          <w:b/>
          <w:bCs/>
          <w:color w:val="auto"/>
          <w:sz w:val="28"/>
          <w:szCs w:val="22"/>
          <w:highlight w:val="none"/>
        </w:rPr>
      </w:pPr>
    </w:p>
    <w:p w14:paraId="3F0A4C5F">
      <w:pPr>
        <w:spacing w:beforeLines="50" w:afterLines="50" w:line="440" w:lineRule="exact"/>
        <w:jc w:val="center"/>
        <w:rPr>
          <w:rFonts w:hint="eastAsia" w:ascii="宋体" w:hAnsi="宋体" w:cs="宋体"/>
          <w:b/>
          <w:bCs/>
          <w:color w:val="auto"/>
          <w:sz w:val="28"/>
          <w:szCs w:val="22"/>
          <w:highlight w:val="none"/>
        </w:rPr>
      </w:pPr>
    </w:p>
    <w:p w14:paraId="09C81CE9">
      <w:pPr>
        <w:spacing w:beforeLines="50" w:afterLines="50" w:line="440" w:lineRule="exact"/>
        <w:jc w:val="center"/>
        <w:rPr>
          <w:rFonts w:hint="eastAsia" w:ascii="宋体" w:hAnsi="宋体" w:cs="宋体"/>
          <w:b/>
          <w:bCs/>
          <w:color w:val="auto"/>
          <w:sz w:val="28"/>
          <w:szCs w:val="22"/>
          <w:highlight w:val="none"/>
        </w:rPr>
      </w:pPr>
    </w:p>
    <w:p w14:paraId="4D943749">
      <w:pPr>
        <w:spacing w:beforeLines="50" w:afterLines="50" w:line="440" w:lineRule="exact"/>
        <w:jc w:val="center"/>
        <w:rPr>
          <w:rFonts w:hint="eastAsia" w:ascii="宋体" w:hAnsi="宋体" w:cs="宋体"/>
          <w:b/>
          <w:bCs/>
          <w:color w:val="auto"/>
          <w:sz w:val="28"/>
          <w:szCs w:val="22"/>
          <w:highlight w:val="none"/>
        </w:rPr>
      </w:pPr>
    </w:p>
    <w:p w14:paraId="307C3DEA">
      <w:pPr>
        <w:spacing w:beforeLines="50" w:afterLines="50" w:line="440" w:lineRule="exact"/>
        <w:jc w:val="center"/>
        <w:rPr>
          <w:rFonts w:hint="eastAsia" w:ascii="宋体" w:hAnsi="宋体" w:cs="宋体"/>
          <w:b/>
          <w:bCs/>
          <w:color w:val="auto"/>
          <w:sz w:val="28"/>
          <w:szCs w:val="22"/>
          <w:highlight w:val="none"/>
        </w:rPr>
      </w:pPr>
    </w:p>
    <w:p w14:paraId="175DCCFB">
      <w:pPr>
        <w:rPr>
          <w:rFonts w:hint="eastAsia" w:ascii="宋体" w:hAnsi="宋体" w:cs="宋体"/>
          <w:b/>
          <w:bCs/>
          <w:color w:val="auto"/>
          <w:sz w:val="28"/>
          <w:szCs w:val="22"/>
          <w:highlight w:val="none"/>
          <w:lang w:eastAsia="zh-CN"/>
        </w:rPr>
      </w:pPr>
      <w:r>
        <w:rPr>
          <w:rFonts w:hint="eastAsia" w:ascii="宋体" w:hAnsi="宋体" w:cs="宋体"/>
          <w:b/>
          <w:bCs/>
          <w:color w:val="auto"/>
          <w:sz w:val="28"/>
          <w:szCs w:val="22"/>
          <w:highlight w:val="none"/>
          <w:lang w:eastAsia="zh-CN"/>
        </w:rPr>
        <w:br w:type="page"/>
      </w:r>
    </w:p>
    <w:p w14:paraId="1680BB4F">
      <w:pPr>
        <w:spacing w:beforeLines="50" w:afterLines="50" w:line="440" w:lineRule="exact"/>
        <w:jc w:val="center"/>
        <w:rPr>
          <w:rFonts w:ascii="宋体" w:hAnsi="宋体" w:cs="宋体"/>
          <w:b/>
          <w:bCs/>
          <w:color w:val="auto"/>
          <w:sz w:val="28"/>
          <w:szCs w:val="22"/>
          <w:highlight w:val="none"/>
        </w:rPr>
      </w:pPr>
      <w:r>
        <w:rPr>
          <w:rFonts w:hint="eastAsia" w:ascii="宋体" w:hAnsi="宋体" w:cs="宋体"/>
          <w:b/>
          <w:bCs/>
          <w:color w:val="auto"/>
          <w:sz w:val="28"/>
          <w:szCs w:val="22"/>
          <w:highlight w:val="none"/>
          <w:lang w:eastAsia="zh-CN"/>
        </w:rPr>
        <w:t>（</w:t>
      </w:r>
      <w:r>
        <w:rPr>
          <w:rFonts w:hint="eastAsia" w:ascii="宋体" w:hAnsi="宋体" w:cs="宋体"/>
          <w:b/>
          <w:bCs/>
          <w:color w:val="auto"/>
          <w:sz w:val="28"/>
          <w:szCs w:val="22"/>
          <w:highlight w:val="none"/>
          <w:lang w:val="en-US" w:eastAsia="zh-CN"/>
        </w:rPr>
        <w:t>二</w:t>
      </w:r>
      <w:r>
        <w:rPr>
          <w:rFonts w:hint="eastAsia" w:ascii="宋体" w:hAnsi="宋体" w:cs="宋体"/>
          <w:b/>
          <w:bCs/>
          <w:color w:val="auto"/>
          <w:sz w:val="28"/>
          <w:szCs w:val="22"/>
          <w:highlight w:val="none"/>
          <w:lang w:eastAsia="zh-CN"/>
        </w:rPr>
        <w:t>）</w:t>
      </w:r>
      <w:r>
        <w:rPr>
          <w:rFonts w:hint="eastAsia" w:ascii="宋体" w:hAnsi="宋体" w:cs="宋体"/>
          <w:b/>
          <w:bCs/>
          <w:color w:val="auto"/>
          <w:sz w:val="28"/>
          <w:szCs w:val="22"/>
          <w:highlight w:val="none"/>
        </w:rPr>
        <w:t>资格审查办法前附表</w:t>
      </w:r>
      <w:bookmarkEnd w:id="723"/>
      <w:bookmarkEnd w:id="724"/>
      <w:bookmarkEnd w:id="725"/>
      <w:bookmarkEnd w:id="726"/>
      <w:bookmarkEnd w:id="727"/>
    </w:p>
    <w:p w14:paraId="4132067E">
      <w:pPr>
        <w:spacing w:beforeLines="50" w:afterLines="50" w:line="440" w:lineRule="exact"/>
        <w:jc w:val="center"/>
        <w:rPr>
          <w:b/>
          <w:bCs/>
          <w:color w:val="auto"/>
          <w:sz w:val="24"/>
          <w:highlight w:val="none"/>
        </w:rPr>
      </w:pPr>
      <w:r>
        <w:rPr>
          <w:rFonts w:hint="eastAsia"/>
          <w:b/>
          <w:bCs/>
          <w:color w:val="auto"/>
          <w:sz w:val="24"/>
          <w:highlight w:val="none"/>
        </w:rPr>
        <w:t>资信证明文件评审</w:t>
      </w:r>
    </w:p>
    <w:tbl>
      <w:tblPr>
        <w:tblStyle w:val="46"/>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58"/>
        <w:gridCol w:w="6183"/>
        <w:gridCol w:w="1860"/>
      </w:tblGrid>
      <w:tr w14:paraId="4465A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23" w:type="dxa"/>
            <w:gridSpan w:val="2"/>
            <w:noWrap/>
            <w:vAlign w:val="center"/>
          </w:tcPr>
          <w:p w14:paraId="09922EC7">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序号</w:t>
            </w:r>
          </w:p>
        </w:tc>
        <w:tc>
          <w:tcPr>
            <w:tcW w:w="6183" w:type="dxa"/>
            <w:noWrap/>
            <w:vAlign w:val="center"/>
          </w:tcPr>
          <w:p w14:paraId="224F837E">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审查内容</w:t>
            </w:r>
          </w:p>
        </w:tc>
        <w:tc>
          <w:tcPr>
            <w:tcW w:w="1860" w:type="dxa"/>
            <w:noWrap/>
            <w:vAlign w:val="center"/>
          </w:tcPr>
          <w:p w14:paraId="2342EE03">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评审标准</w:t>
            </w:r>
          </w:p>
        </w:tc>
      </w:tr>
      <w:tr w14:paraId="06CF2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5" w:type="dxa"/>
            <w:vMerge w:val="restart"/>
            <w:noWrap/>
            <w:vAlign w:val="center"/>
          </w:tcPr>
          <w:p w14:paraId="4CD03B1E">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w:t>
            </w:r>
          </w:p>
        </w:tc>
        <w:tc>
          <w:tcPr>
            <w:tcW w:w="1258" w:type="dxa"/>
            <w:vMerge w:val="restart"/>
            <w:noWrap/>
            <w:vAlign w:val="center"/>
          </w:tcPr>
          <w:p w14:paraId="46DBBDD6">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审查资料</w:t>
            </w:r>
          </w:p>
        </w:tc>
        <w:tc>
          <w:tcPr>
            <w:tcW w:w="6183" w:type="dxa"/>
            <w:noWrap/>
            <w:vAlign w:val="center"/>
          </w:tcPr>
          <w:p w14:paraId="3298B6D0">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法定代表人身份证明文件和本人有效身份证(或法定代表人授权委托书和委托代理人有效身份证)</w:t>
            </w:r>
          </w:p>
        </w:tc>
        <w:tc>
          <w:tcPr>
            <w:tcW w:w="1860" w:type="dxa"/>
            <w:noWrap/>
            <w:vAlign w:val="center"/>
          </w:tcPr>
          <w:p w14:paraId="31B50CA2">
            <w:pPr>
              <w:keepNext w:val="0"/>
              <w:keepLines w:val="0"/>
              <w:suppressLineNumbers w:val="0"/>
              <w:spacing w:before="0" w:beforeAutospacing="0" w:after="0" w:afterAutospacing="0" w:line="440" w:lineRule="exact"/>
              <w:ind w:left="0" w:right="0"/>
              <w:jc w:val="center"/>
              <w:rPr>
                <w:rFonts w:hint="default" w:ascii="宋体" w:hAnsi="宋体" w:cs="宋体"/>
                <w:b/>
                <w:color w:val="auto"/>
                <w:szCs w:val="21"/>
                <w:highlight w:val="none"/>
              </w:rPr>
            </w:pPr>
            <w:r>
              <w:rPr>
                <w:rFonts w:hint="eastAsia" w:ascii="宋体" w:hAnsi="宋体" w:cs="宋体"/>
                <w:b/>
                <w:color w:val="auto"/>
                <w:szCs w:val="21"/>
                <w:highlight w:val="none"/>
              </w:rPr>
              <w:t>检验电子标书</w:t>
            </w:r>
          </w:p>
        </w:tc>
      </w:tr>
      <w:tr w14:paraId="7CB7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noWrap/>
            <w:vAlign w:val="center"/>
          </w:tcPr>
          <w:p w14:paraId="3AAEA56F">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p>
        </w:tc>
        <w:tc>
          <w:tcPr>
            <w:tcW w:w="1258" w:type="dxa"/>
            <w:vMerge w:val="continue"/>
            <w:noWrap/>
            <w:vAlign w:val="center"/>
          </w:tcPr>
          <w:p w14:paraId="79D14290">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p>
        </w:tc>
        <w:tc>
          <w:tcPr>
            <w:tcW w:w="6183" w:type="dxa"/>
            <w:noWrap/>
            <w:vAlign w:val="center"/>
          </w:tcPr>
          <w:p w14:paraId="536A8E59">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诚信投标承诺书</w:t>
            </w:r>
          </w:p>
        </w:tc>
        <w:tc>
          <w:tcPr>
            <w:tcW w:w="1860" w:type="dxa"/>
            <w:vMerge w:val="restart"/>
            <w:noWrap/>
            <w:vAlign w:val="center"/>
          </w:tcPr>
          <w:p w14:paraId="7AF8AB1F">
            <w:pPr>
              <w:keepNext w:val="0"/>
              <w:keepLines w:val="0"/>
              <w:suppressLineNumbers w:val="0"/>
              <w:spacing w:before="0" w:beforeAutospacing="0" w:after="0" w:afterAutospacing="0" w:line="440" w:lineRule="exact"/>
              <w:ind w:left="0" w:right="0"/>
              <w:jc w:val="center"/>
              <w:rPr>
                <w:rFonts w:hint="default" w:ascii="宋体" w:hAnsi="宋体" w:cs="宋体"/>
                <w:b/>
                <w:color w:val="auto"/>
                <w:szCs w:val="21"/>
                <w:highlight w:val="none"/>
              </w:rPr>
            </w:pPr>
            <w:r>
              <w:rPr>
                <w:rFonts w:hint="eastAsia" w:ascii="宋体" w:hAnsi="宋体" w:cs="宋体"/>
                <w:b/>
                <w:color w:val="auto"/>
                <w:szCs w:val="21"/>
                <w:highlight w:val="none"/>
              </w:rPr>
              <w:t>检验电子标书</w:t>
            </w:r>
          </w:p>
        </w:tc>
      </w:tr>
      <w:tr w14:paraId="54DE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noWrap/>
            <w:vAlign w:val="center"/>
          </w:tcPr>
          <w:p w14:paraId="3876B9E4">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p>
        </w:tc>
        <w:tc>
          <w:tcPr>
            <w:tcW w:w="1258" w:type="dxa"/>
            <w:vMerge w:val="continue"/>
            <w:noWrap/>
            <w:vAlign w:val="center"/>
          </w:tcPr>
          <w:p w14:paraId="67819606">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p>
        </w:tc>
        <w:tc>
          <w:tcPr>
            <w:tcW w:w="6183" w:type="dxa"/>
            <w:noWrap/>
            <w:vAlign w:val="center"/>
          </w:tcPr>
          <w:p w14:paraId="1FF1A326">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企业法人营业执照</w:t>
            </w:r>
          </w:p>
        </w:tc>
        <w:tc>
          <w:tcPr>
            <w:tcW w:w="1860" w:type="dxa"/>
            <w:vMerge w:val="continue"/>
            <w:noWrap/>
            <w:vAlign w:val="center"/>
          </w:tcPr>
          <w:p w14:paraId="60646E32">
            <w:pPr>
              <w:keepNext w:val="0"/>
              <w:keepLines w:val="0"/>
              <w:suppressLineNumbers w:val="0"/>
              <w:spacing w:before="0" w:beforeAutospacing="0" w:after="0" w:afterAutospacing="0" w:line="440" w:lineRule="exact"/>
              <w:ind w:left="0" w:right="0"/>
              <w:rPr>
                <w:rFonts w:hint="default" w:ascii="宋体" w:hAnsi="宋体" w:cs="宋体"/>
                <w:b/>
                <w:color w:val="auto"/>
                <w:szCs w:val="21"/>
                <w:highlight w:val="none"/>
              </w:rPr>
            </w:pPr>
          </w:p>
        </w:tc>
      </w:tr>
      <w:tr w14:paraId="1D10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65" w:type="dxa"/>
            <w:vMerge w:val="continue"/>
            <w:noWrap/>
            <w:vAlign w:val="center"/>
          </w:tcPr>
          <w:p w14:paraId="5BC803E7">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p>
        </w:tc>
        <w:tc>
          <w:tcPr>
            <w:tcW w:w="1258" w:type="dxa"/>
            <w:vMerge w:val="continue"/>
            <w:noWrap/>
            <w:vAlign w:val="center"/>
          </w:tcPr>
          <w:p w14:paraId="317BE10C">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p>
        </w:tc>
        <w:tc>
          <w:tcPr>
            <w:tcW w:w="6183" w:type="dxa"/>
            <w:noWrap/>
            <w:vAlign w:val="center"/>
          </w:tcPr>
          <w:p w14:paraId="7C50C838">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企业资质证书</w:t>
            </w:r>
          </w:p>
        </w:tc>
        <w:tc>
          <w:tcPr>
            <w:tcW w:w="1860" w:type="dxa"/>
            <w:vMerge w:val="continue"/>
            <w:noWrap/>
            <w:vAlign w:val="center"/>
          </w:tcPr>
          <w:p w14:paraId="4591BAB0">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12D4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65" w:type="dxa"/>
            <w:vMerge w:val="continue"/>
            <w:noWrap/>
            <w:vAlign w:val="center"/>
          </w:tcPr>
          <w:p w14:paraId="221C2EB0">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p>
        </w:tc>
        <w:tc>
          <w:tcPr>
            <w:tcW w:w="1258" w:type="dxa"/>
            <w:vMerge w:val="continue"/>
            <w:noWrap/>
            <w:vAlign w:val="center"/>
          </w:tcPr>
          <w:p w14:paraId="44CD5E17">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p>
        </w:tc>
        <w:tc>
          <w:tcPr>
            <w:tcW w:w="6183" w:type="dxa"/>
            <w:noWrap/>
            <w:vAlign w:val="top"/>
          </w:tcPr>
          <w:p w14:paraId="1439A2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rPr>
              <w:t>企业安全生产许可证</w:t>
            </w:r>
          </w:p>
        </w:tc>
        <w:tc>
          <w:tcPr>
            <w:tcW w:w="1860" w:type="dxa"/>
            <w:vMerge w:val="continue"/>
            <w:noWrap/>
            <w:vAlign w:val="center"/>
          </w:tcPr>
          <w:p w14:paraId="42889EE9">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08246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65" w:type="dxa"/>
            <w:vMerge w:val="continue"/>
            <w:noWrap/>
            <w:vAlign w:val="center"/>
          </w:tcPr>
          <w:p w14:paraId="49D7041B">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p>
        </w:tc>
        <w:tc>
          <w:tcPr>
            <w:tcW w:w="1258" w:type="dxa"/>
            <w:vMerge w:val="continue"/>
            <w:noWrap/>
            <w:vAlign w:val="center"/>
          </w:tcPr>
          <w:p w14:paraId="58A48EB5">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p>
        </w:tc>
        <w:tc>
          <w:tcPr>
            <w:tcW w:w="6183" w:type="dxa"/>
            <w:noWrap/>
            <w:vAlign w:val="top"/>
          </w:tcPr>
          <w:p w14:paraId="533328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rPr>
              <w:t>项目经理（建造师）有效身份证、注册证书以及安全生产考核合格证书（B证）</w:t>
            </w:r>
          </w:p>
        </w:tc>
        <w:tc>
          <w:tcPr>
            <w:tcW w:w="1860" w:type="dxa"/>
            <w:vMerge w:val="continue"/>
            <w:noWrap/>
            <w:vAlign w:val="center"/>
          </w:tcPr>
          <w:p w14:paraId="16CBB1A7">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0F75A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65" w:type="dxa"/>
            <w:vMerge w:val="continue"/>
            <w:noWrap/>
            <w:vAlign w:val="center"/>
          </w:tcPr>
          <w:p w14:paraId="575F61D2">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p>
        </w:tc>
        <w:tc>
          <w:tcPr>
            <w:tcW w:w="1258" w:type="dxa"/>
            <w:vMerge w:val="continue"/>
            <w:noWrap/>
            <w:vAlign w:val="center"/>
          </w:tcPr>
          <w:p w14:paraId="78531932">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p>
        </w:tc>
        <w:tc>
          <w:tcPr>
            <w:tcW w:w="6183" w:type="dxa"/>
            <w:noWrap/>
            <w:vAlign w:val="top"/>
          </w:tcPr>
          <w:p w14:paraId="668B8D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rPr>
              <w:t>投标人的法定代表人(或委托代理人)和拟任项目经理（建造师）须持有社保部门出具的本单位（或其不具备独立法人资格的分公司）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p>
        </w:tc>
        <w:tc>
          <w:tcPr>
            <w:tcW w:w="1860" w:type="dxa"/>
            <w:vMerge w:val="continue"/>
            <w:noWrap/>
            <w:vAlign w:val="center"/>
          </w:tcPr>
          <w:p w14:paraId="5DB814E6">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2EBFF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65" w:type="dxa"/>
            <w:vMerge w:val="continue"/>
            <w:noWrap/>
            <w:vAlign w:val="center"/>
          </w:tcPr>
          <w:p w14:paraId="6326CCCC">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p>
        </w:tc>
        <w:tc>
          <w:tcPr>
            <w:tcW w:w="1258" w:type="dxa"/>
            <w:vMerge w:val="continue"/>
            <w:noWrap/>
            <w:vAlign w:val="center"/>
          </w:tcPr>
          <w:p w14:paraId="2D35A3FA">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p>
        </w:tc>
        <w:tc>
          <w:tcPr>
            <w:tcW w:w="6183" w:type="dxa"/>
            <w:noWrap/>
            <w:vAlign w:val="top"/>
          </w:tcPr>
          <w:p w14:paraId="42D85A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rPr>
              <w:t>项目管理机构</w:t>
            </w:r>
          </w:p>
        </w:tc>
        <w:tc>
          <w:tcPr>
            <w:tcW w:w="1860" w:type="dxa"/>
            <w:vMerge w:val="continue"/>
            <w:noWrap/>
            <w:vAlign w:val="center"/>
          </w:tcPr>
          <w:p w14:paraId="5C79B4D5">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bl>
    <w:p w14:paraId="0FCF003C">
      <w:pPr>
        <w:spacing w:line="44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重要提示：</w:t>
      </w:r>
    </w:p>
    <w:p w14:paraId="09F388F7">
      <w:pPr>
        <w:spacing w:line="440" w:lineRule="exact"/>
        <w:ind w:firstLine="422" w:firstLineChars="200"/>
        <w:jc w:val="left"/>
        <w:rPr>
          <w:rFonts w:hint="eastAsia" w:ascii="宋体" w:hAnsi="宋体" w:cs="宋体"/>
          <w:b/>
          <w:bCs/>
          <w:color w:val="auto"/>
          <w:szCs w:val="21"/>
          <w:highlight w:val="none"/>
          <w:lang w:eastAsia="zh-CN"/>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）评标专家在检验电子投标文件过程中，如果由于投标人自身原因导致评标专家无法查看并检验电子投标文件中相关资料的，视为无效标处理。即使投标人将原件携带至现场的，同样按无效标处理</w:t>
      </w:r>
      <w:r>
        <w:rPr>
          <w:rFonts w:hint="eastAsia" w:ascii="宋体" w:hAnsi="宋体" w:cs="宋体"/>
          <w:b/>
          <w:bCs/>
          <w:color w:val="auto"/>
          <w:szCs w:val="21"/>
          <w:highlight w:val="none"/>
          <w:lang w:eastAsia="zh-CN"/>
        </w:rPr>
        <w:t>。</w:t>
      </w:r>
    </w:p>
    <w:p w14:paraId="5CF22E8D">
      <w:pPr>
        <w:spacing w:line="44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lang w:eastAsia="zh-CN"/>
        </w:rPr>
        <w:t>）投标人拟委任项目经理为注册建造师（含一级、二级）的，须提供有效的纸质版电子证书。投标人打印纸质电子证书后，应由建造师本人在个人签名栏手写本人签名，或附其本人知情承诺，未手写签名或与签名图片笔迹不一致的，该打印的纸质证书无效（其他省份建造师电子证书执行该省现行政策规定）。投标人应对其提供的纸质版电子证书真实性、有效性负责。投标人提供的安徽省新版二级建造师电子注册证书纸质版需在安徽省住房和城乡建设执业资格注册管理系统中打印，打印后应由二级建造师本人在证书的个人签名处手写本人签名，或在新版二级建造师电子注册证书纸质版后附其本人知情承诺（视为个人签名处的手写本人签名），格式自拟。未手写个人签名或未提供二级建造师本人知情承诺的，个人签名或知情承诺签字与签名图片笔迹不一致，此证书无效。其他省份按各省相关规定执行</w:t>
      </w:r>
      <w:r>
        <w:rPr>
          <w:rFonts w:hint="eastAsia" w:ascii="宋体" w:hAnsi="宋体" w:cs="宋体"/>
          <w:b/>
          <w:bCs/>
          <w:color w:val="auto"/>
          <w:szCs w:val="21"/>
          <w:highlight w:val="none"/>
        </w:rPr>
        <w:t>。</w:t>
      </w:r>
    </w:p>
    <w:p w14:paraId="4418AF8B">
      <w:pPr>
        <w:pStyle w:val="7"/>
        <w:spacing w:beforeLines="50" w:afterLines="50"/>
        <w:ind w:firstLine="422" w:firstLineChars="200"/>
        <w:rPr>
          <w:rFonts w:ascii="宋体" w:hAnsi="宋体" w:eastAsia="宋体" w:cs="宋体"/>
          <w:color w:val="auto"/>
          <w:highlight w:val="none"/>
        </w:rPr>
      </w:pPr>
      <w:bookmarkStart w:id="728" w:name="_Toc35424942"/>
      <w:bookmarkStart w:id="729" w:name="_Toc506107320"/>
      <w:bookmarkStart w:id="730" w:name="_Toc15058909"/>
      <w:bookmarkStart w:id="731" w:name="_Toc78803377"/>
      <w:bookmarkStart w:id="732" w:name="_Toc12549"/>
      <w:bookmarkStart w:id="733" w:name="_Toc324404867"/>
      <w:bookmarkStart w:id="734" w:name="_Toc35425108"/>
      <w:r>
        <w:rPr>
          <w:rFonts w:hint="eastAsia" w:ascii="宋体" w:hAnsi="宋体" w:eastAsia="宋体" w:cs="宋体"/>
          <w:color w:val="auto"/>
          <w:highlight w:val="none"/>
        </w:rPr>
        <w:t>2.审查办法</w:t>
      </w:r>
      <w:bookmarkEnd w:id="728"/>
      <w:bookmarkEnd w:id="729"/>
      <w:bookmarkEnd w:id="730"/>
      <w:bookmarkEnd w:id="731"/>
      <w:bookmarkEnd w:id="732"/>
      <w:bookmarkEnd w:id="733"/>
      <w:bookmarkEnd w:id="734"/>
    </w:p>
    <w:p w14:paraId="1C727AD6">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由资格审查委员会（评标委员会）按资格审查办法前附表中资格审查必要合格条件评审表要求对投标人审查资料进行核验。</w:t>
      </w:r>
    </w:p>
    <w:p w14:paraId="24C02976">
      <w:pPr>
        <w:pStyle w:val="7"/>
        <w:spacing w:beforeLines="50" w:afterLines="50"/>
        <w:ind w:firstLine="422" w:firstLineChars="200"/>
        <w:rPr>
          <w:rFonts w:ascii="宋体" w:hAnsi="宋体" w:eastAsia="宋体" w:cs="宋体"/>
          <w:color w:val="auto"/>
          <w:highlight w:val="none"/>
        </w:rPr>
      </w:pPr>
      <w:bookmarkStart w:id="735" w:name="_Toc35424943"/>
      <w:bookmarkStart w:id="736" w:name="_Toc15058910"/>
      <w:bookmarkStart w:id="737" w:name="_Toc506107321"/>
      <w:bookmarkStart w:id="738" w:name="_Toc324404868"/>
      <w:bookmarkStart w:id="739" w:name="_Toc35425109"/>
      <w:bookmarkStart w:id="740" w:name="_Toc15626"/>
      <w:bookmarkStart w:id="741" w:name="_Toc78803378"/>
      <w:r>
        <w:rPr>
          <w:rFonts w:hint="eastAsia" w:ascii="宋体" w:hAnsi="宋体" w:eastAsia="宋体" w:cs="宋体"/>
          <w:color w:val="auto"/>
          <w:highlight w:val="none"/>
        </w:rPr>
        <w:t>3.资格审查委员会和审查标准</w:t>
      </w:r>
      <w:bookmarkEnd w:id="735"/>
      <w:bookmarkEnd w:id="736"/>
      <w:bookmarkEnd w:id="737"/>
      <w:bookmarkEnd w:id="738"/>
      <w:bookmarkEnd w:id="739"/>
      <w:bookmarkEnd w:id="740"/>
      <w:bookmarkEnd w:id="741"/>
    </w:p>
    <w:p w14:paraId="247912DA">
      <w:pPr>
        <w:spacing w:line="440" w:lineRule="exact"/>
        <w:ind w:firstLine="420" w:firstLineChars="200"/>
        <w:jc w:val="left"/>
        <w:rPr>
          <w:rFonts w:hint="eastAsia" w:ascii="宋体" w:hAnsi="宋体" w:eastAsia="宋体" w:cs="宋体"/>
          <w:color w:val="auto"/>
          <w:szCs w:val="21"/>
          <w:highlight w:val="none"/>
        </w:rPr>
      </w:pPr>
      <w:bookmarkStart w:id="742" w:name="_Toc324404869"/>
      <w:bookmarkStart w:id="743" w:name="_Toc35424944"/>
      <w:bookmarkStart w:id="744" w:name="_Toc15058911"/>
      <w:bookmarkStart w:id="745" w:name="_Toc10330"/>
      <w:bookmarkStart w:id="746" w:name="_Toc78803379"/>
      <w:bookmarkStart w:id="747" w:name="_Toc35425110"/>
      <w:bookmarkStart w:id="748" w:name="_Toc506107322"/>
      <w:r>
        <w:rPr>
          <w:rFonts w:hint="eastAsia" w:ascii="宋体" w:hAnsi="宋体" w:eastAsia="宋体" w:cs="宋体"/>
          <w:color w:val="auto"/>
          <w:szCs w:val="21"/>
          <w:highlight w:val="none"/>
        </w:rPr>
        <w:t>3.1资格审查由招标人依法组建的资格审查委员会（或评标委员会）负责。审查标准见资格审查办法前附表。</w:t>
      </w:r>
    </w:p>
    <w:p w14:paraId="131E6942">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3.2由资格审查委员会（评标委员会）按资格审查办法前附表要求对投标人的审查资料进行核验。投标申请人有下列情形之一的，其资格审查为不合格： </w:t>
      </w:r>
    </w:p>
    <w:p w14:paraId="2745C2C3">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未上传电子标书或电子标书经审查不合格；</w:t>
      </w:r>
    </w:p>
    <w:p w14:paraId="719EFAFF">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未</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招标公告</w:t>
      </w:r>
      <w:r>
        <w:rPr>
          <w:rFonts w:hint="eastAsia" w:ascii="宋体" w:hAnsi="宋体" w:eastAsia="宋体" w:cs="宋体"/>
          <w:color w:val="auto"/>
          <w:szCs w:val="21"/>
          <w:highlight w:val="none"/>
        </w:rPr>
        <w:t>要求提交投标保证金的；（本条不采用）</w:t>
      </w:r>
    </w:p>
    <w:p w14:paraId="415A82FD">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）法律、法规规定的其他情形。</w:t>
      </w:r>
    </w:p>
    <w:p w14:paraId="6B78F5C3">
      <w:pPr>
        <w:pStyle w:val="7"/>
        <w:spacing w:beforeLines="50" w:afterLines="50"/>
        <w:ind w:firstLine="422" w:firstLineChars="200"/>
        <w:rPr>
          <w:rFonts w:ascii="宋体" w:hAnsi="宋体" w:eastAsia="宋体" w:cs="宋体"/>
          <w:color w:val="auto"/>
          <w:highlight w:val="none"/>
        </w:rPr>
      </w:pPr>
      <w:r>
        <w:rPr>
          <w:rFonts w:hint="eastAsia" w:ascii="宋体" w:hAnsi="宋体" w:eastAsia="宋体" w:cs="宋体"/>
          <w:color w:val="auto"/>
          <w:highlight w:val="none"/>
        </w:rPr>
        <w:t>4.审查结果</w:t>
      </w:r>
      <w:bookmarkEnd w:id="742"/>
      <w:bookmarkEnd w:id="743"/>
      <w:bookmarkEnd w:id="744"/>
      <w:bookmarkEnd w:id="745"/>
      <w:bookmarkEnd w:id="746"/>
      <w:bookmarkEnd w:id="747"/>
      <w:bookmarkEnd w:id="748"/>
    </w:p>
    <w:p w14:paraId="34F5680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highlight w:val="none"/>
        </w:rPr>
        <w:t>只有通过资格审查的投标人才能进入下一步的评标程序。</w:t>
      </w:r>
      <w:bookmarkStart w:id="749" w:name="_Toc506107323"/>
    </w:p>
    <w:p w14:paraId="10BAEF2B">
      <w:pPr>
        <w:pStyle w:val="6"/>
        <w:numPr>
          <w:ilvl w:val="0"/>
          <w:numId w:val="2"/>
        </w:numPr>
        <w:spacing w:beforeLines="50" w:afterLines="50"/>
        <w:rPr>
          <w:rFonts w:hint="eastAsia" w:ascii="Arial" w:hAnsi="Arial"/>
          <w:color w:val="auto"/>
          <w:kern w:val="0"/>
          <w:sz w:val="32"/>
          <w:szCs w:val="32"/>
          <w:highlight w:val="none"/>
        </w:rPr>
      </w:pPr>
      <w:bookmarkStart w:id="750" w:name="_Toc15058912"/>
      <w:bookmarkStart w:id="751" w:name="_Toc35425111"/>
      <w:bookmarkStart w:id="752" w:name="_Toc35424945"/>
      <w:r>
        <w:rPr>
          <w:rFonts w:hint="eastAsia"/>
          <w:color w:val="auto"/>
          <w:highlight w:val="none"/>
        </w:rPr>
        <w:br w:type="page"/>
      </w:r>
      <w:bookmarkStart w:id="753" w:name="_Toc78803380"/>
      <w:r>
        <w:rPr>
          <w:rFonts w:hint="eastAsia" w:ascii="Arial" w:hAnsi="Arial"/>
          <w:color w:val="auto"/>
          <w:kern w:val="0"/>
          <w:sz w:val="32"/>
          <w:szCs w:val="32"/>
          <w:highlight w:val="none"/>
        </w:rPr>
        <w:t xml:space="preserve"> </w:t>
      </w:r>
      <w:bookmarkStart w:id="754" w:name="_Toc1286"/>
      <w:bookmarkStart w:id="755" w:name="_Toc32602"/>
      <w:bookmarkStart w:id="756" w:name="_Toc30518"/>
      <w:r>
        <w:rPr>
          <w:rFonts w:hint="eastAsia" w:ascii="Arial" w:hAnsi="Arial"/>
          <w:color w:val="auto"/>
          <w:kern w:val="0"/>
          <w:sz w:val="32"/>
          <w:szCs w:val="32"/>
          <w:highlight w:val="none"/>
        </w:rPr>
        <w:t>评标办法</w:t>
      </w:r>
      <w:bookmarkEnd w:id="607"/>
      <w:bookmarkEnd w:id="749"/>
      <w:bookmarkEnd w:id="750"/>
      <w:bookmarkEnd w:id="751"/>
      <w:bookmarkEnd w:id="752"/>
      <w:bookmarkEnd w:id="753"/>
      <w:bookmarkEnd w:id="754"/>
      <w:bookmarkEnd w:id="755"/>
      <w:bookmarkEnd w:id="756"/>
    </w:p>
    <w:p w14:paraId="5EBA7453">
      <w:pPr>
        <w:pStyle w:val="42"/>
        <w:keepNext w:val="0"/>
        <w:keepLines w:val="0"/>
        <w:widowControl w:val="0"/>
        <w:suppressLineNumbers w:val="0"/>
        <w:autoSpaceDE w:val="0"/>
        <w:autoSpaceDN/>
        <w:spacing w:before="95" w:beforeLines="30" w:beforeAutospacing="0" w:after="95" w:afterLines="30" w:afterAutospacing="0" w:line="440" w:lineRule="exact"/>
        <w:ind w:right="0"/>
        <w:jc w:val="center"/>
        <w:rPr>
          <w:rFonts w:hint="default" w:ascii="Times New Roman" w:hAnsi="Times New Roman" w:eastAsia="宋体" w:cs="Times New Roman"/>
          <w:b/>
          <w:bCs w:val="0"/>
          <w:color w:val="auto"/>
          <w:kern w:val="2"/>
          <w:sz w:val="24"/>
          <w:szCs w:val="24"/>
          <w:highlight w:val="none"/>
        </w:rPr>
      </w:pPr>
      <w:r>
        <w:rPr>
          <w:rFonts w:hint="eastAsia" w:ascii="Times New Roman" w:hAnsi="Times New Roman" w:eastAsia="宋体" w:cs="Times New Roman"/>
          <w:b/>
          <w:color w:val="auto"/>
          <w:sz w:val="24"/>
          <w:szCs w:val="24"/>
          <w:highlight w:val="none"/>
          <w:lang w:val="en-US" w:eastAsia="zh-CN"/>
        </w:rPr>
        <w:t>（一）</w:t>
      </w:r>
      <w:r>
        <w:rPr>
          <w:rFonts w:hint="eastAsia" w:ascii="宋体" w:hAnsi="宋体" w:eastAsia="宋体" w:cs="宋体"/>
          <w:b/>
          <w:bCs w:val="0"/>
          <w:color w:val="auto"/>
          <w:kern w:val="2"/>
          <w:sz w:val="24"/>
          <w:szCs w:val="24"/>
          <w:highlight w:val="none"/>
          <w:lang w:val="en-US" w:eastAsia="zh-CN" w:bidi="ar"/>
        </w:rPr>
        <w:t>技术标评审</w:t>
      </w:r>
    </w:p>
    <w:tbl>
      <w:tblPr>
        <w:tblStyle w:val="46"/>
        <w:tblW w:w="9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08"/>
        <w:gridCol w:w="1276"/>
        <w:gridCol w:w="675"/>
        <w:gridCol w:w="545"/>
        <w:gridCol w:w="2135"/>
        <w:gridCol w:w="4452"/>
      </w:tblGrid>
      <w:tr w14:paraId="229EA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3" w:hRule="atLeast"/>
          <w:jc w:val="center"/>
        </w:trPr>
        <w:tc>
          <w:tcPr>
            <w:tcW w:w="21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9EE14E">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条款号</w:t>
            </w:r>
          </w:p>
        </w:tc>
        <w:tc>
          <w:tcPr>
            <w:tcW w:w="3355" w:type="dxa"/>
            <w:gridSpan w:val="3"/>
            <w:tcBorders>
              <w:top w:val="single" w:color="auto" w:sz="4" w:space="0"/>
              <w:left w:val="nil"/>
              <w:bottom w:val="single" w:color="auto" w:sz="4" w:space="0"/>
              <w:right w:val="single" w:color="auto" w:sz="4" w:space="0"/>
            </w:tcBorders>
            <w:shd w:val="clear" w:color="auto" w:fill="auto"/>
            <w:vAlign w:val="center"/>
          </w:tcPr>
          <w:p w14:paraId="683424EC">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评</w:t>
            </w:r>
            <w:bookmarkStart w:id="757" w:name="_Toc246996995"/>
            <w:r>
              <w:rPr>
                <w:rFonts w:hint="eastAsia" w:ascii="宋体" w:hAnsi="宋体" w:eastAsia="宋体" w:cs="宋体"/>
                <w:color w:val="auto"/>
                <w:kern w:val="2"/>
                <w:sz w:val="21"/>
                <w:szCs w:val="21"/>
                <w:highlight w:val="none"/>
                <w:lang w:val="en-US" w:eastAsia="zh-CN" w:bidi="ar"/>
              </w:rPr>
              <w:t>审因</w:t>
            </w:r>
            <w:bookmarkEnd w:id="757"/>
            <w:bookmarkStart w:id="758" w:name="_Toc60061510"/>
            <w:bookmarkEnd w:id="758"/>
            <w:r>
              <w:rPr>
                <w:rFonts w:hint="eastAsia" w:ascii="宋体" w:hAnsi="宋体" w:eastAsia="宋体" w:cs="宋体"/>
                <w:color w:val="auto"/>
                <w:kern w:val="2"/>
                <w:sz w:val="21"/>
                <w:szCs w:val="21"/>
                <w:highlight w:val="none"/>
                <w:lang w:val="en-US" w:eastAsia="zh-CN" w:bidi="ar"/>
              </w:rPr>
              <w:t>素</w:t>
            </w:r>
          </w:p>
        </w:tc>
        <w:tc>
          <w:tcPr>
            <w:tcW w:w="4452" w:type="dxa"/>
            <w:tcBorders>
              <w:top w:val="single" w:color="auto" w:sz="4" w:space="0"/>
              <w:left w:val="nil"/>
              <w:bottom w:val="single" w:color="auto" w:sz="4" w:space="0"/>
              <w:right w:val="single" w:color="auto" w:sz="4" w:space="0"/>
            </w:tcBorders>
            <w:shd w:val="clear" w:color="auto" w:fill="auto"/>
            <w:vAlign w:val="center"/>
          </w:tcPr>
          <w:p w14:paraId="740B48C6">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评审标准</w:t>
            </w:r>
          </w:p>
        </w:tc>
      </w:tr>
      <w:tr w14:paraId="08FA7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908" w:type="dxa"/>
            <w:vMerge w:val="restart"/>
            <w:tcBorders>
              <w:top w:val="nil"/>
              <w:left w:val="single" w:color="auto" w:sz="4" w:space="0"/>
              <w:bottom w:val="single" w:color="auto" w:sz="4" w:space="0"/>
              <w:right w:val="single" w:color="auto" w:sz="4" w:space="0"/>
            </w:tcBorders>
            <w:shd w:val="clear" w:color="auto" w:fill="auto"/>
            <w:vAlign w:val="center"/>
          </w:tcPr>
          <w:p w14:paraId="1F2C2BD7">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4.1.1</w:t>
            </w:r>
          </w:p>
        </w:tc>
        <w:tc>
          <w:tcPr>
            <w:tcW w:w="1276" w:type="dxa"/>
            <w:vMerge w:val="restart"/>
            <w:tcBorders>
              <w:top w:val="nil"/>
              <w:left w:val="nil"/>
              <w:bottom w:val="single" w:color="auto" w:sz="4" w:space="0"/>
              <w:right w:val="single" w:color="auto" w:sz="4" w:space="0"/>
            </w:tcBorders>
            <w:shd w:val="clear" w:color="auto" w:fill="auto"/>
            <w:vAlign w:val="center"/>
          </w:tcPr>
          <w:p w14:paraId="1D47CC16">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形式评审</w:t>
            </w:r>
          </w:p>
          <w:p w14:paraId="5F2FB67A">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标准</w:t>
            </w:r>
          </w:p>
        </w:tc>
        <w:tc>
          <w:tcPr>
            <w:tcW w:w="3355" w:type="dxa"/>
            <w:gridSpan w:val="3"/>
            <w:tcBorders>
              <w:top w:val="single" w:color="auto" w:sz="4" w:space="0"/>
              <w:left w:val="nil"/>
              <w:bottom w:val="single" w:color="auto" w:sz="4" w:space="0"/>
              <w:right w:val="single" w:color="auto" w:sz="4" w:space="0"/>
            </w:tcBorders>
            <w:shd w:val="clear" w:color="auto" w:fill="auto"/>
            <w:vAlign w:val="center"/>
          </w:tcPr>
          <w:p w14:paraId="1FF6C062">
            <w:pPr>
              <w:keepNext w:val="0"/>
              <w:keepLines w:val="0"/>
              <w:widowControl w:val="0"/>
              <w:suppressLineNumbers w:val="0"/>
              <w:adjustRightInd w:val="0"/>
              <w:snapToGrid w:val="0"/>
              <w:spacing w:before="0" w:beforeAutospacing="0" w:after="0" w:afterAutospacing="0" w:line="560" w:lineRule="exact"/>
              <w:ind w:left="0" w:right="0"/>
              <w:jc w:val="center"/>
              <w:textAlignment w:val="baseline"/>
              <w:rPr>
                <w:rFonts w:hint="default" w:ascii="Times New Roman" w:hAnsi="Times New Roman" w:eastAsia="宋体" w:cs="Times New Roman"/>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投标人名称</w:t>
            </w:r>
          </w:p>
        </w:tc>
        <w:tc>
          <w:tcPr>
            <w:tcW w:w="4452" w:type="dxa"/>
            <w:tcBorders>
              <w:top w:val="single" w:color="auto" w:sz="4" w:space="0"/>
              <w:left w:val="nil"/>
              <w:bottom w:val="single" w:color="auto" w:sz="4" w:space="0"/>
              <w:right w:val="single" w:color="auto" w:sz="4" w:space="0"/>
            </w:tcBorders>
            <w:shd w:val="clear" w:color="auto" w:fill="auto"/>
            <w:vAlign w:val="center"/>
          </w:tcPr>
          <w:p w14:paraId="35909947">
            <w:pPr>
              <w:keepNext w:val="0"/>
              <w:keepLines w:val="0"/>
              <w:widowControl w:val="0"/>
              <w:suppressLineNumbers w:val="0"/>
              <w:adjustRightInd w:val="0"/>
              <w:snapToGrid w:val="0"/>
              <w:spacing w:before="0" w:beforeAutospacing="0" w:after="0" w:afterAutospacing="0" w:line="560" w:lineRule="exact"/>
              <w:ind w:left="0" w:right="0"/>
              <w:jc w:val="both"/>
              <w:textAlignment w:val="baseline"/>
              <w:rPr>
                <w:rFonts w:hint="default" w:ascii="Times New Roman" w:hAnsi="Times New Roman" w:eastAsia="宋体" w:cs="Times New Roman"/>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与营业执照、资质证书、安全生产许可证一致。</w:t>
            </w:r>
          </w:p>
        </w:tc>
      </w:tr>
      <w:tr w14:paraId="5B1D2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7F99BD9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nil"/>
              <w:bottom w:val="single" w:color="auto" w:sz="4" w:space="0"/>
              <w:right w:val="single" w:color="auto" w:sz="4" w:space="0"/>
            </w:tcBorders>
            <w:shd w:val="clear" w:color="auto" w:fill="auto"/>
            <w:vAlign w:val="center"/>
          </w:tcPr>
          <w:p w14:paraId="49653E7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355" w:type="dxa"/>
            <w:gridSpan w:val="3"/>
            <w:tcBorders>
              <w:top w:val="single" w:color="auto" w:sz="4" w:space="0"/>
              <w:left w:val="nil"/>
              <w:bottom w:val="single" w:color="auto" w:sz="4" w:space="0"/>
              <w:right w:val="single" w:color="auto" w:sz="4" w:space="0"/>
            </w:tcBorders>
            <w:shd w:val="clear" w:color="auto" w:fill="auto"/>
            <w:vAlign w:val="center"/>
          </w:tcPr>
          <w:p w14:paraId="22ABC499">
            <w:pPr>
              <w:keepNext w:val="0"/>
              <w:keepLines w:val="0"/>
              <w:widowControl w:val="0"/>
              <w:suppressLineNumbers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投标文件格式</w:t>
            </w:r>
          </w:p>
        </w:tc>
        <w:tc>
          <w:tcPr>
            <w:tcW w:w="4452" w:type="dxa"/>
            <w:tcBorders>
              <w:top w:val="single" w:color="auto" w:sz="4" w:space="0"/>
              <w:left w:val="nil"/>
              <w:bottom w:val="single" w:color="auto" w:sz="4" w:space="0"/>
              <w:right w:val="single" w:color="auto" w:sz="4" w:space="0"/>
            </w:tcBorders>
            <w:shd w:val="clear" w:color="auto" w:fill="auto"/>
            <w:vAlign w:val="center"/>
          </w:tcPr>
          <w:p w14:paraId="47784883">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符合第八章“投标文件格式”的要求，否则经评委会一致认定后</w:t>
            </w:r>
            <w:r>
              <w:rPr>
                <w:rFonts w:hint="default" w:ascii="Times New Roman" w:hAnsi="Times New Roman" w:eastAsia="宋体" w:cs="Times New Roman"/>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按照无效投标处理。</w:t>
            </w:r>
          </w:p>
        </w:tc>
      </w:tr>
      <w:tr w14:paraId="13AF3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908" w:type="dxa"/>
            <w:vMerge w:val="restart"/>
            <w:tcBorders>
              <w:top w:val="nil"/>
              <w:left w:val="single" w:color="auto" w:sz="4" w:space="0"/>
              <w:bottom w:val="single" w:color="auto" w:sz="4" w:space="0"/>
              <w:right w:val="single" w:color="auto" w:sz="4" w:space="0"/>
            </w:tcBorders>
            <w:shd w:val="clear" w:color="auto" w:fill="auto"/>
            <w:vAlign w:val="center"/>
          </w:tcPr>
          <w:p w14:paraId="61B5DE60">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4.1.2</w:t>
            </w:r>
          </w:p>
        </w:tc>
        <w:tc>
          <w:tcPr>
            <w:tcW w:w="1276" w:type="dxa"/>
            <w:vMerge w:val="restart"/>
            <w:tcBorders>
              <w:top w:val="nil"/>
              <w:left w:val="nil"/>
              <w:bottom w:val="single" w:color="auto" w:sz="4" w:space="0"/>
              <w:right w:val="single" w:color="auto" w:sz="4" w:space="0"/>
            </w:tcBorders>
            <w:shd w:val="clear" w:color="auto" w:fill="auto"/>
            <w:vAlign w:val="center"/>
          </w:tcPr>
          <w:p w14:paraId="3918205E">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响应性评审标准（初步评审）</w:t>
            </w:r>
          </w:p>
        </w:tc>
        <w:tc>
          <w:tcPr>
            <w:tcW w:w="3355" w:type="dxa"/>
            <w:gridSpan w:val="3"/>
            <w:tcBorders>
              <w:top w:val="single" w:color="auto" w:sz="4" w:space="0"/>
              <w:left w:val="nil"/>
              <w:bottom w:val="single" w:color="auto" w:sz="4" w:space="0"/>
              <w:right w:val="single" w:color="auto" w:sz="4" w:space="0"/>
            </w:tcBorders>
            <w:shd w:val="clear" w:color="auto" w:fill="auto"/>
            <w:vAlign w:val="center"/>
          </w:tcPr>
          <w:p w14:paraId="6B8D219D">
            <w:pPr>
              <w:keepNext w:val="0"/>
              <w:keepLines w:val="0"/>
              <w:widowControl w:val="0"/>
              <w:suppressLineNumbers w:val="0"/>
              <w:adjustRightInd w:val="0"/>
              <w:snapToGrid w:val="0"/>
              <w:spacing w:before="0" w:beforeAutospacing="0" w:after="0" w:afterAutospacing="0" w:line="560" w:lineRule="exact"/>
              <w:ind w:left="0" w:right="0"/>
              <w:jc w:val="center"/>
              <w:textAlignment w:val="baseline"/>
              <w:rPr>
                <w:rFonts w:hint="default" w:ascii="Times New Roman" w:hAnsi="Times New Roman" w:eastAsia="宋体" w:cs="Times New Roman"/>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投标内容</w:t>
            </w:r>
          </w:p>
        </w:tc>
        <w:tc>
          <w:tcPr>
            <w:tcW w:w="4452" w:type="dxa"/>
            <w:tcBorders>
              <w:top w:val="single" w:color="auto" w:sz="4" w:space="0"/>
              <w:left w:val="nil"/>
              <w:bottom w:val="single" w:color="auto" w:sz="4" w:space="0"/>
              <w:right w:val="single" w:color="auto" w:sz="4" w:space="0"/>
            </w:tcBorders>
            <w:shd w:val="clear" w:color="auto" w:fill="auto"/>
            <w:vAlign w:val="center"/>
          </w:tcPr>
          <w:p w14:paraId="7000C79C">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符合第一章“投标人须知”规定。</w:t>
            </w:r>
          </w:p>
        </w:tc>
      </w:tr>
      <w:tr w14:paraId="6288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6D6CBE7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nil"/>
              <w:bottom w:val="single" w:color="auto" w:sz="4" w:space="0"/>
              <w:right w:val="single" w:color="auto" w:sz="4" w:space="0"/>
            </w:tcBorders>
            <w:shd w:val="clear" w:color="auto" w:fill="auto"/>
            <w:vAlign w:val="center"/>
          </w:tcPr>
          <w:p w14:paraId="599CA75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355" w:type="dxa"/>
            <w:gridSpan w:val="3"/>
            <w:tcBorders>
              <w:top w:val="single" w:color="auto" w:sz="4" w:space="0"/>
              <w:left w:val="nil"/>
              <w:bottom w:val="single" w:color="auto" w:sz="4" w:space="0"/>
              <w:right w:val="single" w:color="auto" w:sz="4" w:space="0"/>
            </w:tcBorders>
            <w:shd w:val="clear" w:color="auto" w:fill="auto"/>
            <w:vAlign w:val="center"/>
          </w:tcPr>
          <w:p w14:paraId="470A84FA">
            <w:pPr>
              <w:keepNext w:val="0"/>
              <w:keepLines w:val="0"/>
              <w:widowControl w:val="0"/>
              <w:suppressLineNumbers w:val="0"/>
              <w:adjustRightInd w:val="0"/>
              <w:snapToGrid w:val="0"/>
              <w:spacing w:before="0" w:beforeAutospacing="0" w:after="0" w:afterAutospacing="0" w:line="560" w:lineRule="exact"/>
              <w:ind w:left="0" w:right="0"/>
              <w:jc w:val="center"/>
              <w:textAlignment w:val="baseline"/>
              <w:rPr>
                <w:rFonts w:hint="default" w:ascii="Times New Roman" w:hAnsi="Times New Roman" w:eastAsia="宋体" w:cs="Times New Roman"/>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权利义务</w:t>
            </w:r>
          </w:p>
        </w:tc>
        <w:tc>
          <w:tcPr>
            <w:tcW w:w="4452" w:type="dxa"/>
            <w:tcBorders>
              <w:top w:val="single" w:color="auto" w:sz="4" w:space="0"/>
              <w:left w:val="nil"/>
              <w:bottom w:val="single" w:color="auto" w:sz="4" w:space="0"/>
              <w:right w:val="single" w:color="auto" w:sz="4" w:space="0"/>
            </w:tcBorders>
            <w:shd w:val="clear" w:color="auto" w:fill="auto"/>
            <w:vAlign w:val="center"/>
          </w:tcPr>
          <w:p w14:paraId="5F14D26F">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符合第四章“合同条款及格式”规定。</w:t>
            </w:r>
          </w:p>
        </w:tc>
      </w:tr>
      <w:tr w14:paraId="0F7BD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7"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1B56439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nil"/>
              <w:bottom w:val="single" w:color="auto" w:sz="4" w:space="0"/>
              <w:right w:val="single" w:color="auto" w:sz="4" w:space="0"/>
            </w:tcBorders>
            <w:shd w:val="clear" w:color="auto" w:fill="auto"/>
            <w:vAlign w:val="center"/>
          </w:tcPr>
          <w:p w14:paraId="3D2CC81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355" w:type="dxa"/>
            <w:gridSpan w:val="3"/>
            <w:tcBorders>
              <w:top w:val="single" w:color="auto" w:sz="4" w:space="0"/>
              <w:left w:val="nil"/>
              <w:bottom w:val="single" w:color="auto" w:sz="4" w:space="0"/>
              <w:right w:val="single" w:color="auto" w:sz="4" w:space="0"/>
            </w:tcBorders>
            <w:shd w:val="clear" w:color="auto" w:fill="auto"/>
            <w:vAlign w:val="center"/>
          </w:tcPr>
          <w:p w14:paraId="68631A5B">
            <w:pPr>
              <w:keepNext w:val="0"/>
              <w:keepLines w:val="0"/>
              <w:widowControl w:val="0"/>
              <w:suppressLineNumbers w:val="0"/>
              <w:adjustRightInd w:val="0"/>
              <w:snapToGrid w:val="0"/>
              <w:spacing w:before="0" w:beforeAutospacing="0" w:after="0" w:afterAutospacing="0" w:line="560" w:lineRule="exact"/>
              <w:ind w:left="0" w:right="0"/>
              <w:jc w:val="center"/>
              <w:textAlignment w:val="baseline"/>
              <w:rPr>
                <w:rFonts w:hint="default" w:ascii="Times New Roman" w:hAnsi="Times New Roman" w:eastAsia="宋体" w:cs="Times New Roman"/>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技术标准和要求</w:t>
            </w:r>
          </w:p>
        </w:tc>
        <w:tc>
          <w:tcPr>
            <w:tcW w:w="4452" w:type="dxa"/>
            <w:tcBorders>
              <w:top w:val="single" w:color="auto" w:sz="4" w:space="0"/>
              <w:left w:val="nil"/>
              <w:bottom w:val="single" w:color="auto" w:sz="4" w:space="0"/>
              <w:right w:val="single" w:color="auto" w:sz="4" w:space="0"/>
            </w:tcBorders>
            <w:shd w:val="clear" w:color="auto" w:fill="auto"/>
            <w:vAlign w:val="center"/>
          </w:tcPr>
          <w:p w14:paraId="491D1F65">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符合第七章“技术标准和要求”规定。</w:t>
            </w:r>
          </w:p>
        </w:tc>
      </w:tr>
      <w:tr w14:paraId="7CAFB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8"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7885D65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restart"/>
            <w:tcBorders>
              <w:top w:val="nil"/>
              <w:left w:val="nil"/>
              <w:bottom w:val="single" w:color="auto" w:sz="4" w:space="0"/>
              <w:right w:val="single" w:color="auto" w:sz="4" w:space="0"/>
            </w:tcBorders>
            <w:shd w:val="clear" w:color="auto" w:fill="auto"/>
            <w:vAlign w:val="center"/>
          </w:tcPr>
          <w:p w14:paraId="407607DC">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响应性评审标准（符合性评审）</w:t>
            </w:r>
          </w:p>
        </w:tc>
        <w:tc>
          <w:tcPr>
            <w:tcW w:w="675" w:type="dxa"/>
            <w:vMerge w:val="restart"/>
            <w:tcBorders>
              <w:top w:val="nil"/>
              <w:left w:val="nil"/>
              <w:bottom w:val="single" w:color="auto" w:sz="4" w:space="0"/>
              <w:right w:val="single" w:color="auto" w:sz="4" w:space="0"/>
            </w:tcBorders>
            <w:shd w:val="clear" w:color="auto" w:fill="auto"/>
            <w:vAlign w:val="center"/>
          </w:tcPr>
          <w:p w14:paraId="4607AF3A">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p>
          <w:p w14:paraId="2EB1F5A6">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p>
          <w:p w14:paraId="63F2D0D7">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p>
          <w:p w14:paraId="5417527B">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p>
          <w:p w14:paraId="4D39129E">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p>
          <w:p w14:paraId="127DD883">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施工组织设计</w:t>
            </w:r>
          </w:p>
        </w:tc>
        <w:tc>
          <w:tcPr>
            <w:tcW w:w="545" w:type="dxa"/>
            <w:tcBorders>
              <w:top w:val="single" w:color="auto" w:sz="4" w:space="0"/>
              <w:left w:val="nil"/>
              <w:bottom w:val="single" w:color="auto" w:sz="4" w:space="0"/>
              <w:right w:val="single" w:color="auto" w:sz="4" w:space="0"/>
            </w:tcBorders>
            <w:shd w:val="clear" w:color="auto" w:fill="auto"/>
            <w:vAlign w:val="center"/>
          </w:tcPr>
          <w:p w14:paraId="424CE27D">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2135" w:type="dxa"/>
            <w:tcBorders>
              <w:top w:val="single" w:color="auto" w:sz="4" w:space="0"/>
              <w:left w:val="nil"/>
              <w:bottom w:val="single" w:color="auto" w:sz="4" w:space="0"/>
              <w:right w:val="single" w:color="auto" w:sz="4" w:space="0"/>
            </w:tcBorders>
            <w:shd w:val="clear" w:color="auto" w:fill="auto"/>
            <w:vAlign w:val="center"/>
          </w:tcPr>
          <w:p w14:paraId="43A74F02">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工程概况</w:t>
            </w:r>
          </w:p>
        </w:tc>
        <w:tc>
          <w:tcPr>
            <w:tcW w:w="4452" w:type="dxa"/>
            <w:tcBorders>
              <w:top w:val="single" w:color="auto" w:sz="4" w:space="0"/>
              <w:left w:val="nil"/>
              <w:bottom w:val="single" w:color="auto" w:sz="4" w:space="0"/>
              <w:right w:val="single" w:color="auto" w:sz="4" w:space="0"/>
            </w:tcBorders>
            <w:shd w:val="clear" w:color="auto" w:fill="auto"/>
            <w:vAlign w:val="center"/>
          </w:tcPr>
          <w:p w14:paraId="0033247F">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描述是否准确。</w:t>
            </w:r>
          </w:p>
        </w:tc>
      </w:tr>
      <w:tr w14:paraId="627C3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6DA21B1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nil"/>
              <w:bottom w:val="single" w:color="auto" w:sz="4" w:space="0"/>
              <w:right w:val="single" w:color="auto" w:sz="4" w:space="0"/>
            </w:tcBorders>
            <w:shd w:val="clear" w:color="auto" w:fill="auto"/>
            <w:vAlign w:val="center"/>
          </w:tcPr>
          <w:p w14:paraId="48F6B77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5" w:type="dxa"/>
            <w:vMerge w:val="continue"/>
            <w:tcBorders>
              <w:top w:val="nil"/>
              <w:left w:val="nil"/>
              <w:bottom w:val="single" w:color="auto" w:sz="4" w:space="0"/>
              <w:right w:val="single" w:color="auto" w:sz="4" w:space="0"/>
            </w:tcBorders>
            <w:shd w:val="clear" w:color="auto" w:fill="auto"/>
            <w:vAlign w:val="center"/>
          </w:tcPr>
          <w:p w14:paraId="53C820F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45" w:type="dxa"/>
            <w:tcBorders>
              <w:top w:val="single" w:color="auto" w:sz="4" w:space="0"/>
              <w:left w:val="nil"/>
              <w:bottom w:val="single" w:color="auto" w:sz="4" w:space="0"/>
              <w:right w:val="single" w:color="auto" w:sz="4" w:space="0"/>
            </w:tcBorders>
            <w:shd w:val="clear" w:color="auto" w:fill="auto"/>
            <w:vAlign w:val="center"/>
          </w:tcPr>
          <w:p w14:paraId="5BC9CD16">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2135" w:type="dxa"/>
            <w:tcBorders>
              <w:top w:val="single" w:color="auto" w:sz="4" w:space="0"/>
              <w:left w:val="nil"/>
              <w:bottom w:val="single" w:color="auto" w:sz="4" w:space="0"/>
              <w:right w:val="single" w:color="auto" w:sz="4" w:space="0"/>
            </w:tcBorders>
            <w:shd w:val="clear" w:color="auto" w:fill="auto"/>
            <w:vAlign w:val="center"/>
          </w:tcPr>
          <w:p w14:paraId="40D3870C">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主要施工方法</w:t>
            </w:r>
          </w:p>
        </w:tc>
        <w:tc>
          <w:tcPr>
            <w:tcW w:w="4452" w:type="dxa"/>
            <w:tcBorders>
              <w:top w:val="single" w:color="auto" w:sz="4" w:space="0"/>
              <w:left w:val="nil"/>
              <w:bottom w:val="single" w:color="auto" w:sz="4" w:space="0"/>
              <w:right w:val="single" w:color="auto" w:sz="4" w:space="0"/>
            </w:tcBorders>
            <w:shd w:val="clear" w:color="auto" w:fill="auto"/>
            <w:vAlign w:val="center"/>
          </w:tcPr>
          <w:p w14:paraId="2A37A28B">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各主要分部施工方法符合项目实际，须有详尽的施工技术方案，工艺先进、方法科学合理、可行，能指导具体施工并确保安全。</w:t>
            </w:r>
          </w:p>
        </w:tc>
      </w:tr>
      <w:tr w14:paraId="533FA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1D7862E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nil"/>
              <w:bottom w:val="single" w:color="auto" w:sz="4" w:space="0"/>
              <w:right w:val="single" w:color="auto" w:sz="4" w:space="0"/>
            </w:tcBorders>
            <w:shd w:val="clear" w:color="auto" w:fill="auto"/>
            <w:vAlign w:val="center"/>
          </w:tcPr>
          <w:p w14:paraId="747AADB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5" w:type="dxa"/>
            <w:vMerge w:val="continue"/>
            <w:tcBorders>
              <w:top w:val="nil"/>
              <w:left w:val="nil"/>
              <w:bottom w:val="single" w:color="auto" w:sz="4" w:space="0"/>
              <w:right w:val="single" w:color="auto" w:sz="4" w:space="0"/>
            </w:tcBorders>
            <w:shd w:val="clear" w:color="auto" w:fill="auto"/>
            <w:vAlign w:val="center"/>
          </w:tcPr>
          <w:p w14:paraId="21B9E3F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45" w:type="dxa"/>
            <w:tcBorders>
              <w:top w:val="single" w:color="auto" w:sz="4" w:space="0"/>
              <w:left w:val="nil"/>
              <w:bottom w:val="single" w:color="auto" w:sz="4" w:space="0"/>
              <w:right w:val="single" w:color="auto" w:sz="4" w:space="0"/>
            </w:tcBorders>
            <w:shd w:val="clear" w:color="auto" w:fill="auto"/>
            <w:vAlign w:val="center"/>
          </w:tcPr>
          <w:p w14:paraId="128923CE">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p>
        </w:tc>
        <w:tc>
          <w:tcPr>
            <w:tcW w:w="2135" w:type="dxa"/>
            <w:tcBorders>
              <w:top w:val="single" w:color="auto" w:sz="4" w:space="0"/>
              <w:left w:val="nil"/>
              <w:bottom w:val="single" w:color="auto" w:sz="4" w:space="0"/>
              <w:right w:val="single" w:color="auto" w:sz="4" w:space="0"/>
            </w:tcBorders>
            <w:shd w:val="clear" w:color="auto" w:fill="auto"/>
            <w:vAlign w:val="center"/>
          </w:tcPr>
          <w:p w14:paraId="61AC1B86">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拟投入的主要物资计划</w:t>
            </w:r>
          </w:p>
        </w:tc>
        <w:tc>
          <w:tcPr>
            <w:tcW w:w="4452" w:type="dxa"/>
            <w:tcBorders>
              <w:top w:val="single" w:color="auto" w:sz="4" w:space="0"/>
              <w:left w:val="nil"/>
              <w:bottom w:val="single" w:color="auto" w:sz="4" w:space="0"/>
              <w:right w:val="single" w:color="auto" w:sz="4" w:space="0"/>
            </w:tcBorders>
            <w:shd w:val="clear" w:color="auto" w:fill="auto"/>
            <w:vAlign w:val="center"/>
          </w:tcPr>
          <w:p w14:paraId="37917B8F">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投入的施工材料有详细计划且计划周密，数量、选型配置、进场数量、时间安排合理，满足施工需要。</w:t>
            </w:r>
          </w:p>
        </w:tc>
      </w:tr>
      <w:tr w14:paraId="7DAD5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3"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6521C5D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nil"/>
              <w:bottom w:val="single" w:color="auto" w:sz="4" w:space="0"/>
              <w:right w:val="single" w:color="auto" w:sz="4" w:space="0"/>
            </w:tcBorders>
            <w:shd w:val="clear" w:color="auto" w:fill="auto"/>
            <w:vAlign w:val="center"/>
          </w:tcPr>
          <w:p w14:paraId="1AD1B93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5" w:type="dxa"/>
            <w:vMerge w:val="continue"/>
            <w:tcBorders>
              <w:top w:val="nil"/>
              <w:left w:val="nil"/>
              <w:bottom w:val="single" w:color="auto" w:sz="4" w:space="0"/>
              <w:right w:val="single" w:color="auto" w:sz="4" w:space="0"/>
            </w:tcBorders>
            <w:shd w:val="clear" w:color="auto" w:fill="auto"/>
            <w:vAlign w:val="center"/>
          </w:tcPr>
          <w:p w14:paraId="2B73C7F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45" w:type="dxa"/>
            <w:tcBorders>
              <w:top w:val="single" w:color="auto" w:sz="4" w:space="0"/>
              <w:left w:val="nil"/>
              <w:bottom w:val="single" w:color="auto" w:sz="4" w:space="0"/>
              <w:right w:val="single" w:color="auto" w:sz="4" w:space="0"/>
            </w:tcBorders>
            <w:shd w:val="clear" w:color="auto" w:fill="auto"/>
            <w:vAlign w:val="center"/>
          </w:tcPr>
          <w:p w14:paraId="6216A2C6">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w:t>
            </w:r>
          </w:p>
        </w:tc>
        <w:tc>
          <w:tcPr>
            <w:tcW w:w="2135" w:type="dxa"/>
            <w:tcBorders>
              <w:top w:val="single" w:color="auto" w:sz="4" w:space="0"/>
              <w:left w:val="nil"/>
              <w:bottom w:val="single" w:color="auto" w:sz="4" w:space="0"/>
              <w:right w:val="single" w:color="auto" w:sz="4" w:space="0"/>
            </w:tcBorders>
            <w:shd w:val="clear" w:color="auto" w:fill="auto"/>
            <w:vAlign w:val="center"/>
          </w:tcPr>
          <w:p w14:paraId="701CB100">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拟投入的主要施工机械、设备计划</w:t>
            </w:r>
          </w:p>
        </w:tc>
        <w:tc>
          <w:tcPr>
            <w:tcW w:w="4452" w:type="dxa"/>
            <w:tcBorders>
              <w:top w:val="single" w:color="auto" w:sz="4" w:space="0"/>
              <w:left w:val="nil"/>
              <w:bottom w:val="single" w:color="auto" w:sz="4" w:space="0"/>
              <w:right w:val="single" w:color="auto" w:sz="4" w:space="0"/>
            </w:tcBorders>
            <w:shd w:val="clear" w:color="auto" w:fill="auto"/>
            <w:vAlign w:val="center"/>
          </w:tcPr>
          <w:p w14:paraId="1E4B6C09">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投入的施工机械、设备、机具有详细计划且计划周密，设备数量、选型配置、进场数量、时间 合理、满足施工需要。</w:t>
            </w:r>
          </w:p>
        </w:tc>
      </w:tr>
      <w:tr w14:paraId="7FD9A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4"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6C28659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nil"/>
              <w:bottom w:val="single" w:color="auto" w:sz="4" w:space="0"/>
              <w:right w:val="single" w:color="auto" w:sz="4" w:space="0"/>
            </w:tcBorders>
            <w:shd w:val="clear" w:color="auto" w:fill="auto"/>
            <w:vAlign w:val="center"/>
          </w:tcPr>
          <w:p w14:paraId="36A39A5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5" w:type="dxa"/>
            <w:vMerge w:val="continue"/>
            <w:tcBorders>
              <w:top w:val="nil"/>
              <w:left w:val="nil"/>
              <w:bottom w:val="single" w:color="auto" w:sz="4" w:space="0"/>
              <w:right w:val="single" w:color="auto" w:sz="4" w:space="0"/>
            </w:tcBorders>
            <w:shd w:val="clear" w:color="auto" w:fill="auto"/>
            <w:vAlign w:val="center"/>
          </w:tcPr>
          <w:p w14:paraId="37C0EFA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45" w:type="dxa"/>
            <w:tcBorders>
              <w:top w:val="single" w:color="auto" w:sz="4" w:space="0"/>
              <w:left w:val="nil"/>
              <w:bottom w:val="single" w:color="auto" w:sz="4" w:space="0"/>
              <w:right w:val="single" w:color="auto" w:sz="4" w:space="0"/>
            </w:tcBorders>
            <w:shd w:val="clear" w:color="auto" w:fill="auto"/>
            <w:vAlign w:val="center"/>
          </w:tcPr>
          <w:p w14:paraId="3DF218E9">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w:t>
            </w:r>
          </w:p>
        </w:tc>
        <w:tc>
          <w:tcPr>
            <w:tcW w:w="2135" w:type="dxa"/>
            <w:tcBorders>
              <w:top w:val="single" w:color="auto" w:sz="4" w:space="0"/>
              <w:left w:val="nil"/>
              <w:bottom w:val="single" w:color="auto" w:sz="4" w:space="0"/>
              <w:right w:val="single" w:color="auto" w:sz="4" w:space="0"/>
            </w:tcBorders>
            <w:shd w:val="clear" w:color="auto" w:fill="auto"/>
            <w:vAlign w:val="center"/>
          </w:tcPr>
          <w:p w14:paraId="4D93B521">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劳动力安排计划</w:t>
            </w:r>
          </w:p>
        </w:tc>
        <w:tc>
          <w:tcPr>
            <w:tcW w:w="4452" w:type="dxa"/>
            <w:tcBorders>
              <w:top w:val="single" w:color="auto" w:sz="4" w:space="0"/>
              <w:left w:val="nil"/>
              <w:bottom w:val="single" w:color="auto" w:sz="4" w:space="0"/>
              <w:right w:val="single" w:color="auto" w:sz="4" w:space="0"/>
            </w:tcBorders>
            <w:shd w:val="clear" w:color="auto" w:fill="auto"/>
            <w:vAlign w:val="center"/>
          </w:tcPr>
          <w:p w14:paraId="7BBE5639">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各主要施工工序应有详细周密的劳动力安排计划明细，有各工种劳动力安排计划。劳动力投入经济合理，满足施工需要。</w:t>
            </w:r>
          </w:p>
        </w:tc>
      </w:tr>
      <w:tr w14:paraId="38803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54"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7023665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nil"/>
              <w:bottom w:val="single" w:color="auto" w:sz="4" w:space="0"/>
              <w:right w:val="single" w:color="auto" w:sz="4" w:space="0"/>
            </w:tcBorders>
            <w:shd w:val="clear" w:color="auto" w:fill="auto"/>
            <w:vAlign w:val="center"/>
          </w:tcPr>
          <w:p w14:paraId="0974151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5" w:type="dxa"/>
            <w:vMerge w:val="continue"/>
            <w:tcBorders>
              <w:top w:val="nil"/>
              <w:left w:val="nil"/>
              <w:bottom w:val="single" w:color="auto" w:sz="4" w:space="0"/>
              <w:right w:val="single" w:color="auto" w:sz="4" w:space="0"/>
            </w:tcBorders>
            <w:shd w:val="clear" w:color="auto" w:fill="auto"/>
            <w:vAlign w:val="center"/>
          </w:tcPr>
          <w:p w14:paraId="072CEFD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45" w:type="dxa"/>
            <w:tcBorders>
              <w:top w:val="single" w:color="auto" w:sz="4" w:space="0"/>
              <w:left w:val="nil"/>
              <w:bottom w:val="single" w:color="auto" w:sz="4" w:space="0"/>
              <w:right w:val="single" w:color="auto" w:sz="4" w:space="0"/>
            </w:tcBorders>
            <w:shd w:val="clear" w:color="auto" w:fill="auto"/>
            <w:vAlign w:val="center"/>
          </w:tcPr>
          <w:p w14:paraId="39ED87B5">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w:t>
            </w:r>
          </w:p>
        </w:tc>
        <w:tc>
          <w:tcPr>
            <w:tcW w:w="2135" w:type="dxa"/>
            <w:tcBorders>
              <w:top w:val="single" w:color="auto" w:sz="4" w:space="0"/>
              <w:left w:val="nil"/>
              <w:bottom w:val="single" w:color="auto" w:sz="4" w:space="0"/>
              <w:right w:val="single" w:color="auto" w:sz="4" w:space="0"/>
            </w:tcBorders>
            <w:shd w:val="clear" w:color="auto" w:fill="auto"/>
            <w:vAlign w:val="center"/>
          </w:tcPr>
          <w:p w14:paraId="380F6D6B">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确保工程质量的技术组织措施</w:t>
            </w:r>
          </w:p>
        </w:tc>
        <w:tc>
          <w:tcPr>
            <w:tcW w:w="4452" w:type="dxa"/>
            <w:tcBorders>
              <w:top w:val="single" w:color="auto" w:sz="4" w:space="0"/>
              <w:left w:val="nil"/>
              <w:bottom w:val="single" w:color="auto" w:sz="4" w:space="0"/>
              <w:right w:val="single" w:color="auto" w:sz="4" w:space="0"/>
            </w:tcBorders>
            <w:shd w:val="clear" w:color="auto" w:fill="auto"/>
            <w:vAlign w:val="center"/>
          </w:tcPr>
          <w:p w14:paraId="47084BBD">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施工项目应有专门的质量技术管理班子和制度，且人员配备合理，制度健全，主要工序应有质量技术保证措施和手段，自控体系完整，能有效的保证技术质量，达到承诺的质量标准。</w:t>
            </w:r>
          </w:p>
        </w:tc>
      </w:tr>
      <w:tr w14:paraId="779B6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54"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7E0E003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nil"/>
              <w:bottom w:val="single" w:color="auto" w:sz="4" w:space="0"/>
              <w:right w:val="single" w:color="auto" w:sz="4" w:space="0"/>
            </w:tcBorders>
            <w:shd w:val="clear" w:color="auto" w:fill="auto"/>
            <w:vAlign w:val="center"/>
          </w:tcPr>
          <w:p w14:paraId="636F46C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5" w:type="dxa"/>
            <w:vMerge w:val="continue"/>
            <w:tcBorders>
              <w:top w:val="nil"/>
              <w:left w:val="nil"/>
              <w:bottom w:val="single" w:color="auto" w:sz="4" w:space="0"/>
              <w:right w:val="single" w:color="auto" w:sz="4" w:space="0"/>
            </w:tcBorders>
            <w:shd w:val="clear" w:color="auto" w:fill="auto"/>
            <w:vAlign w:val="center"/>
          </w:tcPr>
          <w:p w14:paraId="6F6DF33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45" w:type="dxa"/>
            <w:tcBorders>
              <w:top w:val="single" w:color="auto" w:sz="4" w:space="0"/>
              <w:left w:val="nil"/>
              <w:bottom w:val="single" w:color="auto" w:sz="4" w:space="0"/>
              <w:right w:val="single" w:color="auto" w:sz="4" w:space="0"/>
            </w:tcBorders>
            <w:shd w:val="clear" w:color="auto" w:fill="auto"/>
            <w:vAlign w:val="center"/>
          </w:tcPr>
          <w:p w14:paraId="175F7D94">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w:t>
            </w:r>
          </w:p>
        </w:tc>
        <w:tc>
          <w:tcPr>
            <w:tcW w:w="2135" w:type="dxa"/>
            <w:tcBorders>
              <w:top w:val="single" w:color="auto" w:sz="4" w:space="0"/>
              <w:left w:val="nil"/>
              <w:bottom w:val="single" w:color="auto" w:sz="4" w:space="0"/>
              <w:right w:val="single" w:color="auto" w:sz="4" w:space="0"/>
            </w:tcBorders>
            <w:shd w:val="clear" w:color="auto" w:fill="auto"/>
            <w:vAlign w:val="center"/>
          </w:tcPr>
          <w:p w14:paraId="7C9EF31D">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确保安全生产的技术组织措施</w:t>
            </w:r>
          </w:p>
        </w:tc>
        <w:tc>
          <w:tcPr>
            <w:tcW w:w="4452" w:type="dxa"/>
            <w:tcBorders>
              <w:top w:val="single" w:color="auto" w:sz="4" w:space="0"/>
              <w:left w:val="nil"/>
              <w:bottom w:val="single" w:color="auto" w:sz="4" w:space="0"/>
              <w:right w:val="single" w:color="auto" w:sz="4" w:space="0"/>
            </w:tcBorders>
            <w:shd w:val="clear" w:color="auto" w:fill="auto"/>
            <w:vAlign w:val="center"/>
          </w:tcPr>
          <w:p w14:paraId="4A90594D">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施工项目应有专门的安全管理人员和制度，且人员配备合理，制度健全，各道工序安全技术措施针对性强，符合实际且满足有关安全技术标准要求。现场防火、社会治安安全措施得力。</w:t>
            </w:r>
          </w:p>
        </w:tc>
      </w:tr>
      <w:tr w14:paraId="4DE7D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99"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697625A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nil"/>
              <w:bottom w:val="single" w:color="auto" w:sz="4" w:space="0"/>
              <w:right w:val="single" w:color="auto" w:sz="4" w:space="0"/>
            </w:tcBorders>
            <w:shd w:val="clear" w:color="auto" w:fill="auto"/>
            <w:vAlign w:val="center"/>
          </w:tcPr>
          <w:p w14:paraId="3E347C4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5" w:type="dxa"/>
            <w:vMerge w:val="continue"/>
            <w:tcBorders>
              <w:top w:val="nil"/>
              <w:left w:val="nil"/>
              <w:bottom w:val="single" w:color="auto" w:sz="4" w:space="0"/>
              <w:right w:val="single" w:color="auto" w:sz="4" w:space="0"/>
            </w:tcBorders>
            <w:shd w:val="clear" w:color="auto" w:fill="auto"/>
            <w:vAlign w:val="center"/>
          </w:tcPr>
          <w:p w14:paraId="5EA8019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45" w:type="dxa"/>
            <w:tcBorders>
              <w:top w:val="single" w:color="auto" w:sz="4" w:space="0"/>
              <w:left w:val="nil"/>
              <w:bottom w:val="single" w:color="auto" w:sz="4" w:space="0"/>
              <w:right w:val="single" w:color="auto" w:sz="4" w:space="0"/>
            </w:tcBorders>
            <w:shd w:val="clear" w:color="auto" w:fill="auto"/>
            <w:vAlign w:val="center"/>
          </w:tcPr>
          <w:p w14:paraId="17BD1B7F">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w:t>
            </w:r>
          </w:p>
        </w:tc>
        <w:tc>
          <w:tcPr>
            <w:tcW w:w="2135" w:type="dxa"/>
            <w:tcBorders>
              <w:top w:val="single" w:color="auto" w:sz="4" w:space="0"/>
              <w:left w:val="nil"/>
              <w:bottom w:val="single" w:color="auto" w:sz="4" w:space="0"/>
              <w:right w:val="single" w:color="auto" w:sz="4" w:space="0"/>
            </w:tcBorders>
            <w:shd w:val="clear" w:color="auto" w:fill="auto"/>
            <w:vAlign w:val="center"/>
          </w:tcPr>
          <w:p w14:paraId="57DE4273">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确保工期的技术组织措施</w:t>
            </w:r>
          </w:p>
        </w:tc>
        <w:tc>
          <w:tcPr>
            <w:tcW w:w="4452" w:type="dxa"/>
            <w:tcBorders>
              <w:top w:val="single" w:color="auto" w:sz="4" w:space="0"/>
              <w:left w:val="nil"/>
              <w:bottom w:val="single" w:color="auto" w:sz="4" w:space="0"/>
              <w:right w:val="single" w:color="auto" w:sz="4" w:space="0"/>
            </w:tcBorders>
            <w:shd w:val="clear" w:color="auto" w:fill="auto"/>
            <w:vAlign w:val="center"/>
          </w:tcPr>
          <w:p w14:paraId="5434CF18">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tc>
      </w:tr>
      <w:tr w14:paraId="54AE9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54"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3853D93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nil"/>
              <w:bottom w:val="single" w:color="auto" w:sz="4" w:space="0"/>
              <w:right w:val="single" w:color="auto" w:sz="4" w:space="0"/>
            </w:tcBorders>
            <w:shd w:val="clear" w:color="auto" w:fill="auto"/>
            <w:vAlign w:val="center"/>
          </w:tcPr>
          <w:p w14:paraId="7184D5B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5" w:type="dxa"/>
            <w:vMerge w:val="continue"/>
            <w:tcBorders>
              <w:top w:val="nil"/>
              <w:left w:val="nil"/>
              <w:bottom w:val="single" w:color="auto" w:sz="4" w:space="0"/>
              <w:right w:val="single" w:color="auto" w:sz="4" w:space="0"/>
            </w:tcBorders>
            <w:shd w:val="clear" w:color="auto" w:fill="auto"/>
            <w:vAlign w:val="center"/>
          </w:tcPr>
          <w:p w14:paraId="66C775E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45" w:type="dxa"/>
            <w:tcBorders>
              <w:top w:val="single" w:color="auto" w:sz="4" w:space="0"/>
              <w:left w:val="nil"/>
              <w:bottom w:val="single" w:color="auto" w:sz="4" w:space="0"/>
              <w:right w:val="single" w:color="auto" w:sz="4" w:space="0"/>
            </w:tcBorders>
            <w:shd w:val="clear" w:color="auto" w:fill="auto"/>
            <w:vAlign w:val="center"/>
          </w:tcPr>
          <w:p w14:paraId="2461BEF0">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w:t>
            </w:r>
          </w:p>
        </w:tc>
        <w:tc>
          <w:tcPr>
            <w:tcW w:w="2135" w:type="dxa"/>
            <w:tcBorders>
              <w:top w:val="single" w:color="auto" w:sz="4" w:space="0"/>
              <w:left w:val="nil"/>
              <w:bottom w:val="single" w:color="auto" w:sz="4" w:space="0"/>
              <w:right w:val="single" w:color="auto" w:sz="4" w:space="0"/>
            </w:tcBorders>
            <w:shd w:val="clear" w:color="auto" w:fill="auto"/>
            <w:vAlign w:val="center"/>
          </w:tcPr>
          <w:p w14:paraId="4F9468D8">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确保文明施工的技术组织措施</w:t>
            </w:r>
          </w:p>
        </w:tc>
        <w:tc>
          <w:tcPr>
            <w:tcW w:w="4452" w:type="dxa"/>
            <w:tcBorders>
              <w:top w:val="single" w:color="auto" w:sz="4" w:space="0"/>
              <w:left w:val="nil"/>
              <w:bottom w:val="single" w:color="auto" w:sz="4" w:space="0"/>
              <w:right w:val="single" w:color="auto" w:sz="4" w:space="0"/>
            </w:tcBorders>
            <w:shd w:val="clear" w:color="auto" w:fill="auto"/>
            <w:vAlign w:val="center"/>
          </w:tcPr>
          <w:p w14:paraId="65C6C3BB">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针对本工程特点，应有现场文明施工计划，环境保护措施，且计划措施内容应达到“安全文明示范工地”标准。各项措施周全、具体、有效。有具体实现现场文明施工目标的承诺。</w:t>
            </w:r>
          </w:p>
        </w:tc>
      </w:tr>
      <w:tr w14:paraId="3AC1F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1391479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nil"/>
              <w:bottom w:val="single" w:color="auto" w:sz="4" w:space="0"/>
              <w:right w:val="single" w:color="auto" w:sz="4" w:space="0"/>
            </w:tcBorders>
            <w:shd w:val="clear" w:color="auto" w:fill="auto"/>
            <w:vAlign w:val="center"/>
          </w:tcPr>
          <w:p w14:paraId="4CFA72B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5" w:type="dxa"/>
            <w:vMerge w:val="continue"/>
            <w:tcBorders>
              <w:top w:val="nil"/>
              <w:left w:val="nil"/>
              <w:bottom w:val="single" w:color="auto" w:sz="4" w:space="0"/>
              <w:right w:val="single" w:color="auto" w:sz="4" w:space="0"/>
            </w:tcBorders>
            <w:shd w:val="clear" w:color="auto" w:fill="auto"/>
            <w:vAlign w:val="center"/>
          </w:tcPr>
          <w:p w14:paraId="53EA79D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45" w:type="dxa"/>
            <w:tcBorders>
              <w:top w:val="single" w:color="auto" w:sz="4" w:space="0"/>
              <w:left w:val="nil"/>
              <w:bottom w:val="single" w:color="auto" w:sz="4" w:space="0"/>
              <w:right w:val="single" w:color="auto" w:sz="4" w:space="0"/>
            </w:tcBorders>
            <w:shd w:val="clear" w:color="auto" w:fill="auto"/>
            <w:vAlign w:val="center"/>
          </w:tcPr>
          <w:p w14:paraId="78F75520">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2135" w:type="dxa"/>
            <w:tcBorders>
              <w:top w:val="single" w:color="auto" w:sz="4" w:space="0"/>
              <w:left w:val="nil"/>
              <w:bottom w:val="single" w:color="auto" w:sz="4" w:space="0"/>
              <w:right w:val="single" w:color="auto" w:sz="4" w:space="0"/>
            </w:tcBorders>
            <w:shd w:val="clear" w:color="auto" w:fill="auto"/>
            <w:vAlign w:val="center"/>
          </w:tcPr>
          <w:p w14:paraId="6796E206">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工程施工重点和难点及保证措施</w:t>
            </w:r>
          </w:p>
        </w:tc>
        <w:tc>
          <w:tcPr>
            <w:tcW w:w="4452" w:type="dxa"/>
            <w:tcBorders>
              <w:top w:val="single" w:color="auto" w:sz="4" w:space="0"/>
              <w:left w:val="nil"/>
              <w:bottom w:val="single" w:color="auto" w:sz="4" w:space="0"/>
              <w:right w:val="single" w:color="auto" w:sz="4" w:space="0"/>
            </w:tcBorders>
            <w:shd w:val="clear" w:color="auto" w:fill="auto"/>
            <w:vAlign w:val="center"/>
          </w:tcPr>
          <w:p w14:paraId="623CA328">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是否正确（本条内容须与前附表要求对应）。</w:t>
            </w:r>
          </w:p>
        </w:tc>
      </w:tr>
      <w:tr w14:paraId="4FDA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76529F1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nil"/>
              <w:bottom w:val="single" w:color="auto" w:sz="4" w:space="0"/>
              <w:right w:val="single" w:color="auto" w:sz="4" w:space="0"/>
            </w:tcBorders>
            <w:shd w:val="clear" w:color="auto" w:fill="auto"/>
            <w:vAlign w:val="center"/>
          </w:tcPr>
          <w:p w14:paraId="7AF403F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5" w:type="dxa"/>
            <w:vMerge w:val="continue"/>
            <w:tcBorders>
              <w:top w:val="nil"/>
              <w:left w:val="nil"/>
              <w:bottom w:val="single" w:color="auto" w:sz="4" w:space="0"/>
              <w:right w:val="single" w:color="auto" w:sz="4" w:space="0"/>
            </w:tcBorders>
            <w:shd w:val="clear" w:color="auto" w:fill="auto"/>
            <w:vAlign w:val="center"/>
          </w:tcPr>
          <w:p w14:paraId="50F5123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45" w:type="dxa"/>
            <w:tcBorders>
              <w:top w:val="single" w:color="auto" w:sz="4" w:space="0"/>
              <w:left w:val="nil"/>
              <w:bottom w:val="single" w:color="auto" w:sz="4" w:space="0"/>
              <w:right w:val="single" w:color="auto" w:sz="4" w:space="0"/>
            </w:tcBorders>
            <w:shd w:val="clear" w:color="auto" w:fill="auto"/>
            <w:vAlign w:val="center"/>
          </w:tcPr>
          <w:p w14:paraId="19CDA4D8">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w:t>
            </w:r>
          </w:p>
        </w:tc>
        <w:tc>
          <w:tcPr>
            <w:tcW w:w="2135" w:type="dxa"/>
            <w:tcBorders>
              <w:top w:val="single" w:color="auto" w:sz="4" w:space="0"/>
              <w:left w:val="nil"/>
              <w:bottom w:val="single" w:color="auto" w:sz="4" w:space="0"/>
              <w:right w:val="single" w:color="auto" w:sz="4" w:space="0"/>
            </w:tcBorders>
            <w:shd w:val="clear" w:color="auto" w:fill="auto"/>
            <w:vAlign w:val="center"/>
          </w:tcPr>
          <w:p w14:paraId="2DD46E02">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危大工程安全管理（如有）</w:t>
            </w:r>
          </w:p>
        </w:tc>
        <w:tc>
          <w:tcPr>
            <w:tcW w:w="4452" w:type="dxa"/>
            <w:tcBorders>
              <w:top w:val="single" w:color="auto" w:sz="4" w:space="0"/>
              <w:left w:val="nil"/>
              <w:bottom w:val="single" w:color="auto" w:sz="4" w:space="0"/>
              <w:right w:val="single" w:color="auto" w:sz="4" w:space="0"/>
            </w:tcBorders>
            <w:shd w:val="clear" w:color="auto" w:fill="auto"/>
            <w:vAlign w:val="top"/>
          </w:tcPr>
          <w:p w14:paraId="263A11E2">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根据招标人在招标文件中列明的危大工程清单及结合招标项目实际情况补充完善危大工程清单，编制专项施工方案并明确相应的安全管理措施。</w:t>
            </w:r>
          </w:p>
        </w:tc>
      </w:tr>
      <w:tr w14:paraId="38604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6E5A252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nil"/>
              <w:bottom w:val="single" w:color="auto" w:sz="4" w:space="0"/>
              <w:right w:val="single" w:color="auto" w:sz="4" w:space="0"/>
            </w:tcBorders>
            <w:shd w:val="clear" w:color="auto" w:fill="auto"/>
            <w:vAlign w:val="center"/>
          </w:tcPr>
          <w:p w14:paraId="4309409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5" w:type="dxa"/>
            <w:vMerge w:val="continue"/>
            <w:tcBorders>
              <w:top w:val="nil"/>
              <w:left w:val="nil"/>
              <w:bottom w:val="single" w:color="auto" w:sz="4" w:space="0"/>
              <w:right w:val="single" w:color="auto" w:sz="4" w:space="0"/>
            </w:tcBorders>
            <w:shd w:val="clear" w:color="auto" w:fill="auto"/>
            <w:vAlign w:val="center"/>
          </w:tcPr>
          <w:p w14:paraId="021A1AD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45" w:type="dxa"/>
            <w:tcBorders>
              <w:top w:val="single" w:color="auto" w:sz="4" w:space="0"/>
              <w:left w:val="nil"/>
              <w:bottom w:val="single" w:color="auto" w:sz="4" w:space="0"/>
              <w:right w:val="single" w:color="auto" w:sz="4" w:space="0"/>
            </w:tcBorders>
            <w:shd w:val="clear" w:color="auto" w:fill="auto"/>
            <w:vAlign w:val="center"/>
          </w:tcPr>
          <w:p w14:paraId="0D9BF546">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12</w:t>
            </w:r>
          </w:p>
        </w:tc>
        <w:tc>
          <w:tcPr>
            <w:tcW w:w="2135" w:type="dxa"/>
            <w:tcBorders>
              <w:top w:val="single" w:color="auto" w:sz="4" w:space="0"/>
              <w:left w:val="nil"/>
              <w:bottom w:val="single" w:color="auto" w:sz="4" w:space="0"/>
              <w:right w:val="single" w:color="auto" w:sz="4" w:space="0"/>
            </w:tcBorders>
            <w:shd w:val="clear" w:color="auto" w:fill="auto"/>
            <w:vAlign w:val="center"/>
          </w:tcPr>
          <w:p w14:paraId="493B2D9A">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施工总平面布置图</w:t>
            </w:r>
          </w:p>
        </w:tc>
        <w:tc>
          <w:tcPr>
            <w:tcW w:w="4452" w:type="dxa"/>
            <w:tcBorders>
              <w:top w:val="single" w:color="auto" w:sz="4" w:space="0"/>
              <w:left w:val="nil"/>
              <w:bottom w:val="single" w:color="auto" w:sz="4" w:space="0"/>
              <w:right w:val="single" w:color="auto" w:sz="4" w:space="0"/>
            </w:tcBorders>
            <w:shd w:val="clear" w:color="auto" w:fill="auto"/>
            <w:vAlign w:val="center"/>
          </w:tcPr>
          <w:p w14:paraId="097A8A58">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应有施工总平面布置图，安排科学合理，符合本项目施工实际要求。</w:t>
            </w:r>
          </w:p>
        </w:tc>
      </w:tr>
      <w:tr w14:paraId="732B6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8"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17B0979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nil"/>
              <w:bottom w:val="single" w:color="auto" w:sz="4" w:space="0"/>
              <w:right w:val="single" w:color="auto" w:sz="4" w:space="0"/>
            </w:tcBorders>
            <w:shd w:val="clear" w:color="auto" w:fill="auto"/>
            <w:vAlign w:val="center"/>
          </w:tcPr>
          <w:p w14:paraId="29505F7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5" w:type="dxa"/>
            <w:vMerge w:val="continue"/>
            <w:tcBorders>
              <w:top w:val="nil"/>
              <w:left w:val="nil"/>
              <w:bottom w:val="single" w:color="auto" w:sz="4" w:space="0"/>
              <w:right w:val="single" w:color="auto" w:sz="4" w:space="0"/>
            </w:tcBorders>
            <w:shd w:val="clear" w:color="auto" w:fill="auto"/>
            <w:vAlign w:val="center"/>
          </w:tcPr>
          <w:p w14:paraId="6F14B5E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45" w:type="dxa"/>
            <w:tcBorders>
              <w:top w:val="single" w:color="auto" w:sz="4" w:space="0"/>
              <w:left w:val="nil"/>
              <w:bottom w:val="single" w:color="auto" w:sz="4" w:space="0"/>
              <w:right w:val="single" w:color="auto" w:sz="4" w:space="0"/>
            </w:tcBorders>
            <w:shd w:val="clear" w:color="auto" w:fill="auto"/>
            <w:vAlign w:val="center"/>
          </w:tcPr>
          <w:p w14:paraId="7A08F609">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w:t>
            </w:r>
          </w:p>
        </w:tc>
        <w:tc>
          <w:tcPr>
            <w:tcW w:w="2135" w:type="dxa"/>
            <w:tcBorders>
              <w:top w:val="single" w:color="auto" w:sz="4" w:space="0"/>
              <w:left w:val="nil"/>
              <w:bottom w:val="single" w:color="auto" w:sz="4" w:space="0"/>
              <w:right w:val="single" w:color="auto" w:sz="4" w:space="0"/>
            </w:tcBorders>
            <w:shd w:val="clear" w:color="auto" w:fill="auto"/>
            <w:vAlign w:val="center"/>
          </w:tcPr>
          <w:p w14:paraId="37EFE1C4">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施工组织设计整体</w:t>
            </w:r>
          </w:p>
        </w:tc>
        <w:tc>
          <w:tcPr>
            <w:tcW w:w="4452" w:type="dxa"/>
            <w:tcBorders>
              <w:top w:val="single" w:color="auto" w:sz="4" w:space="0"/>
              <w:left w:val="nil"/>
              <w:bottom w:val="single" w:color="auto" w:sz="4" w:space="0"/>
              <w:right w:val="single" w:color="auto" w:sz="4" w:space="0"/>
            </w:tcBorders>
            <w:shd w:val="clear" w:color="auto" w:fill="auto"/>
            <w:vAlign w:val="center"/>
          </w:tcPr>
          <w:p w14:paraId="1678788F">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针对性、完整性符合要求。</w:t>
            </w:r>
          </w:p>
        </w:tc>
      </w:tr>
      <w:tr w14:paraId="68040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6900B8B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nil"/>
              <w:bottom w:val="single" w:color="auto" w:sz="4" w:space="0"/>
              <w:right w:val="single" w:color="auto" w:sz="4" w:space="0"/>
            </w:tcBorders>
            <w:shd w:val="clear" w:color="auto" w:fill="auto"/>
            <w:vAlign w:val="center"/>
          </w:tcPr>
          <w:p w14:paraId="4A3DA31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5" w:type="dxa"/>
            <w:vMerge w:val="continue"/>
            <w:tcBorders>
              <w:top w:val="nil"/>
              <w:left w:val="nil"/>
              <w:bottom w:val="single" w:color="auto" w:sz="4" w:space="0"/>
              <w:right w:val="single" w:color="auto" w:sz="4" w:space="0"/>
            </w:tcBorders>
            <w:shd w:val="clear" w:color="auto" w:fill="auto"/>
            <w:vAlign w:val="center"/>
          </w:tcPr>
          <w:p w14:paraId="2B6C2E3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45" w:type="dxa"/>
            <w:tcBorders>
              <w:top w:val="single" w:color="auto" w:sz="4" w:space="0"/>
              <w:left w:val="nil"/>
              <w:bottom w:val="single" w:color="auto" w:sz="4" w:space="0"/>
              <w:right w:val="single" w:color="auto" w:sz="4" w:space="0"/>
            </w:tcBorders>
            <w:shd w:val="clear" w:color="auto" w:fill="auto"/>
            <w:vAlign w:val="center"/>
          </w:tcPr>
          <w:p w14:paraId="301BC1A2">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w:t>
            </w:r>
          </w:p>
        </w:tc>
        <w:tc>
          <w:tcPr>
            <w:tcW w:w="2135" w:type="dxa"/>
            <w:tcBorders>
              <w:top w:val="single" w:color="auto" w:sz="4" w:space="0"/>
              <w:left w:val="nil"/>
              <w:bottom w:val="single" w:color="auto" w:sz="4" w:space="0"/>
              <w:right w:val="single" w:color="auto" w:sz="4" w:space="0"/>
            </w:tcBorders>
            <w:shd w:val="clear" w:color="auto" w:fill="auto"/>
            <w:vAlign w:val="center"/>
          </w:tcPr>
          <w:p w14:paraId="4F89AD04">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其他内容（如有）</w:t>
            </w:r>
          </w:p>
        </w:tc>
        <w:tc>
          <w:tcPr>
            <w:tcW w:w="4452" w:type="dxa"/>
            <w:tcBorders>
              <w:top w:val="single" w:color="auto" w:sz="4" w:space="0"/>
              <w:left w:val="nil"/>
              <w:bottom w:val="single" w:color="auto" w:sz="4" w:space="0"/>
              <w:right w:val="single" w:color="auto" w:sz="4" w:space="0"/>
            </w:tcBorders>
            <w:shd w:val="clear" w:color="auto" w:fill="auto"/>
            <w:vAlign w:val="center"/>
          </w:tcPr>
          <w:p w14:paraId="3FD5F78E">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p>
        </w:tc>
      </w:tr>
    </w:tbl>
    <w:p w14:paraId="38DD93B1">
      <w:pPr>
        <w:keepNext w:val="0"/>
        <w:keepLines w:val="0"/>
        <w:widowControl w:val="0"/>
        <w:suppressLineNumbers w:val="0"/>
        <w:adjustRightInd w:val="0"/>
        <w:snapToGrid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375E7FC1">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b/>
          <w:color w:val="auto"/>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bidi="ar"/>
        </w:rPr>
        <w:t>（二）</w:t>
      </w:r>
      <w:r>
        <w:rPr>
          <w:rFonts w:hint="eastAsia" w:ascii="Times New Roman" w:hAnsi="Times New Roman" w:eastAsia="宋体" w:cs="Times New Roman"/>
          <w:b/>
          <w:color w:val="auto"/>
          <w:sz w:val="24"/>
          <w:szCs w:val="24"/>
          <w:highlight w:val="none"/>
          <w:lang w:val="en-US" w:eastAsia="zh-CN"/>
        </w:rPr>
        <w:t>商务标评审</w:t>
      </w:r>
    </w:p>
    <w:tbl>
      <w:tblPr>
        <w:tblStyle w:val="46"/>
        <w:tblW w:w="10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84"/>
        <w:gridCol w:w="776"/>
        <w:gridCol w:w="708"/>
        <w:gridCol w:w="2127"/>
        <w:gridCol w:w="5794"/>
      </w:tblGrid>
      <w:tr w14:paraId="2598C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3" w:hRule="atLeast"/>
          <w:jc w:val="center"/>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CC701D">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bookmarkStart w:id="759" w:name="_Toc15058913"/>
            <w:bookmarkStart w:id="760" w:name="_Toc246996975"/>
            <w:bookmarkStart w:id="761" w:name="_Toc247085747"/>
            <w:bookmarkStart w:id="762" w:name="_Toc152042366"/>
            <w:bookmarkStart w:id="763" w:name="_Toc6491"/>
            <w:bookmarkStart w:id="764" w:name="_Toc324404872"/>
            <w:bookmarkStart w:id="765" w:name="_Toc35425113"/>
            <w:bookmarkStart w:id="766" w:name="_Toc144974556"/>
            <w:bookmarkStart w:id="767" w:name="_Toc78803381"/>
            <w:bookmarkStart w:id="768" w:name="_Toc506107324"/>
            <w:bookmarkStart w:id="769" w:name="_Toc246996232"/>
            <w:bookmarkStart w:id="770" w:name="_Toc152045589"/>
            <w:bookmarkStart w:id="771" w:name="_Toc35424947"/>
            <w:bookmarkStart w:id="772" w:name="_Toc179632607"/>
            <w:r>
              <w:rPr>
                <w:rFonts w:hint="eastAsia" w:ascii="宋体" w:hAnsi="宋体" w:eastAsia="宋体" w:cs="宋体"/>
                <w:color w:val="auto"/>
                <w:kern w:val="2"/>
                <w:sz w:val="21"/>
                <w:szCs w:val="21"/>
                <w:highlight w:val="none"/>
                <w:lang w:val="en-US" w:eastAsia="zh-CN" w:bidi="ar"/>
              </w:rPr>
              <w:t>条款号</w:t>
            </w:r>
          </w:p>
        </w:tc>
        <w:tc>
          <w:tcPr>
            <w:tcW w:w="2835" w:type="dxa"/>
            <w:gridSpan w:val="2"/>
            <w:tcBorders>
              <w:top w:val="single" w:color="auto" w:sz="4" w:space="0"/>
              <w:left w:val="nil"/>
              <w:bottom w:val="single" w:color="auto" w:sz="4" w:space="0"/>
              <w:right w:val="single" w:color="auto" w:sz="4" w:space="0"/>
            </w:tcBorders>
            <w:shd w:val="clear" w:color="auto" w:fill="auto"/>
            <w:vAlign w:val="center"/>
          </w:tcPr>
          <w:p w14:paraId="183D1168">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评审因素</w:t>
            </w:r>
          </w:p>
        </w:tc>
        <w:tc>
          <w:tcPr>
            <w:tcW w:w="5794" w:type="dxa"/>
            <w:tcBorders>
              <w:top w:val="single" w:color="auto" w:sz="4" w:space="0"/>
              <w:left w:val="nil"/>
              <w:bottom w:val="single" w:color="auto" w:sz="4" w:space="0"/>
              <w:right w:val="single" w:color="auto" w:sz="4" w:space="0"/>
            </w:tcBorders>
            <w:shd w:val="clear" w:color="auto" w:fill="auto"/>
            <w:vAlign w:val="center"/>
          </w:tcPr>
          <w:p w14:paraId="1590AA37">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评审标准</w:t>
            </w:r>
          </w:p>
        </w:tc>
      </w:tr>
      <w:tr w14:paraId="01A9F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784" w:type="dxa"/>
            <w:vMerge w:val="restart"/>
            <w:tcBorders>
              <w:top w:val="nil"/>
              <w:left w:val="single" w:color="auto" w:sz="4" w:space="0"/>
              <w:bottom w:val="single" w:color="auto" w:sz="4" w:space="0"/>
              <w:right w:val="single" w:color="auto" w:sz="4" w:space="0"/>
            </w:tcBorders>
            <w:shd w:val="clear" w:color="auto" w:fill="auto"/>
            <w:vAlign w:val="center"/>
          </w:tcPr>
          <w:p w14:paraId="06D2D3B2">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4.2.1</w:t>
            </w:r>
          </w:p>
        </w:tc>
        <w:tc>
          <w:tcPr>
            <w:tcW w:w="776" w:type="dxa"/>
            <w:vMerge w:val="restart"/>
            <w:tcBorders>
              <w:top w:val="nil"/>
              <w:left w:val="nil"/>
              <w:bottom w:val="single" w:color="auto" w:sz="4" w:space="0"/>
              <w:right w:val="single" w:color="auto" w:sz="4" w:space="0"/>
            </w:tcBorders>
            <w:shd w:val="clear" w:color="auto" w:fill="auto"/>
            <w:vAlign w:val="center"/>
          </w:tcPr>
          <w:p w14:paraId="03C8EA9C">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形式评审标准</w:t>
            </w:r>
          </w:p>
        </w:tc>
        <w:tc>
          <w:tcPr>
            <w:tcW w:w="2835" w:type="dxa"/>
            <w:gridSpan w:val="2"/>
            <w:tcBorders>
              <w:top w:val="single" w:color="auto" w:sz="4" w:space="0"/>
              <w:left w:val="nil"/>
              <w:bottom w:val="single" w:color="auto" w:sz="4" w:space="0"/>
              <w:right w:val="single" w:color="auto" w:sz="4" w:space="0"/>
            </w:tcBorders>
            <w:shd w:val="clear" w:color="auto" w:fill="auto"/>
            <w:vAlign w:val="center"/>
          </w:tcPr>
          <w:p w14:paraId="54629474">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投标函签字盖章</w:t>
            </w:r>
          </w:p>
        </w:tc>
        <w:tc>
          <w:tcPr>
            <w:tcW w:w="5794" w:type="dxa"/>
            <w:tcBorders>
              <w:top w:val="single" w:color="auto" w:sz="4" w:space="0"/>
              <w:left w:val="nil"/>
              <w:bottom w:val="single" w:color="auto" w:sz="4" w:space="0"/>
              <w:right w:val="single" w:color="auto" w:sz="4" w:space="0"/>
            </w:tcBorders>
            <w:shd w:val="clear" w:color="auto" w:fill="auto"/>
            <w:vAlign w:val="center"/>
          </w:tcPr>
          <w:p w14:paraId="570BB957">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有投标人及其法定代表人签章。</w:t>
            </w:r>
          </w:p>
        </w:tc>
      </w:tr>
      <w:tr w14:paraId="2027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1"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59D8574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nil"/>
              <w:bottom w:val="single" w:color="auto" w:sz="4" w:space="0"/>
              <w:right w:val="single" w:color="auto" w:sz="4" w:space="0"/>
            </w:tcBorders>
            <w:shd w:val="clear" w:color="auto" w:fill="auto"/>
            <w:vAlign w:val="center"/>
          </w:tcPr>
          <w:p w14:paraId="2DEECB0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gridSpan w:val="2"/>
            <w:tcBorders>
              <w:top w:val="single" w:color="auto" w:sz="4" w:space="0"/>
              <w:left w:val="nil"/>
              <w:bottom w:val="single" w:color="auto" w:sz="4" w:space="0"/>
              <w:right w:val="single" w:color="auto" w:sz="4" w:space="0"/>
            </w:tcBorders>
            <w:shd w:val="clear" w:color="auto" w:fill="auto"/>
            <w:vAlign w:val="center"/>
          </w:tcPr>
          <w:p w14:paraId="55CAF0AC">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投标文件格式</w:t>
            </w:r>
          </w:p>
        </w:tc>
        <w:tc>
          <w:tcPr>
            <w:tcW w:w="5794" w:type="dxa"/>
            <w:tcBorders>
              <w:top w:val="single" w:color="auto" w:sz="4" w:space="0"/>
              <w:left w:val="nil"/>
              <w:bottom w:val="single" w:color="auto" w:sz="4" w:space="0"/>
              <w:right w:val="single" w:color="auto" w:sz="4" w:space="0"/>
            </w:tcBorders>
            <w:shd w:val="clear" w:color="auto" w:fill="auto"/>
            <w:vAlign w:val="center"/>
          </w:tcPr>
          <w:p w14:paraId="7D098C09">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符合第八章“投标文件格式”的要求。</w:t>
            </w:r>
          </w:p>
        </w:tc>
      </w:tr>
      <w:tr w14:paraId="3366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1"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47C762D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nil"/>
              <w:bottom w:val="single" w:color="auto" w:sz="4" w:space="0"/>
              <w:right w:val="single" w:color="auto" w:sz="4" w:space="0"/>
            </w:tcBorders>
            <w:shd w:val="clear" w:color="auto" w:fill="auto"/>
            <w:vAlign w:val="center"/>
          </w:tcPr>
          <w:p w14:paraId="6C0FE05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gridSpan w:val="2"/>
            <w:tcBorders>
              <w:top w:val="single" w:color="auto" w:sz="4" w:space="0"/>
              <w:left w:val="nil"/>
              <w:bottom w:val="single" w:color="auto" w:sz="4" w:space="0"/>
              <w:right w:val="single" w:color="auto" w:sz="4" w:space="0"/>
            </w:tcBorders>
            <w:shd w:val="clear" w:color="auto" w:fill="auto"/>
            <w:vAlign w:val="center"/>
          </w:tcPr>
          <w:p w14:paraId="01ADD117">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商务标签字盖章</w:t>
            </w:r>
          </w:p>
        </w:tc>
        <w:tc>
          <w:tcPr>
            <w:tcW w:w="5794" w:type="dxa"/>
            <w:tcBorders>
              <w:top w:val="single" w:color="auto" w:sz="4" w:space="0"/>
              <w:left w:val="nil"/>
              <w:bottom w:val="single" w:color="auto" w:sz="4" w:space="0"/>
              <w:right w:val="single" w:color="auto" w:sz="4" w:space="0"/>
            </w:tcBorders>
            <w:shd w:val="clear" w:color="auto" w:fill="auto"/>
            <w:vAlign w:val="center"/>
          </w:tcPr>
          <w:p w14:paraId="49F3F3B0">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按投标文件格式要求签章。</w:t>
            </w:r>
          </w:p>
        </w:tc>
      </w:tr>
      <w:tr w14:paraId="70C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7"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38E3336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nil"/>
              <w:bottom w:val="single" w:color="auto" w:sz="4" w:space="0"/>
              <w:right w:val="single" w:color="auto" w:sz="4" w:space="0"/>
            </w:tcBorders>
            <w:shd w:val="clear" w:color="auto" w:fill="auto"/>
            <w:vAlign w:val="center"/>
          </w:tcPr>
          <w:p w14:paraId="13B744D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gridSpan w:val="2"/>
            <w:tcBorders>
              <w:top w:val="single" w:color="auto" w:sz="4" w:space="0"/>
              <w:left w:val="nil"/>
              <w:bottom w:val="single" w:color="auto" w:sz="4" w:space="0"/>
              <w:right w:val="single" w:color="auto" w:sz="4" w:space="0"/>
            </w:tcBorders>
            <w:shd w:val="clear" w:color="auto" w:fill="auto"/>
            <w:vAlign w:val="center"/>
          </w:tcPr>
          <w:p w14:paraId="1D73ECB8">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报价唯一</w:t>
            </w:r>
          </w:p>
        </w:tc>
        <w:tc>
          <w:tcPr>
            <w:tcW w:w="5794" w:type="dxa"/>
            <w:tcBorders>
              <w:top w:val="single" w:color="auto" w:sz="4" w:space="0"/>
              <w:left w:val="nil"/>
              <w:bottom w:val="single" w:color="auto" w:sz="4" w:space="0"/>
              <w:right w:val="single" w:color="auto" w:sz="4" w:space="0"/>
            </w:tcBorders>
            <w:shd w:val="clear" w:color="auto" w:fill="auto"/>
            <w:vAlign w:val="center"/>
          </w:tcPr>
          <w:p w14:paraId="12BAA5D6">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只能有一个报价。</w:t>
            </w:r>
          </w:p>
        </w:tc>
      </w:tr>
      <w:tr w14:paraId="4612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3" w:hRule="atLeast"/>
          <w:jc w:val="center"/>
        </w:trPr>
        <w:tc>
          <w:tcPr>
            <w:tcW w:w="784" w:type="dxa"/>
            <w:vMerge w:val="restart"/>
            <w:tcBorders>
              <w:top w:val="nil"/>
              <w:left w:val="single" w:color="auto" w:sz="4" w:space="0"/>
              <w:bottom w:val="single" w:color="auto" w:sz="4" w:space="0"/>
              <w:right w:val="single" w:color="auto" w:sz="4" w:space="0"/>
            </w:tcBorders>
            <w:shd w:val="clear" w:color="auto" w:fill="auto"/>
            <w:vAlign w:val="center"/>
          </w:tcPr>
          <w:p w14:paraId="3CE25B15">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4.2.2</w:t>
            </w:r>
          </w:p>
        </w:tc>
        <w:tc>
          <w:tcPr>
            <w:tcW w:w="776" w:type="dxa"/>
            <w:vMerge w:val="restart"/>
            <w:tcBorders>
              <w:top w:val="nil"/>
              <w:left w:val="nil"/>
              <w:bottom w:val="single" w:color="auto" w:sz="4" w:space="0"/>
              <w:right w:val="single" w:color="auto" w:sz="4" w:space="0"/>
            </w:tcBorders>
            <w:shd w:val="clear" w:color="auto" w:fill="auto"/>
            <w:vAlign w:val="center"/>
          </w:tcPr>
          <w:p w14:paraId="06F65809">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响应性评审标准</w:t>
            </w:r>
          </w:p>
        </w:tc>
        <w:tc>
          <w:tcPr>
            <w:tcW w:w="2835" w:type="dxa"/>
            <w:gridSpan w:val="2"/>
            <w:tcBorders>
              <w:top w:val="single" w:color="auto" w:sz="4" w:space="0"/>
              <w:left w:val="nil"/>
              <w:bottom w:val="single" w:color="auto" w:sz="4" w:space="0"/>
              <w:right w:val="single" w:color="auto" w:sz="4" w:space="0"/>
            </w:tcBorders>
            <w:shd w:val="clear" w:color="auto" w:fill="auto"/>
            <w:vAlign w:val="center"/>
          </w:tcPr>
          <w:p w14:paraId="32CD87B8">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投标保证金缴纳情况</w:t>
            </w:r>
          </w:p>
        </w:tc>
        <w:tc>
          <w:tcPr>
            <w:tcW w:w="5794" w:type="dxa"/>
            <w:tcBorders>
              <w:top w:val="single" w:color="auto" w:sz="4" w:space="0"/>
              <w:left w:val="nil"/>
              <w:bottom w:val="single" w:color="auto" w:sz="4" w:space="0"/>
              <w:right w:val="single" w:color="auto" w:sz="4" w:space="0"/>
            </w:tcBorders>
            <w:shd w:val="clear" w:color="auto" w:fill="auto"/>
            <w:vAlign w:val="center"/>
          </w:tcPr>
          <w:p w14:paraId="3B2E2DDA">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符合投标须知前附表规定。</w:t>
            </w:r>
          </w:p>
        </w:tc>
      </w:tr>
      <w:tr w14:paraId="056BF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0"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68AADFD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nil"/>
              <w:bottom w:val="single" w:color="auto" w:sz="4" w:space="0"/>
              <w:right w:val="single" w:color="auto" w:sz="4" w:space="0"/>
            </w:tcBorders>
            <w:shd w:val="clear" w:color="auto" w:fill="auto"/>
            <w:vAlign w:val="center"/>
          </w:tcPr>
          <w:p w14:paraId="00E380F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gridSpan w:val="2"/>
            <w:tcBorders>
              <w:top w:val="single" w:color="auto" w:sz="4" w:space="0"/>
              <w:left w:val="nil"/>
              <w:bottom w:val="single" w:color="auto" w:sz="4" w:space="0"/>
              <w:right w:val="single" w:color="auto" w:sz="4" w:space="0"/>
            </w:tcBorders>
            <w:shd w:val="clear" w:color="auto" w:fill="auto"/>
            <w:vAlign w:val="center"/>
          </w:tcPr>
          <w:p w14:paraId="7582CAFC">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工期</w:t>
            </w:r>
          </w:p>
        </w:tc>
        <w:tc>
          <w:tcPr>
            <w:tcW w:w="5794" w:type="dxa"/>
            <w:tcBorders>
              <w:top w:val="single" w:color="auto" w:sz="4" w:space="0"/>
              <w:left w:val="nil"/>
              <w:bottom w:val="single" w:color="auto" w:sz="4" w:space="0"/>
              <w:right w:val="single" w:color="auto" w:sz="4" w:space="0"/>
            </w:tcBorders>
            <w:shd w:val="clear" w:color="auto" w:fill="auto"/>
            <w:vAlign w:val="center"/>
          </w:tcPr>
          <w:p w14:paraId="0AA8B3A9">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符合投标须知前附表规定。</w:t>
            </w:r>
          </w:p>
        </w:tc>
      </w:tr>
      <w:tr w14:paraId="6066D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0"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183DA3B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nil"/>
              <w:bottom w:val="single" w:color="auto" w:sz="4" w:space="0"/>
              <w:right w:val="single" w:color="auto" w:sz="4" w:space="0"/>
            </w:tcBorders>
            <w:shd w:val="clear" w:color="auto" w:fill="auto"/>
            <w:vAlign w:val="center"/>
          </w:tcPr>
          <w:p w14:paraId="4DC400C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gridSpan w:val="2"/>
            <w:tcBorders>
              <w:top w:val="single" w:color="auto" w:sz="4" w:space="0"/>
              <w:left w:val="nil"/>
              <w:bottom w:val="single" w:color="auto" w:sz="4" w:space="0"/>
              <w:right w:val="single" w:color="auto" w:sz="4" w:space="0"/>
            </w:tcBorders>
            <w:shd w:val="clear" w:color="auto" w:fill="auto"/>
            <w:vAlign w:val="center"/>
          </w:tcPr>
          <w:p w14:paraId="03BA40D8">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工程质量</w:t>
            </w:r>
          </w:p>
        </w:tc>
        <w:tc>
          <w:tcPr>
            <w:tcW w:w="5794" w:type="dxa"/>
            <w:tcBorders>
              <w:top w:val="single" w:color="auto" w:sz="4" w:space="0"/>
              <w:left w:val="nil"/>
              <w:bottom w:val="single" w:color="auto" w:sz="4" w:space="0"/>
              <w:right w:val="single" w:color="auto" w:sz="4" w:space="0"/>
            </w:tcBorders>
            <w:shd w:val="clear" w:color="auto" w:fill="auto"/>
            <w:vAlign w:val="center"/>
          </w:tcPr>
          <w:p w14:paraId="7DFBF820">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符合投标须知前附表规定。</w:t>
            </w:r>
          </w:p>
        </w:tc>
      </w:tr>
      <w:tr w14:paraId="56CB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0"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46AE059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nil"/>
              <w:bottom w:val="single" w:color="auto" w:sz="4" w:space="0"/>
              <w:right w:val="single" w:color="auto" w:sz="4" w:space="0"/>
            </w:tcBorders>
            <w:shd w:val="clear" w:color="auto" w:fill="auto"/>
            <w:vAlign w:val="center"/>
          </w:tcPr>
          <w:p w14:paraId="73DD490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gridSpan w:val="2"/>
            <w:tcBorders>
              <w:top w:val="single" w:color="auto" w:sz="4" w:space="0"/>
              <w:left w:val="nil"/>
              <w:bottom w:val="single" w:color="auto" w:sz="4" w:space="0"/>
              <w:right w:val="single" w:color="auto" w:sz="4" w:space="0"/>
            </w:tcBorders>
            <w:shd w:val="clear" w:color="auto" w:fill="auto"/>
            <w:vAlign w:val="center"/>
          </w:tcPr>
          <w:p w14:paraId="432FE113">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投标有效期</w:t>
            </w:r>
          </w:p>
        </w:tc>
        <w:tc>
          <w:tcPr>
            <w:tcW w:w="5794" w:type="dxa"/>
            <w:tcBorders>
              <w:top w:val="single" w:color="auto" w:sz="4" w:space="0"/>
              <w:left w:val="nil"/>
              <w:bottom w:val="single" w:color="auto" w:sz="4" w:space="0"/>
              <w:right w:val="single" w:color="auto" w:sz="4" w:space="0"/>
            </w:tcBorders>
            <w:shd w:val="clear" w:color="auto" w:fill="auto"/>
            <w:vAlign w:val="center"/>
          </w:tcPr>
          <w:p w14:paraId="19C57329">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符合投标须知前附表规定。</w:t>
            </w:r>
          </w:p>
        </w:tc>
      </w:tr>
      <w:tr w14:paraId="516A4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5"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78608FE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nil"/>
              <w:bottom w:val="single" w:color="auto" w:sz="4" w:space="0"/>
              <w:right w:val="single" w:color="auto" w:sz="4" w:space="0"/>
            </w:tcBorders>
            <w:shd w:val="clear" w:color="auto" w:fill="auto"/>
            <w:vAlign w:val="center"/>
          </w:tcPr>
          <w:p w14:paraId="602F00D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gridSpan w:val="2"/>
            <w:tcBorders>
              <w:top w:val="single" w:color="auto" w:sz="4" w:space="0"/>
              <w:left w:val="nil"/>
              <w:bottom w:val="single" w:color="auto" w:sz="4" w:space="0"/>
              <w:right w:val="single" w:color="auto" w:sz="4" w:space="0"/>
            </w:tcBorders>
            <w:shd w:val="clear" w:color="auto" w:fill="auto"/>
            <w:vAlign w:val="center"/>
          </w:tcPr>
          <w:p w14:paraId="20EA13BC">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已标价工程量清单</w:t>
            </w:r>
          </w:p>
        </w:tc>
        <w:tc>
          <w:tcPr>
            <w:tcW w:w="5794" w:type="dxa"/>
            <w:tcBorders>
              <w:top w:val="single" w:color="auto" w:sz="4" w:space="0"/>
              <w:left w:val="nil"/>
              <w:bottom w:val="single" w:color="auto" w:sz="4" w:space="0"/>
              <w:right w:val="single" w:color="auto" w:sz="4" w:space="0"/>
            </w:tcBorders>
            <w:shd w:val="clear" w:color="auto" w:fill="auto"/>
            <w:vAlign w:val="center"/>
          </w:tcPr>
          <w:p w14:paraId="7CF6C299">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与招标人发布的招标工程量清单（含需评审材料清单）排序一致，能有效导入计算机辅助评标系统。</w:t>
            </w:r>
          </w:p>
        </w:tc>
      </w:tr>
      <w:tr w14:paraId="22B1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6"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29CB1CC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nil"/>
              <w:bottom w:val="single" w:color="auto" w:sz="4" w:space="0"/>
              <w:right w:val="single" w:color="auto" w:sz="4" w:space="0"/>
            </w:tcBorders>
            <w:shd w:val="clear" w:color="auto" w:fill="auto"/>
            <w:vAlign w:val="center"/>
          </w:tcPr>
          <w:p w14:paraId="2FD94B7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gridSpan w:val="2"/>
            <w:tcBorders>
              <w:top w:val="single" w:color="auto" w:sz="4" w:space="0"/>
              <w:left w:val="nil"/>
              <w:bottom w:val="single" w:color="auto" w:sz="4" w:space="0"/>
              <w:right w:val="single" w:color="auto" w:sz="4" w:space="0"/>
            </w:tcBorders>
            <w:shd w:val="clear" w:color="auto" w:fill="auto"/>
            <w:vAlign w:val="center"/>
          </w:tcPr>
          <w:p w14:paraId="492EB3A4">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投标总价评审</w:t>
            </w:r>
          </w:p>
        </w:tc>
        <w:tc>
          <w:tcPr>
            <w:tcW w:w="5794" w:type="dxa"/>
            <w:tcBorders>
              <w:top w:val="single" w:color="auto" w:sz="4" w:space="0"/>
              <w:left w:val="nil"/>
              <w:bottom w:val="single" w:color="auto" w:sz="4" w:space="0"/>
              <w:right w:val="single" w:color="auto" w:sz="4" w:space="0"/>
            </w:tcBorders>
            <w:shd w:val="clear" w:color="auto" w:fill="auto"/>
            <w:vAlign w:val="center"/>
          </w:tcPr>
          <w:p w14:paraId="2B0B1ADD">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不得高于最高投标限价，也不得低于工程成本价。</w:t>
            </w:r>
          </w:p>
        </w:tc>
      </w:tr>
      <w:tr w14:paraId="236AF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6"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59C1AD1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nil"/>
              <w:bottom w:val="single" w:color="auto" w:sz="4" w:space="0"/>
              <w:right w:val="single" w:color="auto" w:sz="4" w:space="0"/>
            </w:tcBorders>
            <w:shd w:val="clear" w:color="auto" w:fill="auto"/>
            <w:vAlign w:val="center"/>
          </w:tcPr>
          <w:p w14:paraId="117CB3A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gridSpan w:val="2"/>
            <w:tcBorders>
              <w:top w:val="single" w:color="auto" w:sz="4" w:space="0"/>
              <w:left w:val="nil"/>
              <w:bottom w:val="single" w:color="auto" w:sz="4" w:space="0"/>
              <w:right w:val="single" w:color="auto" w:sz="4" w:space="0"/>
            </w:tcBorders>
            <w:shd w:val="clear" w:color="auto" w:fill="auto"/>
            <w:vAlign w:val="center"/>
          </w:tcPr>
          <w:p w14:paraId="424DC1A1">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暂列金额、专业工程暂估价、分部分项工程材料及设备暂估价</w:t>
            </w:r>
          </w:p>
        </w:tc>
        <w:tc>
          <w:tcPr>
            <w:tcW w:w="5794" w:type="dxa"/>
            <w:tcBorders>
              <w:top w:val="single" w:color="auto" w:sz="4" w:space="0"/>
              <w:left w:val="nil"/>
              <w:bottom w:val="single" w:color="auto" w:sz="4" w:space="0"/>
              <w:right w:val="single" w:color="auto" w:sz="4" w:space="0"/>
            </w:tcBorders>
            <w:shd w:val="clear" w:color="auto" w:fill="auto"/>
            <w:vAlign w:val="center"/>
          </w:tcPr>
          <w:p w14:paraId="3049007B">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与招标人发布的招标工程量清单一致。</w:t>
            </w:r>
          </w:p>
        </w:tc>
      </w:tr>
      <w:tr w14:paraId="0C778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5" w:hRule="atLeast"/>
          <w:jc w:val="center"/>
        </w:trPr>
        <w:tc>
          <w:tcPr>
            <w:tcW w:w="784" w:type="dxa"/>
            <w:vMerge w:val="restart"/>
            <w:tcBorders>
              <w:top w:val="nil"/>
              <w:left w:val="single" w:color="auto" w:sz="4" w:space="0"/>
              <w:bottom w:val="single" w:color="auto" w:sz="4" w:space="0"/>
              <w:right w:val="single" w:color="auto" w:sz="4" w:space="0"/>
            </w:tcBorders>
            <w:shd w:val="clear" w:color="auto" w:fill="auto"/>
            <w:vAlign w:val="center"/>
          </w:tcPr>
          <w:p w14:paraId="7E55CC1F">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4.2.3</w:t>
            </w:r>
          </w:p>
        </w:tc>
        <w:tc>
          <w:tcPr>
            <w:tcW w:w="776" w:type="dxa"/>
            <w:vMerge w:val="restart"/>
            <w:tcBorders>
              <w:top w:val="nil"/>
              <w:left w:val="nil"/>
              <w:bottom w:val="single" w:color="auto" w:sz="4" w:space="0"/>
              <w:right w:val="single" w:color="auto" w:sz="4" w:space="0"/>
            </w:tcBorders>
            <w:shd w:val="clear" w:color="auto" w:fill="auto"/>
            <w:vAlign w:val="center"/>
          </w:tcPr>
          <w:p w14:paraId="05D7B589">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18"/>
                <w:szCs w:val="18"/>
                <w:highlight w:val="none"/>
                <w:lang w:val="en-US" w:eastAsia="zh-CN" w:bidi="ar"/>
              </w:rPr>
              <w:t>详细评审标准</w:t>
            </w:r>
          </w:p>
        </w:tc>
        <w:tc>
          <w:tcPr>
            <w:tcW w:w="708" w:type="dxa"/>
            <w:vMerge w:val="restart"/>
            <w:tcBorders>
              <w:top w:val="nil"/>
              <w:left w:val="nil"/>
              <w:bottom w:val="single" w:color="auto" w:sz="4" w:space="0"/>
              <w:right w:val="single" w:color="auto" w:sz="4" w:space="0"/>
            </w:tcBorders>
            <w:shd w:val="clear" w:color="auto" w:fill="auto"/>
            <w:vAlign w:val="center"/>
          </w:tcPr>
          <w:p w14:paraId="09AEA91F">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工程成本评审</w:t>
            </w:r>
          </w:p>
        </w:tc>
        <w:tc>
          <w:tcPr>
            <w:tcW w:w="7921" w:type="dxa"/>
            <w:gridSpan w:val="2"/>
            <w:tcBorders>
              <w:top w:val="single" w:color="auto" w:sz="4" w:space="0"/>
              <w:left w:val="nil"/>
              <w:bottom w:val="single" w:color="auto" w:sz="4" w:space="0"/>
              <w:right w:val="single" w:color="auto" w:sz="4" w:space="0"/>
            </w:tcBorders>
            <w:shd w:val="clear" w:color="auto" w:fill="auto"/>
            <w:vAlign w:val="center"/>
          </w:tcPr>
          <w:p w14:paraId="383D6CC0">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投标报价出现下列情形之一的，由评标委员会重点评审后界定其报价是否低于工程成本：</w:t>
            </w:r>
          </w:p>
        </w:tc>
      </w:tr>
      <w:tr w14:paraId="473E1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5"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2F8BC1C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nil"/>
              <w:bottom w:val="single" w:color="auto" w:sz="4" w:space="0"/>
              <w:right w:val="single" w:color="auto" w:sz="4" w:space="0"/>
            </w:tcBorders>
            <w:shd w:val="clear" w:color="auto" w:fill="auto"/>
            <w:vAlign w:val="center"/>
          </w:tcPr>
          <w:p w14:paraId="734DA99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8" w:type="dxa"/>
            <w:vMerge w:val="continue"/>
            <w:tcBorders>
              <w:top w:val="nil"/>
              <w:left w:val="nil"/>
              <w:bottom w:val="single" w:color="auto" w:sz="4" w:space="0"/>
              <w:right w:val="single" w:color="auto" w:sz="4" w:space="0"/>
            </w:tcBorders>
            <w:shd w:val="clear" w:color="auto" w:fill="auto"/>
            <w:vAlign w:val="center"/>
          </w:tcPr>
          <w:p w14:paraId="1A711A7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127" w:type="dxa"/>
            <w:tcBorders>
              <w:top w:val="single" w:color="auto" w:sz="4" w:space="0"/>
              <w:left w:val="nil"/>
              <w:bottom w:val="single" w:color="auto" w:sz="4" w:space="0"/>
              <w:right w:val="single" w:color="auto" w:sz="4" w:space="0"/>
            </w:tcBorders>
            <w:shd w:val="clear" w:color="auto" w:fill="auto"/>
            <w:vAlign w:val="center"/>
          </w:tcPr>
          <w:p w14:paraId="4FA4E01E">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投标报价</w:t>
            </w:r>
          </w:p>
        </w:tc>
        <w:tc>
          <w:tcPr>
            <w:tcW w:w="5794" w:type="dxa"/>
            <w:tcBorders>
              <w:top w:val="single" w:color="auto" w:sz="4" w:space="0"/>
              <w:left w:val="nil"/>
              <w:bottom w:val="single" w:color="auto" w:sz="4" w:space="0"/>
              <w:right w:val="single" w:color="auto" w:sz="4" w:space="0"/>
            </w:tcBorders>
            <w:shd w:val="clear" w:color="auto" w:fill="auto"/>
            <w:vAlign w:val="center"/>
          </w:tcPr>
          <w:p w14:paraId="7D0C464A">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投标报价低于本项目通过资信、技术评审且商务标初步评审合格的有效投标报价平均值10%以上。</w:t>
            </w:r>
          </w:p>
        </w:tc>
      </w:tr>
      <w:tr w14:paraId="5B53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5"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24EA14A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nil"/>
              <w:bottom w:val="single" w:color="auto" w:sz="4" w:space="0"/>
              <w:right w:val="single" w:color="auto" w:sz="4" w:space="0"/>
            </w:tcBorders>
            <w:shd w:val="clear" w:color="auto" w:fill="auto"/>
            <w:vAlign w:val="center"/>
          </w:tcPr>
          <w:p w14:paraId="53C5EC3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8" w:type="dxa"/>
            <w:vMerge w:val="continue"/>
            <w:tcBorders>
              <w:top w:val="nil"/>
              <w:left w:val="nil"/>
              <w:bottom w:val="single" w:color="auto" w:sz="4" w:space="0"/>
              <w:right w:val="single" w:color="auto" w:sz="4" w:space="0"/>
            </w:tcBorders>
            <w:shd w:val="clear" w:color="auto" w:fill="auto"/>
            <w:vAlign w:val="center"/>
          </w:tcPr>
          <w:p w14:paraId="326DB59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127" w:type="dxa"/>
            <w:tcBorders>
              <w:top w:val="single" w:color="auto" w:sz="4" w:space="0"/>
              <w:left w:val="nil"/>
              <w:bottom w:val="single" w:color="auto" w:sz="4" w:space="0"/>
              <w:right w:val="single" w:color="auto" w:sz="4" w:space="0"/>
            </w:tcBorders>
            <w:shd w:val="clear" w:color="auto" w:fill="auto"/>
            <w:vAlign w:val="center"/>
          </w:tcPr>
          <w:p w14:paraId="47B16C56">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报价内容完整性</w:t>
            </w:r>
          </w:p>
        </w:tc>
        <w:tc>
          <w:tcPr>
            <w:tcW w:w="5794" w:type="dxa"/>
            <w:tcBorders>
              <w:top w:val="single" w:color="auto" w:sz="4" w:space="0"/>
              <w:left w:val="nil"/>
              <w:bottom w:val="single" w:color="auto" w:sz="4" w:space="0"/>
              <w:right w:val="single" w:color="auto" w:sz="4" w:space="0"/>
            </w:tcBorders>
            <w:shd w:val="clear" w:color="auto" w:fill="auto"/>
            <w:vAlign w:val="center"/>
          </w:tcPr>
          <w:p w14:paraId="4C23FD0D">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因投标人原因造成投标报价清单缺漏，缺漏项总额（多算或多报总额不得抵消缺漏项目总额）累计占本项目通过资信、技术评审且商务标初步评审合格</w:t>
            </w:r>
            <w:r>
              <w:rPr>
                <w:rFonts w:hint="eastAsia" w:ascii="宋体" w:hAnsi="宋体" w:eastAsia="宋体" w:cs="宋体"/>
                <w:color w:val="auto"/>
                <w:spacing w:val="-6"/>
                <w:kern w:val="2"/>
                <w:sz w:val="21"/>
                <w:szCs w:val="21"/>
                <w:highlight w:val="none"/>
                <w:lang w:val="en-US" w:eastAsia="zh-CN" w:bidi="ar"/>
              </w:rPr>
              <w:t>有效投标总报价平均值5%以上。</w:t>
            </w:r>
          </w:p>
        </w:tc>
      </w:tr>
      <w:tr w14:paraId="61D9A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01B5BC2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nil"/>
              <w:bottom w:val="single" w:color="auto" w:sz="4" w:space="0"/>
              <w:right w:val="single" w:color="auto" w:sz="4" w:space="0"/>
            </w:tcBorders>
            <w:shd w:val="clear" w:color="auto" w:fill="auto"/>
            <w:vAlign w:val="center"/>
          </w:tcPr>
          <w:p w14:paraId="0DE9973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8" w:type="dxa"/>
            <w:vMerge w:val="continue"/>
            <w:tcBorders>
              <w:top w:val="nil"/>
              <w:left w:val="nil"/>
              <w:bottom w:val="single" w:color="auto" w:sz="4" w:space="0"/>
              <w:right w:val="single" w:color="auto" w:sz="4" w:space="0"/>
            </w:tcBorders>
            <w:shd w:val="clear" w:color="auto" w:fill="auto"/>
            <w:vAlign w:val="center"/>
          </w:tcPr>
          <w:p w14:paraId="464C905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127" w:type="dxa"/>
            <w:tcBorders>
              <w:top w:val="single" w:color="auto" w:sz="4" w:space="0"/>
              <w:left w:val="nil"/>
              <w:bottom w:val="single" w:color="auto" w:sz="4" w:space="0"/>
              <w:right w:val="single" w:color="auto" w:sz="4" w:space="0"/>
            </w:tcBorders>
            <w:shd w:val="clear" w:color="auto" w:fill="auto"/>
            <w:vAlign w:val="center"/>
          </w:tcPr>
          <w:p w14:paraId="07CBD840">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人工工日单价</w:t>
            </w:r>
          </w:p>
        </w:tc>
        <w:tc>
          <w:tcPr>
            <w:tcW w:w="5794" w:type="dxa"/>
            <w:tcBorders>
              <w:top w:val="single" w:color="auto" w:sz="4" w:space="0"/>
              <w:left w:val="nil"/>
              <w:bottom w:val="single" w:color="auto" w:sz="4" w:space="0"/>
              <w:right w:val="single" w:color="auto" w:sz="4" w:space="0"/>
            </w:tcBorders>
            <w:shd w:val="clear" w:color="auto" w:fill="auto"/>
            <w:vAlign w:val="center"/>
          </w:tcPr>
          <w:p w14:paraId="06BA06C7">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不得低于招标人发布的最高投标限价中的人工工日单价</w:t>
            </w:r>
          </w:p>
        </w:tc>
      </w:tr>
      <w:tr w14:paraId="4AB25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35029AD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nil"/>
              <w:bottom w:val="single" w:color="auto" w:sz="4" w:space="0"/>
              <w:right w:val="single" w:color="auto" w:sz="4" w:space="0"/>
            </w:tcBorders>
            <w:shd w:val="clear" w:color="auto" w:fill="auto"/>
            <w:vAlign w:val="center"/>
          </w:tcPr>
          <w:p w14:paraId="0CCCFC5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8" w:type="dxa"/>
            <w:vMerge w:val="continue"/>
            <w:tcBorders>
              <w:top w:val="nil"/>
              <w:left w:val="nil"/>
              <w:bottom w:val="single" w:color="auto" w:sz="4" w:space="0"/>
              <w:right w:val="single" w:color="auto" w:sz="4" w:space="0"/>
            </w:tcBorders>
            <w:shd w:val="clear" w:color="auto" w:fill="auto"/>
            <w:vAlign w:val="center"/>
          </w:tcPr>
          <w:p w14:paraId="17BAA45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127" w:type="dxa"/>
            <w:tcBorders>
              <w:top w:val="single" w:color="auto" w:sz="4" w:space="0"/>
              <w:left w:val="nil"/>
              <w:bottom w:val="single" w:color="auto" w:sz="4" w:space="0"/>
              <w:right w:val="single" w:color="auto" w:sz="4" w:space="0"/>
            </w:tcBorders>
            <w:shd w:val="clear" w:color="auto" w:fill="auto"/>
            <w:vAlign w:val="center"/>
          </w:tcPr>
          <w:p w14:paraId="3DF3AFAE">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需评审材料数量</w:t>
            </w:r>
          </w:p>
        </w:tc>
        <w:tc>
          <w:tcPr>
            <w:tcW w:w="5794" w:type="dxa"/>
            <w:tcBorders>
              <w:top w:val="single" w:color="auto" w:sz="4" w:space="0"/>
              <w:left w:val="nil"/>
              <w:bottom w:val="single" w:color="auto" w:sz="4" w:space="0"/>
              <w:right w:val="single" w:color="auto" w:sz="4" w:space="0"/>
            </w:tcBorders>
            <w:shd w:val="clear" w:color="auto" w:fill="auto"/>
            <w:vAlign w:val="center"/>
          </w:tcPr>
          <w:p w14:paraId="20675F12">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需评审的主要材料消耗量低于最高投标限价相应材料数量的5%以上，且低于本项目通过资信、技术评审且商务标初步评审合格有效投标报价相应材料消耗量平均值的3%以上。</w:t>
            </w:r>
          </w:p>
        </w:tc>
      </w:tr>
      <w:tr w14:paraId="3F77C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0"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5EC3542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nil"/>
              <w:bottom w:val="single" w:color="auto" w:sz="4" w:space="0"/>
              <w:right w:val="single" w:color="auto" w:sz="4" w:space="0"/>
            </w:tcBorders>
            <w:shd w:val="clear" w:color="auto" w:fill="auto"/>
            <w:vAlign w:val="center"/>
          </w:tcPr>
          <w:p w14:paraId="5E63434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8" w:type="dxa"/>
            <w:vMerge w:val="continue"/>
            <w:tcBorders>
              <w:top w:val="nil"/>
              <w:left w:val="nil"/>
              <w:bottom w:val="single" w:color="auto" w:sz="4" w:space="0"/>
              <w:right w:val="single" w:color="auto" w:sz="4" w:space="0"/>
            </w:tcBorders>
            <w:shd w:val="clear" w:color="auto" w:fill="auto"/>
            <w:vAlign w:val="center"/>
          </w:tcPr>
          <w:p w14:paraId="0D7B4DB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127" w:type="dxa"/>
            <w:tcBorders>
              <w:top w:val="single" w:color="auto" w:sz="4" w:space="0"/>
              <w:left w:val="nil"/>
              <w:bottom w:val="single" w:color="auto" w:sz="4" w:space="0"/>
              <w:right w:val="single" w:color="auto" w:sz="4" w:space="0"/>
            </w:tcBorders>
            <w:shd w:val="clear" w:color="auto" w:fill="auto"/>
            <w:vAlign w:val="center"/>
          </w:tcPr>
          <w:p w14:paraId="112FCC03">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施工机具使用费</w:t>
            </w:r>
          </w:p>
        </w:tc>
        <w:tc>
          <w:tcPr>
            <w:tcW w:w="5794" w:type="dxa"/>
            <w:tcBorders>
              <w:top w:val="single" w:color="auto" w:sz="4" w:space="0"/>
              <w:left w:val="nil"/>
              <w:bottom w:val="single" w:color="auto" w:sz="4" w:space="0"/>
              <w:right w:val="single" w:color="auto" w:sz="4" w:space="0"/>
            </w:tcBorders>
            <w:shd w:val="clear" w:color="auto" w:fill="auto"/>
            <w:vAlign w:val="center"/>
          </w:tcPr>
          <w:p w14:paraId="64A33FC7">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施工机具使用费低于本项目通过资信、技术评审且商务标初步评审合格有效投标报价施工机具使用费平均值的10%以上。</w:t>
            </w:r>
          </w:p>
        </w:tc>
      </w:tr>
      <w:tr w14:paraId="1624C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2675EDB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nil"/>
              <w:bottom w:val="single" w:color="auto" w:sz="4" w:space="0"/>
              <w:right w:val="single" w:color="auto" w:sz="4" w:space="0"/>
            </w:tcBorders>
            <w:shd w:val="clear" w:color="auto" w:fill="auto"/>
            <w:vAlign w:val="center"/>
          </w:tcPr>
          <w:p w14:paraId="20514D5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8" w:type="dxa"/>
            <w:vMerge w:val="continue"/>
            <w:tcBorders>
              <w:top w:val="nil"/>
              <w:left w:val="nil"/>
              <w:bottom w:val="single" w:color="auto" w:sz="4" w:space="0"/>
              <w:right w:val="single" w:color="auto" w:sz="4" w:space="0"/>
            </w:tcBorders>
            <w:shd w:val="clear" w:color="auto" w:fill="auto"/>
            <w:vAlign w:val="center"/>
          </w:tcPr>
          <w:p w14:paraId="629B394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127" w:type="dxa"/>
            <w:tcBorders>
              <w:top w:val="single" w:color="auto" w:sz="4" w:space="0"/>
              <w:left w:val="nil"/>
              <w:bottom w:val="single" w:color="auto" w:sz="4" w:space="0"/>
              <w:right w:val="single" w:color="auto" w:sz="4" w:space="0"/>
            </w:tcBorders>
            <w:shd w:val="clear" w:color="auto" w:fill="auto"/>
            <w:vAlign w:val="center"/>
          </w:tcPr>
          <w:p w14:paraId="213FC6D7">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管理费和利润费率</w:t>
            </w:r>
          </w:p>
        </w:tc>
        <w:tc>
          <w:tcPr>
            <w:tcW w:w="5794" w:type="dxa"/>
            <w:tcBorders>
              <w:top w:val="single" w:color="auto" w:sz="4" w:space="0"/>
              <w:left w:val="nil"/>
              <w:bottom w:val="single" w:color="auto" w:sz="4" w:space="0"/>
              <w:right w:val="single" w:color="auto" w:sz="4" w:space="0"/>
            </w:tcBorders>
            <w:shd w:val="clear" w:color="auto" w:fill="auto"/>
            <w:vAlign w:val="center"/>
          </w:tcPr>
          <w:p w14:paraId="0260C1AC">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管理费、利润投标费率低于0%。</w:t>
            </w:r>
          </w:p>
        </w:tc>
      </w:tr>
      <w:tr w14:paraId="6C88E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5BD9EA8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nil"/>
              <w:bottom w:val="single" w:color="auto" w:sz="4" w:space="0"/>
              <w:right w:val="single" w:color="auto" w:sz="4" w:space="0"/>
            </w:tcBorders>
            <w:shd w:val="clear" w:color="auto" w:fill="auto"/>
            <w:vAlign w:val="center"/>
          </w:tcPr>
          <w:p w14:paraId="79EF41A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8" w:type="dxa"/>
            <w:vMerge w:val="restart"/>
            <w:tcBorders>
              <w:top w:val="nil"/>
              <w:left w:val="nil"/>
              <w:bottom w:val="single" w:color="auto" w:sz="4" w:space="0"/>
              <w:right w:val="single" w:color="auto" w:sz="4" w:space="0"/>
            </w:tcBorders>
            <w:shd w:val="clear" w:color="auto" w:fill="auto"/>
            <w:vAlign w:val="center"/>
          </w:tcPr>
          <w:p w14:paraId="48D3F21C">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无效报价</w:t>
            </w:r>
          </w:p>
        </w:tc>
        <w:tc>
          <w:tcPr>
            <w:tcW w:w="2127" w:type="dxa"/>
            <w:tcBorders>
              <w:top w:val="single" w:color="auto" w:sz="4" w:space="0"/>
              <w:left w:val="nil"/>
              <w:bottom w:val="single" w:color="auto" w:sz="4" w:space="0"/>
              <w:right w:val="single" w:color="auto" w:sz="4" w:space="0"/>
            </w:tcBorders>
            <w:shd w:val="clear" w:color="auto" w:fill="auto"/>
            <w:vAlign w:val="center"/>
          </w:tcPr>
          <w:p w14:paraId="27DB6BE9">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暂估价材料、设备</w:t>
            </w:r>
          </w:p>
        </w:tc>
        <w:tc>
          <w:tcPr>
            <w:tcW w:w="5794" w:type="dxa"/>
            <w:tcBorders>
              <w:top w:val="single" w:color="auto" w:sz="4" w:space="0"/>
              <w:left w:val="nil"/>
              <w:bottom w:val="single" w:color="auto" w:sz="4" w:space="0"/>
              <w:right w:val="single" w:color="auto" w:sz="4" w:space="0"/>
            </w:tcBorders>
            <w:shd w:val="clear" w:color="auto" w:fill="auto"/>
            <w:vAlign w:val="center"/>
          </w:tcPr>
          <w:p w14:paraId="71A9935E">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材料、设备暂估价未按要求计入分部分项工程费。</w:t>
            </w:r>
          </w:p>
        </w:tc>
      </w:tr>
      <w:tr w14:paraId="2F9A9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5"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766C876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nil"/>
              <w:bottom w:val="single" w:color="auto" w:sz="4" w:space="0"/>
              <w:right w:val="single" w:color="auto" w:sz="4" w:space="0"/>
            </w:tcBorders>
            <w:shd w:val="clear" w:color="auto" w:fill="auto"/>
            <w:vAlign w:val="center"/>
          </w:tcPr>
          <w:p w14:paraId="3BD297A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8" w:type="dxa"/>
            <w:vMerge w:val="continue"/>
            <w:tcBorders>
              <w:top w:val="nil"/>
              <w:left w:val="nil"/>
              <w:bottom w:val="single" w:color="auto" w:sz="4" w:space="0"/>
              <w:right w:val="single" w:color="auto" w:sz="4" w:space="0"/>
            </w:tcBorders>
            <w:shd w:val="clear" w:color="auto" w:fill="auto"/>
            <w:vAlign w:val="center"/>
          </w:tcPr>
          <w:p w14:paraId="578C27C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127" w:type="dxa"/>
            <w:tcBorders>
              <w:top w:val="single" w:color="auto" w:sz="4" w:space="0"/>
              <w:left w:val="nil"/>
              <w:bottom w:val="single" w:color="auto" w:sz="4" w:space="0"/>
              <w:right w:val="single" w:color="auto" w:sz="4" w:space="0"/>
            </w:tcBorders>
            <w:shd w:val="clear" w:color="auto" w:fill="auto"/>
            <w:vAlign w:val="center"/>
          </w:tcPr>
          <w:p w14:paraId="2564F5E2">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不可竞争项目费费率</w:t>
            </w:r>
          </w:p>
        </w:tc>
        <w:tc>
          <w:tcPr>
            <w:tcW w:w="5794" w:type="dxa"/>
            <w:tcBorders>
              <w:top w:val="single" w:color="auto" w:sz="4" w:space="0"/>
              <w:left w:val="nil"/>
              <w:bottom w:val="single" w:color="auto" w:sz="4" w:space="0"/>
              <w:right w:val="single" w:color="auto" w:sz="4" w:space="0"/>
            </w:tcBorders>
            <w:shd w:val="clear" w:color="auto" w:fill="auto"/>
            <w:vAlign w:val="center"/>
          </w:tcPr>
          <w:p w14:paraId="7B62E2A9">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低于建标〔2021〕42号文规定的费率。</w:t>
            </w:r>
          </w:p>
        </w:tc>
      </w:tr>
      <w:tr w14:paraId="3CE31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5"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171CE57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nil"/>
              <w:bottom w:val="single" w:color="auto" w:sz="4" w:space="0"/>
              <w:right w:val="single" w:color="auto" w:sz="4" w:space="0"/>
            </w:tcBorders>
            <w:shd w:val="clear" w:color="auto" w:fill="auto"/>
            <w:vAlign w:val="center"/>
          </w:tcPr>
          <w:p w14:paraId="0A47D4A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8" w:type="dxa"/>
            <w:vMerge w:val="continue"/>
            <w:tcBorders>
              <w:top w:val="nil"/>
              <w:left w:val="nil"/>
              <w:bottom w:val="single" w:color="auto" w:sz="4" w:space="0"/>
              <w:right w:val="single" w:color="auto" w:sz="4" w:space="0"/>
            </w:tcBorders>
            <w:shd w:val="clear" w:color="auto" w:fill="auto"/>
            <w:vAlign w:val="center"/>
          </w:tcPr>
          <w:p w14:paraId="3F1D8A1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127" w:type="dxa"/>
            <w:tcBorders>
              <w:top w:val="single" w:color="auto" w:sz="4" w:space="0"/>
              <w:left w:val="nil"/>
              <w:bottom w:val="single" w:color="auto" w:sz="4" w:space="0"/>
              <w:right w:val="single" w:color="auto" w:sz="4" w:space="0"/>
            </w:tcBorders>
            <w:shd w:val="clear" w:color="auto" w:fill="auto"/>
            <w:vAlign w:val="center"/>
          </w:tcPr>
          <w:p w14:paraId="13B3C75D">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税率</w:t>
            </w:r>
          </w:p>
        </w:tc>
        <w:tc>
          <w:tcPr>
            <w:tcW w:w="5794" w:type="dxa"/>
            <w:tcBorders>
              <w:top w:val="single" w:color="auto" w:sz="4" w:space="0"/>
              <w:left w:val="nil"/>
              <w:bottom w:val="single" w:color="auto" w:sz="4" w:space="0"/>
              <w:right w:val="single" w:color="auto" w:sz="4" w:space="0"/>
            </w:tcBorders>
            <w:shd w:val="clear" w:color="auto" w:fill="auto"/>
            <w:vAlign w:val="center"/>
          </w:tcPr>
          <w:p w14:paraId="213D7DA0">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低于《关于调整我省现行建设工程计价依据增值税税率的通知》（皖造价〔2019〕7号）规定的费率。</w:t>
            </w:r>
          </w:p>
        </w:tc>
      </w:tr>
    </w:tbl>
    <w:p w14:paraId="2D9B843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商务标评审表注：</w:t>
      </w:r>
    </w:p>
    <w:p w14:paraId="644BA5D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1、缺漏项金额是指投标人漏计招标人发布的清单项目，按最高投标限价对应清单综合单价计算缺漏金额。</w:t>
      </w:r>
    </w:p>
    <w:p w14:paraId="2A2CE37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2、本表所述累计投标报价缺漏错总额占原投标报价格5%以下者，视为投标人主动让利或包含在其他项目中，不修正总价，工程结算时亦不予调整。</w:t>
      </w:r>
    </w:p>
    <w:p w14:paraId="3D01FA6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3、投标函报价与开标记录表中的投标总价、标书信息确认中的投标总价不一致的，商务标审查不合格。</w:t>
      </w:r>
    </w:p>
    <w:p w14:paraId="07566253">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default" w:ascii="宋体" w:hAnsi="宋体" w:cs="宋体"/>
          <w:color w:val="auto"/>
          <w:szCs w:val="21"/>
          <w:highlight w:val="none"/>
          <w:lang w:val="en-US"/>
        </w:rPr>
      </w:pPr>
      <w:r>
        <w:rPr>
          <w:rFonts w:hint="eastAsia" w:ascii="宋体" w:hAnsi="宋体" w:cs="宋体"/>
          <w:b/>
          <w:bCs/>
          <w:color w:val="auto"/>
          <w:szCs w:val="21"/>
          <w:highlight w:val="none"/>
          <w:lang w:val="en-US" w:eastAsia="zh-CN"/>
        </w:rPr>
        <w:t>4、投标人（如投标人为联合体，联合体各方均需提供）的注册建造师必须满足相应建筑业企业资质标准要求，评标委员会在评审时，将对此进行评审。投标单位（如投标人为联合体，联合体各方均需提供）应在商务标文件中提供全国建筑市场监管公共服务平台(四库一平台)企业注册人员网页截图，未提供相关截图，按无效标处理。</w:t>
      </w:r>
    </w:p>
    <w:p w14:paraId="0C6ABCCB">
      <w:pPr>
        <w:pStyle w:val="7"/>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1.评标方法</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14:paraId="3B0A0D3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zCs w:val="21"/>
          <w:highlight w:val="none"/>
          <w:lang w:eastAsia="zh-CN"/>
        </w:rPr>
      </w:pPr>
      <w:bookmarkStart w:id="773" w:name="_Toc11945"/>
      <w:bookmarkStart w:id="774" w:name="_Toc35425114"/>
      <w:bookmarkStart w:id="775" w:name="_Toc78803382"/>
      <w:bookmarkStart w:id="776" w:name="_Toc324404873"/>
      <w:bookmarkStart w:id="777" w:name="_Toc35424948"/>
      <w:bookmarkStart w:id="778" w:name="_Toc15058914"/>
      <w:bookmarkStart w:id="779" w:name="_Toc506107325"/>
      <w:bookmarkStart w:id="780" w:name="_Toc152045590"/>
      <w:bookmarkStart w:id="781" w:name="_Toc246996976"/>
      <w:bookmarkStart w:id="782" w:name="_Toc296602478"/>
      <w:bookmarkStart w:id="783" w:name="_Toc246996233"/>
      <w:bookmarkStart w:id="784" w:name="_Toc179632608"/>
      <w:bookmarkStart w:id="785" w:name="_Toc247085748"/>
      <w:bookmarkStart w:id="786" w:name="_Toc152042367"/>
      <w:bookmarkStart w:id="787" w:name="_Toc144974557"/>
      <w:r>
        <w:rPr>
          <w:rFonts w:hint="eastAsia" w:ascii="宋体" w:hAnsi="宋体" w:eastAsia="宋体" w:cs="宋体"/>
          <w:color w:val="auto"/>
          <w:szCs w:val="21"/>
          <w:highlight w:val="none"/>
        </w:rPr>
        <w:t>本次评标采用</w:t>
      </w:r>
      <w:r>
        <w:rPr>
          <w:rFonts w:hint="eastAsia" w:ascii="宋体" w:hAnsi="宋体" w:cs="宋体"/>
          <w:b/>
          <w:bCs/>
          <w:color w:val="auto"/>
          <w:szCs w:val="21"/>
          <w:highlight w:val="none"/>
          <w:lang w:eastAsia="zh-CN"/>
        </w:rPr>
        <w:t>综合评估法</w:t>
      </w:r>
      <w:r>
        <w:rPr>
          <w:rFonts w:hint="eastAsia" w:ascii="宋体" w:hAnsi="宋体" w:eastAsia="宋体" w:cs="宋体"/>
          <w:color w:val="auto"/>
          <w:szCs w:val="21"/>
          <w:highlight w:val="none"/>
        </w:rPr>
        <w:t>。评标委员会对满足招标文件实质性要求的投标文件，按照本章规定的评分标准进行打分，并按总得分由高到低顺序推荐中标候选人3名，并标明排序，但投标报价低于其成本的除外。如总得分相等，以投标报价低的优先，投标报价仍相等，以信用分得分高的优先；如信用分得分也相等，由评标委员会主任委员或招标人随机抽取确定排名</w:t>
      </w:r>
      <w:r>
        <w:rPr>
          <w:rFonts w:hint="eastAsia" w:ascii="宋体" w:hAnsi="宋体" w:cs="宋体"/>
          <w:color w:val="auto"/>
          <w:szCs w:val="21"/>
          <w:highlight w:val="none"/>
          <w:lang w:eastAsia="zh-CN"/>
        </w:rPr>
        <w:t>。</w:t>
      </w:r>
    </w:p>
    <w:p w14:paraId="241BFCB2">
      <w:pPr>
        <w:keepNext w:val="0"/>
        <w:keepLines w:val="0"/>
        <w:pageBreakBefore w:val="0"/>
        <w:widowControl w:val="0"/>
        <w:kinsoku/>
        <w:wordWrap w:val="0"/>
        <w:overflowPunct/>
        <w:topLinePunct w:val="0"/>
        <w:autoSpaceDE/>
        <w:autoSpaceDN/>
        <w:bidi w:val="0"/>
        <w:adjustRightInd/>
        <w:snapToGrid/>
        <w:spacing w:line="440" w:lineRule="exact"/>
        <w:ind w:firstLine="422" w:firstLineChars="200"/>
        <w:jc w:val="left"/>
        <w:textAlignment w:val="auto"/>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评标委员会登录全国建筑市场监管公共服务平台 ( 四库一平台)https://jzsc.mohurd.gov.cn/home 进行实时查询，并结合《住房城乡建设部关于进一步加强建设工程企业资质审批管理工作的通知》（建市规〔2023〕3 号）、《住房和城乡建设部办公厅关于建设工程企业资质有关事项的通知》（建办市函〔2022〕361 号）和安徽省住建厅《关于建设工程企业资质有关事宜的通知》（建市函〔2022〕748 号），对中标候选人的关系企业履约能力的建造师数量进行评审：</w:t>
      </w:r>
    </w:p>
    <w:p w14:paraId="6D206CB4">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①市政公用工程施工总承包特级资质企业：注册一级建造师50人以上。</w:t>
      </w:r>
    </w:p>
    <w:p w14:paraId="3D457A97">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②市政公用工程施工总承包壹级资质企业：市政公用工程专业一级注册建造师不少于12人。</w:t>
      </w:r>
    </w:p>
    <w:p w14:paraId="53962FEF">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③市政公用工程施工总承包贰级、叁级资质企业：市政公用工程专业注册建造师不少于5人。</w:t>
      </w:r>
    </w:p>
    <w:p w14:paraId="3EFF7A05">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④建筑工程施工总承包特级资质企业：注册一级建造师50人以上。</w:t>
      </w:r>
    </w:p>
    <w:p w14:paraId="5B446C9A">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⑤建筑工程施工总承包壹级资质企业：建筑工程、机电工程专业一级注册建造师合计不少于12人，其中建筑工程专业一级注册建造师不少于9人。</w:t>
      </w:r>
    </w:p>
    <w:p w14:paraId="46641F63">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⑥建筑工程施工总承包贰级、叁级资质企业：建筑工程、机电工程专业注册建造师合计不少于5人，其中建筑工程专业注册建造师不少于4人。</w:t>
      </w:r>
    </w:p>
    <w:p w14:paraId="5CAAE8F5">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中标候选人的注册建造师不满足上述要求的，评标委员会对该投标不予认可，并将该情形报送相关行政主管部门。中标候选人依次替补，评标委员会再次对替补单位进行核查。</w:t>
      </w:r>
    </w:p>
    <w:p w14:paraId="052B9A6D">
      <w:pPr>
        <w:pStyle w:val="7"/>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2.评标委员会的职责</w:t>
      </w:r>
      <w:bookmarkEnd w:id="773"/>
      <w:bookmarkEnd w:id="774"/>
      <w:bookmarkEnd w:id="775"/>
      <w:bookmarkEnd w:id="776"/>
      <w:bookmarkEnd w:id="777"/>
      <w:bookmarkEnd w:id="778"/>
      <w:bookmarkEnd w:id="779"/>
    </w:p>
    <w:p w14:paraId="26A8BDAC">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标委员会应当根据本评标办法，应进行系统地评审和比较，向招标人推荐中标候选人或根据招标人的授权直接确定中标人。各评委必须独立评审，提出评审意见，不受任何单位或者个人的干预。各评委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46014B5">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cs="宋体"/>
          <w:color w:val="auto"/>
          <w:szCs w:val="21"/>
          <w:highlight w:val="none"/>
        </w:rPr>
      </w:pPr>
      <w:bookmarkStart w:id="788" w:name="_Toc506107326"/>
      <w:bookmarkStart w:id="789" w:name="_Toc15058915"/>
      <w:bookmarkStart w:id="790" w:name="_Toc35424949"/>
      <w:bookmarkStart w:id="791" w:name="_Toc35425115"/>
      <w:bookmarkStart w:id="792" w:name="_Toc17377"/>
      <w:bookmarkStart w:id="793" w:name="_Toc78803384"/>
      <w:bookmarkStart w:id="794" w:name="_Toc324404874"/>
      <w:r>
        <w:rPr>
          <w:rFonts w:hint="eastAsia" w:ascii="宋体" w:hAnsi="宋体" w:cs="宋体"/>
          <w:color w:val="auto"/>
          <w:szCs w:val="21"/>
          <w:highlight w:val="none"/>
        </w:rPr>
        <w:t>评标委员会应加强对报价合理性审查。评标评审委员会认为拟推荐的中标候选人的报价明显低于其他通过符合性审查投标人的报价，存在异常低价，有可能影响项目质量或者不能诚信履约的，应当要求投标人在评标现场合理的时间内提供书面说明，必要时提交相关证明材料；投标人不能证明其报价合理性的，或评标委员会认定其存在履约及质量安全风险的，评标评审委员会应当将其作为无效投标处理。</w:t>
      </w:r>
    </w:p>
    <w:p w14:paraId="4CEB0BA6">
      <w:pPr>
        <w:pStyle w:val="7"/>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3.评标程序</w:t>
      </w:r>
      <w:bookmarkEnd w:id="788"/>
      <w:bookmarkEnd w:id="789"/>
      <w:bookmarkEnd w:id="790"/>
      <w:bookmarkEnd w:id="791"/>
      <w:bookmarkEnd w:id="792"/>
      <w:bookmarkEnd w:id="793"/>
      <w:bookmarkEnd w:id="794"/>
    </w:p>
    <w:p w14:paraId="6D204C9D">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评标先做准备工作，再进行资格、技术标评审，然后进行商务标评审。</w:t>
      </w:r>
    </w:p>
    <w:p w14:paraId="267FE0A5">
      <w:pPr>
        <w:pStyle w:val="7"/>
        <w:pageBreakBefore w:val="0"/>
        <w:widowControl w:val="0"/>
        <w:kinsoku/>
        <w:wordWrap/>
        <w:overflowPunct/>
        <w:topLinePunct w:val="0"/>
        <w:autoSpaceDE/>
        <w:autoSpaceDN/>
        <w:bidi w:val="0"/>
        <w:spacing w:line="440" w:lineRule="exact"/>
        <w:ind w:firstLine="422" w:firstLineChars="200"/>
        <w:textAlignment w:val="auto"/>
        <w:rPr>
          <w:rFonts w:ascii="宋体" w:hAnsi="宋体" w:eastAsia="宋体" w:cs="宋体"/>
          <w:color w:val="auto"/>
          <w:highlight w:val="none"/>
        </w:rPr>
      </w:pPr>
      <w:bookmarkStart w:id="795" w:name="_Toc35425116"/>
      <w:bookmarkStart w:id="796" w:name="_Toc35424950"/>
      <w:bookmarkStart w:id="797" w:name="_Toc78803385"/>
      <w:bookmarkStart w:id="798" w:name="_Toc27389"/>
      <w:bookmarkStart w:id="799" w:name="_Toc15058916"/>
      <w:r>
        <w:rPr>
          <w:rFonts w:hint="eastAsia" w:ascii="宋体" w:hAnsi="宋体" w:eastAsia="宋体" w:cs="宋体"/>
          <w:color w:val="auto"/>
          <w:highlight w:val="none"/>
        </w:rPr>
        <w:t>3.1评标准备工作</w:t>
      </w:r>
      <w:bookmarkEnd w:id="795"/>
      <w:bookmarkEnd w:id="796"/>
      <w:bookmarkEnd w:id="797"/>
      <w:bookmarkEnd w:id="798"/>
      <w:bookmarkEnd w:id="799"/>
    </w:p>
    <w:p w14:paraId="311AD173">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评标委员会熟悉评标工作情况：</w:t>
      </w:r>
    </w:p>
    <w:p w14:paraId="018D9403">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（1）阅读由招标人或者其委托的工程代理机构编制的招标项目情况材料。</w:t>
      </w:r>
    </w:p>
    <w:p w14:paraId="2C0CD95A">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（2）阅读、研究招标文件和相关评标资料，获取评标所需要的重要信息和数据，至少应了解和熟悉以下内容：招标项目的范围和性质，招标文件规定的主要技术要求、标准和商务条款。</w:t>
      </w:r>
    </w:p>
    <w:p w14:paraId="0771DA4A">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（3）熟悉招标文件规定的评标标准和评标方法及在评标过程中需要考虑的相关因素。</w:t>
      </w:r>
    </w:p>
    <w:p w14:paraId="5143744D">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（4）核对评标工作用表。</w:t>
      </w:r>
    </w:p>
    <w:p w14:paraId="0DC00819">
      <w:pPr>
        <w:pStyle w:val="7"/>
        <w:pageBreakBefore w:val="0"/>
        <w:widowControl w:val="0"/>
        <w:kinsoku/>
        <w:wordWrap/>
        <w:overflowPunct/>
        <w:topLinePunct w:val="0"/>
        <w:autoSpaceDE/>
        <w:autoSpaceDN/>
        <w:bidi w:val="0"/>
        <w:spacing w:line="440" w:lineRule="exact"/>
        <w:ind w:firstLine="422" w:firstLineChars="200"/>
        <w:textAlignment w:val="auto"/>
        <w:rPr>
          <w:rFonts w:ascii="宋体" w:hAnsi="宋体" w:eastAsia="宋体" w:cs="宋体"/>
          <w:color w:val="auto"/>
          <w:highlight w:val="none"/>
        </w:rPr>
      </w:pPr>
      <w:bookmarkStart w:id="800" w:name="_Toc35424951"/>
      <w:bookmarkStart w:id="801" w:name="_Toc78803386"/>
      <w:bookmarkStart w:id="802" w:name="_Toc1299"/>
      <w:bookmarkStart w:id="803" w:name="_Toc35425117"/>
      <w:bookmarkStart w:id="804" w:name="_Toc24650"/>
      <w:bookmarkStart w:id="805" w:name="_Toc15058917"/>
      <w:bookmarkStart w:id="806" w:name="_Toc506107327"/>
      <w:bookmarkStart w:id="807" w:name="_Toc35424954"/>
      <w:bookmarkStart w:id="808" w:name="_Toc35425120"/>
      <w:bookmarkStart w:id="809" w:name="_Toc15058919"/>
      <w:bookmarkStart w:id="810" w:name="_Toc324404875"/>
      <w:bookmarkStart w:id="811" w:name="_Toc12200"/>
      <w:r>
        <w:rPr>
          <w:rFonts w:hint="eastAsia" w:ascii="宋体" w:hAnsi="宋体" w:eastAsia="宋体" w:cs="宋体"/>
          <w:color w:val="auto"/>
          <w:highlight w:val="none"/>
        </w:rPr>
        <w:t>3.2</w:t>
      </w:r>
      <w:bookmarkEnd w:id="800"/>
      <w:bookmarkEnd w:id="801"/>
      <w:bookmarkEnd w:id="802"/>
      <w:bookmarkEnd w:id="803"/>
      <w:bookmarkEnd w:id="804"/>
      <w:bookmarkEnd w:id="805"/>
      <w:bookmarkStart w:id="812" w:name="_Toc17468"/>
      <w:bookmarkStart w:id="813" w:name="_Toc11990"/>
      <w:bookmarkStart w:id="814" w:name="_Toc78803387"/>
      <w:bookmarkStart w:id="815" w:name="_Toc35425118"/>
      <w:bookmarkStart w:id="816" w:name="_Toc35424952"/>
      <w:bookmarkStart w:id="817" w:name="_Toc15058918"/>
      <w:r>
        <w:rPr>
          <w:rFonts w:hint="eastAsia" w:ascii="宋体" w:hAnsi="宋体" w:eastAsia="宋体" w:cs="宋体"/>
          <w:color w:val="auto"/>
          <w:highlight w:val="none"/>
        </w:rPr>
        <w:t>商务标评审</w:t>
      </w:r>
      <w:bookmarkEnd w:id="812"/>
      <w:bookmarkEnd w:id="813"/>
      <w:bookmarkEnd w:id="814"/>
      <w:bookmarkEnd w:id="815"/>
      <w:bookmarkEnd w:id="816"/>
      <w:bookmarkEnd w:id="817"/>
    </w:p>
    <w:p w14:paraId="689EEA11">
      <w:pPr>
        <w:pageBreakBefore w:val="0"/>
        <w:widowControl w:val="0"/>
        <w:kinsoku/>
        <w:wordWrap/>
        <w:overflowPunct/>
        <w:topLinePunct w:val="0"/>
        <w:autoSpaceDE/>
        <w:autoSpaceDN/>
        <w:bidi w:val="0"/>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详见商务标评审表。</w:t>
      </w:r>
    </w:p>
    <w:p w14:paraId="25869F54">
      <w:pPr>
        <w:pageBreakBefore w:val="0"/>
        <w:widowControl w:val="0"/>
        <w:kinsoku/>
        <w:wordWrap/>
        <w:overflowPunct/>
        <w:topLinePunct w:val="0"/>
        <w:autoSpaceDE/>
        <w:autoSpaceDN/>
        <w:bidi w:val="0"/>
        <w:spacing w:line="440" w:lineRule="exact"/>
        <w:ind w:firstLine="422" w:firstLineChars="200"/>
        <w:jc w:val="left"/>
        <w:textAlignment w:val="auto"/>
        <w:rPr>
          <w:rStyle w:val="198"/>
          <w:rFonts w:hint="eastAsia" w:ascii="宋体" w:hAnsi="宋体" w:eastAsia="宋体" w:cs="宋体"/>
          <w:color w:val="auto"/>
          <w:highlight w:val="none"/>
        </w:rPr>
      </w:pPr>
      <w:bookmarkStart w:id="818" w:name="_Toc18087"/>
      <w:bookmarkStart w:id="819" w:name="_Toc35424953"/>
      <w:bookmarkStart w:id="820" w:name="_Toc78803388"/>
      <w:bookmarkStart w:id="821" w:name="_Toc35425119"/>
      <w:bookmarkStart w:id="822" w:name="_Toc26895"/>
      <w:r>
        <w:rPr>
          <w:rStyle w:val="198"/>
          <w:rFonts w:hint="eastAsia" w:ascii="宋体" w:hAnsi="宋体" w:eastAsia="宋体" w:cs="宋体"/>
          <w:color w:val="auto"/>
          <w:highlight w:val="none"/>
        </w:rPr>
        <w:t>3.</w:t>
      </w:r>
      <w:r>
        <w:rPr>
          <w:rStyle w:val="198"/>
          <w:rFonts w:hint="eastAsia" w:ascii="宋体" w:hAnsi="宋体" w:cs="宋体"/>
          <w:color w:val="auto"/>
          <w:highlight w:val="none"/>
          <w:lang w:val="en-US"/>
        </w:rPr>
        <w:t>3</w:t>
      </w:r>
      <w:r>
        <w:rPr>
          <w:rStyle w:val="198"/>
          <w:rFonts w:hint="eastAsia" w:ascii="宋体" w:hAnsi="宋体" w:eastAsia="宋体" w:cs="宋体"/>
          <w:color w:val="auto"/>
          <w:highlight w:val="none"/>
        </w:rPr>
        <w:t>推荐中标候选人</w:t>
      </w:r>
      <w:bookmarkEnd w:id="818"/>
      <w:bookmarkEnd w:id="819"/>
      <w:bookmarkEnd w:id="820"/>
      <w:bookmarkEnd w:id="821"/>
      <w:bookmarkEnd w:id="822"/>
    </w:p>
    <w:p w14:paraId="362FA860">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资信评审、商务标评审后，推荐中标候选人，并标明排序。</w:t>
      </w:r>
    </w:p>
    <w:p w14:paraId="696AA247">
      <w:pPr>
        <w:pStyle w:val="7"/>
        <w:pageBreakBefore w:val="0"/>
        <w:widowControl w:val="0"/>
        <w:kinsoku/>
        <w:wordWrap/>
        <w:overflowPunct/>
        <w:topLinePunct w:val="0"/>
        <w:autoSpaceDE/>
        <w:autoSpaceDN/>
        <w:bidi w:val="0"/>
        <w:spacing w:beforeLines="50" w:afterLines="50" w:line="440" w:lineRule="exact"/>
        <w:ind w:firstLine="422" w:firstLineChars="200"/>
        <w:textAlignment w:val="auto"/>
        <w:rPr>
          <w:rFonts w:ascii="宋体" w:hAnsi="宋体" w:eastAsia="宋体" w:cs="宋体"/>
          <w:color w:val="auto"/>
          <w:highlight w:val="none"/>
        </w:rPr>
      </w:pPr>
      <w:bookmarkStart w:id="823" w:name="_Toc78803389"/>
      <w:r>
        <w:rPr>
          <w:rFonts w:hint="eastAsia" w:ascii="宋体" w:hAnsi="宋体" w:eastAsia="宋体" w:cs="宋体"/>
          <w:color w:val="auto"/>
          <w:highlight w:val="none"/>
        </w:rPr>
        <w:t>4.评审内容</w:t>
      </w:r>
      <w:bookmarkEnd w:id="806"/>
      <w:bookmarkEnd w:id="807"/>
      <w:bookmarkEnd w:id="808"/>
      <w:bookmarkEnd w:id="809"/>
      <w:bookmarkEnd w:id="810"/>
      <w:bookmarkEnd w:id="811"/>
      <w:bookmarkEnd w:id="823"/>
    </w:p>
    <w:p w14:paraId="02E73996">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b/>
          <w:bCs/>
          <w:color w:val="auto"/>
          <w:kern w:val="2"/>
          <w:sz w:val="21"/>
          <w:szCs w:val="21"/>
          <w:highlight w:val="none"/>
        </w:rPr>
      </w:pPr>
      <w:bookmarkStart w:id="824" w:name="_Toc9630"/>
      <w:bookmarkStart w:id="825" w:name="_Toc78803390"/>
      <w:r>
        <w:rPr>
          <w:rFonts w:hint="eastAsia" w:ascii="宋体" w:hAnsi="宋体" w:eastAsia="宋体" w:cs="宋体"/>
          <w:color w:val="auto"/>
          <w:highlight w:val="none"/>
        </w:rPr>
        <w:t>4.1</w:t>
      </w:r>
      <w:bookmarkEnd w:id="824"/>
      <w:bookmarkEnd w:id="825"/>
      <w:bookmarkStart w:id="826" w:name="_Toc15058922"/>
      <w:bookmarkStart w:id="827" w:name="_Toc324404876"/>
      <w:bookmarkStart w:id="828" w:name="_Toc13125"/>
      <w:bookmarkStart w:id="829" w:name="_Toc506107328"/>
      <w:bookmarkStart w:id="830" w:name="_Toc35425123"/>
      <w:bookmarkStart w:id="831" w:name="_Toc35424957"/>
      <w:bookmarkStart w:id="832" w:name="_Toc78803392"/>
      <w:r>
        <w:rPr>
          <w:rFonts w:hint="eastAsia" w:ascii="宋体" w:hAnsi="宋体" w:eastAsia="宋体" w:cs="宋体"/>
          <w:b/>
          <w:bCs/>
          <w:color w:val="auto"/>
          <w:kern w:val="2"/>
          <w:sz w:val="21"/>
          <w:szCs w:val="21"/>
          <w:highlight w:val="none"/>
          <w:lang w:val="en-US" w:eastAsia="zh-CN" w:bidi="ar"/>
        </w:rPr>
        <w:t>商务标评审</w:t>
      </w:r>
    </w:p>
    <w:p w14:paraId="2069F3AA">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只有通过技术标评审的投标才能够进入本阶段评审。</w:t>
      </w:r>
    </w:p>
    <w:p w14:paraId="5FFB5026">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w:t>
      </w:r>
      <w:r>
        <w:rPr>
          <w:rFonts w:hint="eastAsia" w:ascii="宋体" w:hAnsi="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.1形式性评审标准：见商务标评审表。</w:t>
      </w:r>
    </w:p>
    <w:p w14:paraId="7D35BDA2">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w:t>
      </w:r>
      <w:r>
        <w:rPr>
          <w:rFonts w:hint="eastAsia" w:ascii="宋体" w:hAnsi="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.2响应性评审标准：见商务标评审表。</w:t>
      </w:r>
    </w:p>
    <w:p w14:paraId="0F1BE6BE">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评标委员会依据上述标准对投标文件进行初步评审。有一项不符合评审标准的，作无效投标处理。</w:t>
      </w:r>
    </w:p>
    <w:p w14:paraId="01623DE7">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w:t>
      </w:r>
      <w:r>
        <w:rPr>
          <w:rFonts w:hint="eastAsia" w:ascii="宋体" w:hAnsi="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.3详细评审标准：见商务标评审表。</w:t>
      </w:r>
    </w:p>
    <w:p w14:paraId="5E075332">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w:t>
      </w:r>
      <w:r>
        <w:rPr>
          <w:rFonts w:hint="eastAsia" w:ascii="宋体" w:hAnsi="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.3.1投标报价清标：</w:t>
      </w:r>
    </w:p>
    <w:p w14:paraId="7FEC8C75">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（1）清标是指通过对需要评审的工程量清单投标报价采用核对、比较、筛选等方法，对基础性数据进行分析和整理。其目的是找出投标文件中可能存在疑义或者显著异常的数据，为评审中的质疑工作提供基础。</w:t>
      </w:r>
    </w:p>
    <w:p w14:paraId="0BCE9900">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（2）清标工作应当使用计算机辅助评标系统，由计算机完成。</w:t>
      </w:r>
    </w:p>
    <w:p w14:paraId="2E3DCDA9">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（3）清标的内容和步骤：</w:t>
      </w:r>
    </w:p>
    <w:p w14:paraId="65044592">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① 投标文件在符合性、响应性等方面存在的偏差。</w:t>
      </w:r>
    </w:p>
    <w:p w14:paraId="01D98AEF">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② 投标文件存在的算术计算错误和修正结果。</w:t>
      </w:r>
    </w:p>
    <w:p w14:paraId="09B4AD01">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③ 在列出的所有偏差中，属于重大偏差的情形和相关依据；在列出的所有偏差中、属于细微偏差的情形。</w:t>
      </w:r>
    </w:p>
    <w:p w14:paraId="731F0130">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④ 列出投标价格过高或过低等的清单项目的序号、项目编码、项目名称、项目特征、与招标文件规定的标准之间存在的偏差幅度和产生原因的摘录。</w:t>
      </w:r>
    </w:p>
    <w:p w14:paraId="06F7F84D">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w:t>
      </w:r>
      <w:r>
        <w:rPr>
          <w:rFonts w:hint="eastAsia" w:ascii="宋体" w:hAnsi="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4评标委员会审查投标文件，审核并确认清标结果，包括工程投标报价的校核、审查全部数据计算的正确性、分析各种费用构成的合理性和正确性等内容，看其是否有计算或表达上的错误，投标报价有错误的，评标委员会按以下原则对投标报价进行修正。</w:t>
      </w:r>
    </w:p>
    <w:p w14:paraId="367B362C">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（1）投标文件中的大写金额与小写金额不一致的，以大写金额为准。</w:t>
      </w:r>
    </w:p>
    <w:p w14:paraId="73160A39">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（2）总价金额与依据单价计算出的结果不一致的，以单价金额为准修正总价，但单价金额小数点有明显错误的除外。</w:t>
      </w:r>
    </w:p>
    <w:p w14:paraId="5F6D3604">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（3）工程量清单报价表中综合单价与工程量清单项目价格分析表相对应综合单价不一致时，以工程量清单项目价格分析表中标出的综合单价为准。</w:t>
      </w:r>
    </w:p>
    <w:p w14:paraId="7548F3C0">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
        </w:rPr>
        <w:t>按上述修正错误的原则及方法调整或修正投标文件的投标报价，调整或修正的价格经投标人书面确认后具有约束力。中标价原则上以调整或修正后的价格为准，调整或修正后的价格与投标报价相比，价格低的为中标价。投标人不接受的，其投标将被拒绝</w:t>
      </w:r>
      <w:r>
        <w:rPr>
          <w:rFonts w:hint="eastAsia" w:ascii="宋体" w:hAnsi="宋体" w:eastAsia="宋体" w:cs="宋体"/>
          <w:color w:val="auto"/>
          <w:highlight w:val="none"/>
        </w:rPr>
        <w:t>。</w:t>
      </w:r>
    </w:p>
    <w:p w14:paraId="51551E98">
      <w:pPr>
        <w:pStyle w:val="7"/>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5.无效投标条款</w:t>
      </w:r>
      <w:bookmarkEnd w:id="826"/>
      <w:bookmarkEnd w:id="827"/>
      <w:bookmarkEnd w:id="828"/>
      <w:bookmarkEnd w:id="829"/>
      <w:bookmarkEnd w:id="830"/>
      <w:bookmarkEnd w:id="831"/>
      <w:bookmarkEnd w:id="832"/>
    </w:p>
    <w:p w14:paraId="0591E64A">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5.1投标人存在下列情形的的招标人将拒收投标文件：</w:t>
      </w:r>
    </w:p>
    <w:p w14:paraId="18CF85E1">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（1）未在投标截止时间前通过网上招标投标系统递交有效电子投标文件的，开标系统不予接收，投标将被拒绝。</w:t>
      </w:r>
    </w:p>
    <w:p w14:paraId="2907B0D0">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所有投标人应在规定时间里完成投标文件的解密工作【投标企业接到远程解密指令后，须在规定时间内解密（以网上招投标系统解密倒计时为准）。因投标人自身原因导致投标文件在规定时间内未能解密、解密失败或解密超时，投标文件无效；因招标人或代理公司原因或网上平台发生故障，导致无法按时完成投标文件解密的，经代理公司申请后可延迟解密时间】。</w:t>
      </w:r>
    </w:p>
    <w:p w14:paraId="5D9406E7">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投标人有下列情形的，经评审后其投标作无效投标处理：</w:t>
      </w:r>
    </w:p>
    <w:p w14:paraId="7BE7357E">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.1商务标评审</w:t>
      </w:r>
    </w:p>
    <w:p w14:paraId="274DA15A">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(1)评标委员会依据《商务标评审表》进行形式性评审和响应性评审。有一项不符合评审标准的，做无效投标处理；</w:t>
      </w:r>
    </w:p>
    <w:p w14:paraId="15AFBF24">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（2）商务标详细评审标准中有任何一项不能通过评审的，作无效投标处理</w:t>
      </w:r>
      <w:r>
        <w:rPr>
          <w:rFonts w:hint="eastAsia" w:ascii="宋体" w:hAnsi="宋体" w:cs="宋体"/>
          <w:color w:val="auto"/>
          <w:szCs w:val="21"/>
          <w:highlight w:val="none"/>
          <w:lang w:eastAsia="zh-CN"/>
        </w:rPr>
        <w:t>。</w:t>
      </w:r>
    </w:p>
    <w:p w14:paraId="47CFA92A">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其他无效投标情况：</w:t>
      </w:r>
    </w:p>
    <w:p w14:paraId="2C11B3E2">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39757C0B">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（2）按第三章《评标方法》4.</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.4条款修正错误的原则及方法调整或修正投标文件的投标报价，调整或修正的价格经投标人书面确认后具有约束力。投标人不接修正价格的，其投标将被拒绝。</w:t>
      </w:r>
    </w:p>
    <w:p w14:paraId="3C36C6CB">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）投标人有串通投标、视为串通投标、弄虚作假、行贿等违法行为。</w:t>
      </w:r>
    </w:p>
    <w:p w14:paraId="7954A0F8">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）投标文件没有对招标文件的实质性要求和条件作出响应。</w:t>
      </w:r>
    </w:p>
    <w:p w14:paraId="1706800F">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）未按规定的格式填写导致实质性内容不全以及实质上不响应，或者关键字迹模糊、无法辨认的。</w:t>
      </w:r>
    </w:p>
    <w:p w14:paraId="28C036DC">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）同一投标人提交两个以上不同的投标文件或者投标报价，但招标文件规定提交备选投标的除外。</w:t>
      </w:r>
    </w:p>
    <w:p w14:paraId="185F8D6A">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）投标文件中存在招标人不能接受的其他实质性条件。</w:t>
      </w:r>
    </w:p>
    <w:p w14:paraId="5A814031">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）投标文件中填报的拟任项目经理（建造师）与资格审查通过的项目经理（建造师）前后不一致的。</w:t>
      </w:r>
    </w:p>
    <w:p w14:paraId="73F01E58">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）投标人拒不按照要求对投标文件进行澄清、说明、补正的，或评标委员会根据招标文件的规定对招标文件的计算错误进行修正后，投标人不接受修正的投标报价的。</w:t>
      </w:r>
    </w:p>
    <w:p w14:paraId="2589E5A8">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）投标人单方面出现其他投标人材料。</w:t>
      </w:r>
    </w:p>
    <w:p w14:paraId="50B4F429">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）投标人投标MAC地址一致。</w:t>
      </w:r>
    </w:p>
    <w:p w14:paraId="58F77BC1">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12）评标时查询投标文件制作机器码、文件创建标识码及造价软件加密锁号。若存在投标文件制作机器码或创建标识码或造价软件加密锁号信息与其他投标人雷同的，投标无效</w:t>
      </w:r>
      <w:r>
        <w:rPr>
          <w:rFonts w:hint="eastAsia" w:ascii="宋体" w:hAnsi="宋体" w:cs="宋体"/>
          <w:color w:val="auto"/>
          <w:szCs w:val="21"/>
          <w:highlight w:val="none"/>
          <w:lang w:val="en-US" w:eastAsia="zh-CN"/>
        </w:rPr>
        <w:t>。</w:t>
      </w:r>
    </w:p>
    <w:p w14:paraId="32BA7973">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（13）</w:t>
      </w:r>
      <w:r>
        <w:rPr>
          <w:rFonts w:hint="eastAsia" w:ascii="宋体" w:hAnsi="宋体" w:eastAsia="宋体" w:cs="宋体"/>
          <w:color w:val="auto"/>
          <w:szCs w:val="21"/>
          <w:highlight w:val="none"/>
        </w:rPr>
        <w:t>法律、法规规定的其他情形。</w:t>
      </w:r>
    </w:p>
    <w:p w14:paraId="0353053F">
      <w:pPr>
        <w:pStyle w:val="7"/>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bookmarkStart w:id="833" w:name="_Toc35424958"/>
      <w:bookmarkStart w:id="834" w:name="_Toc506107329"/>
      <w:bookmarkStart w:id="835" w:name="_Toc35425124"/>
      <w:bookmarkStart w:id="836" w:name="_Toc324404877"/>
      <w:bookmarkStart w:id="837" w:name="_Toc27846"/>
      <w:bookmarkStart w:id="838" w:name="_Toc78803393"/>
      <w:bookmarkStart w:id="839" w:name="_Toc15058923"/>
      <w:r>
        <w:rPr>
          <w:rFonts w:hint="eastAsia" w:ascii="宋体" w:hAnsi="宋体" w:eastAsia="宋体" w:cs="宋体"/>
          <w:color w:val="auto"/>
          <w:highlight w:val="none"/>
        </w:rPr>
        <w:t>6.投标文件的澄清和补正</w:t>
      </w:r>
      <w:bookmarkEnd w:id="833"/>
      <w:bookmarkEnd w:id="834"/>
      <w:bookmarkEnd w:id="835"/>
      <w:bookmarkEnd w:id="836"/>
      <w:bookmarkEnd w:id="837"/>
      <w:bookmarkEnd w:id="838"/>
      <w:bookmarkEnd w:id="839"/>
    </w:p>
    <w:p w14:paraId="6B60B036">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6.1在评标过程中，评标委员会可以要求投标人对所提交的投标文件中不明确的内容进行书面澄清或说明，或者对细微偏差进行补正。评标委员会不接受投标人主动提出的澄清、说明或补正。</w:t>
      </w:r>
    </w:p>
    <w:p w14:paraId="5566E826">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6.2澄清、说明和补正不得改变投标文件的实质性内容（算术性错误修正的除外）。投标人的书面澄清、说明和补正属于投标文件的组成部分。</w:t>
      </w:r>
    </w:p>
    <w:p w14:paraId="4653CAEA">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6.3评标委员会对投标人提交的澄清、说明和补正有疑问的，可以要求投标人进一步澄清、说明或补正、直至满足评标委员会的要求。</w:t>
      </w:r>
    </w:p>
    <w:p w14:paraId="6940A8EE">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按照投标文件规定进行澄清、补正后的投标报价经投标人的法定代表人或其委托代理人确认后即为该投标人的最终投标报价。投标人一旦中标，此报价即为中标价。</w:t>
      </w:r>
    </w:p>
    <w:p w14:paraId="66DDEAF3">
      <w:pPr>
        <w:pStyle w:val="7"/>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bookmarkStart w:id="840" w:name="_Toc324404878"/>
      <w:bookmarkStart w:id="841" w:name="_Toc35424959"/>
      <w:bookmarkStart w:id="842" w:name="_Toc35425125"/>
      <w:bookmarkStart w:id="843" w:name="_Toc78803394"/>
      <w:bookmarkStart w:id="844" w:name="_Toc506107330"/>
      <w:bookmarkStart w:id="845" w:name="_Toc13990"/>
      <w:bookmarkStart w:id="846" w:name="_Toc15058924"/>
      <w:r>
        <w:rPr>
          <w:rFonts w:hint="eastAsia" w:ascii="宋体" w:hAnsi="宋体" w:eastAsia="宋体" w:cs="宋体"/>
          <w:color w:val="auto"/>
          <w:highlight w:val="none"/>
        </w:rPr>
        <w:t>7.评分标准</w:t>
      </w:r>
      <w:bookmarkEnd w:id="840"/>
      <w:bookmarkEnd w:id="841"/>
      <w:bookmarkEnd w:id="842"/>
      <w:bookmarkEnd w:id="843"/>
      <w:bookmarkEnd w:id="844"/>
      <w:bookmarkEnd w:id="845"/>
      <w:bookmarkEnd w:id="846"/>
    </w:p>
    <w:p w14:paraId="573CB804">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评分标准：见</w:t>
      </w:r>
      <w:r>
        <w:rPr>
          <w:rFonts w:hint="eastAsia" w:ascii="宋体" w:hAnsi="宋体" w:cs="宋体"/>
          <w:color w:val="auto"/>
          <w:szCs w:val="21"/>
          <w:highlight w:val="none"/>
          <w:lang w:val="en-US" w:eastAsia="zh-CN"/>
        </w:rPr>
        <w:t>资信、技术及</w:t>
      </w:r>
      <w:r>
        <w:rPr>
          <w:rFonts w:hint="eastAsia" w:ascii="宋体" w:hAnsi="宋体" w:cs="宋体"/>
          <w:color w:val="auto"/>
          <w:szCs w:val="21"/>
          <w:highlight w:val="none"/>
        </w:rPr>
        <w:t>商务标评审表。</w:t>
      </w:r>
    </w:p>
    <w:p w14:paraId="045E90A1">
      <w:pPr>
        <w:pStyle w:val="7"/>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bookmarkStart w:id="847" w:name="_Toc15058925"/>
      <w:bookmarkStart w:id="848" w:name="_Toc35425126"/>
      <w:bookmarkStart w:id="849" w:name="_Toc35424960"/>
      <w:bookmarkStart w:id="850" w:name="_Toc506107331"/>
      <w:bookmarkStart w:id="851" w:name="_Toc324404879"/>
      <w:bookmarkStart w:id="852" w:name="_Toc22863"/>
      <w:bookmarkStart w:id="853" w:name="_Toc78803395"/>
      <w:r>
        <w:rPr>
          <w:rFonts w:hint="eastAsia" w:ascii="宋体" w:hAnsi="宋体" w:eastAsia="宋体" w:cs="宋体"/>
          <w:color w:val="auto"/>
          <w:highlight w:val="none"/>
        </w:rPr>
        <w:t>8.评审结果</w:t>
      </w:r>
      <w:bookmarkEnd w:id="847"/>
      <w:bookmarkEnd w:id="848"/>
      <w:bookmarkEnd w:id="849"/>
      <w:bookmarkEnd w:id="850"/>
      <w:bookmarkEnd w:id="851"/>
      <w:bookmarkEnd w:id="852"/>
      <w:bookmarkEnd w:id="853"/>
    </w:p>
    <w:p w14:paraId="11A62683">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8.1除投标人须知前附表授权直接确定中标人外，评标委员会按照</w:t>
      </w:r>
      <w:r>
        <w:rPr>
          <w:rFonts w:hint="eastAsia" w:ascii="宋体" w:hAnsi="宋体" w:cs="宋体"/>
          <w:color w:val="auto"/>
          <w:szCs w:val="21"/>
          <w:highlight w:val="none"/>
          <w:lang w:val="en-US" w:eastAsia="zh-CN"/>
        </w:rPr>
        <w:t>评标办法规定</w:t>
      </w:r>
      <w:r>
        <w:rPr>
          <w:rFonts w:hint="eastAsia" w:ascii="宋体" w:hAnsi="宋体" w:cs="宋体"/>
          <w:color w:val="auto"/>
          <w:szCs w:val="21"/>
          <w:highlight w:val="none"/>
        </w:rPr>
        <w:t>推荐中标候选人。</w:t>
      </w:r>
    </w:p>
    <w:p w14:paraId="0E2651CA">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8.2评标委员会完成评标后，应当向招标人提交书面评标报告。评标报告应当如实记载以下内容：</w:t>
      </w:r>
    </w:p>
    <w:p w14:paraId="238F52C8">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（1）基本情况和数据表。</w:t>
      </w:r>
    </w:p>
    <w:p w14:paraId="65B3C4C6">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（2）评标委员会成员名单。</w:t>
      </w:r>
    </w:p>
    <w:p w14:paraId="194474DD">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（3）开标记录。</w:t>
      </w:r>
    </w:p>
    <w:p w14:paraId="791671E4">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（4）符合要求的投标人一览表。</w:t>
      </w:r>
    </w:p>
    <w:p w14:paraId="20299AF4">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（5）否决投标情况说明。</w:t>
      </w:r>
    </w:p>
    <w:p w14:paraId="4CAD0397">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（6）评标标准、评标方法或者评标因素。</w:t>
      </w:r>
    </w:p>
    <w:p w14:paraId="5A1B033F">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（7）评标情况一览表。</w:t>
      </w:r>
    </w:p>
    <w:p w14:paraId="2A48E275">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（8）经评审的投标人排序。</w:t>
      </w:r>
    </w:p>
    <w:p w14:paraId="5F5136D0">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（9）推荐的中标候选人名单与签订合同前要处理的事宜。</w:t>
      </w:r>
    </w:p>
    <w:p w14:paraId="60CB7F22">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（10）澄清、说明、补正事项纪要。</w:t>
      </w:r>
    </w:p>
    <w:p w14:paraId="35FE1E15">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Cs w:val="21"/>
          <w:highlight w:val="none"/>
        </w:rPr>
        <w:t>8.3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4EFCF4BC">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依法必须进行招标的项目，除第一中标候选人或者中标人以外的其他投标人存在串通投标、弄虚作假、行贿情形且在评标过程中未被发现的，视为对中标结果没有造成实质性影响，招标人可以依法继续开展招标活动。</w:t>
      </w:r>
    </w:p>
    <w:p w14:paraId="3D7F3DB2">
      <w:pPr>
        <w:pStyle w:val="7"/>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bookmarkStart w:id="854" w:name="_Toc324404880"/>
      <w:bookmarkStart w:id="855" w:name="_Toc15058926"/>
      <w:bookmarkStart w:id="856" w:name="_Toc78803396"/>
      <w:bookmarkStart w:id="857" w:name="_Toc1576"/>
      <w:bookmarkStart w:id="858" w:name="_Toc35425127"/>
      <w:bookmarkStart w:id="859" w:name="_Toc506107332"/>
      <w:bookmarkStart w:id="860" w:name="_Toc35424961"/>
      <w:r>
        <w:rPr>
          <w:rFonts w:hint="eastAsia" w:ascii="宋体" w:hAnsi="宋体" w:eastAsia="宋体" w:cs="宋体"/>
          <w:color w:val="auto"/>
          <w:highlight w:val="none"/>
        </w:rPr>
        <w:t>9.其他</w:t>
      </w:r>
      <w:bookmarkEnd w:id="854"/>
      <w:bookmarkEnd w:id="855"/>
      <w:bookmarkEnd w:id="856"/>
      <w:bookmarkEnd w:id="857"/>
      <w:bookmarkEnd w:id="858"/>
      <w:bookmarkEnd w:id="859"/>
      <w:bookmarkEnd w:id="860"/>
    </w:p>
    <w:bookmarkEnd w:id="780"/>
    <w:bookmarkEnd w:id="781"/>
    <w:bookmarkEnd w:id="782"/>
    <w:bookmarkEnd w:id="783"/>
    <w:bookmarkEnd w:id="784"/>
    <w:bookmarkEnd w:id="785"/>
    <w:bookmarkEnd w:id="786"/>
    <w:bookmarkEnd w:id="787"/>
    <w:p w14:paraId="5E753CC7">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bookmarkStart w:id="861" w:name="_Toc35425128"/>
      <w:bookmarkStart w:id="862" w:name="_Toc35424962"/>
      <w:bookmarkStart w:id="863" w:name="_Toc506107333"/>
      <w:bookmarkStart w:id="864" w:name="_Toc15058927"/>
      <w:bookmarkStart w:id="865" w:name="_Toc179632785"/>
      <w:bookmarkStart w:id="866" w:name="_Toc152045767"/>
      <w:bookmarkStart w:id="867" w:name="_Toc152042546"/>
      <w:bookmarkStart w:id="868" w:name="_Toc144974826"/>
      <w:r>
        <w:rPr>
          <w:rFonts w:hint="eastAsia" w:ascii="宋体" w:hAnsi="宋体" w:eastAsia="宋体" w:cs="宋体"/>
          <w:color w:val="auto"/>
          <w:szCs w:val="21"/>
          <w:highlight w:val="none"/>
        </w:rPr>
        <w:t>投标人提供的与投标文件有关的各类证书、证明、文件、资料等的真实性、合法性由投标人负全责。</w:t>
      </w:r>
    </w:p>
    <w:p w14:paraId="21330EDB">
      <w:pPr>
        <w:rPr>
          <w:color w:val="auto"/>
          <w:highlight w:val="none"/>
        </w:rPr>
      </w:pPr>
    </w:p>
    <w:p w14:paraId="184EE62F">
      <w:pPr>
        <w:rPr>
          <w:rFonts w:hint="eastAsia"/>
          <w:color w:val="auto"/>
          <w:highlight w:val="none"/>
        </w:rPr>
      </w:pPr>
      <w:r>
        <w:rPr>
          <w:rFonts w:hint="eastAsia"/>
          <w:color w:val="auto"/>
          <w:highlight w:val="none"/>
        </w:rPr>
        <w:br w:type="page"/>
      </w:r>
      <w:bookmarkStart w:id="869" w:name="_Toc78803397"/>
    </w:p>
    <w:bookmarkEnd w:id="861"/>
    <w:bookmarkEnd w:id="862"/>
    <w:bookmarkEnd w:id="863"/>
    <w:bookmarkEnd w:id="864"/>
    <w:bookmarkEnd w:id="869"/>
    <w:p w14:paraId="51F85308">
      <w:pPr>
        <w:pStyle w:val="6"/>
        <w:rPr>
          <w:rFonts w:hint="eastAsia" w:ascii="Arial" w:hAnsi="Arial"/>
          <w:color w:val="auto"/>
          <w:kern w:val="0"/>
          <w:sz w:val="32"/>
          <w:szCs w:val="32"/>
          <w:highlight w:val="none"/>
        </w:rPr>
      </w:pPr>
      <w:bookmarkStart w:id="870" w:name="_Toc16721"/>
    </w:p>
    <w:p w14:paraId="47DAF6BF">
      <w:pPr>
        <w:pStyle w:val="6"/>
        <w:rPr>
          <w:color w:val="auto"/>
          <w:highlight w:val="none"/>
        </w:rPr>
      </w:pPr>
      <w:bookmarkStart w:id="871" w:name="_Toc27074"/>
      <w:bookmarkStart w:id="872" w:name="_Toc7231"/>
      <w:bookmarkStart w:id="873" w:name="_Toc8750"/>
      <w:r>
        <w:rPr>
          <w:rFonts w:hint="eastAsia" w:ascii="Arial" w:hAnsi="Arial"/>
          <w:color w:val="auto"/>
          <w:kern w:val="0"/>
          <w:sz w:val="32"/>
          <w:szCs w:val="32"/>
          <w:highlight w:val="none"/>
        </w:rPr>
        <w:t>第</w:t>
      </w:r>
      <w:r>
        <w:rPr>
          <w:rFonts w:hint="eastAsia" w:ascii="Arial" w:hAnsi="Arial"/>
          <w:color w:val="auto"/>
          <w:kern w:val="0"/>
          <w:sz w:val="32"/>
          <w:szCs w:val="32"/>
          <w:highlight w:val="none"/>
          <w:lang w:val="en-US" w:eastAsia="zh-CN"/>
        </w:rPr>
        <w:t>四</w:t>
      </w:r>
      <w:r>
        <w:rPr>
          <w:rFonts w:hint="eastAsia" w:ascii="Arial" w:hAnsi="Arial"/>
          <w:color w:val="auto"/>
          <w:kern w:val="0"/>
          <w:sz w:val="32"/>
          <w:szCs w:val="32"/>
          <w:highlight w:val="none"/>
        </w:rPr>
        <w:t>章  合同条款及格式</w:t>
      </w:r>
      <w:bookmarkEnd w:id="870"/>
      <w:bookmarkEnd w:id="871"/>
      <w:bookmarkEnd w:id="872"/>
      <w:bookmarkEnd w:id="873"/>
    </w:p>
    <w:p w14:paraId="58BD9846">
      <w:pPr>
        <w:spacing w:line="360" w:lineRule="auto"/>
        <w:jc w:val="center"/>
        <w:rPr>
          <w:rFonts w:ascii="仿宋_GB2312" w:eastAsia="仿宋_GB2312"/>
          <w:b/>
          <w:color w:val="auto"/>
          <w:sz w:val="28"/>
          <w:szCs w:val="28"/>
          <w:highlight w:val="none"/>
        </w:rPr>
      </w:pPr>
    </w:p>
    <w:p w14:paraId="08173785">
      <w:pPr>
        <w:jc w:val="both"/>
        <w:rPr>
          <w:rFonts w:eastAsia="仿宋_GB2312"/>
          <w:bCs/>
          <w:color w:val="auto"/>
          <w:sz w:val="32"/>
          <w:szCs w:val="32"/>
          <w:highlight w:val="none"/>
          <w:u w:val="single"/>
        </w:rPr>
      </w:pPr>
      <w:bookmarkStart w:id="874" w:name="_Toc60061567"/>
      <w:r>
        <w:rPr>
          <w:rFonts w:hint="eastAsia" w:eastAsia="仿宋_GB2312"/>
          <w:bCs/>
          <w:color w:val="auto"/>
          <w:sz w:val="32"/>
          <w:szCs w:val="32"/>
          <w:highlight w:val="none"/>
        </w:rPr>
        <w:t>合同编号：</w:t>
      </w:r>
      <w:r>
        <w:rPr>
          <w:rFonts w:hint="eastAsia" w:eastAsia="仿宋_GB2312"/>
          <w:bCs/>
          <w:color w:val="auto"/>
          <w:sz w:val="32"/>
          <w:szCs w:val="32"/>
          <w:highlight w:val="none"/>
          <w:u w:val="single"/>
        </w:rPr>
        <w:t>（HT-YL- ）</w:t>
      </w:r>
    </w:p>
    <w:p w14:paraId="3471F4D4">
      <w:pPr>
        <w:jc w:val="center"/>
        <w:rPr>
          <w:rFonts w:eastAsia="华文中宋"/>
          <w:b/>
          <w:color w:val="auto"/>
          <w:sz w:val="52"/>
          <w:szCs w:val="52"/>
          <w:highlight w:val="none"/>
        </w:rPr>
      </w:pPr>
    </w:p>
    <w:p w14:paraId="4546493B">
      <w:pPr>
        <w:ind w:firstLine="1771" w:firstLineChars="245"/>
        <w:rPr>
          <w:rFonts w:hint="eastAsia" w:ascii="宋体" w:hAnsi="宋体" w:cs="宋体"/>
          <w:b/>
          <w:color w:val="auto"/>
          <w:sz w:val="72"/>
          <w:szCs w:val="52"/>
          <w:highlight w:val="none"/>
        </w:rPr>
      </w:pPr>
    </w:p>
    <w:p w14:paraId="1BD75F33">
      <w:pPr>
        <w:ind w:firstLine="1771" w:firstLineChars="245"/>
        <w:rPr>
          <w:rFonts w:hint="eastAsia" w:ascii="宋体" w:hAnsi="宋体" w:cs="宋体"/>
          <w:b/>
          <w:color w:val="auto"/>
          <w:sz w:val="72"/>
          <w:szCs w:val="52"/>
          <w:highlight w:val="none"/>
        </w:rPr>
      </w:pPr>
    </w:p>
    <w:p w14:paraId="62A60903">
      <w:pPr>
        <w:ind w:firstLine="1771" w:firstLineChars="245"/>
        <w:rPr>
          <w:rFonts w:eastAsia="华文中宋"/>
          <w:b/>
          <w:color w:val="auto"/>
          <w:sz w:val="52"/>
          <w:szCs w:val="52"/>
          <w:highlight w:val="none"/>
        </w:rPr>
      </w:pPr>
      <w:r>
        <w:rPr>
          <w:rFonts w:hint="eastAsia" w:ascii="宋体" w:hAnsi="宋体" w:cs="宋体"/>
          <w:b/>
          <w:color w:val="auto"/>
          <w:sz w:val="72"/>
          <w:szCs w:val="52"/>
          <w:highlight w:val="none"/>
        </w:rPr>
        <w:t>建设工程施工合同</w:t>
      </w:r>
      <w:r>
        <w:rPr>
          <w:rFonts w:eastAsia="华文中宋"/>
          <w:b/>
          <w:color w:val="auto"/>
          <w:sz w:val="52"/>
          <w:szCs w:val="52"/>
          <w:highlight w:val="none"/>
        </w:rPr>
        <w:br w:type="textWrapping"/>
      </w:r>
      <w:r>
        <w:rPr>
          <w:rFonts w:eastAsia="华文中宋"/>
          <w:b/>
          <w:color w:val="auto"/>
          <w:sz w:val="52"/>
          <w:szCs w:val="52"/>
          <w:highlight w:val="none"/>
        </w:rPr>
        <w:t xml:space="preserve"> </w:t>
      </w:r>
    </w:p>
    <w:p w14:paraId="1D5C37F9">
      <w:pPr>
        <w:jc w:val="center"/>
        <w:rPr>
          <w:rFonts w:eastAsia="华文中宋"/>
          <w:b/>
          <w:color w:val="auto"/>
          <w:sz w:val="52"/>
          <w:szCs w:val="52"/>
          <w:highlight w:val="none"/>
        </w:rPr>
      </w:pPr>
    </w:p>
    <w:p w14:paraId="48A16A32">
      <w:pPr>
        <w:jc w:val="center"/>
        <w:rPr>
          <w:rFonts w:eastAsia="黑体"/>
          <w:b/>
          <w:color w:val="auto"/>
          <w:sz w:val="72"/>
          <w:szCs w:val="72"/>
          <w:highlight w:val="none"/>
        </w:rPr>
      </w:pPr>
    </w:p>
    <w:p w14:paraId="4A3B29BC">
      <w:pPr>
        <w:jc w:val="center"/>
        <w:rPr>
          <w:rFonts w:eastAsia="楷体_GB2312"/>
          <w:b/>
          <w:color w:val="auto"/>
          <w:sz w:val="72"/>
          <w:szCs w:val="72"/>
          <w:highlight w:val="none"/>
        </w:rPr>
      </w:pPr>
    </w:p>
    <w:p w14:paraId="294DACE4">
      <w:pPr>
        <w:jc w:val="center"/>
        <w:rPr>
          <w:rFonts w:hint="eastAsia" w:eastAsia="黑体"/>
          <w:b/>
          <w:color w:val="auto"/>
          <w:sz w:val="52"/>
          <w:szCs w:val="52"/>
          <w:highlight w:val="none"/>
          <w:lang w:eastAsia="zh-CN"/>
        </w:rPr>
      </w:pPr>
    </w:p>
    <w:p w14:paraId="0CF56B63">
      <w:pPr>
        <w:jc w:val="center"/>
        <w:rPr>
          <w:rFonts w:hint="eastAsia" w:eastAsia="黑体"/>
          <w:b/>
          <w:color w:val="auto"/>
          <w:sz w:val="52"/>
          <w:szCs w:val="52"/>
          <w:highlight w:val="none"/>
          <w:lang w:eastAsia="zh-CN"/>
        </w:rPr>
      </w:pPr>
    </w:p>
    <w:p w14:paraId="602C1DAA">
      <w:pPr>
        <w:rPr>
          <w:b/>
          <w:color w:val="auto"/>
          <w:sz w:val="28"/>
          <w:szCs w:val="28"/>
          <w:highlight w:val="none"/>
        </w:rPr>
      </w:pPr>
    </w:p>
    <w:p w14:paraId="53784D56">
      <w:pPr>
        <w:rPr>
          <w:b/>
          <w:color w:val="auto"/>
          <w:sz w:val="28"/>
          <w:szCs w:val="28"/>
          <w:highlight w:val="none"/>
        </w:rPr>
      </w:pPr>
    </w:p>
    <w:p w14:paraId="0F74732D">
      <w:pPr>
        <w:widowControl w:val="0"/>
        <w:spacing w:after="120" w:line="360" w:lineRule="auto"/>
        <w:ind w:left="420" w:leftChars="200" w:firstLine="562" w:firstLineChars="200"/>
        <w:jc w:val="both"/>
        <w:rPr>
          <w:rFonts w:ascii="宋体" w:hAnsi="Times New Roman" w:eastAsia="宋体" w:cs="Times New Roman"/>
          <w:b/>
          <w:color w:val="auto"/>
          <w:kern w:val="2"/>
          <w:sz w:val="28"/>
          <w:szCs w:val="28"/>
          <w:highlight w:val="none"/>
          <w:lang w:val="en-US" w:eastAsia="zh-CN" w:bidi="ar-SA"/>
        </w:rPr>
      </w:pPr>
    </w:p>
    <w:p w14:paraId="116AB070">
      <w:pPr>
        <w:widowControl w:val="0"/>
        <w:spacing w:after="120" w:line="360" w:lineRule="auto"/>
        <w:ind w:left="420" w:leftChars="200" w:firstLine="420" w:firstLineChars="200"/>
        <w:jc w:val="both"/>
        <w:rPr>
          <w:rFonts w:ascii="宋体" w:hAnsi="Times New Roman" w:eastAsia="宋体" w:cs="Times New Roman"/>
          <w:color w:val="auto"/>
          <w:kern w:val="2"/>
          <w:sz w:val="21"/>
          <w:szCs w:val="20"/>
          <w:highlight w:val="none"/>
          <w:lang w:val="en-US" w:eastAsia="zh-CN" w:bidi="ar-SA"/>
        </w:rPr>
      </w:pPr>
    </w:p>
    <w:p w14:paraId="0460971D">
      <w:pPr>
        <w:jc w:val="center"/>
        <w:rPr>
          <w:b/>
          <w:color w:val="auto"/>
          <w:sz w:val="28"/>
          <w:szCs w:val="28"/>
          <w:highlight w:val="none"/>
        </w:rPr>
      </w:pPr>
    </w:p>
    <w:p w14:paraId="4BFCA07B">
      <w:pPr>
        <w:jc w:val="center"/>
        <w:rPr>
          <w:b/>
          <w:color w:val="auto"/>
          <w:sz w:val="32"/>
          <w:szCs w:val="28"/>
          <w:highlight w:val="none"/>
        </w:rPr>
      </w:pPr>
      <w:r>
        <w:rPr>
          <w:color w:val="auto"/>
          <w:szCs w:val="22"/>
          <w:highlight w:val="none"/>
        </w:rPr>
        <mc:AlternateContent>
          <mc:Choice Requires="wps">
            <w:drawing>
              <wp:anchor distT="0" distB="0" distL="114300" distR="114300" simplePos="0" relativeHeight="251659264" behindDoc="0" locked="0" layoutInCell="1" allowOverlap="1">
                <wp:simplePos x="0" y="0"/>
                <wp:positionH relativeFrom="column">
                  <wp:posOffset>4495800</wp:posOffset>
                </wp:positionH>
                <wp:positionV relativeFrom="paragraph">
                  <wp:posOffset>213360</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41F46D80">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54pt;margin-top:16.8pt;height:36pt;width:57pt;z-index:251659264;mso-width-relative:page;mso-height-relative:page;" filled="f" stroked="t" coordsize="21600,21600" o:gfxdata="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&#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tzKmrZAAAACgEAAA8AAAAAAAAAAQAgAAAAIgAAAGRy&#10;cy9kb3ducmV2LnhtbFBLAQIUABQAAAAIAIdO4kDtHmq6BAIAAAwEAAAOAAAAAAAAAAEAIAAAACgB&#10;AABkcnMvZTJvRG9jLnhtbFBLBQYAAAAABgAGAFkBAACeBQAAAAA=&#10;">
                <v:fill on="f" focussize="0,0"/>
                <v:stroke color="#FFFFFF" joinstyle="miter"/>
                <v:imagedata o:title=""/>
                <o:lock v:ext="edit" aspectratio="f"/>
                <v:textbox>
                  <w:txbxContent>
                    <w:p w14:paraId="41F46D80">
                      <w:pPr>
                        <w:rPr>
                          <w:b/>
                          <w:bCs/>
                          <w:sz w:val="32"/>
                        </w:rPr>
                      </w:pPr>
                      <w:r>
                        <w:rPr>
                          <w:rFonts w:hint="eastAsia"/>
                          <w:b/>
                          <w:bCs/>
                          <w:sz w:val="32"/>
                        </w:rPr>
                        <w:t>制定</w:t>
                      </w:r>
                    </w:p>
                  </w:txbxContent>
                </v:textbox>
              </v:shape>
            </w:pict>
          </mc:Fallback>
        </mc:AlternateContent>
      </w:r>
      <w:r>
        <w:rPr>
          <w:rFonts w:hint="eastAsia"/>
          <w:b/>
          <w:color w:val="auto"/>
          <w:sz w:val="32"/>
          <w:szCs w:val="28"/>
          <w:highlight w:val="none"/>
        </w:rPr>
        <w:t>住房和城乡建设部</w:t>
      </w:r>
    </w:p>
    <w:p w14:paraId="7B058E57">
      <w:pPr>
        <w:jc w:val="center"/>
        <w:outlineLvl w:val="0"/>
        <w:rPr>
          <w:rFonts w:hint="eastAsia"/>
          <w:b/>
          <w:color w:val="auto"/>
          <w:sz w:val="32"/>
          <w:szCs w:val="28"/>
          <w:highlight w:val="none"/>
        </w:rPr>
      </w:pPr>
      <w:bookmarkStart w:id="875" w:name="_Toc12138"/>
      <w:bookmarkStart w:id="876" w:name="_Toc32748"/>
      <w:bookmarkStart w:id="877" w:name="_Toc30846"/>
      <w:bookmarkStart w:id="878" w:name="_Toc1470"/>
      <w:r>
        <w:rPr>
          <w:rFonts w:hint="eastAsia"/>
          <w:b/>
          <w:color w:val="auto"/>
          <w:sz w:val="32"/>
          <w:szCs w:val="28"/>
          <w:highlight w:val="none"/>
        </w:rPr>
        <w:t>国家工商行政管理总局</w:t>
      </w:r>
      <w:bookmarkEnd w:id="875"/>
      <w:bookmarkEnd w:id="876"/>
      <w:bookmarkEnd w:id="877"/>
      <w:bookmarkEnd w:id="878"/>
    </w:p>
    <w:p w14:paraId="13055D47">
      <w:pPr>
        <w:widowControl w:val="0"/>
        <w:spacing w:after="120" w:line="360" w:lineRule="auto"/>
        <w:ind w:left="420" w:leftChars="200" w:firstLine="420" w:firstLineChars="200"/>
        <w:jc w:val="both"/>
        <w:rPr>
          <w:rFonts w:hint="eastAsia" w:ascii="宋体" w:hAnsi="Times New Roman" w:eastAsia="宋体" w:cs="Times New Roman"/>
          <w:color w:val="auto"/>
          <w:kern w:val="2"/>
          <w:sz w:val="21"/>
          <w:szCs w:val="20"/>
          <w:highlight w:val="none"/>
          <w:lang w:val="en-US" w:eastAsia="zh-CN" w:bidi="ar-SA"/>
        </w:rPr>
      </w:pPr>
    </w:p>
    <w:bookmarkEnd w:id="874"/>
    <w:p w14:paraId="3A55EC10">
      <w:pPr>
        <w:rPr>
          <w:rFonts w:hint="eastAsia"/>
          <w:color w:val="auto"/>
          <w:highlight w:val="none"/>
        </w:rPr>
      </w:pPr>
      <w:r>
        <w:rPr>
          <w:rFonts w:hint="eastAsia"/>
          <w:color w:val="auto"/>
          <w:highlight w:val="none"/>
        </w:rPr>
        <w:br w:type="page"/>
      </w:r>
    </w:p>
    <w:p w14:paraId="3A5A1B14">
      <w:pPr>
        <w:keepNext/>
        <w:keepLines/>
        <w:spacing w:line="360" w:lineRule="auto"/>
        <w:jc w:val="center"/>
        <w:outlineLvl w:val="1"/>
        <w:rPr>
          <w:rFonts w:hint="eastAsia" w:ascii="宋体" w:hAnsi="宋体" w:cs="宋体"/>
          <w:b/>
          <w:bCs/>
          <w:color w:val="auto"/>
          <w:sz w:val="32"/>
          <w:szCs w:val="32"/>
          <w:highlight w:val="none"/>
        </w:rPr>
      </w:pPr>
      <w:bookmarkStart w:id="879" w:name="_Toc28799376"/>
      <w:bookmarkStart w:id="880" w:name="_Toc95223459"/>
      <w:bookmarkStart w:id="881" w:name="_Toc3977"/>
      <w:bookmarkStart w:id="882" w:name="_Toc29801"/>
      <w:bookmarkStart w:id="883" w:name="_Toc2308"/>
      <w:r>
        <w:rPr>
          <w:rFonts w:hint="eastAsia" w:ascii="宋体" w:hAnsi="宋体" w:cs="宋体"/>
          <w:b/>
          <w:bCs/>
          <w:color w:val="auto"/>
          <w:sz w:val="32"/>
          <w:szCs w:val="32"/>
          <w:highlight w:val="none"/>
        </w:rPr>
        <w:t>第一节  合同协议书</w:t>
      </w:r>
      <w:bookmarkEnd w:id="879"/>
      <w:bookmarkEnd w:id="880"/>
      <w:bookmarkEnd w:id="881"/>
    </w:p>
    <w:p w14:paraId="4B1FDD70">
      <w:pPr>
        <w:spacing w:line="360" w:lineRule="auto"/>
        <w:rPr>
          <w:rFonts w:hint="default" w:ascii="宋体" w:hAnsi="宋体" w:eastAsia="宋体" w:cs="宋体"/>
          <w:b/>
          <w:color w:val="auto"/>
          <w:sz w:val="24"/>
          <w:highlight w:val="none"/>
          <w:u w:val="single"/>
          <w:lang w:val="en-US" w:eastAsia="zh-CN"/>
        </w:rPr>
      </w:pPr>
      <w:r>
        <w:rPr>
          <w:rFonts w:hint="eastAsia" w:ascii="宋体" w:hAnsi="宋体" w:cs="宋体"/>
          <w:b/>
          <w:color w:val="auto"/>
          <w:sz w:val="24"/>
          <w:highlight w:val="none"/>
          <w:u w:val="single"/>
        </w:rPr>
        <w:t>发包人（全称）：</w:t>
      </w:r>
      <w:r>
        <w:rPr>
          <w:rFonts w:hint="eastAsia" w:ascii="宋体" w:hAnsi="宋体" w:cs="宋体"/>
          <w:b/>
          <w:color w:val="auto"/>
          <w:sz w:val="24"/>
          <w:highlight w:val="none"/>
          <w:u w:val="single"/>
          <w:lang w:val="en-US" w:eastAsia="zh-CN"/>
        </w:rPr>
        <w:t>滁州市兴天矿业有限公司</w:t>
      </w:r>
    </w:p>
    <w:p w14:paraId="1426B2BD">
      <w:pPr>
        <w:spacing w:line="360" w:lineRule="auto"/>
        <w:rPr>
          <w:rFonts w:hint="eastAsia" w:ascii="宋体" w:hAnsi="宋体" w:cs="宋体"/>
          <w:b/>
          <w:color w:val="auto"/>
          <w:sz w:val="30"/>
          <w:szCs w:val="30"/>
          <w:highlight w:val="none"/>
          <w:u w:val="single"/>
        </w:rPr>
      </w:pPr>
      <w:r>
        <w:rPr>
          <w:rFonts w:hint="eastAsia" w:ascii="宋体" w:hAnsi="宋体" w:cs="宋体"/>
          <w:b/>
          <w:color w:val="auto"/>
          <w:sz w:val="24"/>
          <w:highlight w:val="none"/>
          <w:u w:val="single"/>
        </w:rPr>
        <w:t>承包人（全称）：               </w:t>
      </w:r>
    </w:p>
    <w:p w14:paraId="7F41C72A">
      <w:pPr>
        <w:spacing w:line="360" w:lineRule="auto"/>
        <w:ind w:firstLine="420" w:firstLineChars="200"/>
        <w:rPr>
          <w:rFonts w:hint="eastAsia" w:ascii="宋体" w:hAnsi="宋体" w:cs="宋体"/>
          <w:color w:val="auto"/>
          <w:szCs w:val="21"/>
          <w:highlight w:val="none"/>
          <w:u w:val="single"/>
        </w:rPr>
      </w:pPr>
    </w:p>
    <w:p w14:paraId="0475AD7B">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根据《中华人民共和国民法典》《中华人民共和国建筑法》及有关法律规定，遵循平等、自愿、公平和诚实信用的原则，双方就</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工程施工及</w:t>
      </w:r>
      <w:r>
        <w:rPr>
          <w:rFonts w:hint="eastAsia" w:ascii="宋体" w:hAnsi="宋体" w:cs="宋体"/>
          <w:color w:val="auto"/>
          <w:szCs w:val="21"/>
          <w:highlight w:val="none"/>
          <w:u w:val="single"/>
        </w:rPr>
        <w:t>有关事项协商一致，共同达成如下协议：</w:t>
      </w:r>
      <w:bookmarkStart w:id="884" w:name="_Toc351203481"/>
    </w:p>
    <w:p w14:paraId="3C2FD805">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color w:val="auto"/>
          <w:szCs w:val="21"/>
          <w:highlight w:val="none"/>
          <w:u w:val="single"/>
        </w:rPr>
      </w:pPr>
      <w:r>
        <w:rPr>
          <w:rFonts w:hint="eastAsia" w:ascii="宋体" w:hAnsi="宋体" w:cs="宋体"/>
          <w:b/>
          <w:color w:val="auto"/>
          <w:szCs w:val="21"/>
          <w:highlight w:val="none"/>
          <w:u w:val="single"/>
        </w:rPr>
        <w:t>一、工程概况</w:t>
      </w:r>
      <w:bookmarkEnd w:id="884"/>
    </w:p>
    <w:p w14:paraId="02DE4CDF">
      <w:pPr>
        <w:keepNext w:val="0"/>
        <w:keepLines w:val="0"/>
        <w:pageBreakBefore w:val="0"/>
        <w:widowControl w:val="0"/>
        <w:kinsoku/>
        <w:wordWrap/>
        <w:overflowPunct/>
        <w:topLinePunct w:val="0"/>
        <w:bidi w:val="0"/>
        <w:snapToGrid/>
        <w:spacing w:line="480" w:lineRule="exact"/>
        <w:ind w:firstLine="411" w:firstLineChars="196"/>
        <w:textAlignment w:val="auto"/>
        <w:rPr>
          <w:rFonts w:hint="eastAsia" w:ascii="宋体" w:hAnsi="宋体" w:cs="宋体"/>
          <w:color w:val="auto"/>
          <w:szCs w:val="21"/>
          <w:highlight w:val="none"/>
          <w:u w:val="single"/>
        </w:rPr>
      </w:pPr>
      <w:r>
        <w:rPr>
          <w:rFonts w:hint="eastAsia" w:ascii="宋体" w:hAnsi="宋体" w:cs="宋体"/>
          <w:bCs/>
          <w:color w:val="auto"/>
          <w:szCs w:val="21"/>
          <w:highlight w:val="none"/>
          <w:u w:val="single"/>
        </w:rPr>
        <w:t>1. 工程名称</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p>
    <w:p w14:paraId="4E95C3D8">
      <w:pPr>
        <w:keepNext w:val="0"/>
        <w:keepLines w:val="0"/>
        <w:pageBreakBefore w:val="0"/>
        <w:widowControl w:val="0"/>
        <w:kinsoku/>
        <w:wordWrap/>
        <w:overflowPunct/>
        <w:topLinePunct w:val="0"/>
        <w:bidi w:val="0"/>
        <w:snapToGrid/>
        <w:spacing w:line="480" w:lineRule="exact"/>
        <w:ind w:firstLine="411" w:firstLineChars="196"/>
        <w:textAlignment w:val="auto"/>
        <w:rPr>
          <w:rFonts w:hint="eastAsia" w:ascii="宋体" w:hAnsi="宋体" w:cs="宋体"/>
          <w:bCs/>
          <w:color w:val="auto"/>
          <w:szCs w:val="21"/>
          <w:highlight w:val="none"/>
          <w:u w:val="none"/>
        </w:rPr>
      </w:pPr>
      <w:r>
        <w:rPr>
          <w:rFonts w:hint="eastAsia" w:ascii="宋体" w:hAnsi="宋体" w:cs="宋体"/>
          <w:bCs/>
          <w:color w:val="auto"/>
          <w:szCs w:val="21"/>
          <w:highlight w:val="none"/>
          <w:u w:val="single"/>
        </w:rPr>
        <w:t>2. 工程地点：</w:t>
      </w:r>
      <w:r>
        <w:rPr>
          <w:rFonts w:hint="eastAsia"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p>
    <w:p w14:paraId="4DD1A7F6">
      <w:pPr>
        <w:keepNext w:val="0"/>
        <w:keepLines w:val="0"/>
        <w:pageBreakBefore w:val="0"/>
        <w:widowControl w:val="0"/>
        <w:kinsoku/>
        <w:wordWrap/>
        <w:overflowPunct/>
        <w:topLinePunct w:val="0"/>
        <w:bidi w:val="0"/>
        <w:snapToGrid/>
        <w:spacing w:line="480" w:lineRule="exact"/>
        <w:ind w:firstLine="411" w:firstLineChars="196"/>
        <w:textAlignment w:val="auto"/>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 xml:space="preserve">3.资金来源：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u w:val="single"/>
        </w:rPr>
        <w:t xml:space="preserve">  </w:t>
      </w:r>
      <w:r>
        <w:rPr>
          <w:rFonts w:hint="eastAsia" w:ascii="宋体" w:hAnsi="宋体" w:cs="宋体"/>
          <w:bCs/>
          <w:color w:val="auto"/>
          <w:szCs w:val="21"/>
          <w:highlight w:val="none"/>
          <w:u w:val="single"/>
        </w:rPr>
        <w:t>。</w:t>
      </w:r>
    </w:p>
    <w:p w14:paraId="1B83B9F4">
      <w:pPr>
        <w:keepNext w:val="0"/>
        <w:keepLines w:val="0"/>
        <w:pageBreakBefore w:val="0"/>
        <w:widowControl w:val="0"/>
        <w:kinsoku/>
        <w:wordWrap/>
        <w:overflowPunct/>
        <w:topLinePunct w:val="0"/>
        <w:bidi w:val="0"/>
        <w:snapToGrid/>
        <w:spacing w:line="480" w:lineRule="exact"/>
        <w:ind w:firstLine="411" w:firstLineChars="196"/>
        <w:textAlignment w:val="auto"/>
        <w:rPr>
          <w:rFonts w:hint="eastAsia" w:ascii="宋体" w:hAnsi="宋体" w:cs="宋体"/>
          <w:bCs/>
          <w:color w:val="auto"/>
          <w:szCs w:val="21"/>
          <w:highlight w:val="none"/>
          <w:u w:val="single"/>
        </w:rPr>
      </w:pP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u w:val="single"/>
        </w:rPr>
        <w:t>. 工程内容：</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w:t>
      </w:r>
    </w:p>
    <w:p w14:paraId="2A0FF2B7">
      <w:pPr>
        <w:keepNext w:val="0"/>
        <w:keepLines w:val="0"/>
        <w:pageBreakBefore w:val="0"/>
        <w:widowControl w:val="0"/>
        <w:kinsoku/>
        <w:wordWrap/>
        <w:overflowPunct/>
        <w:topLinePunct w:val="0"/>
        <w:bidi w:val="0"/>
        <w:snapToGrid/>
        <w:spacing w:line="480" w:lineRule="exact"/>
        <w:ind w:firstLine="411" w:firstLineChars="196"/>
        <w:textAlignment w:val="auto"/>
        <w:rPr>
          <w:rFonts w:hint="default" w:ascii="宋体" w:hAnsi="宋体" w:cs="宋体"/>
          <w:color w:val="auto"/>
          <w:szCs w:val="21"/>
          <w:highlight w:val="none"/>
          <w:u w:val="single"/>
          <w:lang w:val="en-US"/>
        </w:rPr>
      </w:pPr>
      <w:r>
        <w:rPr>
          <w:rFonts w:hint="eastAsia" w:ascii="宋体" w:hAnsi="宋体" w:cs="宋体"/>
          <w:bCs/>
          <w:color w:val="auto"/>
          <w:szCs w:val="21"/>
          <w:highlight w:val="none"/>
          <w:u w:val="single"/>
          <w:lang w:val="en-US" w:eastAsia="zh-CN"/>
        </w:rPr>
        <w:t>5</w:t>
      </w:r>
      <w:r>
        <w:rPr>
          <w:rFonts w:hint="eastAsia" w:ascii="宋体" w:hAnsi="宋体" w:cs="宋体"/>
          <w:bCs/>
          <w:color w:val="auto"/>
          <w:szCs w:val="21"/>
          <w:highlight w:val="none"/>
          <w:u w:val="single"/>
        </w:rPr>
        <w:t>工程承包范围：</w:t>
      </w:r>
      <w:r>
        <w:rPr>
          <w:rFonts w:hint="eastAsia" w:ascii="宋体" w:hAnsi="宋体" w:cs="宋体"/>
          <w:b/>
          <w:bCs/>
          <w:color w:val="auto"/>
          <w:szCs w:val="21"/>
          <w:highlight w:val="none"/>
          <w:u w:val="single"/>
        </w:rPr>
        <w:t>施工图纸和工程量清单载明的施工内容及施工过程中的变更内容（如施工图纸和工程量清单不一致，由发包人负责解释）</w:t>
      </w:r>
      <w:r>
        <w:rPr>
          <w:rFonts w:hint="eastAsia" w:ascii="宋体" w:hAnsi="宋体" w:eastAsia="宋体" w:cs="宋体"/>
          <w:color w:val="auto"/>
          <w:kern w:val="2"/>
          <w:sz w:val="21"/>
          <w:szCs w:val="21"/>
          <w:highlight w:val="none"/>
          <w:u w:val="single"/>
          <w:lang w:val="en-US" w:eastAsia="zh-CN" w:bidi="ar-SA"/>
        </w:rPr>
        <w:t>。</w:t>
      </w:r>
      <w:r>
        <w:rPr>
          <w:rFonts w:hint="eastAsia" w:ascii="宋体" w:hAnsi="宋体" w:cs="宋体"/>
          <w:color w:val="auto"/>
          <w:kern w:val="2"/>
          <w:sz w:val="21"/>
          <w:szCs w:val="21"/>
          <w:highlight w:val="none"/>
          <w:u w:val="single"/>
          <w:lang w:val="en-US" w:eastAsia="zh-CN" w:bidi="ar-SA"/>
        </w:rPr>
        <w:t xml:space="preserve"> </w:t>
      </w:r>
    </w:p>
    <w:p w14:paraId="6E9DF6B5">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u w:val="single"/>
        </w:rPr>
      </w:pPr>
      <w:bookmarkStart w:id="885" w:name="_Toc351203482"/>
      <w:r>
        <w:rPr>
          <w:rFonts w:hint="eastAsia" w:ascii="宋体" w:hAnsi="宋体" w:cs="宋体"/>
          <w:b/>
          <w:color w:val="auto"/>
          <w:szCs w:val="21"/>
          <w:highlight w:val="none"/>
          <w:u w:val="single"/>
        </w:rPr>
        <w:t>二、合同工期</w:t>
      </w:r>
      <w:bookmarkEnd w:id="885"/>
    </w:p>
    <w:p w14:paraId="26E0BEEF">
      <w:pPr>
        <w:keepNext w:val="0"/>
        <w:keepLines w:val="0"/>
        <w:pageBreakBefore w:val="0"/>
        <w:widowControl w:val="0"/>
        <w:kinsoku/>
        <w:wordWrap/>
        <w:overflowPunct/>
        <w:topLinePunct w:val="0"/>
        <w:bidi w:val="0"/>
        <w:snapToGrid/>
        <w:spacing w:line="480" w:lineRule="exact"/>
        <w:ind w:firstLine="459"/>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计划开工日期：          年      月      日。</w:t>
      </w:r>
    </w:p>
    <w:p w14:paraId="58F8182C">
      <w:pPr>
        <w:keepNext w:val="0"/>
        <w:keepLines w:val="0"/>
        <w:pageBreakBefore w:val="0"/>
        <w:widowControl w:val="0"/>
        <w:kinsoku/>
        <w:wordWrap/>
        <w:overflowPunct/>
        <w:topLinePunct w:val="0"/>
        <w:bidi w:val="0"/>
        <w:snapToGrid/>
        <w:spacing w:line="480" w:lineRule="exact"/>
        <w:ind w:firstLine="459"/>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计划竣工日期：          年      月      日。</w:t>
      </w:r>
    </w:p>
    <w:p w14:paraId="34CD3CB4">
      <w:pPr>
        <w:keepNext w:val="0"/>
        <w:keepLines w:val="0"/>
        <w:pageBreakBefore w:val="0"/>
        <w:widowControl w:val="0"/>
        <w:kinsoku/>
        <w:wordWrap/>
        <w:overflowPunct/>
        <w:topLinePunct w:val="0"/>
        <w:bidi w:val="0"/>
        <w:snapToGrid/>
        <w:spacing w:line="480" w:lineRule="exact"/>
        <w:ind w:firstLine="459"/>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工期总日历天数：       天。工期总日历天数与根据前述计划开竣工日期计算的工期天数不一致的，以工期总日历天数为准。</w:t>
      </w:r>
    </w:p>
    <w:p w14:paraId="083EA2B8">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u w:val="single"/>
        </w:rPr>
      </w:pPr>
      <w:bookmarkStart w:id="886" w:name="_Toc351203483"/>
      <w:r>
        <w:rPr>
          <w:rFonts w:hint="eastAsia" w:ascii="宋体" w:hAnsi="宋体" w:cs="宋体"/>
          <w:b/>
          <w:color w:val="auto"/>
          <w:szCs w:val="21"/>
          <w:highlight w:val="none"/>
          <w:u w:val="single"/>
        </w:rPr>
        <w:t>三、质量标准</w:t>
      </w:r>
      <w:bookmarkEnd w:id="886"/>
    </w:p>
    <w:p w14:paraId="45E12E98">
      <w:pPr>
        <w:keepNext w:val="0"/>
        <w:keepLines w:val="0"/>
        <w:pageBreakBefore w:val="0"/>
        <w:widowControl w:val="0"/>
        <w:kinsoku/>
        <w:wordWrap/>
        <w:overflowPunct/>
        <w:topLinePunct w:val="0"/>
        <w:bidi w:val="0"/>
        <w:snapToGrid/>
        <w:spacing w:line="480" w:lineRule="exact"/>
        <w:ind w:firstLine="459"/>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工程质量必须达到国家工程施工质量验收 合格 标准。</w:t>
      </w:r>
    </w:p>
    <w:p w14:paraId="2A114FFA">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u w:val="single"/>
        </w:rPr>
      </w:pPr>
      <w:bookmarkStart w:id="887" w:name="_Toc351203484"/>
      <w:r>
        <w:rPr>
          <w:rFonts w:hint="eastAsia" w:ascii="宋体" w:hAnsi="宋体" w:cs="宋体"/>
          <w:b/>
          <w:color w:val="auto"/>
          <w:szCs w:val="21"/>
          <w:highlight w:val="none"/>
          <w:u w:val="single"/>
        </w:rPr>
        <w:t>四、签约合同价与合同价格形式</w:t>
      </w:r>
      <w:bookmarkEnd w:id="887"/>
    </w:p>
    <w:p w14:paraId="7B2EE43D">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1. 签约合同价为：</w:t>
      </w:r>
    </w:p>
    <w:p w14:paraId="4CD8F227">
      <w:pPr>
        <w:keepNext w:val="0"/>
        <w:keepLines w:val="0"/>
        <w:pageBreakBefore w:val="0"/>
        <w:widowControl w:val="0"/>
        <w:kinsoku/>
        <w:wordWrap/>
        <w:overflowPunct/>
        <w:topLinePunct w:val="0"/>
        <w:bidi w:val="0"/>
        <w:snapToGrid/>
        <w:spacing w:line="480" w:lineRule="exact"/>
        <w:ind w:firstLine="525" w:firstLineChars="250"/>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人民币（大写）                 (¥            元)；</w:t>
      </w:r>
    </w:p>
    <w:p w14:paraId="17D513E4">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其中：</w:t>
      </w:r>
    </w:p>
    <w:p w14:paraId="75F552FF">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（1）安全文明施工费：</w:t>
      </w:r>
    </w:p>
    <w:p w14:paraId="77A22125">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人民币（大写）               (¥          元)；</w:t>
      </w:r>
    </w:p>
    <w:p w14:paraId="32CA15C9">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（2）材料和工程设备暂估价金额：</w:t>
      </w:r>
    </w:p>
    <w:p w14:paraId="09F80326">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人民币（大写）               (¥          元)；</w:t>
      </w:r>
    </w:p>
    <w:p w14:paraId="20271F28">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（3）专业工程暂估价金额：</w:t>
      </w:r>
    </w:p>
    <w:p w14:paraId="0C43631C">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人民币（大写）               (¥          元)；</w:t>
      </w:r>
    </w:p>
    <w:p w14:paraId="5A062B4C">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（4）暂列金额：</w:t>
      </w:r>
    </w:p>
    <w:p w14:paraId="3A95355B">
      <w:pPr>
        <w:keepNext w:val="0"/>
        <w:keepLines w:val="0"/>
        <w:widowControl w:val="0"/>
        <w:suppressLineNumbers w:val="0"/>
        <w:spacing w:before="0" w:beforeAutospacing="0" w:after="0" w:afterAutospacing="0" w:line="440" w:lineRule="exact"/>
        <w:ind w:left="0" w:right="0" w:firstLine="420" w:firstLineChars="200"/>
        <w:jc w:val="both"/>
        <w:rPr>
          <w:color w:val="auto"/>
          <w:highlight w:val="none"/>
        </w:rPr>
      </w:pPr>
      <w:r>
        <w:rPr>
          <w:rFonts w:hint="eastAsia" w:ascii="宋体" w:hAnsi="宋体" w:eastAsia="宋体" w:cs="宋体"/>
          <w:color w:val="auto"/>
          <w:kern w:val="2"/>
          <w:sz w:val="21"/>
          <w:szCs w:val="21"/>
          <w:highlight w:val="none"/>
          <w:u w:val="single"/>
          <w:lang w:val="en-US" w:eastAsia="zh-CN" w:bidi="ar"/>
        </w:rPr>
        <w:t>人民币（大写）               (¥          元)</w:t>
      </w:r>
      <w:r>
        <w:rPr>
          <w:rFonts w:hint="eastAsia" w:ascii="宋体" w:hAnsi="宋体" w:eastAsia="宋体" w:cs="宋体"/>
          <w:color w:val="auto"/>
          <w:kern w:val="2"/>
          <w:sz w:val="21"/>
          <w:szCs w:val="21"/>
          <w:highlight w:val="none"/>
          <w:lang w:val="en-US" w:eastAsia="zh-CN" w:bidi="ar"/>
        </w:rPr>
        <w:t>。</w:t>
      </w:r>
    </w:p>
    <w:p w14:paraId="1BE22C13">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 合同价格形式：</w:t>
      </w:r>
      <w:r>
        <w:rPr>
          <w:rFonts w:hint="eastAsia" w:ascii="宋体" w:hAnsi="宋体" w:cs="宋体"/>
          <w:color w:val="auto"/>
          <w:szCs w:val="21"/>
          <w:highlight w:val="none"/>
          <w:u w:val="single"/>
          <w:lang w:val="en-US" w:eastAsia="zh-CN"/>
        </w:rPr>
        <w:t xml:space="preserve">  单价合同   </w:t>
      </w:r>
      <w:r>
        <w:rPr>
          <w:rFonts w:hint="eastAsia" w:ascii="宋体" w:hAnsi="宋体" w:cs="宋体"/>
          <w:color w:val="auto"/>
          <w:szCs w:val="21"/>
          <w:highlight w:val="none"/>
        </w:rPr>
        <w:t>。</w:t>
      </w:r>
    </w:p>
    <w:p w14:paraId="3E9E01D4">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rPr>
      </w:pPr>
      <w:bookmarkStart w:id="888" w:name="_Toc351203485"/>
      <w:r>
        <w:rPr>
          <w:rFonts w:hint="eastAsia" w:ascii="宋体" w:hAnsi="宋体" w:cs="宋体"/>
          <w:b/>
          <w:color w:val="auto"/>
          <w:szCs w:val="21"/>
          <w:highlight w:val="none"/>
        </w:rPr>
        <w:t>五、</w:t>
      </w:r>
      <w:bookmarkEnd w:id="888"/>
      <w:r>
        <w:rPr>
          <w:rFonts w:hint="eastAsia" w:ascii="宋体" w:hAnsi="宋体" w:cs="宋体"/>
          <w:b/>
          <w:color w:val="auto"/>
          <w:szCs w:val="21"/>
          <w:highlight w:val="none"/>
        </w:rPr>
        <w:t>项目经理</w:t>
      </w:r>
    </w:p>
    <w:p w14:paraId="1BDD7B68">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承包人项目经理： </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302AAC1F">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rPr>
      </w:pPr>
      <w:bookmarkStart w:id="889" w:name="_Toc351203486"/>
      <w:r>
        <w:rPr>
          <w:rFonts w:hint="eastAsia" w:ascii="宋体" w:hAnsi="宋体" w:cs="宋体"/>
          <w:b/>
          <w:color w:val="auto"/>
          <w:szCs w:val="21"/>
          <w:highlight w:val="none"/>
        </w:rPr>
        <w:t>六、合同文件构成</w:t>
      </w:r>
      <w:bookmarkEnd w:id="889"/>
    </w:p>
    <w:p w14:paraId="7E5EA3A8">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本协议书与下列文件一起构成合同文件：</w:t>
      </w:r>
    </w:p>
    <w:p w14:paraId="5DBCA350">
      <w:pPr>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（1）中标通知书（如果有）；</w:t>
      </w:r>
    </w:p>
    <w:p w14:paraId="18BDAE10">
      <w:pPr>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（2）投标函及其附录（如果有）； </w:t>
      </w:r>
    </w:p>
    <w:p w14:paraId="477315CB">
      <w:pPr>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（3）专用合同条款及其附件；</w:t>
      </w:r>
    </w:p>
    <w:p w14:paraId="6882ECC2">
      <w:pPr>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（4）通用合同条款；</w:t>
      </w:r>
    </w:p>
    <w:p w14:paraId="2A3BE681">
      <w:pPr>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（5）技术标准和要求；</w:t>
      </w:r>
    </w:p>
    <w:p w14:paraId="192C4CFA">
      <w:pPr>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（6）图纸；</w:t>
      </w:r>
    </w:p>
    <w:p w14:paraId="0CEBAA09">
      <w:pPr>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（7）已标价工程量清单或预算书；</w:t>
      </w:r>
    </w:p>
    <w:p w14:paraId="0E43F415">
      <w:pPr>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（8）其他合同文件。</w:t>
      </w:r>
    </w:p>
    <w:p w14:paraId="038550B2">
      <w:pPr>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在合同订立及履行过程中形成的与合同有关的文件均构成合同文件组成部分。</w:t>
      </w:r>
    </w:p>
    <w:p w14:paraId="5110DFE9">
      <w:pPr>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42F900F4">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rPr>
      </w:pPr>
      <w:bookmarkStart w:id="890" w:name="_Toc351203487"/>
      <w:r>
        <w:rPr>
          <w:rFonts w:hint="eastAsia" w:ascii="宋体" w:hAnsi="宋体" w:cs="宋体"/>
          <w:b/>
          <w:color w:val="auto"/>
          <w:szCs w:val="21"/>
          <w:highlight w:val="none"/>
        </w:rPr>
        <w:t>七、承诺</w:t>
      </w:r>
      <w:bookmarkEnd w:id="890"/>
    </w:p>
    <w:p w14:paraId="53E8DEA5">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 发包人承诺按照法律规定履行项目审批手续、筹集工程建设资金并按照合同约定的期限和方式支付合同价款。</w:t>
      </w:r>
    </w:p>
    <w:p w14:paraId="3BBA3687">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 承包人承诺按照法律规定及合同约定组织完成工程施工，确保工程质量和安全，不进行转包及违法分包，并在缺陷责任期及保修期内承担相应的工程维修责任。</w:t>
      </w:r>
    </w:p>
    <w:p w14:paraId="21B826FE">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3. 发包人和承包人通过招投标形式签订合同的，双方理解并承诺不再就同一工程另行签订与合同实质性内容相背离的协议。</w:t>
      </w:r>
    </w:p>
    <w:p w14:paraId="341656AE">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rPr>
      </w:pPr>
      <w:bookmarkStart w:id="891" w:name="_Toc351203488"/>
      <w:r>
        <w:rPr>
          <w:rFonts w:hint="eastAsia" w:ascii="宋体" w:hAnsi="宋体" w:cs="宋体"/>
          <w:b/>
          <w:color w:val="auto"/>
          <w:szCs w:val="21"/>
          <w:highlight w:val="none"/>
        </w:rPr>
        <w:t>八、词语含义</w:t>
      </w:r>
      <w:bookmarkEnd w:id="891"/>
    </w:p>
    <w:p w14:paraId="4311365F">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本协议书中词语含义与第二部分通用合同条款中赋予的含义相同。</w:t>
      </w:r>
    </w:p>
    <w:p w14:paraId="0B72DD49">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rPr>
      </w:pPr>
      <w:bookmarkStart w:id="892" w:name="_Toc351203489"/>
      <w:r>
        <w:rPr>
          <w:rFonts w:hint="eastAsia" w:ascii="宋体" w:hAnsi="宋体" w:cs="宋体"/>
          <w:b/>
          <w:color w:val="auto"/>
          <w:szCs w:val="21"/>
          <w:highlight w:val="none"/>
        </w:rPr>
        <w:t>九、签订时间</w:t>
      </w:r>
      <w:bookmarkEnd w:id="892"/>
    </w:p>
    <w:p w14:paraId="21FD032F">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本合同于</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日签订。</w:t>
      </w:r>
    </w:p>
    <w:p w14:paraId="2936B910">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rPr>
      </w:pPr>
      <w:bookmarkStart w:id="893" w:name="_Toc351203490"/>
      <w:r>
        <w:rPr>
          <w:rFonts w:hint="eastAsia" w:ascii="宋体" w:hAnsi="宋体" w:cs="宋体"/>
          <w:b/>
          <w:color w:val="auto"/>
          <w:szCs w:val="21"/>
          <w:highlight w:val="none"/>
        </w:rPr>
        <w:t>十、签订地点</w:t>
      </w:r>
      <w:bookmarkEnd w:id="893"/>
    </w:p>
    <w:p w14:paraId="7F41BA6E">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本合同在</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签订。</w:t>
      </w:r>
    </w:p>
    <w:p w14:paraId="7F1B06F7">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rPr>
      </w:pPr>
      <w:bookmarkStart w:id="894" w:name="_Toc351203491"/>
      <w:r>
        <w:rPr>
          <w:rFonts w:hint="eastAsia" w:ascii="宋体" w:hAnsi="宋体" w:cs="宋体"/>
          <w:b/>
          <w:color w:val="auto"/>
          <w:szCs w:val="21"/>
          <w:highlight w:val="none"/>
        </w:rPr>
        <w:t>十一、补充协议</w:t>
      </w:r>
      <w:bookmarkEnd w:id="894"/>
    </w:p>
    <w:p w14:paraId="4B23DB27">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b/>
          <w:bCs/>
          <w:color w:val="auto"/>
          <w:szCs w:val="21"/>
          <w:highlight w:val="none"/>
        </w:rPr>
      </w:pPr>
      <w:r>
        <w:rPr>
          <w:rFonts w:hint="eastAsia" w:ascii="宋体" w:hAnsi="宋体" w:cs="宋体"/>
          <w:bCs/>
          <w:color w:val="auto"/>
          <w:szCs w:val="21"/>
          <w:highlight w:val="none"/>
        </w:rPr>
        <w:t>合同未尽事宜，合同当事人另行签订补充协议，补充协议是合同的组成部分。</w:t>
      </w:r>
    </w:p>
    <w:p w14:paraId="100A9613">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rPr>
      </w:pPr>
      <w:bookmarkStart w:id="895" w:name="_Toc351203492"/>
      <w:r>
        <w:rPr>
          <w:rFonts w:hint="eastAsia" w:ascii="宋体" w:hAnsi="宋体" w:cs="宋体"/>
          <w:b/>
          <w:color w:val="auto"/>
          <w:szCs w:val="21"/>
          <w:highlight w:val="none"/>
        </w:rPr>
        <w:t>十二、合同生效</w:t>
      </w:r>
      <w:bookmarkEnd w:id="895"/>
    </w:p>
    <w:p w14:paraId="579B2E11">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本合同自</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生效。</w:t>
      </w:r>
    </w:p>
    <w:p w14:paraId="02DBB085">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rPr>
      </w:pPr>
      <w:bookmarkStart w:id="896" w:name="_Toc351203493"/>
      <w:r>
        <w:rPr>
          <w:rFonts w:hint="eastAsia" w:ascii="宋体" w:hAnsi="宋体" w:cs="宋体"/>
          <w:b/>
          <w:color w:val="auto"/>
          <w:szCs w:val="21"/>
          <w:highlight w:val="none"/>
        </w:rPr>
        <w:t>十三、合同份数</w:t>
      </w:r>
      <w:bookmarkEnd w:id="896"/>
    </w:p>
    <w:p w14:paraId="25CE4980">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本合同一式</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份，均具有同等法律效力，发包人执</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份，承包人执</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w:t>
      </w:r>
    </w:p>
    <w:p w14:paraId="5A2456FA">
      <w:pPr>
        <w:spacing w:line="360" w:lineRule="auto"/>
        <w:rPr>
          <w:rFonts w:hint="eastAsia" w:ascii="宋体" w:hAnsi="宋体" w:cs="宋体"/>
          <w:bCs/>
          <w:color w:val="auto"/>
          <w:szCs w:val="21"/>
          <w:highlight w:val="none"/>
        </w:rPr>
      </w:pPr>
    </w:p>
    <w:p w14:paraId="5A4D160A">
      <w:pPr>
        <w:spacing w:line="360" w:lineRule="auto"/>
        <w:ind w:firstLine="420" w:firstLineChars="200"/>
        <w:rPr>
          <w:rFonts w:hint="eastAsia" w:ascii="宋体" w:hAnsi="宋体" w:cs="宋体"/>
          <w:color w:val="auto"/>
          <w:szCs w:val="21"/>
          <w:highlight w:val="none"/>
        </w:rPr>
      </w:pPr>
    </w:p>
    <w:p w14:paraId="126CCAB6">
      <w:pPr>
        <w:spacing w:line="360" w:lineRule="auto"/>
        <w:ind w:firstLine="420" w:firstLineChars="200"/>
        <w:rPr>
          <w:rFonts w:hint="eastAsia" w:ascii="宋体" w:hAnsi="宋体" w:cs="宋体"/>
          <w:color w:val="auto"/>
          <w:szCs w:val="21"/>
          <w:highlight w:val="none"/>
        </w:rPr>
      </w:pPr>
    </w:p>
    <w:p w14:paraId="0162D5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(公章)          承包人：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(公章)</w:t>
      </w:r>
    </w:p>
    <w:p w14:paraId="107FA225">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p>
    <w:p w14:paraId="0F4CC71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              法定代表人或其委托代理人：</w:t>
      </w:r>
    </w:p>
    <w:p w14:paraId="04BBAF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（签字）</w:t>
      </w:r>
      <w:r>
        <w:rPr>
          <w:rFonts w:hint="eastAsia" w:ascii="宋体" w:hAnsi="宋体" w:cs="宋体"/>
          <w:color w:val="auto"/>
          <w:szCs w:val="21"/>
          <w:highlight w:val="none"/>
          <w:u w:val="single"/>
        </w:rPr>
        <w:t xml:space="preserve">                  </w:t>
      </w:r>
    </w:p>
    <w:p w14:paraId="51F63AC0">
      <w:pPr>
        <w:spacing w:line="360" w:lineRule="auto"/>
        <w:rPr>
          <w:rFonts w:hint="eastAsia" w:ascii="宋体" w:hAnsi="宋体" w:cs="宋体"/>
          <w:color w:val="auto"/>
          <w:szCs w:val="21"/>
          <w:highlight w:val="none"/>
          <w:u w:val="single"/>
        </w:rPr>
      </w:pPr>
    </w:p>
    <w:p w14:paraId="4F5EBEA0">
      <w:pPr>
        <w:tabs>
          <w:tab w:val="left" w:pos="441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组织机构代码：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组织机构代码：</w:t>
      </w:r>
      <w:r>
        <w:rPr>
          <w:rFonts w:hint="eastAsia" w:ascii="宋体" w:hAnsi="宋体" w:cs="宋体"/>
          <w:color w:val="auto"/>
          <w:szCs w:val="21"/>
          <w:highlight w:val="none"/>
          <w:u w:val="single"/>
        </w:rPr>
        <w:t>            </w:t>
      </w:r>
      <w:r>
        <w:rPr>
          <w:rFonts w:hint="eastAsia" w:ascii="宋体" w:hAnsi="宋体" w:cs="宋体"/>
          <w:color w:val="auto"/>
          <w:szCs w:val="21"/>
          <w:highlight w:val="none"/>
        </w:rPr>
        <w:t xml:space="preserve"> </w:t>
      </w:r>
    </w:p>
    <w:p w14:paraId="34DD1D3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xml:space="preserve">                    </w:t>
      </w:r>
    </w:p>
    <w:p w14:paraId="36DB664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p>
    <w:p w14:paraId="171461C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 </w:t>
      </w:r>
    </w:p>
    <w:p w14:paraId="4CCE89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w:t>
      </w:r>
      <w:r>
        <w:rPr>
          <w:rFonts w:hint="eastAsia" w:ascii="宋体" w:hAnsi="宋体" w:cs="宋体"/>
          <w:color w:val="auto"/>
          <w:szCs w:val="21"/>
          <w:highlight w:val="none"/>
          <w:u w:val="single"/>
        </w:rPr>
        <w:t xml:space="preserve">                 </w:t>
      </w:r>
    </w:p>
    <w:p w14:paraId="22DE32E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xml:space="preserve">                     </w:t>
      </w:r>
    </w:p>
    <w:p w14:paraId="4ED617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 </w:t>
      </w:r>
    </w:p>
    <w:p w14:paraId="399944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电子信箱：</w:t>
      </w:r>
      <w:r>
        <w:rPr>
          <w:rFonts w:hint="eastAsia" w:ascii="宋体" w:hAnsi="宋体" w:cs="宋体"/>
          <w:color w:val="auto"/>
          <w:szCs w:val="21"/>
          <w:highlight w:val="none"/>
          <w:u w:val="single"/>
        </w:rPr>
        <w:t xml:space="preserve">                   </w:t>
      </w:r>
    </w:p>
    <w:p w14:paraId="1F314E4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p>
    <w:p w14:paraId="559AFEE6">
      <w:pPr>
        <w:ind w:firstLine="420" w:firstLineChars="200"/>
        <w:rPr>
          <w:rFonts w:hint="eastAsia" w:ascii="宋体" w:hAnsi="宋体" w:cs="宋体"/>
          <w:color w:val="auto"/>
          <w:highlight w:val="none"/>
        </w:rPr>
      </w:pPr>
      <w:r>
        <w:rPr>
          <w:rFonts w:hint="eastAsia" w:ascii="宋体" w:hAnsi="宋体" w:cs="宋体"/>
          <w:color w:val="auto"/>
          <w:szCs w:val="21"/>
          <w:highlight w:val="none"/>
        </w:rPr>
        <w:t>账  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 xml:space="preserve">                     </w:t>
      </w:r>
    </w:p>
    <w:p w14:paraId="20220D54">
      <w:pPr>
        <w:keepNext/>
        <w:keepLines/>
        <w:spacing w:line="360" w:lineRule="auto"/>
        <w:jc w:val="center"/>
        <w:outlineLvl w:val="1"/>
        <w:rPr>
          <w:rFonts w:hint="eastAsia" w:ascii="宋体" w:hAnsi="宋体" w:cs="宋体"/>
          <w:snapToGrid w:val="0"/>
          <w:color w:val="auto"/>
          <w:kern w:val="0"/>
          <w:sz w:val="28"/>
          <w:highlight w:val="none"/>
        </w:rPr>
      </w:pPr>
      <w:r>
        <w:rPr>
          <w:rFonts w:hint="eastAsia" w:ascii="宋体" w:hAnsi="宋体" w:eastAsia="宋体" w:cs="宋体"/>
          <w:b/>
          <w:bCs/>
          <w:color w:val="auto"/>
          <w:sz w:val="32"/>
          <w:szCs w:val="32"/>
          <w:highlight w:val="none"/>
        </w:rPr>
        <w:br w:type="page"/>
      </w:r>
      <w:bookmarkEnd w:id="882"/>
      <w:bookmarkEnd w:id="883"/>
      <w:bookmarkStart w:id="897" w:name="_Toc15494"/>
      <w:bookmarkStart w:id="898" w:name="_Toc95223460"/>
      <w:bookmarkStart w:id="899" w:name="_Toc4139"/>
      <w:r>
        <w:rPr>
          <w:rFonts w:hint="eastAsia" w:ascii="黑体" w:hAnsi="Times New Roman" w:eastAsia="黑体" w:cs="黑体"/>
          <w:b/>
          <w:bCs/>
          <w:color w:val="auto"/>
          <w:kern w:val="0"/>
          <w:sz w:val="32"/>
          <w:szCs w:val="32"/>
          <w:highlight w:val="none"/>
          <w:lang w:val="en-US" w:eastAsia="zh-CN" w:bidi="ar-SA"/>
        </w:rPr>
        <w:t>第二节  通用合同条款</w:t>
      </w:r>
      <w:bookmarkEnd w:id="897"/>
      <w:bookmarkEnd w:id="898"/>
    </w:p>
    <w:p w14:paraId="19336BDD">
      <w:pPr>
        <w:spacing w:line="440" w:lineRule="exact"/>
        <w:ind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使用建设部、国家工商行政管理局印发的《建设工程施工合同（GF-2017-0201示范文本）》第二部分通用条款。上述资料由投标人自行准备。</w:t>
      </w:r>
    </w:p>
    <w:p w14:paraId="1F32A6E6">
      <w:pPr>
        <w:pStyle w:val="8"/>
        <w:jc w:val="center"/>
        <w:rPr>
          <w:rFonts w:hint="eastAsia" w:ascii="黑体" w:eastAsia="黑体" w:cs="黑体"/>
          <w:color w:val="auto"/>
          <w:highlight w:val="none"/>
        </w:rPr>
      </w:pPr>
      <w:bookmarkStart w:id="900" w:name="_Toc14492"/>
      <w:r>
        <w:rPr>
          <w:rFonts w:hint="eastAsia" w:ascii="黑体" w:eastAsia="黑体" w:cs="黑体"/>
          <w:color w:val="auto"/>
          <w:highlight w:val="none"/>
        </w:rPr>
        <w:t>第三节 专用合同条款</w:t>
      </w:r>
    </w:p>
    <w:p w14:paraId="3096D989">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1. 一般约定</w:t>
      </w:r>
    </w:p>
    <w:p w14:paraId="560C1586">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 xml:space="preserve">1.1 </w:t>
      </w:r>
      <w:r>
        <w:rPr>
          <w:rFonts w:hint="eastAsia" w:ascii="宋体" w:hAnsi="宋体" w:cs="宋体"/>
          <w:bCs/>
          <w:color w:val="auto"/>
          <w:szCs w:val="28"/>
          <w:highlight w:val="none"/>
        </w:rPr>
        <w:t>词语定义与解释</w:t>
      </w:r>
    </w:p>
    <w:p w14:paraId="53F1D630">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1.1.1合同</w:t>
      </w:r>
    </w:p>
    <w:p w14:paraId="0224313C">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1.1.1.10其他合同文件包括：</w:t>
      </w:r>
      <w:r>
        <w:rPr>
          <w:rFonts w:hint="eastAsia" w:ascii="宋体" w:cs="宋体"/>
          <w:color w:val="auto"/>
          <w:szCs w:val="21"/>
          <w:highlight w:val="none"/>
          <w:u w:val="single"/>
        </w:rPr>
        <w:t>本项目招标文件、在合同订立及履行过程中形成的与合同有关的文件均构成合同文件组成部分。</w:t>
      </w:r>
    </w:p>
    <w:p w14:paraId="1CF2863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1.1.2 合同当事人及其他相关方</w:t>
      </w:r>
    </w:p>
    <w:p w14:paraId="72BAE515">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rPr>
        <w:t>1.1.2.4</w:t>
      </w:r>
      <w:r>
        <w:rPr>
          <w:rFonts w:hint="eastAsia" w:ascii="宋体" w:cs="宋体"/>
          <w:strike w:val="0"/>
          <w:dstrike w:val="0"/>
          <w:color w:val="auto"/>
          <w:szCs w:val="21"/>
          <w:highlight w:val="none"/>
          <w:lang w:val="en-US" w:eastAsia="zh-CN"/>
        </w:rPr>
        <w:t>发包人</w:t>
      </w:r>
      <w:r>
        <w:rPr>
          <w:rFonts w:hint="eastAsia" w:ascii="宋体" w:cs="宋体"/>
          <w:strike w:val="0"/>
          <w:dstrike w:val="0"/>
          <w:color w:val="auto"/>
          <w:szCs w:val="21"/>
          <w:highlight w:val="none"/>
        </w:rPr>
        <w:t>：</w:t>
      </w:r>
    </w:p>
    <w:p w14:paraId="03C1BDEF">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rPr>
        <w:t>名    称：</w:t>
      </w:r>
      <w:r>
        <w:rPr>
          <w:rFonts w:hint="eastAsia" w:ascii="宋体" w:cs="宋体"/>
          <w:strike w:val="0"/>
          <w:dstrike w:val="0"/>
          <w:color w:val="auto"/>
          <w:szCs w:val="21"/>
          <w:highlight w:val="none"/>
          <w:u w:val="single"/>
        </w:rPr>
        <w:t xml:space="preserve">                                         </w:t>
      </w:r>
      <w:r>
        <w:rPr>
          <w:rFonts w:hint="eastAsia" w:ascii="宋体" w:cs="宋体"/>
          <w:strike w:val="0"/>
          <w:dstrike w:val="0"/>
          <w:color w:val="auto"/>
          <w:szCs w:val="21"/>
          <w:highlight w:val="none"/>
        </w:rPr>
        <w:t>；</w:t>
      </w:r>
    </w:p>
    <w:p w14:paraId="70B240BF">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lang w:val="en-US" w:eastAsia="zh-CN"/>
        </w:rPr>
        <w:t>发包人现场联系人</w:t>
      </w:r>
      <w:r>
        <w:rPr>
          <w:rFonts w:hint="eastAsia" w:ascii="宋体" w:cs="宋体"/>
          <w:strike w:val="0"/>
          <w:dstrike w:val="0"/>
          <w:color w:val="auto"/>
          <w:szCs w:val="21"/>
          <w:highlight w:val="none"/>
        </w:rPr>
        <w:t>：</w:t>
      </w:r>
      <w:r>
        <w:rPr>
          <w:rFonts w:hint="eastAsia" w:ascii="宋体" w:cs="宋体"/>
          <w:strike w:val="0"/>
          <w:dstrike w:val="0"/>
          <w:color w:val="auto"/>
          <w:szCs w:val="21"/>
          <w:highlight w:val="none"/>
          <w:u w:val="single"/>
        </w:rPr>
        <w:t>               </w:t>
      </w:r>
      <w:r>
        <w:rPr>
          <w:rFonts w:hint="eastAsia" w:ascii="宋体" w:cs="宋体"/>
          <w:strike w:val="0"/>
          <w:dstrike w:val="0"/>
          <w:color w:val="auto"/>
          <w:szCs w:val="21"/>
          <w:highlight w:val="none"/>
        </w:rPr>
        <w:t>；</w:t>
      </w:r>
    </w:p>
    <w:p w14:paraId="6CEA4E67">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rPr>
        <w:t>联系电话：</w:t>
      </w:r>
      <w:r>
        <w:rPr>
          <w:rFonts w:hint="eastAsia" w:ascii="宋体" w:cs="宋体"/>
          <w:strike w:val="0"/>
          <w:dstrike w:val="0"/>
          <w:color w:val="auto"/>
          <w:szCs w:val="21"/>
          <w:highlight w:val="none"/>
          <w:u w:val="single"/>
        </w:rPr>
        <w:t>                 </w:t>
      </w:r>
      <w:r>
        <w:rPr>
          <w:rFonts w:hint="eastAsia" w:ascii="宋体" w:cs="宋体"/>
          <w:strike w:val="0"/>
          <w:dstrike w:val="0"/>
          <w:color w:val="auto"/>
          <w:szCs w:val="21"/>
          <w:highlight w:val="none"/>
        </w:rPr>
        <w:t>；</w:t>
      </w:r>
    </w:p>
    <w:p w14:paraId="597643CE">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rPr>
        <w:t>电子信箱：</w:t>
      </w:r>
      <w:r>
        <w:rPr>
          <w:rFonts w:hint="eastAsia" w:ascii="宋体" w:cs="宋体"/>
          <w:strike w:val="0"/>
          <w:dstrike w:val="0"/>
          <w:color w:val="auto"/>
          <w:szCs w:val="21"/>
          <w:highlight w:val="none"/>
          <w:u w:val="single"/>
        </w:rPr>
        <w:t>                 </w:t>
      </w:r>
      <w:r>
        <w:rPr>
          <w:rFonts w:hint="eastAsia" w:ascii="宋体" w:cs="宋体"/>
          <w:strike w:val="0"/>
          <w:dstrike w:val="0"/>
          <w:color w:val="auto"/>
          <w:szCs w:val="21"/>
          <w:highlight w:val="none"/>
        </w:rPr>
        <w:t>；</w:t>
      </w:r>
    </w:p>
    <w:p w14:paraId="5ECE0713">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rPr>
        <w:t>通信地址：</w:t>
      </w:r>
      <w:r>
        <w:rPr>
          <w:rFonts w:hint="eastAsia" w:ascii="宋体" w:cs="宋体"/>
          <w:strike w:val="0"/>
          <w:dstrike w:val="0"/>
          <w:color w:val="auto"/>
          <w:szCs w:val="21"/>
          <w:highlight w:val="none"/>
          <w:u w:val="single"/>
        </w:rPr>
        <w:t>                </w:t>
      </w:r>
      <w:r>
        <w:rPr>
          <w:rFonts w:hint="eastAsia" w:ascii="宋体" w:cs="宋体"/>
          <w:strike w:val="0"/>
          <w:dstrike w:val="0"/>
          <w:color w:val="auto"/>
          <w:szCs w:val="21"/>
          <w:highlight w:val="none"/>
        </w:rPr>
        <w:t>。</w:t>
      </w:r>
    </w:p>
    <w:p w14:paraId="3C8D6B35">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rPr>
        <w:t xml:space="preserve">1.1.2.5 </w:t>
      </w:r>
      <w:r>
        <w:rPr>
          <w:rFonts w:hint="eastAsia" w:ascii="宋体" w:cs="宋体"/>
          <w:strike w:val="0"/>
          <w:dstrike w:val="0"/>
          <w:color w:val="auto"/>
          <w:szCs w:val="21"/>
          <w:highlight w:val="none"/>
          <w:lang w:val="en-US" w:eastAsia="zh-CN"/>
        </w:rPr>
        <w:t>承包人</w:t>
      </w:r>
      <w:r>
        <w:rPr>
          <w:rFonts w:hint="eastAsia" w:ascii="宋体" w:cs="宋体"/>
          <w:strike w:val="0"/>
          <w:dstrike w:val="0"/>
          <w:color w:val="auto"/>
          <w:szCs w:val="21"/>
          <w:highlight w:val="none"/>
        </w:rPr>
        <w:t>：</w:t>
      </w:r>
    </w:p>
    <w:p w14:paraId="147609C6">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名    称：</w:t>
      </w:r>
      <w:r>
        <w:rPr>
          <w:rFonts w:hint="eastAsia" w:ascii="宋体" w:cs="宋体"/>
          <w:color w:val="auto"/>
          <w:szCs w:val="21"/>
          <w:highlight w:val="none"/>
          <w:u w:val="single"/>
        </w:rPr>
        <w:t xml:space="preserve">                                             </w:t>
      </w:r>
      <w:r>
        <w:rPr>
          <w:rFonts w:hint="eastAsia" w:ascii="宋体" w:cs="宋体"/>
          <w:color w:val="auto"/>
          <w:szCs w:val="21"/>
          <w:highlight w:val="none"/>
        </w:rPr>
        <w:t>；</w:t>
      </w:r>
    </w:p>
    <w:p w14:paraId="508333C4">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资质类别和等级：</w:t>
      </w:r>
      <w:r>
        <w:rPr>
          <w:rFonts w:hint="eastAsia" w:ascii="宋体" w:cs="宋体"/>
          <w:color w:val="auto"/>
          <w:szCs w:val="21"/>
          <w:highlight w:val="none"/>
          <w:u w:val="single"/>
        </w:rPr>
        <w:t>               </w:t>
      </w:r>
      <w:r>
        <w:rPr>
          <w:rFonts w:hint="eastAsia" w:ascii="宋体" w:cs="宋体"/>
          <w:color w:val="auto"/>
          <w:szCs w:val="21"/>
          <w:highlight w:val="none"/>
        </w:rPr>
        <w:t>；</w:t>
      </w:r>
    </w:p>
    <w:p w14:paraId="5549450D">
      <w:pPr>
        <w:snapToGrid w:val="0"/>
        <w:spacing w:line="440" w:lineRule="exact"/>
        <w:ind w:firstLine="420" w:firstLineChars="200"/>
        <w:rPr>
          <w:rFonts w:hint="eastAsia" w:ascii="宋体" w:cs="宋体"/>
          <w:color w:val="auto"/>
          <w:szCs w:val="21"/>
          <w:highlight w:val="none"/>
          <w:lang w:eastAsia="zh-CN"/>
        </w:rPr>
      </w:pPr>
      <w:r>
        <w:rPr>
          <w:rFonts w:hint="eastAsia" w:ascii="宋体" w:cs="宋体"/>
          <w:color w:val="auto"/>
          <w:szCs w:val="21"/>
          <w:highlight w:val="none"/>
          <w:lang w:val="en-US" w:eastAsia="zh-CN"/>
        </w:rPr>
        <w:t>项目经理：</w:t>
      </w:r>
      <w:r>
        <w:rPr>
          <w:rFonts w:hint="eastAsia" w:ascii="宋体" w:cs="宋体"/>
          <w:color w:val="auto"/>
          <w:szCs w:val="21"/>
          <w:highlight w:val="none"/>
          <w:u w:val="single"/>
        </w:rPr>
        <w:t>                 </w:t>
      </w:r>
      <w:r>
        <w:rPr>
          <w:rFonts w:hint="eastAsia" w:ascii="宋体" w:cs="宋体"/>
          <w:color w:val="auto"/>
          <w:szCs w:val="21"/>
          <w:highlight w:val="none"/>
        </w:rPr>
        <w:t>；</w:t>
      </w:r>
      <w:r>
        <w:rPr>
          <w:rFonts w:hint="eastAsia" w:ascii="宋体" w:cs="宋体"/>
          <w:color w:val="auto"/>
          <w:szCs w:val="21"/>
          <w:highlight w:val="none"/>
          <w:lang w:eastAsia="zh-CN"/>
        </w:rPr>
        <w:t>、</w:t>
      </w:r>
    </w:p>
    <w:p w14:paraId="21344721">
      <w:pPr>
        <w:snapToGrid w:val="0"/>
        <w:spacing w:line="440" w:lineRule="exact"/>
        <w:ind w:firstLine="420" w:firstLineChars="200"/>
        <w:rPr>
          <w:rFonts w:hint="eastAsia"/>
          <w:color w:val="auto"/>
          <w:highlight w:val="none"/>
          <w:lang w:val="en-US" w:eastAsia="zh-CN"/>
        </w:rPr>
      </w:pPr>
      <w:r>
        <w:rPr>
          <w:rFonts w:hint="eastAsia" w:ascii="宋体" w:cs="宋体"/>
          <w:color w:val="auto"/>
          <w:szCs w:val="21"/>
          <w:highlight w:val="none"/>
          <w:lang w:val="en-US" w:eastAsia="zh-CN"/>
        </w:rPr>
        <w:t>项目经理</w:t>
      </w:r>
      <w:r>
        <w:rPr>
          <w:rFonts w:hint="eastAsia" w:ascii="宋体" w:cs="宋体"/>
          <w:color w:val="auto"/>
          <w:szCs w:val="21"/>
          <w:highlight w:val="none"/>
        </w:rPr>
        <w:t>资质类别和等级：</w:t>
      </w:r>
      <w:r>
        <w:rPr>
          <w:rFonts w:hint="eastAsia" w:ascii="宋体" w:cs="宋体"/>
          <w:color w:val="auto"/>
          <w:szCs w:val="21"/>
          <w:highlight w:val="none"/>
          <w:u w:val="single"/>
        </w:rPr>
        <w:t>            </w:t>
      </w:r>
      <w:r>
        <w:rPr>
          <w:rFonts w:hint="eastAsia" w:ascii="宋体" w:cs="宋体"/>
          <w:color w:val="auto"/>
          <w:szCs w:val="21"/>
          <w:highlight w:val="none"/>
        </w:rPr>
        <w:t>；</w:t>
      </w:r>
    </w:p>
    <w:p w14:paraId="1468DCA7">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联系电话：</w:t>
      </w:r>
      <w:r>
        <w:rPr>
          <w:rFonts w:hint="eastAsia" w:ascii="宋体" w:cs="宋体"/>
          <w:color w:val="auto"/>
          <w:szCs w:val="21"/>
          <w:highlight w:val="none"/>
          <w:u w:val="single"/>
        </w:rPr>
        <w:t>                 </w:t>
      </w:r>
      <w:r>
        <w:rPr>
          <w:rFonts w:hint="eastAsia" w:ascii="宋体" w:cs="宋体"/>
          <w:color w:val="auto"/>
          <w:szCs w:val="21"/>
          <w:highlight w:val="none"/>
        </w:rPr>
        <w:t>；</w:t>
      </w:r>
    </w:p>
    <w:p w14:paraId="747F1133">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电子信箱：</w:t>
      </w:r>
      <w:r>
        <w:rPr>
          <w:rFonts w:hint="eastAsia" w:ascii="宋体" w:cs="宋体"/>
          <w:color w:val="auto"/>
          <w:szCs w:val="21"/>
          <w:highlight w:val="none"/>
          <w:u w:val="single"/>
        </w:rPr>
        <w:t xml:space="preserve">                    </w:t>
      </w:r>
      <w:r>
        <w:rPr>
          <w:rFonts w:hint="eastAsia" w:ascii="宋体" w:cs="宋体"/>
          <w:color w:val="auto"/>
          <w:szCs w:val="21"/>
          <w:highlight w:val="none"/>
        </w:rPr>
        <w:t>；</w:t>
      </w:r>
    </w:p>
    <w:p w14:paraId="1AB804F9">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通信地址：</w:t>
      </w:r>
      <w:r>
        <w:rPr>
          <w:rFonts w:hint="eastAsia" w:ascii="宋体" w:cs="宋体"/>
          <w:color w:val="auto"/>
          <w:szCs w:val="21"/>
          <w:highlight w:val="none"/>
          <w:u w:val="single"/>
        </w:rPr>
        <w:t>                </w:t>
      </w:r>
      <w:r>
        <w:rPr>
          <w:rFonts w:hint="eastAsia" w:ascii="宋体" w:cs="宋体"/>
          <w:color w:val="auto"/>
          <w:szCs w:val="21"/>
          <w:highlight w:val="none"/>
        </w:rPr>
        <w:t>。</w:t>
      </w:r>
    </w:p>
    <w:p w14:paraId="5FC1C36F">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1.1.3 工程和设备</w:t>
      </w:r>
    </w:p>
    <w:p w14:paraId="7960EA36">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1.1.3.7 作为施工现场组成部分的其他场所包括：</w:t>
      </w:r>
      <w:r>
        <w:rPr>
          <w:rFonts w:hint="eastAsia" w:ascii="宋体" w:cs="宋体"/>
          <w:color w:val="auto"/>
          <w:szCs w:val="21"/>
          <w:highlight w:val="none"/>
          <w:u w:val="single"/>
        </w:rPr>
        <w:t xml:space="preserve"> 见施工图纸并现场确定</w:t>
      </w:r>
      <w:r>
        <w:rPr>
          <w:rFonts w:hint="eastAsia" w:ascii="宋体" w:cs="宋体"/>
          <w:color w:val="auto"/>
          <w:szCs w:val="21"/>
          <w:highlight w:val="none"/>
        </w:rPr>
        <w:t>。</w:t>
      </w:r>
    </w:p>
    <w:p w14:paraId="38D30C66">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1.1.3.9 永久占地包括：</w:t>
      </w:r>
      <w:r>
        <w:rPr>
          <w:rFonts w:hint="eastAsia" w:ascii="宋体" w:cs="宋体"/>
          <w:color w:val="auto"/>
          <w:szCs w:val="21"/>
          <w:highlight w:val="none"/>
          <w:u w:val="single"/>
        </w:rPr>
        <w:t xml:space="preserve">   见施工图纸 </w:t>
      </w:r>
      <w:r>
        <w:rPr>
          <w:rFonts w:hint="eastAsia" w:ascii="宋体" w:cs="宋体"/>
          <w:color w:val="auto"/>
          <w:kern w:val="0"/>
          <w:szCs w:val="21"/>
          <w:highlight w:val="none"/>
        </w:rPr>
        <w:t>。</w:t>
      </w:r>
    </w:p>
    <w:p w14:paraId="296C7B2A">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kern w:val="0"/>
          <w:szCs w:val="21"/>
          <w:highlight w:val="none"/>
        </w:rPr>
        <w:t>1.1.3.10 临时占地包括：</w:t>
      </w:r>
      <w:r>
        <w:rPr>
          <w:rFonts w:hint="eastAsia" w:ascii="宋体" w:cs="宋体"/>
          <w:color w:val="auto"/>
          <w:szCs w:val="21"/>
          <w:highlight w:val="none"/>
          <w:u w:val="single"/>
        </w:rPr>
        <w:t xml:space="preserve">   现场确定</w:t>
      </w:r>
      <w:r>
        <w:rPr>
          <w:rFonts w:hint="eastAsia" w:ascii="宋体" w:cs="宋体"/>
          <w:color w:val="auto"/>
          <w:kern w:val="0"/>
          <w:szCs w:val="21"/>
          <w:highlight w:val="none"/>
        </w:rPr>
        <w:t>。</w:t>
      </w:r>
    </w:p>
    <w:p w14:paraId="5D258377">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 xml:space="preserve">1.3法律 </w:t>
      </w:r>
    </w:p>
    <w:p w14:paraId="410CA111">
      <w:pPr>
        <w:autoSpaceDE w:val="0"/>
        <w:autoSpaceDN w:val="0"/>
        <w:adjustRightInd w:val="0"/>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适用于合同的其他规范性文件：</w:t>
      </w:r>
      <w:r>
        <w:rPr>
          <w:rFonts w:hint="eastAsia" w:ascii="宋体" w:hAnsi="宋体" w:cs="宋体"/>
          <w:color w:val="auto"/>
          <w:szCs w:val="21"/>
          <w:highlight w:val="none"/>
          <w:u w:val="single"/>
        </w:rPr>
        <w:t>《中华人民共和国民法典》、《中华人民共和国建筑法》、《中华人民共和国招标投标法》、《建设工程质量管理条例》、《建设工程安全生产管理条例》等国家及工程所在地现行有效的法律法规和规章</w:t>
      </w:r>
      <w:r>
        <w:rPr>
          <w:rFonts w:hint="eastAsia" w:ascii="宋体" w:cs="宋体"/>
          <w:color w:val="auto"/>
          <w:szCs w:val="21"/>
          <w:highlight w:val="none"/>
          <w:u w:val="single"/>
        </w:rPr>
        <w:t>。</w:t>
      </w:r>
    </w:p>
    <w:p w14:paraId="3E6C4198">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1.4 标准和规范</w:t>
      </w:r>
    </w:p>
    <w:p w14:paraId="471FA428">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1.4.1适用于工程的标准规范包括：</w:t>
      </w:r>
      <w:r>
        <w:rPr>
          <w:rFonts w:hint="eastAsia" w:ascii="宋体" w:cs="宋体"/>
          <w:color w:val="auto"/>
          <w:szCs w:val="21"/>
          <w:highlight w:val="none"/>
          <w:u w:val="single"/>
        </w:rPr>
        <w:t>中华人民共和国住房和城乡建设部等部门及省、市发布的有关文件</w:t>
      </w:r>
      <w:r>
        <w:rPr>
          <w:rFonts w:hint="eastAsia" w:ascii="宋体" w:cs="宋体"/>
          <w:color w:val="auto"/>
          <w:szCs w:val="21"/>
          <w:highlight w:val="none"/>
        </w:rPr>
        <w:t>。</w:t>
      </w:r>
    </w:p>
    <w:p w14:paraId="406364FC">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1.4.2 发包人提供国外标准、规范的名称：</w:t>
      </w:r>
      <w:r>
        <w:rPr>
          <w:rFonts w:hint="eastAsia" w:ascii="宋体" w:cs="宋体"/>
          <w:color w:val="auto"/>
          <w:kern w:val="0"/>
          <w:szCs w:val="21"/>
          <w:highlight w:val="none"/>
          <w:u w:val="single"/>
        </w:rPr>
        <w:t xml:space="preserve"> </w:t>
      </w:r>
      <w:r>
        <w:rPr>
          <w:rFonts w:hint="eastAsia" w:ascii="宋体" w:cs="宋体"/>
          <w:color w:val="auto"/>
          <w:szCs w:val="21"/>
          <w:highlight w:val="none"/>
          <w:u w:val="single"/>
        </w:rPr>
        <w:t>承包人自备国内现行适用的标准、规范</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w:t>
      </w:r>
    </w:p>
    <w:p w14:paraId="154C6DE9">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发包人提供国外标准、规范的份数：</w:t>
      </w:r>
      <w:r>
        <w:rPr>
          <w:rFonts w:hint="eastAsia" w:ascii="宋体" w:cs="宋体"/>
          <w:color w:val="auto"/>
          <w:kern w:val="0"/>
          <w:szCs w:val="21"/>
          <w:highlight w:val="none"/>
          <w:u w:val="single"/>
        </w:rPr>
        <w:t xml:space="preserve">   无   </w:t>
      </w:r>
      <w:r>
        <w:rPr>
          <w:rFonts w:hint="eastAsia" w:ascii="宋体" w:cs="宋体"/>
          <w:color w:val="auto"/>
          <w:kern w:val="0"/>
          <w:szCs w:val="21"/>
          <w:highlight w:val="none"/>
        </w:rPr>
        <w:t>；</w:t>
      </w:r>
    </w:p>
    <w:p w14:paraId="2EDB71E7">
      <w:pPr>
        <w:snapToGrid w:val="0"/>
        <w:spacing w:line="440" w:lineRule="exact"/>
        <w:ind w:firstLine="420" w:firstLineChars="200"/>
        <w:rPr>
          <w:rFonts w:hint="eastAsia" w:ascii="宋体" w:cs="宋体"/>
          <w:color w:val="auto"/>
          <w:szCs w:val="21"/>
          <w:highlight w:val="none"/>
        </w:rPr>
      </w:pPr>
      <w:r>
        <w:rPr>
          <w:rFonts w:hint="eastAsia" w:ascii="宋体" w:cs="宋体"/>
          <w:color w:val="auto"/>
          <w:kern w:val="0"/>
          <w:szCs w:val="21"/>
          <w:highlight w:val="none"/>
        </w:rPr>
        <w:t>发包人提供国外标准、规范的名称：</w:t>
      </w:r>
      <w:r>
        <w:rPr>
          <w:rFonts w:hint="eastAsia" w:ascii="宋体" w:cs="宋体"/>
          <w:color w:val="auto"/>
          <w:kern w:val="0"/>
          <w:szCs w:val="21"/>
          <w:highlight w:val="none"/>
          <w:u w:val="single"/>
        </w:rPr>
        <w:t xml:space="preserve">   无   </w:t>
      </w:r>
      <w:r>
        <w:rPr>
          <w:rFonts w:hint="eastAsia" w:ascii="宋体" w:cs="宋体"/>
          <w:color w:val="auto"/>
          <w:kern w:val="0"/>
          <w:szCs w:val="21"/>
          <w:highlight w:val="none"/>
        </w:rPr>
        <w:t>。</w:t>
      </w:r>
    </w:p>
    <w:p w14:paraId="20783D4F">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1.4.3发包人对工程的技术标准和功能要求的特殊要求：</w:t>
      </w:r>
      <w:r>
        <w:rPr>
          <w:rFonts w:hint="eastAsia" w:ascii="宋体" w:cs="宋体"/>
          <w:color w:val="auto"/>
          <w:szCs w:val="21"/>
          <w:highlight w:val="none"/>
          <w:u w:val="single"/>
        </w:rPr>
        <w:t xml:space="preserve">按现行规范执行  </w:t>
      </w:r>
      <w:r>
        <w:rPr>
          <w:rFonts w:hint="eastAsia" w:ascii="宋体" w:cs="宋体"/>
          <w:color w:val="auto"/>
          <w:szCs w:val="21"/>
          <w:highlight w:val="none"/>
        </w:rPr>
        <w:t>。</w:t>
      </w:r>
    </w:p>
    <w:p w14:paraId="7592B7C6">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1.5 合同文件的优先顺序</w:t>
      </w:r>
    </w:p>
    <w:p w14:paraId="7C12261C">
      <w:pPr>
        <w:snapToGrid w:val="0"/>
        <w:spacing w:line="440" w:lineRule="exact"/>
        <w:ind w:firstLine="420" w:firstLineChars="200"/>
        <w:rPr>
          <w:color w:val="auto"/>
          <w:highlight w:val="none"/>
        </w:rPr>
      </w:pPr>
      <w:r>
        <w:rPr>
          <w:rFonts w:hint="eastAsia" w:ascii="宋体" w:cs="宋体"/>
          <w:color w:val="auto"/>
          <w:szCs w:val="21"/>
          <w:highlight w:val="none"/>
        </w:rPr>
        <w:t>合同文件组成及优先顺序为：</w:t>
      </w:r>
      <w:r>
        <w:rPr>
          <w:rFonts w:hint="eastAsia" w:ascii="宋体" w:cs="宋体"/>
          <w:color w:val="auto"/>
          <w:szCs w:val="21"/>
          <w:highlight w:val="none"/>
          <w:u w:val="single"/>
        </w:rPr>
        <w:t>（1）合同协议书；（2）中</w:t>
      </w:r>
      <w:r>
        <w:rPr>
          <w:rFonts w:hint="eastAsia" w:ascii="宋体" w:cs="宋体"/>
          <w:color w:val="auto"/>
          <w:szCs w:val="21"/>
          <w:highlight w:val="none"/>
          <w:u w:val="single"/>
          <w:lang w:val="en-US" w:eastAsia="zh-CN"/>
        </w:rPr>
        <w:t>标</w:t>
      </w:r>
      <w:r>
        <w:rPr>
          <w:rFonts w:hint="eastAsia" w:ascii="宋体" w:cs="宋体"/>
          <w:color w:val="auto"/>
          <w:szCs w:val="21"/>
          <w:highlight w:val="none"/>
          <w:u w:val="single"/>
        </w:rPr>
        <w:t>通知书；（3）确认函及其附录；（4）招标文件；（5）专用合同条款及其附件；（6）通用合同条款；（7）技术标准和要求；（8）图纸；（9）已标价工程量清单或预算书；（10）其他合同文件。</w:t>
      </w:r>
    </w:p>
    <w:p w14:paraId="564F69ED">
      <w:pPr>
        <w:pStyle w:val="2"/>
        <w:spacing w:after="0" w:line="440" w:lineRule="exact"/>
        <w:ind w:left="0" w:leftChars="0"/>
        <w:rPr>
          <w:color w:val="auto"/>
          <w:highlight w:val="none"/>
        </w:rPr>
      </w:pPr>
      <w:r>
        <w:rPr>
          <w:color w:val="auto"/>
          <w:highlight w:val="none"/>
        </w:rPr>
        <w:t>上述各项合同文件包括合同当事人就该项合同文件所作出的补充和修改，属于同一类内容的文件，应以最新签署的为准。</w:t>
      </w:r>
    </w:p>
    <w:p w14:paraId="7FE8342F">
      <w:pPr>
        <w:pStyle w:val="2"/>
        <w:spacing w:after="0" w:line="440" w:lineRule="exact"/>
        <w:ind w:left="0" w:leftChars="0"/>
        <w:rPr>
          <w:color w:val="auto"/>
          <w:highlight w:val="none"/>
        </w:rPr>
      </w:pPr>
      <w:r>
        <w:rPr>
          <w:color w:val="auto"/>
          <w:highlight w:val="none"/>
        </w:rPr>
        <w:t>在合同订立及履行过程中形成的与合同有关的文件均构成合同文件组成部分，并根据其性质确定优先解释顺序。</w:t>
      </w:r>
    </w:p>
    <w:p w14:paraId="7141C4E5">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1.6 图纸和承包人文件</w:t>
      </w:r>
      <w:r>
        <w:rPr>
          <w:rFonts w:hint="eastAsia" w:ascii="宋体" w:cs="宋体"/>
          <w:color w:val="auto"/>
          <w:szCs w:val="21"/>
          <w:highlight w:val="none"/>
        </w:rPr>
        <w:tab/>
      </w:r>
    </w:p>
    <w:p w14:paraId="7EB1FE80">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 xml:space="preserve">1.6.1 </w:t>
      </w:r>
      <w:r>
        <w:rPr>
          <w:rFonts w:hint="eastAsia" w:ascii="宋体" w:hAnsi="宋体" w:cs="宋体"/>
          <w:color w:val="auto"/>
          <w:highlight w:val="none"/>
        </w:rPr>
        <w:t>图纸的提供和交底</w:t>
      </w:r>
    </w:p>
    <w:p w14:paraId="68992813">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发包人向承包人提供图纸的期限：</w:t>
      </w:r>
      <w:r>
        <w:rPr>
          <w:rFonts w:hint="eastAsia" w:ascii="宋体" w:cs="宋体"/>
          <w:color w:val="auto"/>
          <w:szCs w:val="21"/>
          <w:highlight w:val="none"/>
          <w:u w:val="single"/>
        </w:rPr>
        <w:t xml:space="preserve"> 开工前14天</w:t>
      </w:r>
      <w:r>
        <w:rPr>
          <w:rFonts w:hint="eastAsia" w:ascii="宋体" w:cs="宋体"/>
          <w:color w:val="auto"/>
          <w:szCs w:val="21"/>
          <w:highlight w:val="none"/>
        </w:rPr>
        <w:t>；</w:t>
      </w:r>
    </w:p>
    <w:p w14:paraId="68D9B573">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发包人向承包人提供图纸的数量：</w:t>
      </w:r>
      <w:r>
        <w:rPr>
          <w:rFonts w:hint="eastAsia" w:ascii="宋体" w:cs="宋体"/>
          <w:color w:val="auto"/>
          <w:szCs w:val="21"/>
          <w:highlight w:val="none"/>
          <w:u w:val="single"/>
        </w:rPr>
        <w:t xml:space="preserve">3份 </w:t>
      </w:r>
      <w:r>
        <w:rPr>
          <w:rFonts w:hint="eastAsia" w:ascii="宋体" w:cs="宋体"/>
          <w:color w:val="auto"/>
          <w:szCs w:val="21"/>
          <w:highlight w:val="none"/>
        </w:rPr>
        <w:t>；</w:t>
      </w:r>
    </w:p>
    <w:p w14:paraId="1D8B8F80">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发包人向承包人提供图纸的内容：</w:t>
      </w:r>
      <w:r>
        <w:rPr>
          <w:rFonts w:hint="eastAsia" w:ascii="宋体" w:cs="宋体"/>
          <w:color w:val="auto"/>
          <w:szCs w:val="21"/>
          <w:highlight w:val="none"/>
          <w:u w:val="single"/>
        </w:rPr>
        <w:t>全套施工图 </w:t>
      </w:r>
      <w:r>
        <w:rPr>
          <w:rFonts w:hint="eastAsia" w:ascii="宋体" w:cs="宋体"/>
          <w:color w:val="auto"/>
          <w:szCs w:val="21"/>
          <w:highlight w:val="none"/>
        </w:rPr>
        <w:t>。</w:t>
      </w:r>
    </w:p>
    <w:p w14:paraId="77B7BA32">
      <w:pPr>
        <w:snapToGrid w:val="0"/>
        <w:spacing w:line="440" w:lineRule="exact"/>
        <w:ind w:firstLine="420" w:firstLineChars="200"/>
        <w:rPr>
          <w:rFonts w:hint="eastAsia" w:ascii="宋体" w:eastAsia="宋体" w:cs="宋体"/>
          <w:color w:val="auto"/>
          <w:szCs w:val="21"/>
          <w:highlight w:val="none"/>
          <w:lang w:eastAsia="zh-CN"/>
        </w:rPr>
      </w:pPr>
      <w:r>
        <w:rPr>
          <w:rFonts w:hint="eastAsia" w:ascii="宋体" w:cs="宋体"/>
          <w:color w:val="auto"/>
          <w:szCs w:val="21"/>
          <w:highlight w:val="none"/>
        </w:rPr>
        <w:t>1.6.4 承包人文件</w:t>
      </w:r>
    </w:p>
    <w:p w14:paraId="4DBBC051">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需要由承包人提供的文件，包括：</w:t>
      </w:r>
      <w:r>
        <w:rPr>
          <w:rFonts w:hint="eastAsia" w:ascii="宋体" w:cs="宋体"/>
          <w:color w:val="auto"/>
          <w:szCs w:val="21"/>
          <w:highlight w:val="none"/>
          <w:u w:val="single"/>
        </w:rPr>
        <w:t>包括但不限于项目部人员证书（在领取中</w:t>
      </w:r>
      <w:r>
        <w:rPr>
          <w:rFonts w:hint="eastAsia" w:ascii="宋体" w:cs="宋体"/>
          <w:color w:val="auto"/>
          <w:szCs w:val="21"/>
          <w:highlight w:val="none"/>
          <w:u w:val="single"/>
          <w:lang w:val="en-US" w:eastAsia="zh-CN"/>
        </w:rPr>
        <w:t>标</w:t>
      </w:r>
      <w:r>
        <w:rPr>
          <w:rFonts w:hint="eastAsia" w:ascii="宋体" w:cs="宋体"/>
          <w:color w:val="auto"/>
          <w:szCs w:val="21"/>
          <w:highlight w:val="none"/>
          <w:u w:val="single"/>
        </w:rPr>
        <w:t xml:space="preserve">通知书前）、项目部任命文、实施性施工组织设计等  </w:t>
      </w:r>
      <w:r>
        <w:rPr>
          <w:rFonts w:hint="eastAsia" w:ascii="宋体" w:cs="宋体"/>
          <w:color w:val="auto"/>
          <w:szCs w:val="21"/>
          <w:highlight w:val="none"/>
        </w:rPr>
        <w:t>；</w:t>
      </w:r>
    </w:p>
    <w:p w14:paraId="03BF03BC">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rPr>
        <w:t>承包人提供的文件的期限为：</w:t>
      </w:r>
      <w:r>
        <w:rPr>
          <w:rFonts w:hint="eastAsia" w:ascii="宋体" w:cs="宋体"/>
          <w:strike w:val="0"/>
          <w:dstrike w:val="0"/>
          <w:color w:val="auto"/>
          <w:szCs w:val="21"/>
          <w:highlight w:val="none"/>
          <w:u w:val="single"/>
        </w:rPr>
        <w:t></w:t>
      </w:r>
      <w:r>
        <w:rPr>
          <w:rFonts w:hint="eastAsia" w:ascii="宋体" w:cs="宋体"/>
          <w:strike w:val="0"/>
          <w:dstrike w:val="0"/>
          <w:color w:val="auto"/>
          <w:szCs w:val="21"/>
          <w:highlight w:val="none"/>
          <w:u w:val="single"/>
          <w:lang w:val="en-US" w:eastAsia="zh-CN"/>
        </w:rPr>
        <w:t>进场前7日内</w:t>
      </w:r>
      <w:r>
        <w:rPr>
          <w:rFonts w:hint="eastAsia" w:ascii="宋体" w:cs="宋体"/>
          <w:strike w:val="0"/>
          <w:dstrike w:val="0"/>
          <w:color w:val="auto"/>
          <w:szCs w:val="21"/>
          <w:highlight w:val="none"/>
          <w:u w:val="single"/>
        </w:rPr>
        <w:t xml:space="preserve">   </w:t>
      </w:r>
      <w:r>
        <w:rPr>
          <w:rFonts w:hint="eastAsia" w:ascii="宋体" w:cs="宋体"/>
          <w:strike w:val="0"/>
          <w:dstrike w:val="0"/>
          <w:color w:val="auto"/>
          <w:szCs w:val="21"/>
          <w:highlight w:val="none"/>
        </w:rPr>
        <w:t>；</w:t>
      </w:r>
    </w:p>
    <w:p w14:paraId="5CFB0325">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rPr>
        <w:t>承包人提供的文件的数量为：</w:t>
      </w:r>
      <w:r>
        <w:rPr>
          <w:rFonts w:hint="eastAsia" w:ascii="宋体" w:cs="宋体"/>
          <w:strike w:val="0"/>
          <w:dstrike w:val="0"/>
          <w:color w:val="auto"/>
          <w:szCs w:val="21"/>
          <w:highlight w:val="none"/>
          <w:u w:val="single"/>
        </w:rPr>
        <w:t xml:space="preserve"> </w:t>
      </w:r>
      <w:r>
        <w:rPr>
          <w:rFonts w:hint="eastAsia" w:ascii="宋体" w:cs="宋体"/>
          <w:strike w:val="0"/>
          <w:dstrike w:val="0"/>
          <w:color w:val="auto"/>
          <w:szCs w:val="21"/>
          <w:highlight w:val="none"/>
          <w:u w:val="single"/>
          <w:lang w:val="en-US" w:eastAsia="zh-CN"/>
        </w:rPr>
        <w:t>一份</w:t>
      </w:r>
      <w:r>
        <w:rPr>
          <w:rFonts w:hint="eastAsia" w:ascii="宋体" w:cs="宋体"/>
          <w:strike w:val="0"/>
          <w:dstrike w:val="0"/>
          <w:color w:val="auto"/>
          <w:szCs w:val="21"/>
          <w:highlight w:val="none"/>
          <w:u w:val="single"/>
        </w:rPr>
        <w:t xml:space="preserve">  </w:t>
      </w:r>
      <w:r>
        <w:rPr>
          <w:rFonts w:hint="eastAsia" w:ascii="宋体" w:cs="宋体"/>
          <w:strike w:val="0"/>
          <w:dstrike w:val="0"/>
          <w:color w:val="auto"/>
          <w:szCs w:val="21"/>
          <w:highlight w:val="none"/>
        </w:rPr>
        <w:t>；</w:t>
      </w:r>
    </w:p>
    <w:p w14:paraId="58E5CC94">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rPr>
        <w:t>承包人提供的文件的形式为：</w:t>
      </w:r>
      <w:r>
        <w:rPr>
          <w:rFonts w:hint="eastAsia" w:ascii="宋体" w:cs="宋体"/>
          <w:strike w:val="0"/>
          <w:dstrike w:val="0"/>
          <w:color w:val="auto"/>
          <w:szCs w:val="21"/>
          <w:highlight w:val="none"/>
          <w:u w:val="single"/>
        </w:rPr>
        <w:t></w:t>
      </w:r>
      <w:r>
        <w:rPr>
          <w:rFonts w:hint="eastAsia" w:ascii="宋体" w:cs="宋体"/>
          <w:strike w:val="0"/>
          <w:dstrike w:val="0"/>
          <w:color w:val="auto"/>
          <w:szCs w:val="21"/>
          <w:highlight w:val="none"/>
          <w:u w:val="single"/>
          <w:lang w:val="en-US" w:eastAsia="zh-CN"/>
        </w:rPr>
        <w:t>电子版及纸质版</w:t>
      </w:r>
      <w:r>
        <w:rPr>
          <w:rFonts w:hint="eastAsia" w:ascii="宋体" w:cs="宋体"/>
          <w:strike w:val="0"/>
          <w:dstrike w:val="0"/>
          <w:color w:val="auto"/>
          <w:szCs w:val="21"/>
          <w:highlight w:val="none"/>
          <w:u w:val="single"/>
        </w:rPr>
        <w:t></w:t>
      </w:r>
      <w:r>
        <w:rPr>
          <w:rFonts w:hint="eastAsia" w:ascii="宋体" w:cs="宋体"/>
          <w:strike w:val="0"/>
          <w:dstrike w:val="0"/>
          <w:color w:val="auto"/>
          <w:szCs w:val="21"/>
          <w:highlight w:val="none"/>
        </w:rPr>
        <w:t>；</w:t>
      </w:r>
    </w:p>
    <w:p w14:paraId="30663EAA">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发包人审批承包人文件的期限：</w:t>
      </w:r>
      <w:r>
        <w:rPr>
          <w:rFonts w:hint="eastAsia" w:ascii="宋体" w:cs="宋体"/>
          <w:color w:val="auto"/>
          <w:szCs w:val="21"/>
          <w:highlight w:val="none"/>
          <w:u w:val="single"/>
        </w:rPr>
        <w:t>  7天 </w:t>
      </w:r>
      <w:r>
        <w:rPr>
          <w:rFonts w:hint="eastAsia" w:ascii="宋体" w:cs="宋体"/>
          <w:color w:val="auto"/>
          <w:szCs w:val="21"/>
          <w:highlight w:val="none"/>
        </w:rPr>
        <w:t>。</w:t>
      </w:r>
    </w:p>
    <w:p w14:paraId="07E0E34F">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1.6.5 图纸和承包人文件的保管</w:t>
      </w:r>
    </w:p>
    <w:p w14:paraId="5935C776">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关于图纸和承包人文件的保管的约定：</w:t>
      </w:r>
      <w:r>
        <w:rPr>
          <w:rFonts w:hint="eastAsia" w:ascii="宋体" w:cs="宋体"/>
          <w:color w:val="auto"/>
          <w:szCs w:val="21"/>
          <w:highlight w:val="none"/>
          <w:u w:val="single"/>
        </w:rPr>
        <w:t>除专用合同条款另有约定外，承包人应在施工现场另外保存一套完整的图纸和承包人文件，供发包人、</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及有关人员进行工程检查时使用</w:t>
      </w:r>
      <w:r>
        <w:rPr>
          <w:rFonts w:hint="eastAsia" w:ascii="宋体" w:cs="宋体"/>
          <w:color w:val="auto"/>
          <w:szCs w:val="21"/>
          <w:highlight w:val="none"/>
        </w:rPr>
        <w:t>。</w:t>
      </w:r>
    </w:p>
    <w:p w14:paraId="0BD00F00">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1.7 联络</w:t>
      </w:r>
    </w:p>
    <w:p w14:paraId="63FEAF0B">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1.7.1发包人和承包人应当在</w:t>
      </w:r>
      <w:r>
        <w:rPr>
          <w:rFonts w:hint="eastAsia" w:ascii="宋体" w:cs="宋体"/>
          <w:color w:val="auto"/>
          <w:szCs w:val="21"/>
          <w:highlight w:val="none"/>
          <w:u w:val="single"/>
        </w:rPr>
        <w:t xml:space="preserve">7天  </w:t>
      </w:r>
      <w:r>
        <w:rPr>
          <w:rFonts w:hint="eastAsia" w:ascii="宋体" w:cs="宋体"/>
          <w:color w:val="auto"/>
          <w:kern w:val="0"/>
          <w:szCs w:val="21"/>
          <w:highlight w:val="none"/>
        </w:rPr>
        <w:t>天内将与合同有关的通知、批准、证明、证书、指示、指令、要求、请求、同意、意见、确定和决定等书面函件送达对方当事人。</w:t>
      </w:r>
    </w:p>
    <w:p w14:paraId="48AA27E8">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1.7.2 发包人接收文件的地点：</w:t>
      </w:r>
      <w:r>
        <w:rPr>
          <w:rFonts w:hint="eastAsia" w:ascii="宋体" w:cs="宋体"/>
          <w:color w:val="auto"/>
          <w:szCs w:val="21"/>
          <w:highlight w:val="none"/>
          <w:u w:val="single"/>
        </w:rPr>
        <w:t></w:t>
      </w:r>
      <w:r>
        <w:rPr>
          <w:rFonts w:hint="eastAsia" w:ascii="宋体" w:cs="宋体"/>
          <w:color w:val="auto"/>
          <w:szCs w:val="21"/>
          <w:highlight w:val="none"/>
          <w:u w:val="single"/>
          <w:lang w:eastAsia="zh-CN"/>
        </w:rPr>
        <w:t>滁州市兴天矿业有限公司</w:t>
      </w:r>
      <w:r>
        <w:rPr>
          <w:rFonts w:hint="eastAsia" w:ascii="宋体" w:cs="宋体"/>
          <w:color w:val="auto"/>
          <w:szCs w:val="21"/>
          <w:highlight w:val="none"/>
          <w:u w:val="single"/>
        </w:rPr>
        <w:t>或项目部</w:t>
      </w:r>
      <w:r>
        <w:rPr>
          <w:rFonts w:hint="eastAsia" w:ascii="宋体" w:cs="宋体"/>
          <w:color w:val="auto"/>
          <w:kern w:val="0"/>
          <w:szCs w:val="21"/>
          <w:highlight w:val="none"/>
        </w:rPr>
        <w:t>；</w:t>
      </w:r>
    </w:p>
    <w:p w14:paraId="13591616">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发包人指定的接收人为：</w:t>
      </w:r>
      <w:r>
        <w:rPr>
          <w:rFonts w:hint="eastAsia" w:ascii="宋体" w:cs="宋体"/>
          <w:color w:val="auto"/>
          <w:szCs w:val="21"/>
          <w:highlight w:val="none"/>
          <w:u w:val="single"/>
        </w:rPr>
        <w:t>发包人代表</w:t>
      </w:r>
      <w:r>
        <w:rPr>
          <w:rFonts w:hint="eastAsia" w:ascii="宋体" w:cs="宋体"/>
          <w:color w:val="auto"/>
          <w:kern w:val="0"/>
          <w:szCs w:val="21"/>
          <w:highlight w:val="none"/>
        </w:rPr>
        <w:t>；</w:t>
      </w:r>
    </w:p>
    <w:p w14:paraId="04930C68">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承包人接收文件的地点：</w:t>
      </w:r>
      <w:r>
        <w:rPr>
          <w:rFonts w:hint="eastAsia" w:ascii="宋体" w:cs="宋体"/>
          <w:color w:val="auto"/>
          <w:szCs w:val="21"/>
          <w:highlight w:val="none"/>
          <w:u w:val="single"/>
        </w:rPr>
        <w:t xml:space="preserve"> </w:t>
      </w:r>
      <w:r>
        <w:rPr>
          <w:rFonts w:hint="eastAsia" w:ascii="宋体" w:cs="宋体"/>
          <w:color w:val="auto"/>
          <w:szCs w:val="21"/>
          <w:highlight w:val="none"/>
          <w:u w:val="single"/>
          <w:lang w:eastAsia="zh-CN"/>
        </w:rPr>
        <w:t>滁州市兴天矿业有限公司</w:t>
      </w:r>
      <w:r>
        <w:rPr>
          <w:rFonts w:hint="eastAsia" w:ascii="宋体" w:cs="宋体"/>
          <w:color w:val="auto"/>
          <w:szCs w:val="21"/>
          <w:highlight w:val="none"/>
          <w:u w:val="single"/>
        </w:rPr>
        <w:t>或项目部</w:t>
      </w:r>
      <w:r>
        <w:rPr>
          <w:rFonts w:hint="eastAsia" w:ascii="宋体" w:cs="宋体"/>
          <w:color w:val="auto"/>
          <w:kern w:val="0"/>
          <w:szCs w:val="21"/>
          <w:highlight w:val="none"/>
        </w:rPr>
        <w:t>；</w:t>
      </w:r>
    </w:p>
    <w:p w14:paraId="63CE1581">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承包人指定的接收人为：</w:t>
      </w:r>
      <w:r>
        <w:rPr>
          <w:rFonts w:hint="eastAsia" w:ascii="宋体" w:cs="宋体"/>
          <w:color w:val="auto"/>
          <w:szCs w:val="21"/>
          <w:highlight w:val="none"/>
          <w:u w:val="single"/>
        </w:rPr>
        <w:t>项目负责人</w:t>
      </w:r>
      <w:r>
        <w:rPr>
          <w:rFonts w:hint="eastAsia" w:ascii="宋体" w:cs="宋体"/>
          <w:color w:val="auto"/>
          <w:kern w:val="0"/>
          <w:szCs w:val="21"/>
          <w:highlight w:val="none"/>
        </w:rPr>
        <w:t>。</w:t>
      </w:r>
    </w:p>
    <w:p w14:paraId="4B2ED79B">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1.10 交通运输</w:t>
      </w:r>
    </w:p>
    <w:p w14:paraId="55C7A156">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1.10.1 出入现场的权利</w:t>
      </w:r>
    </w:p>
    <w:p w14:paraId="4A7A3297">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关于出入现场的权利的约定：</w:t>
      </w:r>
      <w:r>
        <w:rPr>
          <w:rFonts w:hint="eastAsia" w:ascii="宋体" w:cs="宋体"/>
          <w:color w:val="auto"/>
          <w:szCs w:val="21"/>
          <w:highlight w:val="none"/>
          <w:u w:val="single"/>
        </w:rPr>
        <w:t>发包人应根据施工需要，负责取得出入施工现场所需的批准手续和全部权利，以及取得因施工所需修建道路、桥梁以及其他基础设施的权利，并承担相关手续费用和建设费用，若该费用已包含在本项目发包范围，则由承包人自行解决并承担费用。承包人应协助发包人办理修建场内外道路、桥梁以及其他基础设施的手续。</w:t>
      </w:r>
    </w:p>
    <w:p w14:paraId="33D6FC1D">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u w:val="single"/>
        </w:rPr>
        <w:t>承包人应在订立合同前查勘施工现场，并根据工程规模及技术参数合理预见工程施工所需的进出施工现场的方式、手段、路径等。因承包人未合理预见所增加的费用和（或）延误的工期由承包人承担。</w:t>
      </w:r>
    </w:p>
    <w:p w14:paraId="2DC546ED">
      <w:pPr>
        <w:widowControl/>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1.10.3 场内交通</w:t>
      </w:r>
    </w:p>
    <w:p w14:paraId="1A9B7120">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kern w:val="0"/>
          <w:szCs w:val="21"/>
          <w:highlight w:val="none"/>
        </w:rPr>
        <w:t>关于场外交通和场内交通的边界的约定：</w:t>
      </w:r>
      <w:r>
        <w:rPr>
          <w:rFonts w:hint="eastAsia" w:ascii="宋体" w:cs="宋体"/>
          <w:color w:val="auto"/>
          <w:szCs w:val="21"/>
          <w:highlight w:val="none"/>
          <w:u w:val="single"/>
          <w:lang w:val="en-US" w:eastAsia="zh-CN"/>
        </w:rPr>
        <w:t xml:space="preserve"> </w:t>
      </w:r>
      <w:r>
        <w:rPr>
          <w:rFonts w:hint="eastAsia" w:ascii="宋体" w:cs="宋体"/>
          <w:color w:val="auto"/>
          <w:szCs w:val="21"/>
          <w:highlight w:val="none"/>
          <w:u w:val="single"/>
        </w:rPr>
        <w:t>场内交通设施和道路由承包人负责建设，发包人不另支付费用，场内交通边界现场确定</w:t>
      </w:r>
      <w:r>
        <w:rPr>
          <w:rFonts w:hint="eastAsia" w:ascii="宋体" w:cs="宋体"/>
          <w:color w:val="auto"/>
          <w:szCs w:val="21"/>
          <w:highlight w:val="none"/>
        </w:rPr>
        <w:t>。</w:t>
      </w:r>
    </w:p>
    <w:p w14:paraId="3875A6F4">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关于发包人向承包人免费提供满足工程施工需要的场内道路和交通设施的约定：</w:t>
      </w:r>
      <w:r>
        <w:rPr>
          <w:rFonts w:hint="eastAsia" w:ascii="宋体" w:cs="宋体"/>
          <w:color w:val="auto"/>
          <w:szCs w:val="21"/>
          <w:highlight w:val="none"/>
          <w:u w:val="single"/>
        </w:rPr>
        <w:t xml:space="preserve">自行踏勘，自行解决 </w:t>
      </w:r>
      <w:r>
        <w:rPr>
          <w:rFonts w:hint="eastAsia" w:ascii="宋体" w:cs="宋体"/>
          <w:color w:val="auto"/>
          <w:szCs w:val="21"/>
          <w:highlight w:val="none"/>
        </w:rPr>
        <w:t>。</w:t>
      </w:r>
    </w:p>
    <w:p w14:paraId="04A26340">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1.10.4超大件和超重件的运输</w:t>
      </w:r>
    </w:p>
    <w:p w14:paraId="06938FFD">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运输超大件或超重件所需的道路和桥梁临时加固改造费用和其他有关费用由</w:t>
      </w:r>
      <w:r>
        <w:rPr>
          <w:rFonts w:hint="eastAsia" w:ascii="宋体" w:cs="宋体"/>
          <w:color w:val="auto"/>
          <w:szCs w:val="21"/>
          <w:highlight w:val="none"/>
          <w:u w:val="single"/>
        </w:rPr>
        <w:t xml:space="preserve">  承包方 </w:t>
      </w:r>
      <w:r>
        <w:rPr>
          <w:rFonts w:hint="eastAsia" w:ascii="宋体" w:cs="宋体"/>
          <w:color w:val="auto"/>
          <w:szCs w:val="21"/>
          <w:highlight w:val="none"/>
        </w:rPr>
        <w:t>承担。</w:t>
      </w:r>
    </w:p>
    <w:p w14:paraId="68F35F8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1.11 知识产权</w:t>
      </w:r>
    </w:p>
    <w:p w14:paraId="70D1E654">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cs="宋体"/>
          <w:color w:val="auto"/>
          <w:szCs w:val="21"/>
          <w:highlight w:val="none"/>
          <w:u w:val="single"/>
        </w:rPr>
        <w:t xml:space="preserve">发包人 </w:t>
      </w:r>
      <w:r>
        <w:rPr>
          <w:rFonts w:hint="eastAsia" w:ascii="宋体" w:cs="宋体"/>
          <w:color w:val="auto"/>
          <w:szCs w:val="21"/>
          <w:highlight w:val="none"/>
        </w:rPr>
        <w:t>。</w:t>
      </w:r>
    </w:p>
    <w:p w14:paraId="116A180D">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关于发包人提供的上述文件的使用限制的要求：</w:t>
      </w:r>
      <w:r>
        <w:rPr>
          <w:rFonts w:hint="eastAsia" w:ascii="宋体" w:cs="宋体"/>
          <w:color w:val="auto"/>
          <w:szCs w:val="21"/>
          <w:highlight w:val="none"/>
          <w:u w:val="single"/>
        </w:rPr>
        <w:t>承包人可以为实现合同目的而复制、使用此类文件，但不能用于与合同无关的其他事项。未经发包人书面同意，承包人不得为了合同以外的目的而复制、使用上述文件或将之提供给任何第三方。</w:t>
      </w:r>
    </w:p>
    <w:p w14:paraId="03C38016">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1.11.2 关于承包人为实施工程所编制文件的著作权的归属：</w:t>
      </w:r>
      <w:r>
        <w:rPr>
          <w:rFonts w:hint="eastAsia" w:ascii="宋体" w:cs="宋体"/>
          <w:color w:val="auto"/>
          <w:szCs w:val="21"/>
          <w:highlight w:val="none"/>
          <w:u w:val="single"/>
        </w:rPr>
        <w:t xml:space="preserve"> 发包人  </w:t>
      </w:r>
      <w:r>
        <w:rPr>
          <w:rFonts w:hint="eastAsia" w:ascii="宋体" w:cs="宋体"/>
          <w:color w:val="auto"/>
          <w:szCs w:val="21"/>
          <w:highlight w:val="none"/>
        </w:rPr>
        <w:t>。</w:t>
      </w:r>
    </w:p>
    <w:p w14:paraId="11F74099">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关于承包人提供的上述文件的使用限制的要求：</w:t>
      </w:r>
      <w:r>
        <w:rPr>
          <w:rFonts w:hint="eastAsia" w:ascii="宋体" w:cs="宋体"/>
          <w:color w:val="auto"/>
          <w:szCs w:val="21"/>
          <w:highlight w:val="none"/>
          <w:u w:val="single"/>
        </w:rPr>
        <w:t xml:space="preserve">承包人可因实施工程的运行、调试、维修、改造等目的而复制、使用此类文件，但不能用于与合同无关的其他事项。未经发包人书面同意，承包人不得为了合同以外的目的而复制、使用上述文件或将之提供给任何第三方。 </w:t>
      </w:r>
    </w:p>
    <w:p w14:paraId="2E5DB43B">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szCs w:val="21"/>
          <w:highlight w:val="none"/>
        </w:rPr>
        <w:t>1.11.4 承包人在施工过程中所采用的专利、专有技术、技术秘密的使用费的承担方式：</w:t>
      </w:r>
      <w:r>
        <w:rPr>
          <w:rFonts w:hint="eastAsia" w:ascii="宋体" w:cs="宋体"/>
          <w:color w:val="auto"/>
          <w:szCs w:val="21"/>
          <w:highlight w:val="none"/>
          <w:u w:val="single"/>
        </w:rPr>
        <w:t>该费用已包含在签约合同价中。</w:t>
      </w:r>
    </w:p>
    <w:p w14:paraId="08D8AECC">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1.13工程量清单错误的修正</w:t>
      </w:r>
    </w:p>
    <w:p w14:paraId="265E4AE2">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出现工程量清单错误时，是否调整合同价格：</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是，具体调整方式见下款</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9060DFF">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允许调整合同价格的工程量偏差范围：</w:t>
      </w:r>
    </w:p>
    <w:p w14:paraId="11FB1398">
      <w:pPr>
        <w:snapToGrid w:val="0"/>
        <w:spacing w:line="440" w:lineRule="exact"/>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lang w:val="en-US" w:eastAsia="zh-CN"/>
        </w:rPr>
        <w:t>承包人拒绝实施因此产生变化的施工内容或范围，将被视为违约，发包人视情节轻重给予违约处罚。结算时，工程量按实计算。结算工程量减少0-100%或增加15%以内部分，执行中标单价；超出15%以外部分，结算单价按最高投标限价单价×投标让利幅度计算，组价明显错误的予以纠正；缺漏项目单价按照最高投标限价的编制原则重新组价×投标让利幅度（上述投标让利幅度为中标价/最高投标限价，其中中标价和最高投标限价均扣除暂列金额、暂估价及相应税金）。结算价格最终以相关部门审核价为准</w:t>
      </w:r>
      <w:r>
        <w:rPr>
          <w:rFonts w:hint="eastAsia" w:ascii="宋体" w:hAnsi="宋体" w:cs="宋体"/>
          <w:b/>
          <w:bCs/>
          <w:color w:val="auto"/>
          <w:szCs w:val="21"/>
          <w:highlight w:val="none"/>
          <w:u w:val="single"/>
        </w:rPr>
        <w:t>。</w:t>
      </w:r>
    </w:p>
    <w:p w14:paraId="21921A41">
      <w:pPr>
        <w:snapToGrid w:val="0"/>
        <w:spacing w:line="440" w:lineRule="exact"/>
        <w:ind w:firstLine="420" w:firstLineChars="200"/>
        <w:rPr>
          <w:rFonts w:hint="eastAsia" w:ascii="宋体" w:hAnsi="宋体" w:cs="宋体"/>
          <w:b/>
          <w:color w:val="auto"/>
          <w:szCs w:val="21"/>
          <w:highlight w:val="none"/>
          <w:u w:val="single"/>
        </w:rPr>
      </w:pPr>
      <w:r>
        <w:rPr>
          <w:rFonts w:hint="eastAsia" w:ascii="宋体" w:hAnsi="宋体" w:cs="宋体"/>
          <w:color w:val="auto"/>
          <w:szCs w:val="21"/>
          <w:highlight w:val="none"/>
        </w:rPr>
        <w:t>技术措施费调整：</w:t>
      </w:r>
      <w:r>
        <w:rPr>
          <w:rFonts w:hint="eastAsia" w:ascii="宋体" w:hAnsi="宋体" w:cs="宋体"/>
          <w:b/>
          <w:color w:val="auto"/>
          <w:szCs w:val="21"/>
          <w:highlight w:val="none"/>
          <w:u w:val="single"/>
        </w:rPr>
        <w:t xml:space="preserve"> 因承包人改变施工技术措施，造成的价格变动，措施费不予调整。因工程量清单错误必须改变原来施工技术措施，造成价格变动的，按实调整，变更组价原则同上。</w:t>
      </w:r>
    </w:p>
    <w:p w14:paraId="1AF596F9">
      <w:pPr>
        <w:snapToGrid w:val="0"/>
        <w:spacing w:line="440" w:lineRule="exact"/>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组织措施费调整：</w:t>
      </w:r>
      <w:r>
        <w:rPr>
          <w:rFonts w:hint="eastAsia" w:ascii="宋体" w:hAnsi="宋体" w:cs="宋体"/>
          <w:b/>
          <w:color w:val="auto"/>
          <w:szCs w:val="21"/>
          <w:highlight w:val="none"/>
          <w:u w:val="single"/>
          <w:lang w:val="en-US" w:eastAsia="zh-CN"/>
        </w:rPr>
        <w:t xml:space="preserve"> 按实调整。</w:t>
      </w:r>
    </w:p>
    <w:p w14:paraId="3DE1D5A9">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2. 发包人</w:t>
      </w:r>
    </w:p>
    <w:p w14:paraId="2794A4F3">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2.2 发包人代表</w:t>
      </w:r>
    </w:p>
    <w:p w14:paraId="1360D00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发包人代表：</w:t>
      </w:r>
    </w:p>
    <w:p w14:paraId="664BA1B7">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姓    名：</w:t>
      </w:r>
      <w:r>
        <w:rPr>
          <w:rFonts w:hint="eastAsia" w:ascii="宋体" w:cs="宋体"/>
          <w:color w:val="auto"/>
          <w:szCs w:val="21"/>
          <w:highlight w:val="none"/>
          <w:u w:val="single"/>
        </w:rPr>
        <w:t>          </w:t>
      </w:r>
      <w:r>
        <w:rPr>
          <w:rFonts w:hint="eastAsia" w:ascii="宋体" w:cs="宋体"/>
          <w:color w:val="auto"/>
          <w:szCs w:val="21"/>
          <w:highlight w:val="none"/>
        </w:rPr>
        <w:t>；</w:t>
      </w:r>
    </w:p>
    <w:p w14:paraId="31FEF7F0">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身份证号：</w:t>
      </w:r>
      <w:r>
        <w:rPr>
          <w:rFonts w:hint="eastAsia" w:ascii="宋体" w:cs="宋体"/>
          <w:color w:val="auto"/>
          <w:szCs w:val="21"/>
          <w:highlight w:val="none"/>
          <w:u w:val="single"/>
        </w:rPr>
        <w:t>          </w:t>
      </w:r>
      <w:r>
        <w:rPr>
          <w:rFonts w:hint="eastAsia" w:ascii="宋体" w:cs="宋体"/>
          <w:color w:val="auto"/>
          <w:szCs w:val="21"/>
          <w:highlight w:val="none"/>
        </w:rPr>
        <w:t>；</w:t>
      </w:r>
    </w:p>
    <w:p w14:paraId="6085B495">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职    务：</w:t>
      </w:r>
      <w:r>
        <w:rPr>
          <w:rFonts w:hint="eastAsia" w:ascii="宋体" w:cs="宋体"/>
          <w:color w:val="auto"/>
          <w:szCs w:val="21"/>
          <w:highlight w:val="none"/>
          <w:u w:val="single"/>
        </w:rPr>
        <w:t>          </w:t>
      </w:r>
      <w:r>
        <w:rPr>
          <w:rFonts w:hint="eastAsia" w:ascii="宋体" w:cs="宋体"/>
          <w:color w:val="auto"/>
          <w:szCs w:val="21"/>
          <w:highlight w:val="none"/>
        </w:rPr>
        <w:t>；</w:t>
      </w:r>
    </w:p>
    <w:p w14:paraId="5C0C3ACE">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联系电话：</w:t>
      </w:r>
      <w:r>
        <w:rPr>
          <w:rFonts w:hint="eastAsia" w:ascii="宋体" w:cs="宋体"/>
          <w:color w:val="auto"/>
          <w:szCs w:val="21"/>
          <w:highlight w:val="none"/>
          <w:u w:val="single"/>
        </w:rPr>
        <w:t>          </w:t>
      </w:r>
      <w:r>
        <w:rPr>
          <w:rFonts w:hint="eastAsia" w:ascii="宋体" w:cs="宋体"/>
          <w:color w:val="auto"/>
          <w:szCs w:val="21"/>
          <w:highlight w:val="none"/>
        </w:rPr>
        <w:t>；</w:t>
      </w:r>
    </w:p>
    <w:p w14:paraId="67876BEF">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电子信箱：</w:t>
      </w:r>
      <w:r>
        <w:rPr>
          <w:rFonts w:hint="eastAsia" w:ascii="宋体" w:cs="宋体"/>
          <w:color w:val="auto"/>
          <w:szCs w:val="21"/>
          <w:highlight w:val="none"/>
          <w:u w:val="single"/>
        </w:rPr>
        <w:t>          </w:t>
      </w:r>
      <w:r>
        <w:rPr>
          <w:rFonts w:hint="eastAsia" w:ascii="宋体" w:cs="宋体"/>
          <w:color w:val="auto"/>
          <w:szCs w:val="21"/>
          <w:highlight w:val="none"/>
        </w:rPr>
        <w:t>；</w:t>
      </w:r>
    </w:p>
    <w:p w14:paraId="4AAF5BA0">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通信地址：</w:t>
      </w:r>
      <w:r>
        <w:rPr>
          <w:rFonts w:hint="eastAsia" w:ascii="宋体" w:cs="宋体"/>
          <w:color w:val="auto"/>
          <w:szCs w:val="21"/>
          <w:highlight w:val="none"/>
          <w:u w:val="single"/>
        </w:rPr>
        <w:t>          </w:t>
      </w:r>
      <w:r>
        <w:rPr>
          <w:rFonts w:hint="eastAsia" w:ascii="宋体" w:cs="宋体"/>
          <w:color w:val="auto"/>
          <w:szCs w:val="21"/>
          <w:highlight w:val="none"/>
        </w:rPr>
        <w:t>。</w:t>
      </w:r>
    </w:p>
    <w:p w14:paraId="3FACC22F">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发包人对发包人代表的授权范围如下：</w:t>
      </w:r>
      <w:r>
        <w:rPr>
          <w:rFonts w:hint="eastAsia" w:ascii="宋体" w:cs="宋体"/>
          <w:color w:val="auto"/>
          <w:szCs w:val="21"/>
          <w:highlight w:val="none"/>
          <w:u w:val="single"/>
        </w:rPr>
        <w:t>施工组织设计和总进度计划的审批权和调整权；人员在岗、工程进度、质量、安全、环保的监督检查权和建议处罚权；工程款的初步审查权；第三方检测的委托权；主要材料的质量否决权；工程量的确认权；工程变更签证的审核权；可调价格材料的价格确认权；工程结算的审核权；合同的解释；等等。</w:t>
      </w:r>
    </w:p>
    <w:p w14:paraId="2EB26907">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2.4 施工现场、施工条件和基础资料的提供</w:t>
      </w:r>
    </w:p>
    <w:p w14:paraId="755F441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2.4.1 提供施工现场</w:t>
      </w:r>
    </w:p>
    <w:p w14:paraId="00F551DE">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关于发包人移交施工现场的期限要求：</w:t>
      </w:r>
      <w:r>
        <w:rPr>
          <w:rFonts w:hint="eastAsia" w:ascii="宋体" w:cs="宋体"/>
          <w:color w:val="auto"/>
          <w:szCs w:val="21"/>
          <w:highlight w:val="none"/>
          <w:u w:val="single"/>
        </w:rPr>
        <w:t>发包人应最迟于开工日期7天前向承包人移交施工现场。</w:t>
      </w:r>
    </w:p>
    <w:p w14:paraId="7D2AA0C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2.4.2 提供施工条件</w:t>
      </w:r>
    </w:p>
    <w:p w14:paraId="661DA1FB">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关于发包人应负责提供施工所需要的条件，包括：</w:t>
      </w:r>
      <w:r>
        <w:rPr>
          <w:rFonts w:hint="eastAsia" w:ascii="宋体" w:cs="宋体"/>
          <w:color w:val="auto"/>
          <w:szCs w:val="21"/>
          <w:highlight w:val="none"/>
          <w:u w:val="single"/>
        </w:rPr>
        <w:t>协调处理施工现场周围地下管线和邻近建筑物、构筑物、古树名木的保护工作，并承担相关费用。若上述费用已包含在本项目发包范围，则由承包人自行解决并承担费用。</w:t>
      </w:r>
    </w:p>
    <w:p w14:paraId="64148680">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2.5 资金来源证明及支付担保</w:t>
      </w:r>
    </w:p>
    <w:p w14:paraId="64453568">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发包人提供资金来源证明的期限要求：</w:t>
      </w:r>
      <w:r>
        <w:rPr>
          <w:rFonts w:hint="eastAsia" w:ascii="宋体" w:cs="宋体"/>
          <w:color w:val="auto"/>
          <w:szCs w:val="21"/>
          <w:highlight w:val="none"/>
          <w:u w:val="single"/>
        </w:rPr>
        <w:t></w:t>
      </w:r>
      <w:r>
        <w:rPr>
          <w:rFonts w:hint="eastAsia" w:ascii="宋体" w:cs="宋体"/>
          <w:color w:val="auto"/>
          <w:szCs w:val="21"/>
          <w:highlight w:val="none"/>
          <w:u w:val="single"/>
          <w:lang w:val="en-US" w:eastAsia="zh-CN"/>
        </w:rPr>
        <w:t>自筹</w:t>
      </w:r>
      <w:r>
        <w:rPr>
          <w:rFonts w:hint="eastAsia" w:ascii="宋体" w:cs="宋体"/>
          <w:color w:val="auto"/>
          <w:szCs w:val="21"/>
          <w:highlight w:val="none"/>
          <w:u w:val="single"/>
        </w:rPr>
        <w:t xml:space="preserve">资金   </w:t>
      </w:r>
      <w:r>
        <w:rPr>
          <w:rFonts w:hint="eastAsia" w:ascii="宋体" w:cs="宋体"/>
          <w:color w:val="auto"/>
          <w:szCs w:val="21"/>
          <w:highlight w:val="none"/>
        </w:rPr>
        <w:t>。</w:t>
      </w:r>
    </w:p>
    <w:p w14:paraId="1207B296">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发包人是否提供支付担保：</w:t>
      </w:r>
      <w:r>
        <w:rPr>
          <w:rFonts w:hint="eastAsia" w:ascii="宋体" w:cs="宋体"/>
          <w:color w:val="auto"/>
          <w:szCs w:val="21"/>
          <w:highlight w:val="none"/>
          <w:u w:val="single"/>
        </w:rPr>
        <w:t xml:space="preserve">不提供   </w:t>
      </w:r>
      <w:r>
        <w:rPr>
          <w:rFonts w:hint="eastAsia" w:ascii="宋体" w:cs="宋体"/>
          <w:color w:val="auto"/>
          <w:szCs w:val="21"/>
          <w:highlight w:val="none"/>
        </w:rPr>
        <w:t>。</w:t>
      </w:r>
    </w:p>
    <w:p w14:paraId="68957677">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发包人提供支付担保的形式：</w:t>
      </w:r>
      <w:r>
        <w:rPr>
          <w:rFonts w:hint="eastAsia" w:ascii="宋体" w:cs="宋体"/>
          <w:color w:val="auto"/>
          <w:szCs w:val="21"/>
          <w:highlight w:val="none"/>
          <w:u w:val="single"/>
        </w:rPr>
        <w:t>无  </w:t>
      </w:r>
      <w:r>
        <w:rPr>
          <w:rFonts w:hint="eastAsia" w:ascii="宋体" w:cs="宋体"/>
          <w:color w:val="auto"/>
          <w:szCs w:val="21"/>
          <w:highlight w:val="none"/>
        </w:rPr>
        <w:t>。</w:t>
      </w:r>
    </w:p>
    <w:p w14:paraId="100A88D3">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3. 承包人</w:t>
      </w:r>
    </w:p>
    <w:p w14:paraId="67D72F37">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3.1 承包人的一般义务</w:t>
      </w:r>
    </w:p>
    <w:p w14:paraId="1AD63C95">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kern w:val="0"/>
          <w:szCs w:val="21"/>
          <w:highlight w:val="none"/>
        </w:rPr>
        <w:t>（9）</w:t>
      </w:r>
      <w:r>
        <w:rPr>
          <w:rFonts w:hint="eastAsia" w:ascii="宋体" w:cs="宋体"/>
          <w:color w:val="auto"/>
          <w:szCs w:val="21"/>
          <w:highlight w:val="none"/>
        </w:rPr>
        <w:t>承包人提交的竣工资料的内容：</w:t>
      </w:r>
      <w:r>
        <w:rPr>
          <w:rFonts w:hint="eastAsia" w:ascii="宋体" w:cs="宋体"/>
          <w:color w:val="auto"/>
          <w:szCs w:val="21"/>
          <w:highlight w:val="none"/>
          <w:u w:val="single"/>
        </w:rPr>
        <w:t xml:space="preserve">   按相关要求执行，包括但不限于竣工图、竣工报告、项目质检资料、结算资料等  </w:t>
      </w:r>
      <w:r>
        <w:rPr>
          <w:rFonts w:hint="eastAsia" w:ascii="宋体" w:cs="宋体"/>
          <w:color w:val="auto"/>
          <w:szCs w:val="21"/>
          <w:highlight w:val="none"/>
        </w:rPr>
        <w:t>。</w:t>
      </w:r>
    </w:p>
    <w:p w14:paraId="1158DB2E">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承包人需要提交的竣工资料套数：</w:t>
      </w:r>
      <w:r>
        <w:rPr>
          <w:rFonts w:hint="eastAsia" w:ascii="宋体" w:cs="宋体"/>
          <w:color w:val="auto"/>
          <w:szCs w:val="21"/>
          <w:highlight w:val="none"/>
          <w:u w:val="single"/>
        </w:rPr>
        <w:t xml:space="preserve">      按相关要求执行，且不少于3套    </w:t>
      </w:r>
      <w:r>
        <w:rPr>
          <w:rFonts w:hint="eastAsia" w:ascii="宋体" w:cs="宋体"/>
          <w:color w:val="auto"/>
          <w:szCs w:val="21"/>
          <w:highlight w:val="none"/>
        </w:rPr>
        <w:t>。</w:t>
      </w:r>
    </w:p>
    <w:p w14:paraId="6E94D27C">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承包人提交的竣工资料的费用承担：</w:t>
      </w:r>
      <w:r>
        <w:rPr>
          <w:rFonts w:hint="eastAsia" w:ascii="宋体" w:cs="宋体"/>
          <w:color w:val="auto"/>
          <w:szCs w:val="21"/>
          <w:highlight w:val="none"/>
          <w:u w:val="single"/>
        </w:rPr>
        <w:t xml:space="preserve">   承包人           </w:t>
      </w:r>
      <w:r>
        <w:rPr>
          <w:rFonts w:hint="eastAsia" w:ascii="宋体" w:cs="宋体"/>
          <w:color w:val="auto"/>
          <w:szCs w:val="21"/>
          <w:highlight w:val="none"/>
        </w:rPr>
        <w:t>。</w:t>
      </w:r>
    </w:p>
    <w:p w14:paraId="41FA861E">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承包人提交的竣工资料移交时间：</w:t>
      </w:r>
      <w:r>
        <w:rPr>
          <w:rFonts w:hint="eastAsia" w:ascii="宋体" w:cs="宋体"/>
          <w:color w:val="auto"/>
          <w:szCs w:val="21"/>
          <w:highlight w:val="none"/>
          <w:u w:val="single"/>
        </w:rPr>
        <w:t xml:space="preserve">     竣工验收合格后15日内   </w:t>
      </w:r>
      <w:r>
        <w:rPr>
          <w:rFonts w:hint="eastAsia" w:ascii="宋体" w:cs="宋体"/>
          <w:color w:val="auto"/>
          <w:szCs w:val="21"/>
          <w:highlight w:val="none"/>
        </w:rPr>
        <w:t>。</w:t>
      </w:r>
    </w:p>
    <w:p w14:paraId="6CDC5A39">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承包人提交的竣工资料形式要求：</w:t>
      </w:r>
      <w:r>
        <w:rPr>
          <w:rFonts w:hint="eastAsia" w:ascii="宋体" w:cs="宋体"/>
          <w:color w:val="auto"/>
          <w:szCs w:val="21"/>
          <w:highlight w:val="none"/>
          <w:u w:val="single"/>
        </w:rPr>
        <w:t xml:space="preserve">     纸质及电子形式   </w:t>
      </w:r>
      <w:r>
        <w:rPr>
          <w:rFonts w:hint="eastAsia" w:ascii="宋体" w:cs="宋体"/>
          <w:color w:val="auto"/>
          <w:szCs w:val="21"/>
          <w:highlight w:val="none"/>
        </w:rPr>
        <w:t>。</w:t>
      </w:r>
    </w:p>
    <w:p w14:paraId="737C83F5">
      <w:pPr>
        <w:numPr>
          <w:ilvl w:val="0"/>
          <w:numId w:val="3"/>
        </w:numPr>
        <w:spacing w:line="440" w:lineRule="exact"/>
        <w:rPr>
          <w:rFonts w:hint="eastAsia" w:ascii="宋体" w:cs="宋体"/>
          <w:color w:val="auto"/>
          <w:szCs w:val="21"/>
          <w:highlight w:val="none"/>
        </w:rPr>
      </w:pPr>
      <w:r>
        <w:rPr>
          <w:rFonts w:hint="eastAsia" w:ascii="宋体" w:cs="宋体"/>
          <w:color w:val="auto"/>
          <w:kern w:val="0"/>
          <w:szCs w:val="21"/>
          <w:highlight w:val="none"/>
        </w:rPr>
        <w:t>承包人应履行的其他义务：</w:t>
      </w:r>
      <w:r>
        <w:rPr>
          <w:rFonts w:hint="eastAsia" w:ascii="宋体" w:cs="宋体"/>
          <w:color w:val="auto"/>
          <w:szCs w:val="21"/>
          <w:highlight w:val="none"/>
          <w:u w:val="single"/>
        </w:rPr>
        <w:t>①工程竣工半年(含)内完成竣工结算的；②无合同纠纷等原因拖欠农民工工资、材料款，出现群访及时处理；③质量无缺陷，及时整改到位，处理及时；④施工现场服从调度或工程进度不超过合同工期或按合同期限按时移交的；⑤月工程量进度及时完成；⑥按规定提供工程资料并及时归档的；</w:t>
      </w:r>
    </w:p>
    <w:p w14:paraId="1730947E">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3.2 项目经理</w:t>
      </w:r>
    </w:p>
    <w:p w14:paraId="6574FF85">
      <w:pPr>
        <w:snapToGrid w:val="0"/>
        <w:spacing w:line="440" w:lineRule="exact"/>
        <w:ind w:firstLine="420" w:firstLineChars="200"/>
        <w:rPr>
          <w:rFonts w:hint="eastAsia" w:ascii="宋体" w:cs="宋体"/>
          <w:color w:val="auto"/>
          <w:szCs w:val="21"/>
          <w:highlight w:val="none"/>
        </w:rPr>
      </w:pPr>
      <w:r>
        <w:rPr>
          <w:rFonts w:hint="eastAsia" w:ascii="宋体" w:cs="宋体"/>
          <w:color w:val="auto"/>
          <w:kern w:val="0"/>
          <w:szCs w:val="21"/>
          <w:highlight w:val="none"/>
        </w:rPr>
        <w:t xml:space="preserve">3.2.1 </w:t>
      </w:r>
      <w:r>
        <w:rPr>
          <w:rFonts w:hint="eastAsia" w:ascii="宋体" w:cs="宋体"/>
          <w:color w:val="auto"/>
          <w:szCs w:val="21"/>
          <w:highlight w:val="none"/>
        </w:rPr>
        <w:t>项目经理：</w:t>
      </w:r>
    </w:p>
    <w:p w14:paraId="77E81DEA">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姓    名：</w:t>
      </w:r>
      <w:r>
        <w:rPr>
          <w:rFonts w:hint="eastAsia" w:ascii="宋体" w:cs="宋体"/>
          <w:color w:val="auto"/>
          <w:szCs w:val="21"/>
          <w:highlight w:val="none"/>
          <w:u w:val="single"/>
        </w:rPr>
        <w:t>         </w:t>
      </w:r>
      <w:r>
        <w:rPr>
          <w:rFonts w:hint="eastAsia" w:ascii="宋体" w:cs="宋体"/>
          <w:color w:val="auto"/>
          <w:szCs w:val="21"/>
          <w:highlight w:val="none"/>
        </w:rPr>
        <w:t>；</w:t>
      </w:r>
    </w:p>
    <w:p w14:paraId="415439B0">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身份证号：</w:t>
      </w:r>
      <w:r>
        <w:rPr>
          <w:rFonts w:hint="eastAsia" w:ascii="宋体" w:cs="宋体"/>
          <w:color w:val="auto"/>
          <w:szCs w:val="21"/>
          <w:highlight w:val="none"/>
          <w:u w:val="single"/>
        </w:rPr>
        <w:t>         </w:t>
      </w:r>
      <w:r>
        <w:rPr>
          <w:rFonts w:hint="eastAsia" w:ascii="宋体" w:cs="宋体"/>
          <w:color w:val="auto"/>
          <w:szCs w:val="21"/>
          <w:highlight w:val="none"/>
        </w:rPr>
        <w:t>；</w:t>
      </w:r>
    </w:p>
    <w:p w14:paraId="0800287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建造师执业资格等级：</w:t>
      </w:r>
      <w:r>
        <w:rPr>
          <w:rFonts w:hint="eastAsia" w:ascii="宋体" w:cs="宋体"/>
          <w:color w:val="auto"/>
          <w:szCs w:val="21"/>
          <w:highlight w:val="none"/>
          <w:u w:val="single"/>
        </w:rPr>
        <w:t>   </w:t>
      </w:r>
      <w:r>
        <w:rPr>
          <w:rFonts w:hint="eastAsia" w:ascii="宋体" w:cs="宋体"/>
          <w:color w:val="auto"/>
          <w:szCs w:val="21"/>
          <w:highlight w:val="none"/>
        </w:rPr>
        <w:t>；</w:t>
      </w:r>
    </w:p>
    <w:p w14:paraId="53C2608C">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建造师注册证书号：</w:t>
      </w:r>
      <w:r>
        <w:rPr>
          <w:rFonts w:hint="eastAsia" w:ascii="宋体" w:cs="宋体"/>
          <w:color w:val="auto"/>
          <w:szCs w:val="21"/>
          <w:highlight w:val="none"/>
          <w:u w:val="single"/>
        </w:rPr>
        <w:t> </w:t>
      </w:r>
      <w:r>
        <w:rPr>
          <w:rFonts w:hint="eastAsia" w:ascii="宋体" w:cs="宋体"/>
          <w:color w:val="auto"/>
          <w:szCs w:val="21"/>
          <w:highlight w:val="none"/>
        </w:rPr>
        <w:t>；</w:t>
      </w:r>
    </w:p>
    <w:p w14:paraId="1FFAD3D0">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建造师执业印章号：</w:t>
      </w:r>
      <w:r>
        <w:rPr>
          <w:rFonts w:hint="eastAsia" w:ascii="宋体" w:cs="宋体"/>
          <w:color w:val="auto"/>
          <w:szCs w:val="21"/>
          <w:highlight w:val="none"/>
          <w:u w:val="single"/>
        </w:rPr>
        <w:t> </w:t>
      </w:r>
      <w:r>
        <w:rPr>
          <w:rFonts w:hint="eastAsia" w:ascii="宋体" w:cs="宋体"/>
          <w:color w:val="auto"/>
          <w:szCs w:val="21"/>
          <w:highlight w:val="none"/>
        </w:rPr>
        <w:t>；</w:t>
      </w:r>
    </w:p>
    <w:p w14:paraId="3EE162C8">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安全生产考核合格证书号：</w:t>
      </w:r>
      <w:r>
        <w:rPr>
          <w:rFonts w:hint="eastAsia" w:ascii="宋体" w:cs="宋体"/>
          <w:color w:val="auto"/>
          <w:szCs w:val="21"/>
          <w:highlight w:val="none"/>
          <w:u w:val="single"/>
        </w:rPr>
        <w:t> </w:t>
      </w:r>
      <w:r>
        <w:rPr>
          <w:rFonts w:hint="eastAsia" w:ascii="宋体" w:cs="宋体"/>
          <w:color w:val="auto"/>
          <w:szCs w:val="21"/>
          <w:highlight w:val="none"/>
        </w:rPr>
        <w:t>；</w:t>
      </w:r>
    </w:p>
    <w:p w14:paraId="655F2003">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联系电话：</w:t>
      </w:r>
      <w:r>
        <w:rPr>
          <w:rFonts w:hint="eastAsia" w:ascii="宋体" w:cs="宋体"/>
          <w:color w:val="auto"/>
          <w:szCs w:val="21"/>
          <w:highlight w:val="none"/>
          <w:u w:val="single"/>
        </w:rPr>
        <w:t>         </w:t>
      </w:r>
      <w:r>
        <w:rPr>
          <w:rFonts w:hint="eastAsia" w:ascii="宋体" w:cs="宋体"/>
          <w:color w:val="auto"/>
          <w:szCs w:val="21"/>
          <w:highlight w:val="none"/>
        </w:rPr>
        <w:t>；</w:t>
      </w:r>
    </w:p>
    <w:p w14:paraId="430F6C9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电子信箱：</w:t>
      </w:r>
      <w:r>
        <w:rPr>
          <w:rFonts w:hint="eastAsia" w:ascii="宋体" w:cs="宋体"/>
          <w:color w:val="auto"/>
          <w:szCs w:val="21"/>
          <w:highlight w:val="none"/>
          <w:u w:val="single"/>
        </w:rPr>
        <w:t>         </w:t>
      </w:r>
      <w:r>
        <w:rPr>
          <w:rFonts w:hint="eastAsia" w:ascii="宋体" w:cs="宋体"/>
          <w:color w:val="auto"/>
          <w:szCs w:val="21"/>
          <w:highlight w:val="none"/>
        </w:rPr>
        <w:t>；</w:t>
      </w:r>
    </w:p>
    <w:p w14:paraId="7BE025AA">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通信地址：</w:t>
      </w:r>
      <w:r>
        <w:rPr>
          <w:rFonts w:hint="eastAsia" w:ascii="宋体" w:cs="宋体"/>
          <w:color w:val="auto"/>
          <w:szCs w:val="21"/>
          <w:highlight w:val="none"/>
          <w:u w:val="single"/>
        </w:rPr>
        <w:t>         </w:t>
      </w:r>
      <w:r>
        <w:rPr>
          <w:rFonts w:hint="eastAsia" w:ascii="宋体" w:cs="宋体"/>
          <w:color w:val="auto"/>
          <w:szCs w:val="21"/>
          <w:highlight w:val="none"/>
        </w:rPr>
        <w:t>；</w:t>
      </w:r>
    </w:p>
    <w:p w14:paraId="422942ED">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承包人对项目负责人的授权范围如下：</w:t>
      </w:r>
      <w:r>
        <w:rPr>
          <w:rFonts w:hint="eastAsia" w:ascii="宋体" w:cs="宋体"/>
          <w:color w:val="auto"/>
          <w:szCs w:val="21"/>
          <w:highlight w:val="none"/>
          <w:u w:val="single"/>
        </w:rPr>
        <w:t xml:space="preserve">由承包人明确授权范围  </w:t>
      </w:r>
      <w:r>
        <w:rPr>
          <w:rFonts w:hint="eastAsia" w:ascii="宋体" w:cs="宋体"/>
          <w:color w:val="auto"/>
          <w:szCs w:val="21"/>
          <w:highlight w:val="none"/>
        </w:rPr>
        <w:t>。</w:t>
      </w:r>
    </w:p>
    <w:p w14:paraId="13BFA488">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关于项目负责人每月在施工现场的时间要求：</w:t>
      </w:r>
      <w:r>
        <w:rPr>
          <w:rFonts w:hint="eastAsia" w:ascii="宋体" w:cs="宋体"/>
          <w:color w:val="auto"/>
          <w:szCs w:val="21"/>
          <w:highlight w:val="none"/>
          <w:u w:val="single"/>
        </w:rPr>
        <w:t>项目经理每月在岗时间不得少于20天，施工现场其他管理人员每月在岗时间不得少于22天。</w:t>
      </w:r>
    </w:p>
    <w:p w14:paraId="07FEF523">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承包人未提交劳动合同，以及没有为建造师缴纳社会保险证明的违约责任：</w:t>
      </w:r>
      <w:r>
        <w:rPr>
          <w:rFonts w:hint="eastAsia" w:ascii="宋体" w:cs="宋体"/>
          <w:color w:val="auto"/>
          <w:kern w:val="0"/>
          <w:szCs w:val="21"/>
          <w:highlight w:val="none"/>
          <w:u w:val="single"/>
        </w:rPr>
        <w:t xml:space="preserve">  </w:t>
      </w:r>
      <w:r>
        <w:rPr>
          <w:rFonts w:hint="eastAsia" w:ascii="宋体" w:cs="宋体"/>
          <w:color w:val="auto"/>
          <w:szCs w:val="21"/>
          <w:highlight w:val="none"/>
          <w:u w:val="single"/>
        </w:rPr>
        <w:t>签订本合同前提供，资格审查时已提供的，不再重复提供</w:t>
      </w:r>
      <w:r>
        <w:rPr>
          <w:rFonts w:hint="eastAsia" w:ascii="宋体" w:cs="宋体"/>
          <w:color w:val="auto"/>
          <w:szCs w:val="21"/>
          <w:highlight w:val="none"/>
        </w:rPr>
        <w:t>。</w:t>
      </w:r>
    </w:p>
    <w:p w14:paraId="79A3CDA1">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kern w:val="0"/>
          <w:szCs w:val="21"/>
          <w:highlight w:val="none"/>
        </w:rPr>
        <w:t>项目负责人未经批准，擅自离开施工现场的违约责任：</w:t>
      </w:r>
      <w:r>
        <w:rPr>
          <w:rFonts w:hint="eastAsia" w:ascii="宋体" w:cs="宋体"/>
          <w:color w:val="auto"/>
          <w:szCs w:val="21"/>
          <w:highlight w:val="none"/>
          <w:u w:val="single"/>
        </w:rPr>
        <w:t>未按规定在岗履责的，对项目经理和技术负责人处</w:t>
      </w:r>
      <w:r>
        <w:rPr>
          <w:rFonts w:hint="eastAsia" w:ascii="宋体" w:cs="宋体"/>
          <w:color w:val="auto"/>
          <w:szCs w:val="21"/>
          <w:highlight w:val="none"/>
          <w:u w:val="single"/>
          <w:lang w:val="en-US" w:eastAsia="zh-CN"/>
        </w:rPr>
        <w:t>以</w:t>
      </w:r>
      <w:r>
        <w:rPr>
          <w:rFonts w:hint="eastAsia" w:ascii="宋体" w:cs="宋体"/>
          <w:color w:val="auto"/>
          <w:szCs w:val="21"/>
          <w:highlight w:val="none"/>
          <w:u w:val="single"/>
        </w:rPr>
        <w:t>5000元/人·天的违约金，对施工现场其他管理人员处</w:t>
      </w:r>
      <w:r>
        <w:rPr>
          <w:rFonts w:hint="eastAsia" w:ascii="宋体" w:cs="宋体"/>
          <w:color w:val="auto"/>
          <w:szCs w:val="21"/>
          <w:highlight w:val="none"/>
          <w:u w:val="single"/>
          <w:lang w:val="en-US" w:eastAsia="zh-CN"/>
        </w:rPr>
        <w:t>以</w:t>
      </w:r>
      <w:r>
        <w:rPr>
          <w:rFonts w:hint="eastAsia" w:ascii="宋体" w:cs="宋体"/>
          <w:color w:val="auto"/>
          <w:szCs w:val="21"/>
          <w:highlight w:val="none"/>
          <w:u w:val="single"/>
        </w:rPr>
        <w:t>1000元/人·天的违约金。项目部关键岗位人员离岗必须向发包人项目组长履行请假手续，若被相关部门日常检查和随机抽查中发现不在岗的，又未履行请假手续的，处</w:t>
      </w:r>
      <w:r>
        <w:rPr>
          <w:rFonts w:hint="eastAsia" w:ascii="宋体" w:cs="宋体"/>
          <w:color w:val="auto"/>
          <w:szCs w:val="21"/>
          <w:highlight w:val="none"/>
          <w:u w:val="single"/>
          <w:lang w:val="en-US" w:eastAsia="zh-CN"/>
        </w:rPr>
        <w:t>以</w:t>
      </w:r>
      <w:r>
        <w:rPr>
          <w:rFonts w:hint="eastAsia" w:ascii="宋体" w:cs="宋体"/>
          <w:color w:val="auto"/>
          <w:szCs w:val="21"/>
          <w:highlight w:val="none"/>
          <w:u w:val="single"/>
        </w:rPr>
        <w:t>5000元/人·次的违约金。</w:t>
      </w:r>
    </w:p>
    <w:p w14:paraId="002261FA">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3.2.3 承包人擅自更换项目负责人的违约责任：</w:t>
      </w:r>
      <w:r>
        <w:rPr>
          <w:rFonts w:hint="eastAsia" w:ascii="宋体" w:cs="宋体"/>
          <w:color w:val="auto"/>
          <w:szCs w:val="21"/>
          <w:highlight w:val="none"/>
          <w:u w:val="single"/>
        </w:rPr>
        <w:t>项目负责人变更必须经发包人批准，并满足《关于进一步加强建筑施工现场项目负责人变更行为管理的通知》及滁州市其他相关规定要求，除①因重病或重伤三个月以上，不能履行职责的；②辞职的；③发生重大质量安全责任事故，受到刑事或行政处罚，不能担任项目负责人的；④无能力履行合同责任和义务，建设单位要求更换的；⑤被责令停止职业资格的；⑥因犯罪被羁押或判刑的；⑦死亡的等原因外，原则上不得变更。其中，亡故的需提供公安部门开具的死亡证明；重大疾病的需提供三甲及以上医院证明。出国、辞职等原因提出变更的，除需提供相关证明外，须缴纳10万元违约金，否则不得变更。变更后的项目负责人必须符合本项目招标文件和响应承诺配备的同等条件人员，并按照滁州市有关规定履行变更审批程序。</w:t>
      </w:r>
    </w:p>
    <w:p w14:paraId="65442ED4">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3.2.4 承包人无正当理由拒绝更换项目经理的违约责任：</w:t>
      </w:r>
      <w:r>
        <w:rPr>
          <w:rFonts w:hint="eastAsia" w:ascii="宋体" w:cs="宋体"/>
          <w:color w:val="auto"/>
          <w:szCs w:val="21"/>
          <w:highlight w:val="none"/>
          <w:u w:val="single"/>
        </w:rPr>
        <w:t>发包人将组织对项目经理进行业务能力考核，对未按响应文件配备或经考核不合格要求更换人员的，承包人7日内必须整改调整到位。否则，对于项目经理和技术负责人，按照5000元/人•天处</w:t>
      </w:r>
      <w:r>
        <w:rPr>
          <w:rFonts w:hint="eastAsia" w:ascii="宋体" w:cs="宋体"/>
          <w:color w:val="auto"/>
          <w:szCs w:val="21"/>
          <w:highlight w:val="none"/>
          <w:u w:val="single"/>
          <w:lang w:val="en-US" w:eastAsia="zh-CN"/>
        </w:rPr>
        <w:t>以</w:t>
      </w:r>
      <w:r>
        <w:rPr>
          <w:rFonts w:hint="eastAsia" w:ascii="宋体" w:cs="宋体"/>
          <w:color w:val="auto"/>
          <w:szCs w:val="21"/>
          <w:highlight w:val="none"/>
          <w:u w:val="single"/>
        </w:rPr>
        <w:t>违约金，对于施工现场其他管理人员按照1000元/人•天处</w:t>
      </w:r>
      <w:r>
        <w:rPr>
          <w:rFonts w:hint="eastAsia" w:ascii="宋体" w:cs="宋体"/>
          <w:color w:val="auto"/>
          <w:szCs w:val="21"/>
          <w:highlight w:val="none"/>
          <w:u w:val="single"/>
          <w:lang w:val="en-US" w:eastAsia="zh-CN"/>
        </w:rPr>
        <w:t>以</w:t>
      </w:r>
      <w:r>
        <w:rPr>
          <w:rFonts w:hint="eastAsia" w:ascii="宋体" w:cs="宋体"/>
          <w:color w:val="auto"/>
          <w:szCs w:val="21"/>
          <w:highlight w:val="none"/>
          <w:u w:val="single"/>
        </w:rPr>
        <w:t>违约金。28日内未整改调整到位的，发包人有权终止合同，并提请相关行政主管部门对企业和人员进行“黑名单”处罚。</w:t>
      </w:r>
    </w:p>
    <w:p w14:paraId="4A5DF619">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3.3 承包人人员</w:t>
      </w:r>
    </w:p>
    <w:p w14:paraId="7AE1F26F">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3.3.1 承包人提交项目管理机构及施工现场管理人员安排报告的期限：</w:t>
      </w:r>
      <w:r>
        <w:rPr>
          <w:rFonts w:hint="eastAsia" w:ascii="宋体" w:cs="宋体"/>
          <w:color w:val="auto"/>
          <w:szCs w:val="21"/>
          <w:highlight w:val="none"/>
          <w:u w:val="single"/>
        </w:rPr>
        <w:t>承包人应在</w:t>
      </w:r>
      <w:r>
        <w:rPr>
          <w:rFonts w:hint="eastAsia"/>
          <w:color w:val="auto"/>
          <w:highlight w:val="none"/>
          <w:u w:val="single"/>
        </w:rPr>
        <w:t>合同签订</w:t>
      </w:r>
      <w:r>
        <w:rPr>
          <w:rFonts w:hint="eastAsia" w:ascii="宋体" w:cs="宋体"/>
          <w:color w:val="auto"/>
          <w:szCs w:val="21"/>
          <w:highlight w:val="none"/>
          <w:u w:val="single"/>
        </w:rPr>
        <w:t>后7日内，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549E33CF">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3.3.3 承包人无正当理由拒绝撤换主要施工管理人员的违约责任：</w:t>
      </w:r>
      <w:r>
        <w:rPr>
          <w:rFonts w:hint="eastAsia" w:ascii="宋体" w:cs="宋体"/>
          <w:color w:val="auto"/>
          <w:szCs w:val="21"/>
          <w:highlight w:val="none"/>
          <w:u w:val="single"/>
        </w:rPr>
        <w:t xml:space="preserve"> 发包人将组织对人员进行业务能力考核，对未按响应文件配备或经考核不合格要求更换人员的，承包人7日内必须整改调整到位。否则，对于项目经理和技术负责人，按照5000元/人·天的违约金进行处罚，对于施工现场其他管理人员按照1000元/人·天的违约金进行处罚。28日内未整改调整到位的，发包人有权终止合同，并提请相关行政主管部门对企业和人员进行“黑名单”处罚。</w:t>
      </w:r>
    </w:p>
    <w:p w14:paraId="77A5D7C8">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3.3.4 承包人主要施工管理人员离开施工现场的批准要求：</w:t>
      </w:r>
      <w:r>
        <w:rPr>
          <w:rFonts w:hint="eastAsia" w:ascii="宋体" w:cs="宋体"/>
          <w:color w:val="auto"/>
          <w:szCs w:val="21"/>
          <w:highlight w:val="none"/>
          <w:u w:val="single"/>
        </w:rPr>
        <w:t>未按规定在岗履责的，对项目经理和技术负责人处</w:t>
      </w:r>
      <w:r>
        <w:rPr>
          <w:rFonts w:hint="eastAsia" w:ascii="宋体" w:cs="宋体"/>
          <w:color w:val="auto"/>
          <w:szCs w:val="21"/>
          <w:highlight w:val="none"/>
          <w:u w:val="single"/>
          <w:lang w:val="en-US" w:eastAsia="zh-CN"/>
        </w:rPr>
        <w:t>以</w:t>
      </w:r>
      <w:r>
        <w:rPr>
          <w:rFonts w:hint="eastAsia" w:ascii="宋体" w:cs="宋体"/>
          <w:color w:val="auto"/>
          <w:szCs w:val="21"/>
          <w:highlight w:val="none"/>
          <w:u w:val="single"/>
        </w:rPr>
        <w:t>5000元/人·天的违约金，对施工现场其他管理人员处</w:t>
      </w:r>
      <w:r>
        <w:rPr>
          <w:rFonts w:hint="eastAsia" w:ascii="宋体" w:cs="宋体"/>
          <w:color w:val="auto"/>
          <w:szCs w:val="21"/>
          <w:highlight w:val="none"/>
          <w:u w:val="single"/>
          <w:lang w:val="en-US" w:eastAsia="zh-CN"/>
        </w:rPr>
        <w:t>以</w:t>
      </w:r>
      <w:r>
        <w:rPr>
          <w:rFonts w:hint="eastAsia" w:ascii="宋体" w:cs="宋体"/>
          <w:color w:val="auto"/>
          <w:szCs w:val="21"/>
          <w:highlight w:val="none"/>
          <w:u w:val="single"/>
        </w:rPr>
        <w:t>1000元/人·天的违约金。项目部关键岗位人员离岗必须向发包人项目组长履行请假手续，若被相关部门日常检查和随机抽查中发现不在岗的，又未履行请假手续的，处</w:t>
      </w:r>
      <w:r>
        <w:rPr>
          <w:rFonts w:hint="eastAsia" w:ascii="宋体" w:cs="宋体"/>
          <w:color w:val="auto"/>
          <w:szCs w:val="21"/>
          <w:highlight w:val="none"/>
          <w:u w:val="single"/>
          <w:lang w:val="en-US" w:eastAsia="zh-CN"/>
        </w:rPr>
        <w:t>以</w:t>
      </w:r>
      <w:r>
        <w:rPr>
          <w:rFonts w:hint="eastAsia" w:ascii="宋体" w:cs="宋体"/>
          <w:color w:val="auto"/>
          <w:szCs w:val="21"/>
          <w:highlight w:val="none"/>
          <w:u w:val="single"/>
        </w:rPr>
        <w:t>5000元/人·次的违约金。</w:t>
      </w:r>
    </w:p>
    <w:p w14:paraId="50BF5750">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3.3.5承包人擅自更换主要施工管理人员的违约责任：按照</w:t>
      </w:r>
      <w:r>
        <w:rPr>
          <w:rFonts w:hint="eastAsia" w:ascii="宋体" w:cs="宋体"/>
          <w:color w:val="auto"/>
          <w:szCs w:val="21"/>
          <w:highlight w:val="none"/>
          <w:u w:val="single"/>
        </w:rPr>
        <w:t>未按规定在岗履责进行处罚。</w:t>
      </w:r>
    </w:p>
    <w:p w14:paraId="37CFE68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3.5 分包</w:t>
      </w:r>
    </w:p>
    <w:p w14:paraId="05BEFF5A">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3.5.1 分包的一般约定</w:t>
      </w:r>
    </w:p>
    <w:p w14:paraId="67C4CD8A">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禁止分包的工程包括：</w:t>
      </w:r>
      <w:r>
        <w:rPr>
          <w:rFonts w:hint="eastAsia" w:ascii="宋体" w:cs="宋体"/>
          <w:color w:val="auto"/>
          <w:szCs w:val="21"/>
          <w:highlight w:val="none"/>
          <w:u w:val="single"/>
        </w:rPr>
        <w:t>承包人不得将其承包的全部工程转包给第三人，或将其承包的全部工程肢解后以分包的名义转包给第三人。承包人不得将工程主体结构、关键性工作及合同条款中禁止分包的专业工程分包给第三人，主体结构、关键性工作的范围由合同当事人按照法律规定在专用合同条款中予以明确。</w:t>
      </w:r>
    </w:p>
    <w:p w14:paraId="63E8F023">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主体结构、关键性工作的范围：</w:t>
      </w:r>
      <w:r>
        <w:rPr>
          <w:rFonts w:hint="eastAsia" w:ascii="宋体" w:cs="宋体"/>
          <w:color w:val="auto"/>
          <w:szCs w:val="21"/>
          <w:highlight w:val="none"/>
          <w:u w:val="single"/>
          <w:lang w:val="en-US" w:eastAsia="zh-CN"/>
        </w:rPr>
        <w:t>按照相关法律法规执行</w:t>
      </w:r>
      <w:r>
        <w:rPr>
          <w:rFonts w:hint="eastAsia" w:ascii="宋体" w:cs="宋体"/>
          <w:color w:val="auto"/>
          <w:szCs w:val="21"/>
          <w:highlight w:val="none"/>
        </w:rPr>
        <w:t>。</w:t>
      </w:r>
    </w:p>
    <w:p w14:paraId="3E175B57">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3.5.2分包的确定</w:t>
      </w:r>
    </w:p>
    <w:p w14:paraId="4F5DCD7E">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允许分包的专业工程包括：</w:t>
      </w:r>
      <w:r>
        <w:rPr>
          <w:rFonts w:hint="eastAsia" w:ascii="宋体" w:cs="宋体"/>
          <w:color w:val="auto"/>
          <w:szCs w:val="21"/>
          <w:highlight w:val="none"/>
          <w:u w:val="single"/>
          <w:lang w:val="en-US" w:eastAsia="zh-CN"/>
        </w:rPr>
        <w:t>无</w:t>
      </w:r>
      <w:r>
        <w:rPr>
          <w:rFonts w:hint="eastAsia" w:ascii="宋体" w:cs="宋体"/>
          <w:color w:val="auto"/>
          <w:szCs w:val="21"/>
          <w:highlight w:val="none"/>
          <w:u w:val="single"/>
        </w:rPr>
        <w:t>。</w:t>
      </w:r>
    </w:p>
    <w:p w14:paraId="709F5A45">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其他关于分包的约定：</w:t>
      </w:r>
      <w:r>
        <w:rPr>
          <w:rFonts w:hint="eastAsia" w:ascii="宋体" w:cs="宋体"/>
          <w:color w:val="auto"/>
          <w:szCs w:val="21"/>
          <w:highlight w:val="none"/>
          <w:u w:val="single"/>
        </w:rPr>
        <w:t>承包人不得以劳务分包的名义转包或违法分包工程。</w:t>
      </w:r>
      <w:r>
        <w:rPr>
          <w:rFonts w:hint="eastAsia" w:ascii="宋体" w:hAnsi="宋体" w:cs="宋体"/>
          <w:b/>
          <w:bCs/>
          <w:color w:val="auto"/>
          <w:szCs w:val="21"/>
          <w:highlight w:val="none"/>
          <w:u w:val="single"/>
        </w:rPr>
        <w:t>发包人一经发现承包人转包、挂靠等行为的，发包人立即解除合同，清退出场，承包人已完合格工程量按合同价款70%进行结算。</w:t>
      </w:r>
    </w:p>
    <w:p w14:paraId="3AEBBDFA">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3.5.4 分包合同价款</w:t>
      </w:r>
    </w:p>
    <w:p w14:paraId="1FA26D43">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关于分包合同价款支付的约定：</w:t>
      </w:r>
      <w:r>
        <w:rPr>
          <w:rFonts w:hint="eastAsia" w:ascii="宋体" w:cs="宋体"/>
          <w:color w:val="auto"/>
          <w:szCs w:val="21"/>
          <w:highlight w:val="none"/>
          <w:u w:val="single"/>
        </w:rPr>
        <w:t>（1）除本项第（2）目约定的情况外，分包合同价款由承包人与分包人结算，未经承包人同意，发包人不得向分包人支付分包工程价款；（2）生效法律文书要求发包人向分包人支付分包合同价款的，发包人有权从应付承包人工程款中扣除该部分款项</w:t>
      </w:r>
      <w:r>
        <w:rPr>
          <w:rFonts w:hint="eastAsia" w:ascii="宋体" w:cs="宋体"/>
          <w:color w:val="auto"/>
          <w:szCs w:val="21"/>
          <w:highlight w:val="none"/>
        </w:rPr>
        <w:t>。</w:t>
      </w:r>
    </w:p>
    <w:p w14:paraId="119F19D8">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3.6 工程照管与成品、半成品保护</w:t>
      </w:r>
    </w:p>
    <w:p w14:paraId="3A4E6E92">
      <w:pPr>
        <w:snapToGrid w:val="0"/>
        <w:spacing w:line="440" w:lineRule="exact"/>
        <w:ind w:firstLine="420" w:firstLineChars="200"/>
        <w:rPr>
          <w:rFonts w:hint="eastAsia" w:ascii="宋体" w:cs="宋体"/>
          <w:color w:val="auto"/>
          <w:kern w:val="0"/>
          <w:szCs w:val="21"/>
          <w:highlight w:val="none"/>
          <w:u w:val="single"/>
        </w:rPr>
      </w:pPr>
      <w:r>
        <w:rPr>
          <w:rFonts w:hint="eastAsia" w:ascii="宋体" w:cs="宋体"/>
          <w:color w:val="auto"/>
          <w:kern w:val="0"/>
          <w:szCs w:val="21"/>
          <w:highlight w:val="none"/>
        </w:rPr>
        <w:t>承包人负责照管工程及工程相关的材料、工程设备的起始时间：</w:t>
      </w:r>
      <w:r>
        <w:rPr>
          <w:rFonts w:hint="eastAsia" w:ascii="宋体" w:cs="宋体"/>
          <w:color w:val="auto"/>
          <w:kern w:val="0"/>
          <w:szCs w:val="21"/>
          <w:highlight w:val="none"/>
          <w:u w:val="single"/>
        </w:rPr>
        <w:t>（1）自发包人向承包人移交施工现场之日起，承包人应负责照管工程及工程相关的材料、工程设备，直到办理移交手续之日止。（2）在承包人负责照管期间，因承包人原因造成工程、材料、工程设备损坏的，由承包人负责修复或更换，并承担由此增加的费用和（或）延误的工期。（3）对合同内分期完成的成品和半成品，在办理移交手续前，由承包人承担保护责任。因承包人原因造成成品或半成品损坏的，由承包人负责修复或更换，并承担由此增加的费用和（或）延误的工期。</w:t>
      </w:r>
    </w:p>
    <w:p w14:paraId="11F2C976">
      <w:pPr>
        <w:tabs>
          <w:tab w:val="left" w:pos="7740"/>
        </w:tabs>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3.7 履约担保</w:t>
      </w:r>
    </w:p>
    <w:p w14:paraId="0FBE6454">
      <w:pPr>
        <w:tabs>
          <w:tab w:val="left" w:pos="7740"/>
        </w:tabs>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承包人是否提供履约担保：</w:t>
      </w:r>
      <w:r>
        <w:rPr>
          <w:rFonts w:hint="eastAsia" w:ascii="宋体" w:cs="宋体"/>
          <w:color w:val="auto"/>
          <w:szCs w:val="21"/>
          <w:highlight w:val="none"/>
          <w:u w:val="single"/>
        </w:rPr>
        <w:t xml:space="preserve">   </w:t>
      </w:r>
      <w:r>
        <w:rPr>
          <w:rFonts w:hint="eastAsia" w:ascii="宋体" w:cs="宋体"/>
          <w:color w:val="auto"/>
          <w:szCs w:val="21"/>
          <w:highlight w:val="none"/>
          <w:u w:val="single"/>
          <w:lang w:val="en-US" w:eastAsia="zh-CN"/>
        </w:rPr>
        <w:t>否</w:t>
      </w:r>
      <w:r>
        <w:rPr>
          <w:rFonts w:hint="eastAsia" w:ascii="宋体" w:cs="宋体"/>
          <w:color w:val="auto"/>
          <w:szCs w:val="21"/>
          <w:highlight w:val="none"/>
          <w:u w:val="single"/>
        </w:rPr>
        <w:t xml:space="preserve">  </w:t>
      </w:r>
      <w:r>
        <w:rPr>
          <w:rFonts w:hint="eastAsia" w:ascii="宋体" w:cs="宋体"/>
          <w:color w:val="auto"/>
          <w:szCs w:val="21"/>
          <w:highlight w:val="none"/>
        </w:rPr>
        <w:t>。</w:t>
      </w:r>
    </w:p>
    <w:p w14:paraId="546918DA">
      <w:pPr>
        <w:tabs>
          <w:tab w:val="left" w:pos="7740"/>
        </w:tabs>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strike w:val="0"/>
          <w:dstrike w:val="0"/>
          <w:color w:val="auto"/>
          <w:szCs w:val="21"/>
          <w:highlight w:val="none"/>
        </w:rPr>
        <w:t xml:space="preserve">4. </w:t>
      </w:r>
      <w:r>
        <w:rPr>
          <w:rFonts w:hint="eastAsia" w:ascii="宋体" w:cs="宋体"/>
          <w:color w:val="auto"/>
          <w:sz w:val="21"/>
          <w:szCs w:val="21"/>
          <w:highlight w:val="none"/>
          <w:shd w:val="clear" w:color="auto" w:fill="auto"/>
        </w:rPr>
        <w:t>监理人</w:t>
      </w:r>
    </w:p>
    <w:p w14:paraId="53C73ED5">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4.1监理人的一般规定</w:t>
      </w:r>
    </w:p>
    <w:p w14:paraId="7860240C">
      <w:pPr>
        <w:snapToGrid w:val="0"/>
        <w:spacing w:line="440" w:lineRule="exact"/>
        <w:ind w:firstLine="420" w:firstLineChars="200"/>
        <w:jc w:val="left"/>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关于监理人的监理内容：</w:t>
      </w:r>
      <w:r>
        <w:rPr>
          <w:rFonts w:hint="eastAsia" w:ascii="宋体" w:cs="宋体"/>
          <w:color w:val="auto"/>
          <w:sz w:val="21"/>
          <w:szCs w:val="21"/>
          <w:highlight w:val="none"/>
          <w:u w:val="single"/>
          <w:shd w:val="clear" w:color="auto" w:fill="auto"/>
        </w:rPr>
        <w:t xml:space="preserve">  详见监理合同 </w:t>
      </w:r>
      <w:r>
        <w:rPr>
          <w:rFonts w:hint="eastAsia" w:ascii="宋体" w:cs="宋体"/>
          <w:color w:val="auto"/>
          <w:sz w:val="21"/>
          <w:szCs w:val="21"/>
          <w:highlight w:val="none"/>
          <w:shd w:val="clear" w:color="auto" w:fill="auto"/>
        </w:rPr>
        <w:t>。</w:t>
      </w:r>
    </w:p>
    <w:p w14:paraId="0BFCF066">
      <w:pPr>
        <w:snapToGrid w:val="0"/>
        <w:spacing w:line="440" w:lineRule="exact"/>
        <w:ind w:firstLine="420" w:firstLineChars="200"/>
        <w:jc w:val="left"/>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关于监理人的监理权限：</w:t>
      </w:r>
      <w:r>
        <w:rPr>
          <w:rFonts w:hint="eastAsia" w:ascii="宋体" w:cs="宋体"/>
          <w:color w:val="auto"/>
          <w:sz w:val="21"/>
          <w:szCs w:val="21"/>
          <w:highlight w:val="none"/>
          <w:u w:val="single"/>
          <w:shd w:val="clear" w:color="auto" w:fill="auto"/>
        </w:rPr>
        <w:t xml:space="preserve"> 发布开工令、停工令、复工令权；工程质量的监督权；工程上使用的材料和施工质量检验权、确认权；工程施工进度、安全的检查、监督权、发包人授权的处罚权；工程款支付的审核权；向承包人提出施工组织设计和技术方案的建议权；发包人和承包人间的组织协调的主持权；撤换不合格的工程建设分包单位和项目负责人及有关人员的建议权；分包单位资质及能力的审查权；等等  </w:t>
      </w:r>
      <w:r>
        <w:rPr>
          <w:rFonts w:hint="eastAsia" w:ascii="宋体" w:cs="宋体"/>
          <w:color w:val="auto"/>
          <w:sz w:val="21"/>
          <w:szCs w:val="21"/>
          <w:highlight w:val="none"/>
          <w:shd w:val="clear" w:color="auto" w:fill="auto"/>
        </w:rPr>
        <w:t xml:space="preserve">。 </w:t>
      </w:r>
    </w:p>
    <w:p w14:paraId="4D1AAA1E">
      <w:pPr>
        <w:snapToGrid w:val="0"/>
        <w:spacing w:line="440" w:lineRule="exact"/>
        <w:ind w:firstLine="420" w:firstLineChars="200"/>
        <w:rPr>
          <w:rFonts w:hint="eastAsia" w:ascii="宋体" w:cs="宋体"/>
          <w:color w:val="auto"/>
          <w:sz w:val="21"/>
          <w:szCs w:val="21"/>
          <w:highlight w:val="none"/>
          <w:u w:val="single"/>
          <w:shd w:val="clear" w:color="auto" w:fill="auto"/>
        </w:rPr>
      </w:pPr>
      <w:r>
        <w:rPr>
          <w:rFonts w:hint="eastAsia" w:ascii="宋体" w:cs="宋体"/>
          <w:color w:val="auto"/>
          <w:sz w:val="21"/>
          <w:szCs w:val="21"/>
          <w:highlight w:val="none"/>
          <w:shd w:val="clear" w:color="auto" w:fill="auto"/>
        </w:rPr>
        <w:t>关于监理人在施工现场的办公场所、生活场所的提供和费用承担的约定：</w:t>
      </w:r>
      <w:r>
        <w:rPr>
          <w:rFonts w:hint="eastAsia" w:ascii="宋体" w:cs="宋体"/>
          <w:color w:val="auto"/>
          <w:sz w:val="21"/>
          <w:szCs w:val="21"/>
          <w:highlight w:val="none"/>
          <w:u w:val="single"/>
          <w:shd w:val="clear" w:color="auto" w:fill="auto"/>
        </w:rPr>
        <w:t>办公场所由承包人提供和承担，生活场所由监理人自行解决和承担 。</w:t>
      </w:r>
    </w:p>
    <w:p w14:paraId="0AAD50CE">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4.2 监理人员</w:t>
      </w:r>
    </w:p>
    <w:p w14:paraId="0430198D">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总监理工程师：</w:t>
      </w:r>
    </w:p>
    <w:p w14:paraId="2837647D">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姓    名：</w:t>
      </w:r>
      <w:r>
        <w:rPr>
          <w:rFonts w:hint="eastAsia" w:ascii="宋体" w:cs="宋体"/>
          <w:color w:val="auto"/>
          <w:sz w:val="21"/>
          <w:szCs w:val="21"/>
          <w:highlight w:val="none"/>
          <w:u w:val="single"/>
          <w:shd w:val="clear" w:color="auto" w:fill="auto"/>
        </w:rPr>
        <w:t>   </w:t>
      </w:r>
      <w:r>
        <w:rPr>
          <w:rFonts w:hint="eastAsia" w:ascii="宋体" w:cs="宋体"/>
          <w:color w:val="auto"/>
          <w:sz w:val="21"/>
          <w:szCs w:val="21"/>
          <w:highlight w:val="none"/>
          <w:shd w:val="clear" w:color="auto" w:fill="auto"/>
        </w:rPr>
        <w:t>；</w:t>
      </w:r>
    </w:p>
    <w:p w14:paraId="5F3D2D8F">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职    务：</w:t>
      </w:r>
      <w:r>
        <w:rPr>
          <w:rFonts w:hint="eastAsia" w:ascii="宋体" w:cs="宋体"/>
          <w:color w:val="auto"/>
          <w:sz w:val="21"/>
          <w:szCs w:val="21"/>
          <w:highlight w:val="none"/>
          <w:u w:val="single"/>
          <w:shd w:val="clear" w:color="auto" w:fill="auto"/>
        </w:rPr>
        <w:t>   </w:t>
      </w:r>
      <w:r>
        <w:rPr>
          <w:rFonts w:hint="eastAsia" w:ascii="宋体" w:cs="宋体"/>
          <w:color w:val="auto"/>
          <w:sz w:val="21"/>
          <w:szCs w:val="21"/>
          <w:highlight w:val="none"/>
          <w:shd w:val="clear" w:color="auto" w:fill="auto"/>
        </w:rPr>
        <w:t>；</w:t>
      </w:r>
    </w:p>
    <w:p w14:paraId="5D2CE50F">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监理工程师执业资格证书号：</w:t>
      </w:r>
      <w:r>
        <w:rPr>
          <w:rFonts w:hint="eastAsia" w:ascii="宋体" w:cs="宋体"/>
          <w:color w:val="auto"/>
          <w:sz w:val="21"/>
          <w:szCs w:val="21"/>
          <w:highlight w:val="none"/>
          <w:u w:val="single"/>
          <w:shd w:val="clear" w:color="auto" w:fill="auto"/>
        </w:rPr>
        <w:t> </w:t>
      </w:r>
      <w:r>
        <w:rPr>
          <w:rFonts w:hint="eastAsia" w:ascii="宋体" w:cs="宋体"/>
          <w:color w:val="auto"/>
          <w:sz w:val="21"/>
          <w:szCs w:val="21"/>
          <w:highlight w:val="none"/>
          <w:shd w:val="clear" w:color="auto" w:fill="auto"/>
        </w:rPr>
        <w:t>；</w:t>
      </w:r>
    </w:p>
    <w:p w14:paraId="2F195992">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联系电话：</w:t>
      </w:r>
      <w:r>
        <w:rPr>
          <w:rFonts w:hint="eastAsia" w:ascii="宋体" w:cs="宋体"/>
          <w:color w:val="auto"/>
          <w:sz w:val="21"/>
          <w:szCs w:val="21"/>
          <w:highlight w:val="none"/>
          <w:u w:val="single"/>
          <w:shd w:val="clear" w:color="auto" w:fill="auto"/>
        </w:rPr>
        <w:t>   </w:t>
      </w:r>
      <w:r>
        <w:rPr>
          <w:rFonts w:hint="eastAsia" w:ascii="宋体" w:cs="宋体"/>
          <w:color w:val="auto"/>
          <w:sz w:val="21"/>
          <w:szCs w:val="21"/>
          <w:highlight w:val="none"/>
          <w:shd w:val="clear" w:color="auto" w:fill="auto"/>
        </w:rPr>
        <w:t>；</w:t>
      </w:r>
    </w:p>
    <w:p w14:paraId="2AE29511">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电子信箱：</w:t>
      </w:r>
      <w:r>
        <w:rPr>
          <w:rFonts w:hint="eastAsia" w:ascii="宋体" w:cs="宋体"/>
          <w:color w:val="auto"/>
          <w:sz w:val="21"/>
          <w:szCs w:val="21"/>
          <w:highlight w:val="none"/>
          <w:u w:val="single"/>
          <w:shd w:val="clear" w:color="auto" w:fill="auto"/>
        </w:rPr>
        <w:t>   </w:t>
      </w:r>
      <w:r>
        <w:rPr>
          <w:rFonts w:hint="eastAsia" w:ascii="宋体" w:cs="宋体"/>
          <w:color w:val="auto"/>
          <w:sz w:val="21"/>
          <w:szCs w:val="21"/>
          <w:highlight w:val="none"/>
          <w:shd w:val="clear" w:color="auto" w:fill="auto"/>
        </w:rPr>
        <w:t>；</w:t>
      </w:r>
    </w:p>
    <w:p w14:paraId="10889C14">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通信地址：</w:t>
      </w:r>
      <w:r>
        <w:rPr>
          <w:rFonts w:hint="eastAsia" w:ascii="宋体" w:cs="宋体"/>
          <w:color w:val="auto"/>
          <w:sz w:val="21"/>
          <w:szCs w:val="21"/>
          <w:highlight w:val="none"/>
          <w:u w:val="single"/>
          <w:shd w:val="clear" w:color="auto" w:fill="auto"/>
        </w:rPr>
        <w:t>   </w:t>
      </w:r>
      <w:r>
        <w:rPr>
          <w:rFonts w:hint="eastAsia" w:ascii="宋体" w:cs="宋体"/>
          <w:color w:val="auto"/>
          <w:sz w:val="21"/>
          <w:szCs w:val="21"/>
          <w:highlight w:val="none"/>
          <w:shd w:val="clear" w:color="auto" w:fill="auto"/>
        </w:rPr>
        <w:t>；</w:t>
      </w:r>
    </w:p>
    <w:p w14:paraId="6F39A02D">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关于监理人的其他约定：</w:t>
      </w:r>
      <w:r>
        <w:rPr>
          <w:rFonts w:hint="eastAsia" w:ascii="宋体" w:cs="宋体"/>
          <w:color w:val="auto"/>
          <w:sz w:val="21"/>
          <w:szCs w:val="21"/>
          <w:highlight w:val="none"/>
          <w:u w:val="single"/>
          <w:shd w:val="clear" w:color="auto" w:fill="auto"/>
        </w:rPr>
        <w:t>   </w:t>
      </w:r>
      <w:r>
        <w:rPr>
          <w:rFonts w:hint="eastAsia" w:ascii="宋体" w:cs="宋体"/>
          <w:color w:val="auto"/>
          <w:sz w:val="21"/>
          <w:szCs w:val="21"/>
          <w:highlight w:val="none"/>
          <w:shd w:val="clear" w:color="auto" w:fill="auto"/>
        </w:rPr>
        <w:t>。</w:t>
      </w:r>
    </w:p>
    <w:p w14:paraId="54131A68">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4.4 商定或确定</w:t>
      </w:r>
    </w:p>
    <w:p w14:paraId="12070881">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在发包人和承包人不能通过协商达成一致意见时，发包人授权监理人对以下事项进行确定：</w:t>
      </w:r>
    </w:p>
    <w:p w14:paraId="634A1632">
      <w:pPr>
        <w:autoSpaceDE w:val="0"/>
        <w:autoSpaceDN w:val="0"/>
        <w:adjustRightInd w:val="0"/>
        <w:snapToGrid w:val="0"/>
        <w:spacing w:line="440" w:lineRule="exact"/>
        <w:ind w:firstLine="420" w:firstLineChars="200"/>
        <w:jc w:val="left"/>
        <w:rPr>
          <w:rFonts w:hint="eastAsia" w:ascii="宋体" w:cs="宋体"/>
          <w:color w:val="auto"/>
          <w:kern w:val="0"/>
          <w:sz w:val="21"/>
          <w:szCs w:val="21"/>
          <w:highlight w:val="none"/>
          <w:shd w:val="clear" w:color="auto" w:fill="auto"/>
        </w:rPr>
      </w:pPr>
      <w:r>
        <w:rPr>
          <w:rFonts w:hint="eastAsia" w:ascii="宋体" w:cs="宋体"/>
          <w:color w:val="auto"/>
          <w:kern w:val="0"/>
          <w:sz w:val="21"/>
          <w:szCs w:val="21"/>
          <w:highlight w:val="none"/>
          <w:shd w:val="clear" w:color="auto" w:fill="auto"/>
        </w:rPr>
        <w:t>（1）</w:t>
      </w:r>
      <w:r>
        <w:rPr>
          <w:rFonts w:hint="eastAsia" w:ascii="宋体" w:cs="宋体"/>
          <w:color w:val="auto"/>
          <w:sz w:val="21"/>
          <w:szCs w:val="21"/>
          <w:highlight w:val="none"/>
          <w:u w:val="single"/>
          <w:shd w:val="clear" w:color="auto" w:fill="auto"/>
        </w:rPr>
        <w:t xml:space="preserve">   </w:t>
      </w:r>
      <w:r>
        <w:rPr>
          <w:rFonts w:hint="eastAsia" w:ascii="宋体" w:cs="宋体"/>
          <w:color w:val="auto"/>
          <w:sz w:val="21"/>
          <w:szCs w:val="21"/>
          <w:highlight w:val="none"/>
          <w:u w:val="single"/>
          <w:shd w:val="clear" w:color="auto" w:fill="auto"/>
          <w:lang w:val="en-US" w:eastAsia="zh-CN"/>
        </w:rPr>
        <w:t xml:space="preserve"> </w:t>
      </w:r>
      <w:r>
        <w:rPr>
          <w:rFonts w:hint="eastAsia" w:ascii="宋体" w:cs="宋体"/>
          <w:color w:val="auto"/>
          <w:sz w:val="21"/>
          <w:szCs w:val="21"/>
          <w:highlight w:val="none"/>
          <w:u w:val="single"/>
          <w:shd w:val="clear" w:color="auto" w:fill="auto"/>
        </w:rPr>
        <w:t xml:space="preserve">施工方案 </w:t>
      </w:r>
      <w:r>
        <w:rPr>
          <w:rFonts w:hint="eastAsia" w:ascii="宋体" w:cs="宋体"/>
          <w:color w:val="auto"/>
          <w:sz w:val="21"/>
          <w:szCs w:val="21"/>
          <w:highlight w:val="none"/>
          <w:u w:val="single"/>
          <w:shd w:val="clear" w:color="auto" w:fill="auto"/>
          <w:lang w:val="en-US" w:eastAsia="zh-CN"/>
        </w:rPr>
        <w:t xml:space="preserve"> </w:t>
      </w:r>
      <w:r>
        <w:rPr>
          <w:rFonts w:hint="eastAsia" w:ascii="宋体" w:cs="宋体"/>
          <w:color w:val="auto"/>
          <w:sz w:val="21"/>
          <w:szCs w:val="21"/>
          <w:highlight w:val="none"/>
          <w:u w:val="single"/>
          <w:shd w:val="clear" w:color="auto" w:fill="auto"/>
        </w:rPr>
        <w:t xml:space="preserve">   </w:t>
      </w:r>
      <w:r>
        <w:rPr>
          <w:rFonts w:hint="eastAsia" w:ascii="宋体" w:cs="宋体"/>
          <w:color w:val="auto"/>
          <w:sz w:val="21"/>
          <w:szCs w:val="21"/>
          <w:highlight w:val="none"/>
          <w:shd w:val="clear" w:color="auto" w:fill="auto"/>
        </w:rPr>
        <w:t>；</w:t>
      </w:r>
    </w:p>
    <w:p w14:paraId="4C6C6758">
      <w:pPr>
        <w:tabs>
          <w:tab w:val="left" w:pos="7740"/>
        </w:tabs>
        <w:snapToGrid w:val="0"/>
        <w:spacing w:line="440" w:lineRule="exact"/>
        <w:ind w:firstLine="420" w:firstLineChars="200"/>
        <w:rPr>
          <w:rFonts w:hint="eastAsia" w:ascii="宋体" w:eastAsia="宋体" w:cs="宋体"/>
          <w:strike w:val="0"/>
          <w:dstrike w:val="0"/>
          <w:color w:val="auto"/>
          <w:szCs w:val="21"/>
          <w:highlight w:val="none"/>
          <w:lang w:eastAsia="zh-CN"/>
        </w:rPr>
      </w:pPr>
      <w:r>
        <w:rPr>
          <w:rFonts w:hint="eastAsia" w:ascii="宋体" w:cs="宋体"/>
          <w:color w:val="auto"/>
          <w:kern w:val="0"/>
          <w:sz w:val="21"/>
          <w:szCs w:val="21"/>
          <w:highlight w:val="none"/>
          <w:shd w:val="clear" w:color="auto" w:fill="auto"/>
        </w:rPr>
        <w:t>（2）</w:t>
      </w:r>
      <w:r>
        <w:rPr>
          <w:rFonts w:hint="eastAsia" w:ascii="宋体" w:cs="宋体"/>
          <w:color w:val="auto"/>
          <w:sz w:val="21"/>
          <w:szCs w:val="21"/>
          <w:highlight w:val="none"/>
          <w:u w:val="single"/>
          <w:shd w:val="clear" w:color="auto" w:fill="auto"/>
        </w:rPr>
        <w:t xml:space="preserve">   索赔事项等    </w:t>
      </w:r>
      <w:r>
        <w:rPr>
          <w:rFonts w:hint="eastAsia" w:ascii="宋体" w:cs="宋体"/>
          <w:color w:val="auto"/>
          <w:sz w:val="21"/>
          <w:szCs w:val="21"/>
          <w:highlight w:val="none"/>
          <w:shd w:val="clear" w:color="auto" w:fill="auto"/>
        </w:rPr>
        <w:t>；</w:t>
      </w:r>
    </w:p>
    <w:p w14:paraId="3E6A510C">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5. 工程质量</w:t>
      </w:r>
    </w:p>
    <w:p w14:paraId="1565A337">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5.1 质量要求</w:t>
      </w:r>
    </w:p>
    <w:p w14:paraId="5CB50B12">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5.1.1 特殊质量标准和要求：</w:t>
      </w:r>
      <w:r>
        <w:rPr>
          <w:rFonts w:hint="eastAsia" w:ascii="宋体" w:cs="宋体"/>
          <w:color w:val="auto"/>
          <w:szCs w:val="21"/>
          <w:highlight w:val="none"/>
          <w:u w:val="single"/>
        </w:rPr>
        <w:t xml:space="preserve"> 工程质量必须达到国家工程施工质量验收 合格 标准。 </w:t>
      </w:r>
    </w:p>
    <w:p w14:paraId="1CA56EC2">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关于工程奖项的约定：</w:t>
      </w:r>
      <w:r>
        <w:rPr>
          <w:rFonts w:hint="eastAsia" w:ascii="宋体" w:cs="宋体"/>
          <w:color w:val="auto"/>
          <w:szCs w:val="21"/>
          <w:highlight w:val="none"/>
          <w:u w:val="single"/>
        </w:rPr>
        <w:t xml:space="preserve"> / </w:t>
      </w:r>
      <w:r>
        <w:rPr>
          <w:rFonts w:hint="eastAsia" w:ascii="宋体" w:cs="宋体"/>
          <w:color w:val="auto"/>
          <w:szCs w:val="21"/>
          <w:highlight w:val="none"/>
        </w:rPr>
        <w:t>。</w:t>
      </w:r>
    </w:p>
    <w:p w14:paraId="4E7035A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5.3 隐蔽工程检查</w:t>
      </w:r>
    </w:p>
    <w:p w14:paraId="2D9538EF">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5.3.1隐蔽工程隐蔽前，承包人应当对工程隐蔽部位进行自检，并经自检确认是否具备覆盖条件。</w:t>
      </w:r>
    </w:p>
    <w:p w14:paraId="3B44833D">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5.3.2承包人提前通知</w:t>
      </w:r>
      <w:r>
        <w:rPr>
          <w:rFonts w:hint="eastAsia" w:ascii="宋体" w:cs="宋体"/>
          <w:color w:val="auto"/>
          <w:szCs w:val="21"/>
          <w:highlight w:val="none"/>
          <w:lang w:eastAsia="zh-CN"/>
        </w:rPr>
        <w:t>发包人</w:t>
      </w:r>
      <w:r>
        <w:rPr>
          <w:rFonts w:hint="eastAsia" w:ascii="宋体" w:cs="宋体"/>
          <w:color w:val="auto"/>
          <w:szCs w:val="21"/>
          <w:highlight w:val="none"/>
        </w:rPr>
        <w:t>隐蔽工程检查的期限的约定：工程隐蔽部位经承包人自检确认具备覆盖条件的，承包人应在共同检查前6小时书面通知</w:t>
      </w:r>
      <w:r>
        <w:rPr>
          <w:rFonts w:hint="eastAsia" w:ascii="宋体" w:cs="宋体"/>
          <w:color w:val="auto"/>
          <w:szCs w:val="21"/>
          <w:highlight w:val="none"/>
          <w:lang w:eastAsia="zh-CN"/>
        </w:rPr>
        <w:t>发包人</w:t>
      </w:r>
      <w:r>
        <w:rPr>
          <w:rFonts w:hint="eastAsia" w:ascii="宋体" w:cs="宋体"/>
          <w:color w:val="auto"/>
          <w:szCs w:val="21"/>
          <w:highlight w:val="none"/>
        </w:rPr>
        <w:t>检查，通知中应载明隐蔽检查的内容、时间和地点，并应附有自检记录和必要的检查资料。</w:t>
      </w:r>
    </w:p>
    <w:p w14:paraId="75829C68">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lang w:eastAsia="zh-CN"/>
        </w:rPr>
        <w:t>发包人</w:t>
      </w:r>
      <w:r>
        <w:rPr>
          <w:rFonts w:hint="eastAsia" w:ascii="宋体" w:cs="宋体"/>
          <w:color w:val="auto"/>
          <w:szCs w:val="21"/>
          <w:highlight w:val="none"/>
        </w:rPr>
        <w:t>应按时到场并对隐蔽工程及其施工工艺、材料和工程设备进行检查。经</w:t>
      </w:r>
      <w:r>
        <w:rPr>
          <w:rFonts w:hint="eastAsia" w:ascii="宋体" w:cs="宋体"/>
          <w:color w:val="auto"/>
          <w:szCs w:val="21"/>
          <w:highlight w:val="none"/>
          <w:lang w:eastAsia="zh-CN"/>
        </w:rPr>
        <w:t>发包人</w:t>
      </w:r>
      <w:r>
        <w:rPr>
          <w:rFonts w:hint="eastAsia" w:ascii="宋体" w:cs="宋体"/>
          <w:color w:val="auto"/>
          <w:szCs w:val="21"/>
          <w:highlight w:val="none"/>
        </w:rPr>
        <w:t>检查确认质量符合隐蔽要求，并在验收记录上签字后，承包人才能进行覆盖。经</w:t>
      </w:r>
      <w:r>
        <w:rPr>
          <w:rFonts w:hint="eastAsia" w:ascii="宋体" w:cs="宋体"/>
          <w:color w:val="auto"/>
          <w:szCs w:val="21"/>
          <w:highlight w:val="none"/>
          <w:lang w:eastAsia="zh-CN"/>
        </w:rPr>
        <w:t>发包人</w:t>
      </w:r>
      <w:r>
        <w:rPr>
          <w:rFonts w:hint="eastAsia" w:ascii="宋体" w:cs="宋体"/>
          <w:color w:val="auto"/>
          <w:szCs w:val="21"/>
          <w:highlight w:val="none"/>
        </w:rPr>
        <w:t>检查质量不合格的，承包人应在</w:t>
      </w:r>
      <w:r>
        <w:rPr>
          <w:rFonts w:hint="eastAsia" w:ascii="宋体" w:cs="宋体"/>
          <w:color w:val="auto"/>
          <w:szCs w:val="21"/>
          <w:highlight w:val="none"/>
          <w:lang w:eastAsia="zh-CN"/>
        </w:rPr>
        <w:t>发包人</w:t>
      </w:r>
      <w:r>
        <w:rPr>
          <w:rFonts w:hint="eastAsia" w:ascii="宋体" w:cs="宋体"/>
          <w:color w:val="auto"/>
          <w:szCs w:val="21"/>
          <w:highlight w:val="none"/>
        </w:rPr>
        <w:t>指示的时间内完成修复，并由</w:t>
      </w:r>
      <w:r>
        <w:rPr>
          <w:rFonts w:hint="eastAsia" w:ascii="宋体" w:cs="宋体"/>
          <w:color w:val="auto"/>
          <w:szCs w:val="21"/>
          <w:highlight w:val="none"/>
          <w:lang w:eastAsia="zh-CN"/>
        </w:rPr>
        <w:t>发包人</w:t>
      </w:r>
      <w:r>
        <w:rPr>
          <w:rFonts w:hint="eastAsia" w:ascii="宋体" w:cs="宋体"/>
          <w:color w:val="auto"/>
          <w:szCs w:val="21"/>
          <w:highlight w:val="none"/>
        </w:rPr>
        <w:t>重新检查，由此增加的费用和（或）延误的工期由承包人承担。</w:t>
      </w:r>
    </w:p>
    <w:p w14:paraId="680C0A5D">
      <w:pPr>
        <w:snapToGrid w:val="0"/>
        <w:spacing w:line="440" w:lineRule="exact"/>
        <w:ind w:firstLine="420" w:firstLineChars="200"/>
        <w:jc w:val="left"/>
        <w:rPr>
          <w:rFonts w:hint="eastAsia" w:ascii="宋体" w:cs="宋体"/>
          <w:color w:val="auto"/>
          <w:szCs w:val="21"/>
          <w:highlight w:val="none"/>
          <w:lang w:eastAsia="zh-CN"/>
        </w:rPr>
      </w:pPr>
      <w:r>
        <w:rPr>
          <w:rFonts w:hint="eastAsia" w:ascii="宋体" w:cs="宋体"/>
          <w:color w:val="auto"/>
          <w:szCs w:val="21"/>
          <w:highlight w:val="none"/>
          <w:lang w:eastAsia="zh-CN"/>
        </w:rPr>
        <w:t>监理人不能按时进行检查时，应提前</w:t>
      </w:r>
      <w:r>
        <w:rPr>
          <w:rFonts w:hint="eastAsia" w:ascii="宋体" w:cs="宋体"/>
          <w:color w:val="auto"/>
          <w:szCs w:val="21"/>
          <w:highlight w:val="none"/>
          <w:u w:val="single"/>
          <w:lang w:eastAsia="zh-CN"/>
        </w:rPr>
        <w:t xml:space="preserve"> 3  </w:t>
      </w:r>
      <w:r>
        <w:rPr>
          <w:rFonts w:hint="eastAsia" w:ascii="宋体" w:cs="宋体"/>
          <w:color w:val="auto"/>
          <w:szCs w:val="21"/>
          <w:highlight w:val="none"/>
          <w:lang w:eastAsia="zh-CN"/>
        </w:rPr>
        <w:t>小时提交书面延期要求。</w:t>
      </w:r>
    </w:p>
    <w:p w14:paraId="01BCD63C">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lang w:eastAsia="zh-CN"/>
        </w:rPr>
        <w:t>关于延期最长不得超过：</w:t>
      </w:r>
      <w:r>
        <w:rPr>
          <w:rFonts w:hint="eastAsia" w:ascii="宋体" w:cs="宋体"/>
          <w:color w:val="auto"/>
          <w:szCs w:val="21"/>
          <w:highlight w:val="none"/>
          <w:u w:val="single"/>
          <w:lang w:eastAsia="zh-CN"/>
        </w:rPr>
        <w:t xml:space="preserve"> 6  </w:t>
      </w:r>
      <w:r>
        <w:rPr>
          <w:rFonts w:hint="eastAsia" w:ascii="宋体" w:cs="宋体"/>
          <w:color w:val="auto"/>
          <w:szCs w:val="21"/>
          <w:highlight w:val="none"/>
          <w:lang w:eastAsia="zh-CN"/>
        </w:rPr>
        <w:t>小时</w:t>
      </w:r>
      <w:r>
        <w:rPr>
          <w:rFonts w:hint="eastAsia" w:ascii="宋体" w:cs="宋体"/>
          <w:color w:val="auto"/>
          <w:szCs w:val="21"/>
          <w:highlight w:val="none"/>
        </w:rPr>
        <w:t>。</w:t>
      </w:r>
    </w:p>
    <w:p w14:paraId="1A0A366A">
      <w:pPr>
        <w:pStyle w:val="9"/>
        <w:tabs>
          <w:tab w:val="left" w:pos="3315"/>
        </w:tabs>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6. 安全文明施工与环境保护</w:t>
      </w:r>
      <w:r>
        <w:rPr>
          <w:rFonts w:hint="eastAsia" w:ascii="宋体" w:eastAsia="宋体" w:cs="宋体"/>
          <w:b w:val="0"/>
          <w:color w:val="auto"/>
          <w:sz w:val="21"/>
          <w:szCs w:val="21"/>
          <w:highlight w:val="none"/>
        </w:rPr>
        <w:tab/>
      </w:r>
    </w:p>
    <w:p w14:paraId="5C5A82FE">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6.1安全文明施工</w:t>
      </w:r>
    </w:p>
    <w:p w14:paraId="0495F3A0">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6.1.1 项目安全生产的达标目标及相应事项的约定</w:t>
      </w:r>
      <w:r>
        <w:rPr>
          <w:rFonts w:hint="eastAsia" w:ascii="宋体" w:cs="宋体"/>
          <w:color w:val="auto"/>
          <w:szCs w:val="21"/>
          <w:highlight w:val="none"/>
          <w:u w:val="single"/>
        </w:rPr>
        <w:t xml:space="preserve">  /    。</w:t>
      </w:r>
    </w:p>
    <w:p w14:paraId="2C8CF561">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6.1.4 关于治安保卫的特别约定：</w:t>
      </w:r>
      <w:r>
        <w:rPr>
          <w:rFonts w:hint="eastAsia" w:ascii="宋体" w:cs="宋体"/>
          <w:color w:val="auto"/>
          <w:szCs w:val="21"/>
          <w:highlight w:val="none"/>
          <w:u w:val="single"/>
        </w:rPr>
        <w:t xml:space="preserve"> 发包人应与当地公安部门协商，在现场建立治安管理机构或联防组织，统一管理施工场地的治安保卫事项，履行合同工程的治安保卫职责。发包人和承包人除应协助现场治安管理机构或联防组织维护施工场地的社会治安外，还应做好包括生活区在内的各自管辖区的治安保卫工作。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671883A0">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关于编制施工场地治安管理计划的约定：</w:t>
      </w:r>
      <w:r>
        <w:rPr>
          <w:rFonts w:hint="eastAsia" w:ascii="宋体" w:cs="宋体"/>
          <w:color w:val="auto"/>
          <w:szCs w:val="21"/>
          <w:highlight w:val="none"/>
          <w:u w:val="single"/>
        </w:rPr>
        <w:t xml:space="preserve">   由承包人负责       </w:t>
      </w:r>
      <w:r>
        <w:rPr>
          <w:rFonts w:hint="eastAsia" w:ascii="宋体" w:cs="宋体"/>
          <w:color w:val="auto"/>
          <w:szCs w:val="21"/>
          <w:highlight w:val="none"/>
        </w:rPr>
        <w:t>。</w:t>
      </w:r>
    </w:p>
    <w:p w14:paraId="649B00D4">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6.1.5 文明施工</w:t>
      </w:r>
    </w:p>
    <w:p w14:paraId="72C62AC8">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合同当事人对文明施工的要求：</w:t>
      </w:r>
      <w:r>
        <w:rPr>
          <w:rFonts w:hint="eastAsia" w:ascii="宋体" w:cs="宋体"/>
          <w:color w:val="auto"/>
          <w:szCs w:val="21"/>
          <w:highlight w:val="none"/>
          <w:u w:val="single"/>
        </w:rPr>
        <w:t xml:space="preserve">   执行</w:t>
      </w:r>
      <w:r>
        <w:rPr>
          <w:rFonts w:hint="eastAsia" w:ascii="宋体" w:cs="宋体"/>
          <w:color w:val="auto"/>
          <w:szCs w:val="21"/>
          <w:highlight w:val="none"/>
          <w:u w:val="single"/>
          <w:lang w:val="en-US" w:eastAsia="zh-CN"/>
        </w:rPr>
        <w:t>招标</w:t>
      </w:r>
      <w:r>
        <w:rPr>
          <w:rFonts w:hint="eastAsia" w:ascii="宋体" w:cs="宋体"/>
          <w:color w:val="auto"/>
          <w:szCs w:val="21"/>
          <w:highlight w:val="none"/>
          <w:u w:val="single"/>
        </w:rPr>
        <w:t xml:space="preserve">文件   </w:t>
      </w:r>
      <w:r>
        <w:rPr>
          <w:rFonts w:hint="eastAsia" w:ascii="宋体" w:cs="宋体"/>
          <w:color w:val="auto"/>
          <w:szCs w:val="21"/>
          <w:highlight w:val="none"/>
        </w:rPr>
        <w:t>。</w:t>
      </w:r>
    </w:p>
    <w:p w14:paraId="21700803">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6.1.6 关于安全文明施工费支付比例和支付期限的约定：</w:t>
      </w:r>
      <w:r>
        <w:rPr>
          <w:rFonts w:hint="eastAsia" w:ascii="宋体" w:cs="宋体"/>
          <w:color w:val="auto"/>
          <w:szCs w:val="21"/>
          <w:highlight w:val="none"/>
          <w:u w:val="single"/>
        </w:rPr>
        <w:t xml:space="preserve">   按照《关于落实&lt;市规建委关于规范建设工程安全防护和文明施工措施费使用管理的通知&gt;的意见》，支付方式为：房建工程基础验收合格后支付40%，主体结构施工封顶支付40%，工程初验合格支付剩余20%；市政基础设施工程正常开工并达到第一期工程请款条件时支付50%，工程初验合格后支付剩余50%。该费用付至施工企业在银行开立的专户。施工企业应当确保安全防护、文明施工措施费专款专用，在财务管理中单独列出安全防护、文明施工措施项目费用清单备查   </w:t>
      </w:r>
      <w:r>
        <w:rPr>
          <w:rFonts w:hint="eastAsia" w:ascii="宋体" w:cs="宋体"/>
          <w:color w:val="auto"/>
          <w:szCs w:val="21"/>
          <w:highlight w:val="none"/>
        </w:rPr>
        <w:t>。</w:t>
      </w:r>
    </w:p>
    <w:p w14:paraId="4EA43A65">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7. 工期和进度</w:t>
      </w:r>
    </w:p>
    <w:p w14:paraId="13CDE047">
      <w:pPr>
        <w:tabs>
          <w:tab w:val="left" w:pos="3240"/>
        </w:tabs>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7.1 施工组织设计</w:t>
      </w:r>
      <w:r>
        <w:rPr>
          <w:rFonts w:hint="eastAsia" w:ascii="宋体" w:cs="宋体"/>
          <w:color w:val="auto"/>
          <w:szCs w:val="21"/>
          <w:highlight w:val="none"/>
        </w:rPr>
        <w:tab/>
      </w:r>
    </w:p>
    <w:p w14:paraId="65A62D51">
      <w:pPr>
        <w:autoSpaceDE w:val="0"/>
        <w:autoSpaceDN w:val="0"/>
        <w:adjustRightInd w:val="0"/>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7.1.1 （9）合</w:t>
      </w:r>
      <w:r>
        <w:rPr>
          <w:rFonts w:hint="eastAsia" w:ascii="宋体" w:cs="宋体"/>
          <w:color w:val="auto"/>
          <w:kern w:val="0"/>
          <w:szCs w:val="21"/>
          <w:highlight w:val="none"/>
        </w:rPr>
        <w:t>同当事人约定的施工组织设计应包括的其他内容：</w:t>
      </w:r>
      <w:r>
        <w:rPr>
          <w:rFonts w:hint="eastAsia" w:ascii="宋体" w:cs="宋体"/>
          <w:color w:val="auto"/>
          <w:szCs w:val="21"/>
          <w:highlight w:val="none"/>
          <w:u w:val="single"/>
        </w:rPr>
        <w:t xml:space="preserve">  本工程需按照总进度计划编制每月施工进度计划，经监理、发包人审批后作为进度考核和进度款支付的依据  </w:t>
      </w:r>
      <w:r>
        <w:rPr>
          <w:rFonts w:hint="eastAsia" w:ascii="宋体" w:cs="宋体"/>
          <w:color w:val="auto"/>
          <w:szCs w:val="21"/>
          <w:highlight w:val="none"/>
        </w:rPr>
        <w:t>。</w:t>
      </w:r>
    </w:p>
    <w:p w14:paraId="1E7D868F">
      <w:pPr>
        <w:autoSpaceDE w:val="0"/>
        <w:autoSpaceDN w:val="0"/>
        <w:adjustRightInd w:val="0"/>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szCs w:val="21"/>
          <w:highlight w:val="none"/>
        </w:rPr>
        <w:t xml:space="preserve">7.1.2 </w:t>
      </w:r>
      <w:r>
        <w:rPr>
          <w:rFonts w:hint="eastAsia" w:ascii="宋体" w:cs="宋体"/>
          <w:color w:val="auto"/>
          <w:kern w:val="0"/>
          <w:szCs w:val="21"/>
          <w:highlight w:val="none"/>
        </w:rPr>
        <w:t>施工组织设计的提交和修改</w:t>
      </w:r>
    </w:p>
    <w:p w14:paraId="7B999185">
      <w:pPr>
        <w:autoSpaceDE w:val="0"/>
        <w:autoSpaceDN w:val="0"/>
        <w:adjustRightInd w:val="0"/>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kern w:val="0"/>
          <w:szCs w:val="21"/>
          <w:highlight w:val="none"/>
        </w:rPr>
        <w:t>承包人提交详细施工组织设计的期限的约定：</w:t>
      </w:r>
      <w:r>
        <w:rPr>
          <w:rFonts w:hint="eastAsia" w:ascii="宋体" w:cs="宋体"/>
          <w:color w:val="auto"/>
          <w:szCs w:val="21"/>
          <w:highlight w:val="none"/>
          <w:u w:val="single"/>
        </w:rPr>
        <w:t xml:space="preserve">图纸会审及设计交底后一周内提供标后实施性施工组织设计 </w:t>
      </w:r>
      <w:r>
        <w:rPr>
          <w:rFonts w:hint="eastAsia" w:ascii="宋体" w:cs="宋体"/>
          <w:color w:val="auto"/>
          <w:szCs w:val="21"/>
          <w:highlight w:val="none"/>
        </w:rPr>
        <w:t>。</w:t>
      </w:r>
    </w:p>
    <w:p w14:paraId="22C3AF5E">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发包人和</w:t>
      </w:r>
      <w:r>
        <w:rPr>
          <w:rFonts w:hint="eastAsia" w:ascii="宋体" w:cs="宋体"/>
          <w:color w:val="auto"/>
          <w:szCs w:val="21"/>
          <w:highlight w:val="none"/>
          <w:lang w:eastAsia="zh-CN"/>
        </w:rPr>
        <w:t>发包人</w:t>
      </w:r>
      <w:r>
        <w:rPr>
          <w:rFonts w:hint="eastAsia" w:ascii="宋体" w:cs="宋体"/>
          <w:color w:val="auto"/>
          <w:szCs w:val="21"/>
          <w:highlight w:val="none"/>
        </w:rPr>
        <w:t>在收到详细的施工组织设计后确认或提出修改意见的期限：</w:t>
      </w:r>
      <w:r>
        <w:rPr>
          <w:rFonts w:hint="eastAsia" w:ascii="宋体" w:cs="宋体"/>
          <w:color w:val="auto"/>
          <w:szCs w:val="21"/>
          <w:highlight w:val="none"/>
          <w:u w:val="single"/>
        </w:rPr>
        <w:t>发包人和</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应在</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收到施工组织设计后7天内确认或提出修改意见。对发包人和</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提出的合理意见和要求，承包人应自费修改完善。根据工程实际情况需要修改施工组织设计的，承包人应向发包人和</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提交修改后的施工组织设计。</w:t>
      </w:r>
    </w:p>
    <w:p w14:paraId="673D2DD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7.2 施工进度计划</w:t>
      </w:r>
    </w:p>
    <w:p w14:paraId="2A99FBE3">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7.2.2 施工进度计划的修订</w:t>
      </w:r>
    </w:p>
    <w:p w14:paraId="33550E3A">
      <w:pPr>
        <w:snapToGrid w:val="0"/>
        <w:spacing w:line="440" w:lineRule="exact"/>
        <w:ind w:firstLine="420" w:firstLineChars="200"/>
        <w:jc w:val="left"/>
        <w:rPr>
          <w:rFonts w:hint="default" w:ascii="宋体" w:cs="宋体"/>
          <w:color w:val="auto"/>
          <w:szCs w:val="21"/>
          <w:highlight w:val="none"/>
          <w:u w:val="single"/>
          <w:lang w:val="en-US"/>
        </w:rPr>
      </w:pPr>
      <w:r>
        <w:rPr>
          <w:rFonts w:hint="eastAsia" w:ascii="宋体" w:cs="宋体"/>
          <w:color w:val="auto"/>
          <w:szCs w:val="21"/>
          <w:highlight w:val="none"/>
          <w:lang w:eastAsia="zh-CN"/>
        </w:rPr>
        <w:t>发包人</w:t>
      </w:r>
      <w:r>
        <w:rPr>
          <w:rFonts w:hint="eastAsia" w:ascii="宋体" w:cs="宋体"/>
          <w:color w:val="auto"/>
          <w:szCs w:val="21"/>
          <w:highlight w:val="none"/>
        </w:rPr>
        <w:t>在收到修订的施工进度计划后确认或提出修改意见的期限：</w:t>
      </w:r>
      <w:r>
        <w:rPr>
          <w:rFonts w:hint="eastAsia" w:ascii="宋体" w:cs="宋体"/>
          <w:color w:val="auto"/>
          <w:szCs w:val="21"/>
          <w:highlight w:val="none"/>
          <w:u w:val="single"/>
          <w:lang w:val="en-US" w:eastAsia="zh-CN"/>
        </w:rPr>
        <w:t xml:space="preserve"> 发包人和监理人应在收到修订的施工进度计划后7天内完成审核和批准或提出修改意见。发包人和监理人对承包人提交的施工进度计划的确认，不能减轻或免除承包人根据法律规定和合同约定应承担的任何责任或义务。承包人必须按照批准的进度计划组织施工，接受发包人对进度的检查、监督，工程实际进展与进度计划不符时，应提供修改，调整后的进度计划及相应的措施报发包人批准后执行。</w:t>
      </w:r>
    </w:p>
    <w:p w14:paraId="026C8A48">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7.3 开工</w:t>
      </w:r>
    </w:p>
    <w:p w14:paraId="0DF4E6A4">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7.3.1 开工准备</w:t>
      </w:r>
    </w:p>
    <w:p w14:paraId="514C705E">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关于承包人提交</w:t>
      </w:r>
      <w:r>
        <w:rPr>
          <w:rFonts w:hint="eastAsia" w:ascii="宋体" w:cs="宋体"/>
          <w:color w:val="auto"/>
          <w:kern w:val="0"/>
          <w:szCs w:val="21"/>
          <w:highlight w:val="none"/>
        </w:rPr>
        <w:t>工程开工报审表的期限：</w:t>
      </w:r>
      <w:r>
        <w:rPr>
          <w:rFonts w:hint="eastAsia" w:ascii="宋体" w:cs="宋体"/>
          <w:color w:val="auto"/>
          <w:szCs w:val="21"/>
          <w:highlight w:val="none"/>
          <w:u w:val="single"/>
        </w:rPr>
        <w:t xml:space="preserve"> 承包人应按照第7.1款〔施工组织设计〕约定的期限，向</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提交工程开工报审表，经</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报发包人批准后执行。开工报审表应详细说明按施工进度计划正常施工所需的施工道路、临时设施、材料、工程设备、施工设备、施工人员等落实情况以及工程的进度安排。</w:t>
      </w:r>
    </w:p>
    <w:p w14:paraId="6559CEA1">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关于承包人应完成的其他开工准备工作及期限：</w:t>
      </w:r>
      <w:r>
        <w:rPr>
          <w:rFonts w:hint="eastAsia" w:ascii="宋体" w:cs="宋体"/>
          <w:color w:val="auto"/>
          <w:szCs w:val="21"/>
          <w:highlight w:val="none"/>
          <w:u w:val="single"/>
        </w:rPr>
        <w:t>合同当事人应按约定完成开工准备工作。</w:t>
      </w:r>
    </w:p>
    <w:p w14:paraId="6583A6CA">
      <w:pPr>
        <w:snapToGrid w:val="0"/>
        <w:spacing w:line="440" w:lineRule="exact"/>
        <w:ind w:firstLine="420" w:firstLineChars="200"/>
        <w:jc w:val="left"/>
        <w:rPr>
          <w:rFonts w:hint="eastAsia" w:ascii="宋体" w:cs="宋体"/>
          <w:strike w:val="0"/>
          <w:dstrike w:val="0"/>
          <w:color w:val="auto"/>
          <w:szCs w:val="21"/>
          <w:highlight w:val="none"/>
        </w:rPr>
      </w:pPr>
      <w:r>
        <w:rPr>
          <w:rFonts w:hint="eastAsia" w:ascii="宋体" w:cs="宋体"/>
          <w:strike w:val="0"/>
          <w:dstrike w:val="0"/>
          <w:color w:val="auto"/>
          <w:szCs w:val="21"/>
          <w:highlight w:val="none"/>
        </w:rPr>
        <w:t>7.3.2开工通知</w:t>
      </w:r>
    </w:p>
    <w:p w14:paraId="5AE1CE85">
      <w:pPr>
        <w:snapToGrid w:val="0"/>
        <w:spacing w:line="440" w:lineRule="exact"/>
        <w:ind w:firstLine="420" w:firstLineChars="200"/>
        <w:jc w:val="left"/>
        <w:rPr>
          <w:rFonts w:hint="default" w:ascii="宋体" w:eastAsia="宋体" w:cs="宋体"/>
          <w:strike w:val="0"/>
          <w:dstrike w:val="0"/>
          <w:color w:val="auto"/>
          <w:szCs w:val="21"/>
          <w:highlight w:val="none"/>
          <w:lang w:val="en-US" w:eastAsia="zh-CN"/>
        </w:rPr>
      </w:pPr>
      <w:r>
        <w:rPr>
          <w:rFonts w:hint="eastAsia" w:ascii="宋体" w:cs="宋体"/>
          <w:strike w:val="0"/>
          <w:dstrike w:val="0"/>
          <w:color w:val="auto"/>
          <w:szCs w:val="21"/>
          <w:highlight w:val="none"/>
          <w:lang w:val="en-US" w:eastAsia="zh-CN"/>
        </w:rPr>
        <w:t>由发包人发出。</w:t>
      </w:r>
    </w:p>
    <w:p w14:paraId="69E8F0E4">
      <w:pPr>
        <w:snapToGrid w:val="0"/>
        <w:spacing w:line="440" w:lineRule="exact"/>
        <w:ind w:firstLine="420" w:firstLineChars="200"/>
        <w:rPr>
          <w:rFonts w:hint="eastAsia" w:ascii="宋体" w:eastAsia="宋体" w:cs="宋体"/>
          <w:strike w:val="0"/>
          <w:dstrike w:val="0"/>
          <w:color w:val="auto"/>
          <w:szCs w:val="21"/>
          <w:highlight w:val="none"/>
          <w:lang w:eastAsia="zh-CN"/>
        </w:rPr>
      </w:pPr>
      <w:r>
        <w:rPr>
          <w:rFonts w:hint="eastAsia" w:ascii="宋体" w:cs="宋体"/>
          <w:strike w:val="0"/>
          <w:dstrike w:val="0"/>
          <w:color w:val="auto"/>
          <w:szCs w:val="21"/>
          <w:highlight w:val="none"/>
        </w:rPr>
        <w:t>7.4 测量放线</w:t>
      </w:r>
    </w:p>
    <w:p w14:paraId="07F3E953">
      <w:pPr>
        <w:snapToGrid w:val="0"/>
        <w:spacing w:line="440" w:lineRule="exact"/>
        <w:ind w:firstLine="420" w:firstLineChars="200"/>
        <w:jc w:val="left"/>
        <w:rPr>
          <w:rFonts w:hint="eastAsia" w:ascii="宋体" w:hAnsi="宋体" w:eastAsia="宋体" w:cs="宋体"/>
          <w:strike w:val="0"/>
          <w:dstrike w:val="0"/>
          <w:color w:val="auto"/>
          <w:highlight w:val="none"/>
          <w:lang w:eastAsia="zh-CN"/>
        </w:rPr>
      </w:pPr>
      <w:r>
        <w:rPr>
          <w:rFonts w:hint="eastAsia" w:ascii="宋体" w:cs="宋体"/>
          <w:strike w:val="0"/>
          <w:dstrike w:val="0"/>
          <w:color w:val="auto"/>
          <w:szCs w:val="21"/>
          <w:highlight w:val="none"/>
        </w:rPr>
        <w:t>7.4.1发包人通过</w:t>
      </w:r>
      <w:r>
        <w:rPr>
          <w:rFonts w:hint="eastAsia" w:ascii="宋体" w:cs="宋体"/>
          <w:strike w:val="0"/>
          <w:dstrike w:val="0"/>
          <w:color w:val="auto"/>
          <w:szCs w:val="21"/>
          <w:highlight w:val="none"/>
          <w:lang w:eastAsia="zh-CN"/>
        </w:rPr>
        <w:t>发包人</w:t>
      </w:r>
      <w:r>
        <w:rPr>
          <w:rFonts w:hint="eastAsia" w:ascii="宋体" w:cs="宋体"/>
          <w:strike w:val="0"/>
          <w:dstrike w:val="0"/>
          <w:color w:val="auto"/>
          <w:szCs w:val="21"/>
          <w:highlight w:val="none"/>
        </w:rPr>
        <w:t>向承包人提供测量基准点、基准线和水准点及其书面资料的期限：</w:t>
      </w:r>
      <w:r>
        <w:rPr>
          <w:rFonts w:hint="eastAsia" w:ascii="宋体" w:cs="宋体"/>
          <w:strike w:val="0"/>
          <w:dstrike w:val="0"/>
          <w:color w:val="auto"/>
          <w:szCs w:val="21"/>
          <w:highlight w:val="none"/>
          <w:u w:val="single"/>
        </w:rPr>
        <w:t xml:space="preserve"> </w:t>
      </w:r>
      <w:r>
        <w:rPr>
          <w:rFonts w:hint="eastAsia" w:ascii="宋体" w:hAnsi="宋体" w:cs="宋体"/>
          <w:strike w:val="0"/>
          <w:dstrike w:val="0"/>
          <w:color w:val="auto"/>
          <w:highlight w:val="none"/>
          <w:u w:val="single"/>
          <w:lang w:val="en-US" w:eastAsia="zh-CN"/>
        </w:rPr>
        <w:t>/</w:t>
      </w:r>
    </w:p>
    <w:p w14:paraId="5BE54CD2">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rPr>
        <w:t>7.5 工期延误</w:t>
      </w:r>
    </w:p>
    <w:p w14:paraId="72CC7466">
      <w:pPr>
        <w:snapToGrid w:val="0"/>
        <w:spacing w:line="440" w:lineRule="exact"/>
        <w:ind w:firstLine="420" w:firstLineChars="200"/>
        <w:jc w:val="left"/>
        <w:rPr>
          <w:rFonts w:hint="eastAsia" w:ascii="宋体" w:cs="宋体"/>
          <w:strike w:val="0"/>
          <w:dstrike w:val="0"/>
          <w:color w:val="auto"/>
          <w:szCs w:val="21"/>
          <w:highlight w:val="none"/>
        </w:rPr>
      </w:pPr>
      <w:r>
        <w:rPr>
          <w:rFonts w:hint="eastAsia" w:ascii="宋体" w:cs="宋体"/>
          <w:strike w:val="0"/>
          <w:dstrike w:val="0"/>
          <w:color w:val="auto"/>
          <w:szCs w:val="21"/>
          <w:highlight w:val="none"/>
        </w:rPr>
        <w:t>7.5.1 因发包人原因导致工期延误</w:t>
      </w:r>
    </w:p>
    <w:p w14:paraId="39C02783">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（7）因发包人原因导致工期延误的其他情形：</w:t>
      </w:r>
      <w:r>
        <w:rPr>
          <w:rFonts w:hint="eastAsia" w:ascii="宋体" w:cs="宋体"/>
          <w:color w:val="auto"/>
          <w:szCs w:val="21"/>
          <w:highlight w:val="none"/>
          <w:u w:val="single"/>
        </w:rPr>
        <w:t xml:space="preserve"> 无 。</w:t>
      </w:r>
      <w:r>
        <w:rPr>
          <w:rFonts w:hint="eastAsia" w:ascii="宋体" w:cs="宋体"/>
          <w:color w:val="auto"/>
          <w:szCs w:val="21"/>
          <w:highlight w:val="none"/>
        </w:rPr>
        <w:t xml:space="preserve">        </w:t>
      </w:r>
    </w:p>
    <w:p w14:paraId="1F126F8A">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7.5.2 因承包人原因导致工期延误</w:t>
      </w:r>
    </w:p>
    <w:p w14:paraId="5742159B">
      <w:pPr>
        <w:pStyle w:val="2"/>
        <w:spacing w:after="0" w:line="440" w:lineRule="exact"/>
        <w:ind w:left="0" w:leftChars="0"/>
        <w:rPr>
          <w:rFonts w:hint="eastAsia"/>
          <w:color w:val="auto"/>
          <w:highlight w:val="none"/>
        </w:rPr>
      </w:pPr>
      <w:r>
        <w:rPr>
          <w:rFonts w:hint="eastAsia"/>
          <w:color w:val="auto"/>
          <w:highlight w:val="none"/>
        </w:rPr>
        <w:t>因承包人原因造成工期延误，逾期竣工违约金的计算方法为：</w:t>
      </w:r>
      <w:r>
        <w:rPr>
          <w:rFonts w:hint="eastAsia"/>
          <w:color w:val="auto"/>
          <w:highlight w:val="none"/>
          <w:u w:val="single"/>
        </w:rPr>
        <w:t xml:space="preserve">  因承包人原因造成合同工期延误，每延误一天，</w:t>
      </w:r>
      <w:r>
        <w:rPr>
          <w:rFonts w:hint="eastAsia"/>
          <w:color w:val="auto"/>
          <w:highlight w:val="none"/>
          <w:u w:val="single"/>
          <w:lang w:val="en-US" w:eastAsia="zh-CN"/>
        </w:rPr>
        <w:t>处以1000</w:t>
      </w:r>
      <w:r>
        <w:rPr>
          <w:rFonts w:hint="eastAsia"/>
          <w:color w:val="auto"/>
          <w:highlight w:val="none"/>
          <w:u w:val="single"/>
        </w:rPr>
        <w:t>元</w:t>
      </w:r>
      <w:r>
        <w:rPr>
          <w:rFonts w:hint="eastAsia"/>
          <w:color w:val="auto"/>
          <w:highlight w:val="none"/>
          <w:u w:val="single"/>
          <w:lang w:val="en-US" w:eastAsia="zh-CN"/>
        </w:rPr>
        <w:t>违约金</w:t>
      </w:r>
      <w:r>
        <w:rPr>
          <w:rFonts w:hint="eastAsia"/>
          <w:color w:val="auto"/>
          <w:highlight w:val="none"/>
          <w:u w:val="single"/>
        </w:rPr>
        <w:t>；月工程量未完成的当期不得请款，当月未完成的工程量纳入下月一并完成，完不成的仍不予请款，依此类推。连续两个月工程量未完成的立即限制承包人一年内不得参与发包人项目投标。</w:t>
      </w:r>
    </w:p>
    <w:p w14:paraId="601700C4">
      <w:pPr>
        <w:pStyle w:val="2"/>
        <w:spacing w:after="0" w:line="440" w:lineRule="exact"/>
        <w:ind w:left="0" w:leftChars="0"/>
        <w:rPr>
          <w:rFonts w:hint="eastAsia"/>
          <w:color w:val="auto"/>
          <w:highlight w:val="none"/>
        </w:rPr>
      </w:pPr>
      <w:r>
        <w:rPr>
          <w:rFonts w:hint="eastAsia"/>
          <w:color w:val="auto"/>
          <w:highlight w:val="none"/>
        </w:rPr>
        <w:t>因承包人原因造成工期延误，逾期竣工违约金的上限：</w:t>
      </w:r>
      <w:r>
        <w:rPr>
          <w:rFonts w:hint="eastAsia"/>
          <w:color w:val="auto"/>
          <w:highlight w:val="none"/>
          <w:u w:val="single"/>
        </w:rPr>
        <w:t xml:space="preserve"> 全额履约保证金 </w:t>
      </w:r>
      <w:r>
        <w:rPr>
          <w:rFonts w:hint="eastAsia"/>
          <w:color w:val="auto"/>
          <w:highlight w:val="none"/>
        </w:rPr>
        <w:t>。</w:t>
      </w:r>
    </w:p>
    <w:p w14:paraId="475713BC">
      <w:pPr>
        <w:pStyle w:val="2"/>
        <w:spacing w:after="0" w:line="440" w:lineRule="exact"/>
        <w:ind w:left="0" w:leftChars="0"/>
        <w:rPr>
          <w:rFonts w:hint="eastAsia" w:cs="宋体"/>
          <w:color w:val="auto"/>
          <w:szCs w:val="21"/>
          <w:highlight w:val="none"/>
        </w:rPr>
      </w:pPr>
      <w:r>
        <w:rPr>
          <w:rFonts w:hint="eastAsia" w:cs="宋体"/>
          <w:bCs/>
          <w:color w:val="auto"/>
          <w:szCs w:val="21"/>
          <w:highlight w:val="none"/>
        </w:rPr>
        <w:t>业主单位根据拖延工期的严重程度采用以下方法处理:</w:t>
      </w:r>
    </w:p>
    <w:p w14:paraId="12D8D346">
      <w:pPr>
        <w:widowControl/>
        <w:snapToGrid w:val="0"/>
        <w:spacing w:line="440" w:lineRule="exact"/>
        <w:ind w:firstLine="420" w:firstLineChars="200"/>
        <w:rPr>
          <w:rFonts w:hint="eastAsia" w:ascii="宋体" w:cs="宋体"/>
          <w:bCs/>
          <w:color w:val="auto"/>
          <w:szCs w:val="21"/>
          <w:highlight w:val="none"/>
          <w:u w:val="single"/>
        </w:rPr>
      </w:pPr>
      <w:r>
        <w:rPr>
          <w:rFonts w:hint="eastAsia" w:ascii="宋体" w:cs="宋体"/>
          <w:color w:val="auto"/>
          <w:szCs w:val="21"/>
          <w:highlight w:val="none"/>
          <w:u w:val="single"/>
        </w:rPr>
        <w:t>（1）</w:t>
      </w:r>
      <w:r>
        <w:rPr>
          <w:rFonts w:hint="eastAsia" w:ascii="宋体" w:cs="宋体"/>
          <w:bCs/>
          <w:color w:val="auto"/>
          <w:szCs w:val="21"/>
          <w:highlight w:val="none"/>
          <w:u w:val="single"/>
        </w:rPr>
        <w:t>督促承包人采取有效的赶工措施（费用自理）；</w:t>
      </w:r>
    </w:p>
    <w:p w14:paraId="1EA21FC2">
      <w:pPr>
        <w:widowControl/>
        <w:snapToGrid w:val="0"/>
        <w:spacing w:line="440" w:lineRule="exact"/>
        <w:ind w:firstLine="420" w:firstLineChars="200"/>
        <w:rPr>
          <w:rFonts w:hint="eastAsia" w:ascii="宋体" w:hAnsi="Times New Roman" w:eastAsia="宋体" w:cs="宋体"/>
          <w:bCs/>
          <w:color w:val="auto"/>
          <w:szCs w:val="21"/>
          <w:highlight w:val="none"/>
          <w:u w:val="single"/>
        </w:rPr>
      </w:pPr>
      <w:r>
        <w:rPr>
          <w:rFonts w:hint="eastAsia" w:ascii="宋体" w:hAnsi="Times New Roman" w:eastAsia="宋体" w:cs="宋体"/>
          <w:bCs/>
          <w:color w:val="auto"/>
          <w:szCs w:val="21"/>
          <w:highlight w:val="none"/>
          <w:u w:val="single"/>
        </w:rPr>
        <w:t>（2）发包人根据本项目总体施工计划对工程各分部分项工程的进度目标确定之后，承包人应采取各种措施确保本合同内各分部分项工程进度目标的实现，如果在工程实施某个分部分项工程，承包人的实际进度滞后该分部分项工程进度目标7天以上，并无法确保该分部分项工程进度目标的完成或承包人虽采取了一些措施，但仍无法按交工期交工时，监理工程师应立即通知发包人，并抄送承包人。发包人向承包人发出书面警告通知3天后，发包人有权终止合同，也可将本合同工程中的一部分或剩余工作交由其他承包人或指定分包人完成，因此所增加的一切费用由原承包人承担。</w:t>
      </w:r>
    </w:p>
    <w:p w14:paraId="138EC72A">
      <w:pPr>
        <w:widowControl/>
        <w:snapToGrid w:val="0"/>
        <w:spacing w:line="440" w:lineRule="exact"/>
        <w:ind w:firstLine="420" w:firstLineChars="200"/>
        <w:rPr>
          <w:rFonts w:hint="eastAsia" w:ascii="宋体" w:hAnsi="Times New Roman" w:eastAsia="宋体" w:cs="宋体"/>
          <w:bCs/>
          <w:color w:val="auto"/>
          <w:szCs w:val="21"/>
          <w:highlight w:val="none"/>
          <w:u w:val="single"/>
        </w:rPr>
      </w:pPr>
      <w:r>
        <w:rPr>
          <w:rFonts w:hint="eastAsia" w:ascii="宋体" w:hAnsi="Times New Roman" w:eastAsia="宋体" w:cs="宋体"/>
          <w:bCs/>
          <w:color w:val="auto"/>
          <w:szCs w:val="21"/>
          <w:highlight w:val="none"/>
          <w:u w:val="single"/>
        </w:rPr>
        <w:t>（3）对严重拖延工期，经发包人多次督促，承包人拒不执行的，发包人可中止施工合同，并和承包人进行清算。同时按原中</w:t>
      </w:r>
      <w:r>
        <w:rPr>
          <w:rFonts w:hint="eastAsia" w:ascii="宋体" w:hAnsi="Times New Roman" w:eastAsia="宋体" w:cs="宋体"/>
          <w:bCs/>
          <w:color w:val="auto"/>
          <w:szCs w:val="21"/>
          <w:highlight w:val="none"/>
          <w:u w:val="single"/>
          <w:lang w:val="en-US" w:eastAsia="zh-CN"/>
        </w:rPr>
        <w:t>标</w:t>
      </w:r>
      <w:r>
        <w:rPr>
          <w:rFonts w:hint="eastAsia" w:ascii="宋体" w:hAnsi="Times New Roman" w:eastAsia="宋体" w:cs="宋体"/>
          <w:bCs/>
          <w:color w:val="auto"/>
          <w:szCs w:val="21"/>
          <w:highlight w:val="none"/>
          <w:u w:val="single"/>
        </w:rPr>
        <w:t xml:space="preserve">价格另选同样资质的施工队伍进场施工，原承包人须无条件配合，不得以任何借口阻挠另选的施工队伍施工，不得向发包人提出任何索赔要求，详见补充条款。  </w:t>
      </w:r>
    </w:p>
    <w:p w14:paraId="3B893544">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7.6 不利物质条件</w:t>
      </w:r>
    </w:p>
    <w:p w14:paraId="0339D577">
      <w:pPr>
        <w:snapToGrid w:val="0"/>
        <w:spacing w:line="440" w:lineRule="exact"/>
        <w:ind w:firstLine="420" w:firstLineChars="200"/>
        <w:jc w:val="left"/>
        <w:rPr>
          <w:rFonts w:ascii="宋体" w:cs="宋体"/>
          <w:color w:val="auto"/>
          <w:szCs w:val="21"/>
          <w:highlight w:val="none"/>
          <w:u w:val="single"/>
        </w:rPr>
      </w:pPr>
      <w:r>
        <w:rPr>
          <w:rFonts w:hint="eastAsia" w:ascii="宋体" w:cs="宋体"/>
          <w:color w:val="auto"/>
          <w:szCs w:val="21"/>
          <w:highlight w:val="none"/>
        </w:rPr>
        <w:t>不利物质条件的其他情形和有关约定：</w:t>
      </w:r>
      <w:r>
        <w:rPr>
          <w:rFonts w:hint="eastAsia" w:ascii="宋体" w:cs="宋体"/>
          <w:color w:val="auto"/>
          <w:szCs w:val="21"/>
          <w:highlight w:val="none"/>
          <w:u w:val="single"/>
        </w:rPr>
        <w:t xml:space="preserve"> 无  。</w:t>
      </w:r>
    </w:p>
    <w:p w14:paraId="0B8A76B4">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7.7异常恶劣的气候条件</w:t>
      </w:r>
    </w:p>
    <w:p w14:paraId="3E77EB52">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发包人和承包人同意以下情形视为异常恶劣的气候条件：</w:t>
      </w:r>
    </w:p>
    <w:p w14:paraId="6E1FC248">
      <w:pPr>
        <w:numPr>
          <w:ilvl w:val="0"/>
          <w:numId w:val="4"/>
        </w:numPr>
        <w:snapToGrid w:val="0"/>
        <w:spacing w:line="440" w:lineRule="exact"/>
        <w:ind w:firstLine="420" w:firstLineChars="200"/>
        <w:jc w:val="left"/>
        <w:rPr>
          <w:rFonts w:hint="eastAsia"/>
          <w:color w:val="auto"/>
          <w:highlight w:val="none"/>
        </w:rPr>
      </w:pPr>
      <w:r>
        <w:rPr>
          <w:rFonts w:hint="eastAsia" w:ascii="宋体" w:cs="宋体"/>
          <w:color w:val="auto"/>
          <w:szCs w:val="21"/>
          <w:highlight w:val="none"/>
          <w:u w:val="single"/>
        </w:rPr>
        <w:t xml:space="preserve"> 无   </w:t>
      </w:r>
      <w:r>
        <w:rPr>
          <w:rFonts w:hint="eastAsia" w:ascii="宋体" w:cs="宋体"/>
          <w:color w:val="auto"/>
          <w:szCs w:val="21"/>
          <w:highlight w:val="none"/>
        </w:rPr>
        <w:t>；</w:t>
      </w:r>
    </w:p>
    <w:p w14:paraId="20C57EA4">
      <w:pPr>
        <w:numPr>
          <w:ilvl w:val="0"/>
          <w:numId w:val="4"/>
        </w:numPr>
        <w:snapToGrid w:val="0"/>
        <w:spacing w:line="440" w:lineRule="exact"/>
        <w:ind w:firstLine="420" w:firstLineChars="200"/>
        <w:jc w:val="left"/>
        <w:rPr>
          <w:rFonts w:hint="eastAsia"/>
          <w:color w:val="auto"/>
          <w:highlight w:val="none"/>
        </w:rPr>
      </w:pPr>
      <w:r>
        <w:rPr>
          <w:rFonts w:hint="eastAsia" w:ascii="宋体" w:cs="宋体"/>
          <w:color w:val="auto"/>
          <w:szCs w:val="21"/>
          <w:highlight w:val="none"/>
          <w:u w:val="single"/>
        </w:rPr>
        <w:t xml:space="preserve"> 无   </w:t>
      </w:r>
      <w:r>
        <w:rPr>
          <w:rFonts w:hint="eastAsia" w:ascii="宋体" w:cs="宋体"/>
          <w:color w:val="auto"/>
          <w:szCs w:val="21"/>
          <w:highlight w:val="none"/>
        </w:rPr>
        <w:t>；</w:t>
      </w:r>
    </w:p>
    <w:p w14:paraId="115DE2A1">
      <w:pPr>
        <w:numPr>
          <w:ilvl w:val="0"/>
          <w:numId w:val="4"/>
        </w:numPr>
        <w:snapToGrid w:val="0"/>
        <w:spacing w:line="440" w:lineRule="exact"/>
        <w:ind w:firstLine="420" w:firstLineChars="200"/>
        <w:jc w:val="left"/>
        <w:rPr>
          <w:rFonts w:hint="eastAsia"/>
          <w:color w:val="auto"/>
          <w:highlight w:val="none"/>
        </w:rPr>
      </w:pPr>
      <w:r>
        <w:rPr>
          <w:rFonts w:hint="eastAsia" w:ascii="宋体" w:cs="宋体"/>
          <w:color w:val="auto"/>
          <w:szCs w:val="21"/>
          <w:highlight w:val="none"/>
          <w:u w:val="single"/>
        </w:rPr>
        <w:t xml:space="preserve"> 无   </w:t>
      </w:r>
      <w:r>
        <w:rPr>
          <w:rFonts w:hint="eastAsia" w:ascii="宋体" w:cs="宋体"/>
          <w:color w:val="auto"/>
          <w:szCs w:val="21"/>
          <w:highlight w:val="none"/>
        </w:rPr>
        <w:t>；</w:t>
      </w:r>
    </w:p>
    <w:p w14:paraId="09DC6267">
      <w:pPr>
        <w:snapToGrid w:val="0"/>
        <w:spacing w:line="44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7.9 提前竣工的奖励</w:t>
      </w:r>
    </w:p>
    <w:p w14:paraId="3923FD8E">
      <w:pPr>
        <w:pStyle w:val="2"/>
        <w:spacing w:after="0" w:line="440" w:lineRule="exact"/>
        <w:ind w:left="0" w:leftChars="0"/>
        <w:rPr>
          <w:rFonts w:hint="eastAsia"/>
          <w:color w:val="auto"/>
          <w:highlight w:val="none"/>
        </w:rPr>
      </w:pPr>
      <w:r>
        <w:rPr>
          <w:rFonts w:hint="eastAsia"/>
          <w:color w:val="auto"/>
          <w:highlight w:val="none"/>
        </w:rPr>
        <w:t>7.9.2提前竣工的奖励：</w:t>
      </w:r>
      <w:r>
        <w:rPr>
          <w:rFonts w:hint="eastAsia"/>
          <w:color w:val="auto"/>
          <w:highlight w:val="none"/>
          <w:u w:val="single"/>
        </w:rPr>
        <w:t xml:space="preserve"> </w:t>
      </w:r>
      <w:r>
        <w:rPr>
          <w:rFonts w:hint="eastAsia"/>
          <w:color w:val="auto"/>
          <w:highlight w:val="none"/>
          <w:u w:val="single"/>
          <w:lang w:val="en-US" w:eastAsia="zh-CN"/>
        </w:rPr>
        <w:t>无</w:t>
      </w:r>
      <w:r>
        <w:rPr>
          <w:rFonts w:hint="eastAsia"/>
          <w:color w:val="auto"/>
          <w:highlight w:val="none"/>
          <w:u w:val="single"/>
        </w:rPr>
        <w:t xml:space="preserve"> </w:t>
      </w:r>
      <w:r>
        <w:rPr>
          <w:rFonts w:hint="eastAsia"/>
          <w:color w:val="auto"/>
          <w:highlight w:val="none"/>
        </w:rPr>
        <w:t>。</w:t>
      </w:r>
    </w:p>
    <w:p w14:paraId="60A45679">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8. 材料与设备</w:t>
      </w:r>
    </w:p>
    <w:p w14:paraId="5D216707">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8.4材料与工程设备的保管与使用</w:t>
      </w:r>
    </w:p>
    <w:p w14:paraId="048767C7">
      <w:pPr>
        <w:snapToGrid w:val="0"/>
        <w:spacing w:line="440" w:lineRule="exact"/>
        <w:ind w:firstLine="420" w:firstLineChars="200"/>
        <w:jc w:val="left"/>
        <w:rPr>
          <w:rFonts w:hint="default" w:ascii="宋体" w:eastAsia="宋体" w:cs="宋体"/>
          <w:color w:val="auto"/>
          <w:szCs w:val="21"/>
          <w:highlight w:val="none"/>
          <w:u w:val="single"/>
          <w:lang w:val="en-US" w:eastAsia="zh-CN"/>
        </w:rPr>
      </w:pPr>
      <w:r>
        <w:rPr>
          <w:rFonts w:hint="eastAsia" w:ascii="宋体" w:cs="宋体"/>
          <w:color w:val="auto"/>
          <w:szCs w:val="21"/>
          <w:highlight w:val="none"/>
        </w:rPr>
        <w:t>8.4.1发包人供应的材料设备的保管费用的承担：</w:t>
      </w:r>
      <w:r>
        <w:rPr>
          <w:rFonts w:hint="eastAsia" w:ascii="宋体" w:cs="宋体"/>
          <w:color w:val="auto"/>
          <w:szCs w:val="21"/>
          <w:highlight w:val="none"/>
          <w:u w:val="single"/>
          <w:lang w:val="en-US" w:eastAsia="zh-CN"/>
        </w:rPr>
        <w:t>/</w:t>
      </w:r>
      <w:r>
        <w:rPr>
          <w:rFonts w:hint="eastAsia" w:ascii="宋体" w:cs="宋体"/>
          <w:color w:val="auto"/>
          <w:szCs w:val="21"/>
          <w:highlight w:val="none"/>
          <w:u w:val="none"/>
          <w:lang w:val="en-US" w:eastAsia="zh-CN"/>
        </w:rPr>
        <w:t>。</w:t>
      </w:r>
    </w:p>
    <w:p w14:paraId="35797CCC">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8.6 样品</w:t>
      </w:r>
    </w:p>
    <w:p w14:paraId="7BDBDDAF">
      <w:pPr>
        <w:autoSpaceDE w:val="0"/>
        <w:autoSpaceDN w:val="0"/>
        <w:adjustRightInd w:val="0"/>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8.6.1样品的报送与封存</w:t>
      </w:r>
    </w:p>
    <w:p w14:paraId="33E43874">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需要承包人报送样品的材料或工程设备，样品的种类、名称、规格、数量要求：</w:t>
      </w:r>
      <w:r>
        <w:rPr>
          <w:rFonts w:hint="eastAsia" w:ascii="宋体" w:cs="宋体"/>
          <w:color w:val="auto"/>
          <w:szCs w:val="21"/>
          <w:highlight w:val="none"/>
          <w:u w:val="single"/>
        </w:rPr>
        <w:t xml:space="preserve"> 执行</w:t>
      </w:r>
      <w:r>
        <w:rPr>
          <w:rFonts w:hint="eastAsia" w:ascii="宋体" w:cs="宋体"/>
          <w:color w:val="auto"/>
          <w:szCs w:val="21"/>
          <w:highlight w:val="none"/>
          <w:u w:val="single"/>
          <w:lang w:val="en-US" w:eastAsia="zh-CN"/>
        </w:rPr>
        <w:t>招标</w:t>
      </w:r>
      <w:r>
        <w:rPr>
          <w:rFonts w:hint="eastAsia" w:ascii="宋体" w:cs="宋体"/>
          <w:color w:val="auto"/>
          <w:szCs w:val="21"/>
          <w:highlight w:val="none"/>
          <w:u w:val="single"/>
        </w:rPr>
        <w:t xml:space="preserve">文件。 </w:t>
      </w:r>
    </w:p>
    <w:p w14:paraId="631077CD">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8.8 施工设备和临时设施</w:t>
      </w:r>
    </w:p>
    <w:p w14:paraId="6E13AC89">
      <w:pPr>
        <w:autoSpaceDE w:val="0"/>
        <w:autoSpaceDN w:val="0"/>
        <w:adjustRightInd w:val="0"/>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8.8.1 承包人提供的施工设备和临时设施</w:t>
      </w:r>
    </w:p>
    <w:p w14:paraId="739EE3AE">
      <w:pPr>
        <w:autoSpaceDE w:val="0"/>
        <w:autoSpaceDN w:val="0"/>
        <w:adjustRightInd w:val="0"/>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关于修建临时设施费用承担的约定：</w:t>
      </w:r>
      <w:r>
        <w:rPr>
          <w:rFonts w:hint="eastAsia" w:ascii="宋体" w:cs="宋体"/>
          <w:color w:val="auto"/>
          <w:szCs w:val="21"/>
          <w:highlight w:val="none"/>
          <w:u w:val="single"/>
        </w:rPr>
        <w:t xml:space="preserve">  由承包人自行承担费用   </w:t>
      </w:r>
      <w:r>
        <w:rPr>
          <w:rFonts w:hint="eastAsia" w:ascii="宋体" w:cs="宋体"/>
          <w:color w:val="auto"/>
          <w:szCs w:val="21"/>
          <w:highlight w:val="none"/>
        </w:rPr>
        <w:t>。</w:t>
      </w:r>
    </w:p>
    <w:p w14:paraId="2C53CF49">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9. 试验与检验</w:t>
      </w:r>
    </w:p>
    <w:p w14:paraId="55D0AAFA">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9.1试验设备与试验人员</w:t>
      </w:r>
    </w:p>
    <w:p w14:paraId="0F14FAD6">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9.1.2 试验设备</w:t>
      </w:r>
    </w:p>
    <w:p w14:paraId="65D81A1C">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施工现场需要配置的试验场所：</w:t>
      </w:r>
      <w:r>
        <w:rPr>
          <w:rFonts w:hint="eastAsia" w:ascii="宋体" w:cs="宋体"/>
          <w:color w:val="auto"/>
          <w:szCs w:val="21"/>
          <w:highlight w:val="none"/>
          <w:u w:val="single"/>
        </w:rPr>
        <w:t xml:space="preserve">   执行</w:t>
      </w:r>
      <w:r>
        <w:rPr>
          <w:rFonts w:hint="eastAsia" w:ascii="宋体" w:cs="宋体"/>
          <w:color w:val="auto"/>
          <w:szCs w:val="21"/>
          <w:highlight w:val="none"/>
          <w:u w:val="single"/>
          <w:lang w:val="en-US" w:eastAsia="zh-CN"/>
        </w:rPr>
        <w:t>招标</w:t>
      </w:r>
      <w:r>
        <w:rPr>
          <w:rFonts w:hint="eastAsia" w:ascii="宋体" w:cs="宋体"/>
          <w:color w:val="auto"/>
          <w:szCs w:val="21"/>
          <w:highlight w:val="none"/>
          <w:u w:val="single"/>
        </w:rPr>
        <w:t xml:space="preserve">文件   </w:t>
      </w:r>
      <w:r>
        <w:rPr>
          <w:rFonts w:hint="eastAsia" w:ascii="宋体" w:cs="宋体"/>
          <w:color w:val="auto"/>
          <w:szCs w:val="21"/>
          <w:highlight w:val="none"/>
        </w:rPr>
        <w:t xml:space="preserve">。 </w:t>
      </w:r>
    </w:p>
    <w:p w14:paraId="0359BF2F">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施工现场需要配备的试验设备：</w:t>
      </w:r>
      <w:r>
        <w:rPr>
          <w:rFonts w:hint="eastAsia" w:ascii="宋体" w:cs="宋体"/>
          <w:color w:val="auto"/>
          <w:szCs w:val="21"/>
          <w:highlight w:val="none"/>
          <w:u w:val="single"/>
        </w:rPr>
        <w:t xml:space="preserve">   执行</w:t>
      </w:r>
      <w:r>
        <w:rPr>
          <w:rFonts w:hint="eastAsia" w:ascii="宋体" w:cs="宋体"/>
          <w:color w:val="auto"/>
          <w:szCs w:val="21"/>
          <w:highlight w:val="none"/>
          <w:u w:val="single"/>
          <w:lang w:val="en-US" w:eastAsia="zh-CN"/>
        </w:rPr>
        <w:t>招标</w:t>
      </w:r>
      <w:r>
        <w:rPr>
          <w:rFonts w:hint="eastAsia" w:ascii="宋体" w:cs="宋体"/>
          <w:color w:val="auto"/>
          <w:szCs w:val="21"/>
          <w:highlight w:val="none"/>
          <w:u w:val="single"/>
        </w:rPr>
        <w:t xml:space="preserve">文件    </w:t>
      </w:r>
      <w:r>
        <w:rPr>
          <w:rFonts w:hint="eastAsia" w:ascii="宋体" w:cs="宋体"/>
          <w:color w:val="auto"/>
          <w:szCs w:val="21"/>
          <w:highlight w:val="none"/>
        </w:rPr>
        <w:t>。</w:t>
      </w:r>
    </w:p>
    <w:p w14:paraId="03E6A2A6">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施工现场需要具备的其他试验条件：</w:t>
      </w:r>
      <w:r>
        <w:rPr>
          <w:rFonts w:hint="eastAsia" w:ascii="宋体" w:cs="宋体"/>
          <w:color w:val="auto"/>
          <w:szCs w:val="21"/>
          <w:highlight w:val="none"/>
          <w:u w:val="single"/>
        </w:rPr>
        <w:t xml:space="preserve">   执行</w:t>
      </w:r>
      <w:r>
        <w:rPr>
          <w:rFonts w:hint="eastAsia" w:ascii="宋体" w:cs="宋体"/>
          <w:color w:val="auto"/>
          <w:szCs w:val="21"/>
          <w:highlight w:val="none"/>
          <w:u w:val="single"/>
          <w:lang w:val="en-US" w:eastAsia="zh-CN"/>
        </w:rPr>
        <w:t>招标</w:t>
      </w:r>
      <w:r>
        <w:rPr>
          <w:rFonts w:hint="eastAsia" w:ascii="宋体" w:cs="宋体"/>
          <w:color w:val="auto"/>
          <w:szCs w:val="21"/>
          <w:highlight w:val="none"/>
          <w:u w:val="single"/>
        </w:rPr>
        <w:t xml:space="preserve">文件   </w:t>
      </w:r>
      <w:r>
        <w:rPr>
          <w:rFonts w:hint="eastAsia" w:ascii="宋体" w:cs="宋体"/>
          <w:color w:val="auto"/>
          <w:szCs w:val="21"/>
          <w:highlight w:val="none"/>
        </w:rPr>
        <w:t>。</w:t>
      </w:r>
    </w:p>
    <w:p w14:paraId="61E4586D">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 xml:space="preserve">9.4 现场工艺试验 </w:t>
      </w:r>
    </w:p>
    <w:p w14:paraId="4D8B1448">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现场工艺试验的有关约定：</w:t>
      </w:r>
      <w:r>
        <w:rPr>
          <w:rFonts w:hint="eastAsia" w:ascii="宋体" w:cs="宋体"/>
          <w:color w:val="auto"/>
          <w:szCs w:val="21"/>
          <w:highlight w:val="none"/>
          <w:u w:val="single"/>
        </w:rPr>
        <w:t xml:space="preserve">   按</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 xml:space="preserve">指示    </w:t>
      </w:r>
      <w:r>
        <w:rPr>
          <w:rFonts w:hint="eastAsia" w:ascii="宋体" w:cs="宋体"/>
          <w:color w:val="auto"/>
          <w:szCs w:val="21"/>
          <w:highlight w:val="none"/>
        </w:rPr>
        <w:t>。</w:t>
      </w:r>
    </w:p>
    <w:p w14:paraId="6E87310C">
      <w:pPr>
        <w:pStyle w:val="9"/>
        <w:snapToGrid w:val="0"/>
        <w:spacing w:before="0" w:after="0" w:line="440" w:lineRule="exact"/>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10. 变更</w:t>
      </w:r>
    </w:p>
    <w:p w14:paraId="41CC0E3E">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10.1变更的范围</w:t>
      </w:r>
    </w:p>
    <w:p w14:paraId="6EEB3145">
      <w:pPr>
        <w:snapToGrid w:val="0"/>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关于变更范围的约定：</w:t>
      </w:r>
      <w:r>
        <w:rPr>
          <w:rFonts w:hint="eastAsia" w:ascii="宋体" w:hAnsi="宋体" w:cs="宋体"/>
          <w:b/>
          <w:color w:val="auto"/>
          <w:szCs w:val="21"/>
          <w:highlight w:val="none"/>
          <w:u w:val="single"/>
        </w:rPr>
        <w:t>执行合同通用条款</w:t>
      </w:r>
      <w:r>
        <w:rPr>
          <w:rFonts w:hint="eastAsia" w:ascii="宋体" w:hAnsi="宋体" w:cs="宋体"/>
          <w:b/>
          <w:bCs/>
          <w:color w:val="auto"/>
          <w:szCs w:val="21"/>
          <w:highlight w:val="none"/>
          <w:u w:val="single"/>
        </w:rPr>
        <w:t>。</w:t>
      </w:r>
    </w:p>
    <w:p w14:paraId="548D5773">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10.4 变更估价</w:t>
      </w:r>
    </w:p>
    <w:p w14:paraId="6A3C290F">
      <w:pPr>
        <w:snapToGrid w:val="0"/>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10.4.1变更估价原则</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关于变更估价的约定:</w:t>
      </w:r>
    </w:p>
    <w:p w14:paraId="66CFE768">
      <w:pPr>
        <w:pStyle w:val="2"/>
        <w:spacing w:after="0" w:line="440" w:lineRule="exact"/>
        <w:ind w:left="0" w:leftChars="0" w:firstLine="422"/>
        <w:rPr>
          <w:rFonts w:hint="eastAsia" w:ascii="宋体" w:hAnsi="宋体" w:cs="宋体"/>
          <w:b/>
          <w:color w:val="auto"/>
          <w:highlight w:val="none"/>
          <w:u w:val="single"/>
        </w:rPr>
      </w:pPr>
      <w:r>
        <w:rPr>
          <w:rFonts w:hint="eastAsia" w:ascii="宋体" w:hAnsi="宋体" w:cs="宋体"/>
          <w:b/>
          <w:bCs/>
          <w:color w:val="auto"/>
          <w:szCs w:val="21"/>
          <w:highlight w:val="none"/>
          <w:u w:val="single"/>
        </w:rPr>
        <w:t>变更导致结算工程量（含1.13清单工程量错误产生的工程量）减少0-100%或增加15%以内部分，执行下列第（1）款或第（2）款确定的单价；但超出15%以外部分，结算单价按第（1）款或第（2）款对应的最高投标限价单价×投标让利幅度计算，组价明显错误的予以纠正；已标价工程量清单或预算书中无相同项目及类似项目单价的新增项目单价按照最高投标限价的编制原则重新组价×投标让利幅度（上述投标让利幅度为中标价/最高投标限价，其中中标价和最高投标限价均扣除暂列金额、暂估价及相应税金），结算价格最终以相关部门审核价为准；</w:t>
      </w:r>
    </w:p>
    <w:p w14:paraId="539923C4">
      <w:pPr>
        <w:pStyle w:val="2"/>
        <w:spacing w:after="0" w:line="440" w:lineRule="exact"/>
        <w:ind w:left="0" w:leftChars="0" w:firstLine="422"/>
        <w:rPr>
          <w:rFonts w:hint="eastAsia" w:ascii="宋体" w:hAnsi="宋体" w:cs="宋体"/>
          <w:b/>
          <w:color w:val="auto"/>
          <w:highlight w:val="none"/>
          <w:u w:val="single"/>
        </w:rPr>
      </w:pPr>
      <w:r>
        <w:rPr>
          <w:rFonts w:hint="eastAsia" w:ascii="宋体" w:hAnsi="宋体" w:cs="宋体"/>
          <w:b/>
          <w:color w:val="auto"/>
          <w:highlight w:val="none"/>
          <w:u w:val="single"/>
        </w:rPr>
        <w:t>（1）已标价工程量清单或预算书有相同项目的，按照相同项目单价认定；</w:t>
      </w:r>
    </w:p>
    <w:p w14:paraId="67CB1DDB">
      <w:pPr>
        <w:autoSpaceDE w:val="0"/>
        <w:autoSpaceDN w:val="0"/>
        <w:adjustRightInd w:val="0"/>
        <w:spacing w:line="360" w:lineRule="auto"/>
        <w:ind w:firstLine="422" w:firstLineChars="20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（2）</w:t>
      </w:r>
      <w:r>
        <w:rPr>
          <w:rFonts w:hint="eastAsia" w:ascii="宋体" w:hAnsi="宋体" w:cs="宋体"/>
          <w:b/>
          <w:color w:val="auto"/>
          <w:highlight w:val="none"/>
          <w:u w:val="single"/>
        </w:rPr>
        <w:t>已标价工程量清单或预算书中无相同项目，但有类似项目的，参照类似项目的单价认定。</w:t>
      </w:r>
    </w:p>
    <w:p w14:paraId="24A1AEB4">
      <w:pPr>
        <w:snapToGrid w:val="0"/>
        <w:spacing w:line="440" w:lineRule="exact"/>
        <w:ind w:firstLine="420" w:firstLineChars="200"/>
        <w:rPr>
          <w:rFonts w:hint="eastAsia" w:ascii="宋体" w:hAnsi="宋体" w:cs="宋体"/>
          <w:b/>
          <w:color w:val="auto"/>
          <w:szCs w:val="21"/>
          <w:highlight w:val="none"/>
          <w:u w:val="single"/>
        </w:rPr>
      </w:pPr>
      <w:r>
        <w:rPr>
          <w:rFonts w:hint="eastAsia" w:ascii="宋体" w:hAnsi="宋体" w:cs="宋体"/>
          <w:color w:val="auto"/>
          <w:szCs w:val="21"/>
          <w:highlight w:val="none"/>
        </w:rPr>
        <w:t>技术措施费调整：</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因承包人改变施工技术措施，造成的价格变动，措施费不予调整。因工程变更必须改变原来施工技术措施，造成价格变动的，按实调整，变更组价原则同上</w:t>
      </w:r>
      <w:r>
        <w:rPr>
          <w:rFonts w:hint="eastAsia" w:ascii="宋体" w:hAnsi="宋体" w:cs="宋体"/>
          <w:b/>
          <w:color w:val="auto"/>
          <w:szCs w:val="21"/>
          <w:highlight w:val="none"/>
          <w:u w:val="single"/>
        </w:rPr>
        <w:t>。</w:t>
      </w:r>
    </w:p>
    <w:p w14:paraId="38422FBC">
      <w:pPr>
        <w:snapToGrid w:val="0"/>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组织措施费调整：</w:t>
      </w:r>
      <w:r>
        <w:rPr>
          <w:rFonts w:hint="eastAsia" w:ascii="宋体" w:hAnsi="宋体" w:cs="宋体"/>
          <w:b/>
          <w:color w:val="auto"/>
          <w:szCs w:val="21"/>
          <w:highlight w:val="none"/>
          <w:u w:val="single"/>
          <w:lang w:val="en-US" w:eastAsia="zh-CN"/>
        </w:rPr>
        <w:t xml:space="preserve"> 按实调整</w:t>
      </w:r>
      <w:r>
        <w:rPr>
          <w:rFonts w:hint="eastAsia" w:ascii="宋体" w:hAnsi="宋体" w:cs="宋体"/>
          <w:b/>
          <w:color w:val="auto"/>
          <w:szCs w:val="21"/>
          <w:highlight w:val="none"/>
          <w:u w:val="single"/>
        </w:rPr>
        <w:t>。</w:t>
      </w:r>
    </w:p>
    <w:p w14:paraId="7319C1B9">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10.5承包人的合理化建议</w:t>
      </w:r>
    </w:p>
    <w:p w14:paraId="48517F61">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lang w:eastAsia="zh-CN"/>
        </w:rPr>
        <w:t>发包人</w:t>
      </w:r>
      <w:r>
        <w:rPr>
          <w:rFonts w:hint="eastAsia" w:ascii="宋体" w:cs="宋体"/>
          <w:color w:val="auto"/>
          <w:szCs w:val="21"/>
          <w:highlight w:val="none"/>
        </w:rPr>
        <w:t>审查承包人合理化建议的期限：</w:t>
      </w:r>
      <w:r>
        <w:rPr>
          <w:rFonts w:hint="eastAsia" w:ascii="宋体" w:cs="宋体"/>
          <w:color w:val="auto"/>
          <w:szCs w:val="21"/>
          <w:highlight w:val="none"/>
          <w:u w:val="single"/>
        </w:rPr>
        <w:t xml:space="preserve"> </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应在收到承包人提交的合理化建议后7天内审查完毕并报送发包人，发现其中存在技术上的缺陷，应通知承包人修改。</w:t>
      </w:r>
    </w:p>
    <w:p w14:paraId="49BE711D">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发包人审批承包人合理化建议的期限：</w:t>
      </w:r>
      <w:r>
        <w:rPr>
          <w:rFonts w:hint="eastAsia" w:ascii="宋体" w:cs="宋体"/>
          <w:color w:val="auto"/>
          <w:szCs w:val="21"/>
          <w:highlight w:val="none"/>
          <w:u w:val="single"/>
        </w:rPr>
        <w:t xml:space="preserve"> 发包人应在收到</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报送的合理化建议后7天内审批完毕。合理化建议经发包人批准的，</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应及时发出变更指示，由此引起的合同价格调整按照第10.4款〔变更估价〕约定执行。发包人不同意变更的，</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应书面通知承包人。</w:t>
      </w:r>
    </w:p>
    <w:p w14:paraId="176E5222">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承包人提出的合理化建议降低了合同价格或者提高了工程经济效益的奖励的方法和金额为：</w:t>
      </w:r>
      <w:r>
        <w:rPr>
          <w:rFonts w:hint="eastAsia" w:ascii="宋体" w:cs="宋体"/>
          <w:color w:val="auto"/>
          <w:szCs w:val="21"/>
          <w:highlight w:val="none"/>
          <w:lang w:val="en-US" w:eastAsia="zh-CN"/>
        </w:rPr>
        <w:t>无</w:t>
      </w:r>
      <w:r>
        <w:rPr>
          <w:rFonts w:hint="eastAsia"/>
          <w:color w:val="auto"/>
          <w:highlight w:val="none"/>
        </w:rPr>
        <w:t>。</w:t>
      </w:r>
    </w:p>
    <w:p w14:paraId="2B184A65">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10.7 暂估价</w:t>
      </w:r>
    </w:p>
    <w:p w14:paraId="6AB0F4D7">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kern w:val="0"/>
          <w:szCs w:val="21"/>
          <w:highlight w:val="none"/>
        </w:rPr>
        <w:t>暂估价材料和工程设备的明细</w:t>
      </w:r>
      <w:r>
        <w:rPr>
          <w:rFonts w:hint="eastAsia" w:ascii="宋体" w:cs="宋体"/>
          <w:color w:val="auto"/>
          <w:kern w:val="0"/>
          <w:szCs w:val="21"/>
          <w:highlight w:val="none"/>
          <w:u w:val="single"/>
        </w:rPr>
        <w:t>详见《暂估价一览表》。</w:t>
      </w:r>
    </w:p>
    <w:p w14:paraId="5CD9E2D9">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10.7.1 依法必须招标的暂估价项目</w:t>
      </w:r>
    </w:p>
    <w:p w14:paraId="6BE37258">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对于依法必须招标的暂估价项目的确认和批准采取第</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w:t>
      </w:r>
      <w:r>
        <w:rPr>
          <w:rFonts w:hint="eastAsia" w:ascii="宋体" w:hAnsi="宋体" w:cs="宋体"/>
          <w:color w:val="auto"/>
          <w:highlight w:val="none"/>
          <w:u w:val="single"/>
        </w:rPr>
        <w:t xml:space="preserve"> </w:t>
      </w:r>
      <w:r>
        <w:rPr>
          <w:rFonts w:hint="eastAsia" w:ascii="宋体" w:hAnsi="宋体" w:cs="宋体"/>
          <w:color w:val="auto"/>
          <w:highlight w:val="none"/>
        </w:rPr>
        <w:t>种方式确定。</w:t>
      </w:r>
      <w:r>
        <w:rPr>
          <w:rFonts w:hint="eastAsia" w:ascii="宋体" w:hAnsi="宋体" w:cs="宋体"/>
          <w:b/>
          <w:color w:val="auto"/>
          <w:highlight w:val="none"/>
          <w:u w:val="single"/>
        </w:rPr>
        <w:t xml:space="preserve">并应按相关规定进行二次招标  </w:t>
      </w:r>
      <w:r>
        <w:rPr>
          <w:rFonts w:hint="eastAsia" w:ascii="宋体" w:hAnsi="宋体" w:cs="宋体"/>
          <w:color w:val="auto"/>
          <w:highlight w:val="none"/>
        </w:rPr>
        <w:t>。</w:t>
      </w:r>
    </w:p>
    <w:p w14:paraId="70A31D8F">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10.7.2 不属于依法必须招标的暂估价项目</w:t>
      </w:r>
    </w:p>
    <w:p w14:paraId="458C9589">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u w:val="single"/>
        </w:rPr>
        <w:t>对于不属于依法必须招标的暂估价项目的确认和批准采取询价或共同交易方式确定。</w:t>
      </w:r>
    </w:p>
    <w:p w14:paraId="613EA18E">
      <w:pPr>
        <w:pStyle w:val="2"/>
        <w:spacing w:after="0" w:line="440" w:lineRule="exact"/>
        <w:ind w:left="0" w:leftChars="0"/>
        <w:rPr>
          <w:rFonts w:hint="eastAsia"/>
          <w:color w:val="auto"/>
          <w:highlight w:val="none"/>
        </w:rPr>
      </w:pPr>
      <w:r>
        <w:rPr>
          <w:rFonts w:hint="eastAsia"/>
          <w:color w:val="auto"/>
          <w:highlight w:val="none"/>
        </w:rPr>
        <w:t>第3种方式：承包人直接实施的暂估价项目</w:t>
      </w:r>
    </w:p>
    <w:p w14:paraId="262497D3">
      <w:pPr>
        <w:pStyle w:val="2"/>
        <w:spacing w:after="0" w:line="440" w:lineRule="exact"/>
        <w:ind w:left="0" w:leftChars="0"/>
        <w:rPr>
          <w:rFonts w:hint="eastAsia"/>
          <w:color w:val="auto"/>
          <w:highlight w:val="none"/>
        </w:rPr>
      </w:pPr>
      <w:r>
        <w:rPr>
          <w:rFonts w:hint="eastAsia"/>
          <w:color w:val="auto"/>
          <w:highlight w:val="none"/>
        </w:rPr>
        <w:t>承包人直接实施的暂估价项目的约定：</w:t>
      </w:r>
      <w:r>
        <w:rPr>
          <w:rFonts w:hint="eastAsia"/>
          <w:color w:val="auto"/>
          <w:highlight w:val="none"/>
          <w:u w:val="single"/>
        </w:rPr>
        <w:t xml:space="preserve">   无    。</w:t>
      </w:r>
    </w:p>
    <w:p w14:paraId="10EE0BD6">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10.8 暂列金额</w:t>
      </w:r>
    </w:p>
    <w:p w14:paraId="4AC052ED">
      <w:pPr>
        <w:autoSpaceDE w:val="0"/>
        <w:autoSpaceDN w:val="0"/>
        <w:adjustRightInd w:val="0"/>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kern w:val="0"/>
          <w:szCs w:val="21"/>
          <w:highlight w:val="none"/>
        </w:rPr>
        <w:t>合同当事人关于暂列金额使用的约定：</w:t>
      </w:r>
      <w:r>
        <w:rPr>
          <w:rFonts w:hint="eastAsia" w:ascii="宋体" w:cs="宋体"/>
          <w:color w:val="auto"/>
          <w:szCs w:val="21"/>
          <w:highlight w:val="none"/>
          <w:u w:val="single"/>
        </w:rPr>
        <w:t xml:space="preserve"> 暂列金额应按照发包人的要求使用。</w:t>
      </w:r>
    </w:p>
    <w:p w14:paraId="709519DA">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11. 价格调整</w:t>
      </w:r>
    </w:p>
    <w:p w14:paraId="29A26ED7">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11.1 市场价格波动引起的调整</w:t>
      </w:r>
    </w:p>
    <w:p w14:paraId="144C0A19">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kern w:val="0"/>
          <w:szCs w:val="21"/>
          <w:highlight w:val="none"/>
        </w:rPr>
        <w:t>市场价格波动是否调整合同价格的约定：</w:t>
      </w:r>
      <w:r>
        <w:rPr>
          <w:rFonts w:hint="eastAsia" w:ascii="宋体" w:cs="宋体"/>
          <w:color w:val="auto"/>
          <w:szCs w:val="21"/>
          <w:highlight w:val="none"/>
          <w:u w:val="single"/>
        </w:rPr>
        <w:t xml:space="preserve"> 不调整   </w:t>
      </w:r>
      <w:r>
        <w:rPr>
          <w:rFonts w:hint="eastAsia" w:ascii="宋体" w:cs="宋体"/>
          <w:color w:val="auto"/>
          <w:szCs w:val="21"/>
          <w:highlight w:val="none"/>
        </w:rPr>
        <w:t>。</w:t>
      </w:r>
    </w:p>
    <w:p w14:paraId="699E6B2B">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因市场价格波动调整合同价格，采用以下第</w:t>
      </w:r>
      <w:r>
        <w:rPr>
          <w:rFonts w:hint="eastAsia" w:ascii="宋体" w:cs="宋体"/>
          <w:color w:val="auto"/>
          <w:szCs w:val="21"/>
          <w:highlight w:val="none"/>
          <w:u w:val="single"/>
        </w:rPr>
        <w:t xml:space="preserve">  3  </w:t>
      </w:r>
      <w:r>
        <w:rPr>
          <w:rFonts w:hint="eastAsia" w:ascii="宋体" w:cs="宋体"/>
          <w:color w:val="auto"/>
          <w:szCs w:val="21"/>
          <w:highlight w:val="none"/>
        </w:rPr>
        <w:t>种方式对合同价格进行调整：</w:t>
      </w:r>
    </w:p>
    <w:p w14:paraId="3AB9EB38">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第2种方式：采用造价信息进行价格调整。</w:t>
      </w:r>
    </w:p>
    <w:p w14:paraId="74875E2D">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第3种方式：其他价格调整方式：</w:t>
      </w:r>
      <w:r>
        <w:rPr>
          <w:rFonts w:hint="eastAsia" w:ascii="宋体" w:cs="宋体"/>
          <w:color w:val="auto"/>
          <w:szCs w:val="21"/>
          <w:highlight w:val="none"/>
          <w:u w:val="single"/>
        </w:rPr>
        <w:t>不调整</w:t>
      </w:r>
    </w:p>
    <w:p w14:paraId="729F17F0">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12. 合同价格、计量与支付</w:t>
      </w:r>
    </w:p>
    <w:p w14:paraId="09F66AEE">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12.1 合同价格形式</w:t>
      </w:r>
    </w:p>
    <w:p w14:paraId="77C97F65">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1、单价合同。</w:t>
      </w:r>
    </w:p>
    <w:p w14:paraId="27715AC7">
      <w:pPr>
        <w:snapToGrid w:val="0"/>
        <w:spacing w:line="440" w:lineRule="exact"/>
        <w:ind w:firstLine="420" w:firstLineChars="200"/>
        <w:jc w:val="left"/>
        <w:rPr>
          <w:rFonts w:hint="eastAsia" w:ascii="宋体" w:cs="宋体"/>
          <w:b/>
          <w:color w:val="auto"/>
          <w:szCs w:val="21"/>
          <w:highlight w:val="none"/>
          <w:u w:val="single"/>
        </w:rPr>
      </w:pPr>
      <w:r>
        <w:rPr>
          <w:rFonts w:hint="eastAsia" w:ascii="宋体" w:cs="宋体"/>
          <w:color w:val="auto"/>
          <w:szCs w:val="21"/>
          <w:highlight w:val="none"/>
        </w:rPr>
        <w:t>综合单价包含的风险范围：</w:t>
      </w:r>
      <w:r>
        <w:rPr>
          <w:rFonts w:hint="eastAsia" w:ascii="黑体" w:eastAsia="黑体" w:cs="宋体"/>
          <w:b/>
          <w:color w:val="auto"/>
          <w:szCs w:val="21"/>
          <w:highlight w:val="none"/>
          <w:u w:val="single"/>
        </w:rPr>
        <w:t>各种因素引起的不属于本合同调价范围的市场材料价格、人工、机械使用费以及管理费、利润的变化等</w:t>
      </w:r>
      <w:r>
        <w:rPr>
          <w:rFonts w:hint="eastAsia" w:ascii="宋体" w:cs="宋体"/>
          <w:b/>
          <w:color w:val="auto"/>
          <w:szCs w:val="21"/>
          <w:highlight w:val="none"/>
          <w:u w:val="single"/>
        </w:rPr>
        <w:t>。</w:t>
      </w:r>
    </w:p>
    <w:p w14:paraId="673C1DB9">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风险费用的计算方法：</w:t>
      </w:r>
      <w:r>
        <w:rPr>
          <w:rFonts w:hint="eastAsia" w:ascii="宋体" w:cs="宋体"/>
          <w:color w:val="auto"/>
          <w:szCs w:val="21"/>
          <w:highlight w:val="none"/>
          <w:u w:val="single"/>
        </w:rPr>
        <w:t xml:space="preserve"> 不考虑  </w:t>
      </w:r>
    </w:p>
    <w:p w14:paraId="0700F4E4">
      <w:pPr>
        <w:snapToGrid w:val="0"/>
        <w:spacing w:line="440" w:lineRule="exact"/>
        <w:ind w:firstLine="420" w:firstLineChars="200"/>
        <w:jc w:val="left"/>
        <w:rPr>
          <w:rFonts w:hint="eastAsia" w:ascii="宋体" w:hAnsi="宋体" w:cs="宋体"/>
          <w:bCs/>
          <w:color w:val="auto"/>
          <w:szCs w:val="21"/>
          <w:highlight w:val="none"/>
          <w:u w:val="single"/>
        </w:rPr>
      </w:pPr>
      <w:r>
        <w:rPr>
          <w:rFonts w:hint="eastAsia"/>
          <w:color w:val="auto"/>
          <w:highlight w:val="none"/>
        </w:rPr>
        <w:t>风险范围以外合同价格的调整方法：</w:t>
      </w:r>
      <w:r>
        <w:rPr>
          <w:rFonts w:hint="eastAsia" w:ascii="宋体" w:hAnsi="宋体" w:cs="宋体"/>
          <w:bCs/>
          <w:color w:val="auto"/>
          <w:szCs w:val="21"/>
          <w:highlight w:val="none"/>
          <w:u w:val="single"/>
        </w:rPr>
        <w:t xml:space="preserve">结算价=合同价±工程变更造价±分部分项工程量清单工程量误差造价±政策性调整造价±人工价格调整造价±措施项目调整造价－暂列金额×1.09± 合理工程索赔。 </w:t>
      </w:r>
    </w:p>
    <w:p w14:paraId="693E787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12.2 预付款</w:t>
      </w:r>
    </w:p>
    <w:p w14:paraId="5C81E4C1">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12.2.1 预付款的支付</w:t>
      </w:r>
    </w:p>
    <w:p w14:paraId="13B52633">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预付款支付比例或金额：</w:t>
      </w:r>
      <w:r>
        <w:rPr>
          <w:rFonts w:hint="eastAsia" w:ascii="宋体" w:cs="宋体"/>
          <w:color w:val="auto"/>
          <w:szCs w:val="21"/>
          <w:highlight w:val="none"/>
          <w:u w:val="single"/>
        </w:rPr>
        <w:t xml:space="preserve">   不考虑    </w:t>
      </w:r>
      <w:r>
        <w:rPr>
          <w:rFonts w:hint="eastAsia" w:ascii="宋体" w:cs="宋体"/>
          <w:color w:val="auto"/>
          <w:szCs w:val="21"/>
          <w:highlight w:val="none"/>
        </w:rPr>
        <w:t>。</w:t>
      </w:r>
    </w:p>
    <w:p w14:paraId="2772AF5A">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预付款支付期限：</w:t>
      </w:r>
      <w:r>
        <w:rPr>
          <w:rFonts w:hint="eastAsia" w:ascii="宋体" w:cs="宋体"/>
          <w:color w:val="auto"/>
          <w:szCs w:val="21"/>
          <w:highlight w:val="none"/>
          <w:u w:val="single"/>
        </w:rPr>
        <w:t xml:space="preserve">    无     </w:t>
      </w:r>
      <w:r>
        <w:rPr>
          <w:rFonts w:hint="eastAsia" w:ascii="宋体" w:cs="宋体"/>
          <w:color w:val="auto"/>
          <w:szCs w:val="21"/>
          <w:highlight w:val="none"/>
        </w:rPr>
        <w:t>。</w:t>
      </w:r>
    </w:p>
    <w:p w14:paraId="0545739B">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预付款扣回的方式：</w:t>
      </w:r>
      <w:r>
        <w:rPr>
          <w:rFonts w:hint="eastAsia" w:ascii="宋体" w:cs="宋体"/>
          <w:color w:val="auto"/>
          <w:szCs w:val="21"/>
          <w:highlight w:val="none"/>
          <w:u w:val="single"/>
        </w:rPr>
        <w:t xml:space="preserve">   无    </w:t>
      </w:r>
      <w:r>
        <w:rPr>
          <w:rFonts w:hint="eastAsia" w:ascii="宋体" w:cs="宋体"/>
          <w:color w:val="auto"/>
          <w:szCs w:val="21"/>
          <w:highlight w:val="none"/>
        </w:rPr>
        <w:t>。</w:t>
      </w:r>
    </w:p>
    <w:p w14:paraId="155BE235">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12.2.2 预付款担保</w:t>
      </w:r>
    </w:p>
    <w:p w14:paraId="11A93CB4">
      <w:pPr>
        <w:snapToGrid w:val="0"/>
        <w:spacing w:line="440" w:lineRule="exact"/>
        <w:ind w:firstLine="420" w:firstLineChars="200"/>
        <w:jc w:val="left"/>
        <w:rPr>
          <w:rFonts w:hint="eastAsia" w:ascii="宋体" w:eastAsia="宋体" w:cs="宋体"/>
          <w:color w:val="auto"/>
          <w:szCs w:val="21"/>
          <w:highlight w:val="none"/>
          <w:lang w:val="en-US" w:eastAsia="zh-CN"/>
        </w:rPr>
      </w:pPr>
      <w:r>
        <w:rPr>
          <w:rFonts w:hint="eastAsia" w:ascii="宋体" w:cs="宋体"/>
          <w:color w:val="auto"/>
          <w:szCs w:val="21"/>
          <w:highlight w:val="none"/>
        </w:rPr>
        <w:t>承包人提交预付款担保的期限：</w:t>
      </w:r>
      <w:r>
        <w:rPr>
          <w:rFonts w:hint="eastAsia" w:ascii="宋体" w:cs="宋体"/>
          <w:color w:val="auto"/>
          <w:szCs w:val="21"/>
          <w:highlight w:val="none"/>
          <w:u w:val="single"/>
        </w:rPr>
        <w:t xml:space="preserve">   无   </w:t>
      </w:r>
      <w:r>
        <w:rPr>
          <w:rFonts w:hint="eastAsia" w:ascii="宋体" w:cs="宋体"/>
          <w:color w:val="auto"/>
          <w:szCs w:val="21"/>
          <w:highlight w:val="none"/>
        </w:rPr>
        <w:t>。</w:t>
      </w:r>
    </w:p>
    <w:p w14:paraId="07F67604">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预付款担保的形式为：</w:t>
      </w:r>
      <w:r>
        <w:rPr>
          <w:rFonts w:hint="eastAsia" w:ascii="宋体" w:cs="宋体"/>
          <w:color w:val="auto"/>
          <w:szCs w:val="21"/>
          <w:highlight w:val="none"/>
          <w:u w:val="single"/>
        </w:rPr>
        <w:t xml:space="preserve">   无    </w:t>
      </w:r>
      <w:r>
        <w:rPr>
          <w:rFonts w:hint="eastAsia" w:ascii="宋体" w:cs="宋体"/>
          <w:color w:val="auto"/>
          <w:szCs w:val="21"/>
          <w:highlight w:val="none"/>
        </w:rPr>
        <w:t>。</w:t>
      </w:r>
    </w:p>
    <w:p w14:paraId="78421A7B">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12.3 计量</w:t>
      </w:r>
    </w:p>
    <w:p w14:paraId="55BC4AF0">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12.3.1 计量原则</w:t>
      </w:r>
    </w:p>
    <w:p w14:paraId="21A4EAF7">
      <w:pPr>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工程量计算规则：</w:t>
      </w:r>
      <w:r>
        <w:rPr>
          <w:rFonts w:hint="eastAsia" w:ascii="宋体" w:cs="宋体"/>
          <w:color w:val="auto"/>
          <w:szCs w:val="21"/>
          <w:highlight w:val="none"/>
          <w:u w:val="single"/>
        </w:rPr>
        <w:t>执行现行建设工程工程量清单计价规范（GB50500）、安徽省建设工程计价依据。</w:t>
      </w:r>
    </w:p>
    <w:p w14:paraId="339BA652">
      <w:pPr>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12.3.2 计量周期</w:t>
      </w:r>
    </w:p>
    <w:p w14:paraId="35608448">
      <w:pPr>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关于计量周期的约定：</w:t>
      </w:r>
      <w:r>
        <w:rPr>
          <w:rFonts w:hint="eastAsia" w:ascii="宋体" w:cs="宋体"/>
          <w:color w:val="auto"/>
          <w:szCs w:val="21"/>
          <w:highlight w:val="none"/>
          <w:u w:val="single"/>
        </w:rPr>
        <w:t xml:space="preserve">   按月计量   </w:t>
      </w:r>
      <w:r>
        <w:rPr>
          <w:rFonts w:hint="eastAsia" w:ascii="宋体" w:cs="宋体"/>
          <w:color w:val="auto"/>
          <w:szCs w:val="21"/>
          <w:highlight w:val="none"/>
        </w:rPr>
        <w:t>。</w:t>
      </w:r>
    </w:p>
    <w:p w14:paraId="379814A7">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12.3.3 单价合同的计量</w:t>
      </w:r>
    </w:p>
    <w:p w14:paraId="6E3967F3">
      <w:pPr>
        <w:snapToGrid w:val="0"/>
        <w:spacing w:line="440" w:lineRule="exact"/>
        <w:ind w:firstLine="420" w:firstLineChars="200"/>
        <w:jc w:val="left"/>
        <w:rPr>
          <w:rFonts w:hint="default" w:ascii="宋体" w:eastAsia="宋体" w:cs="宋体"/>
          <w:color w:val="auto"/>
          <w:szCs w:val="21"/>
          <w:highlight w:val="none"/>
          <w:u w:val="single"/>
          <w:lang w:val="en-US" w:eastAsia="zh-CN"/>
        </w:rPr>
      </w:pPr>
      <w:r>
        <w:rPr>
          <w:rFonts w:hint="eastAsia" w:ascii="宋体" w:cs="宋体"/>
          <w:color w:val="auto"/>
          <w:szCs w:val="21"/>
          <w:highlight w:val="none"/>
        </w:rPr>
        <w:t>关于单价合同计量的约定：</w:t>
      </w:r>
      <w:r>
        <w:rPr>
          <w:rFonts w:hint="eastAsia" w:ascii="宋体" w:cs="宋体"/>
          <w:color w:val="auto"/>
          <w:szCs w:val="21"/>
          <w:highlight w:val="none"/>
          <w:u w:val="single"/>
          <w:lang w:val="en-US" w:eastAsia="zh-CN"/>
        </w:rPr>
        <w:t>按进度计量</w:t>
      </w:r>
    </w:p>
    <w:p w14:paraId="0EF5814F">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12.3.4 总价合同的计量</w:t>
      </w:r>
    </w:p>
    <w:p w14:paraId="4BE7314E">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关于总价合同计量的约定：</w:t>
      </w:r>
      <w:r>
        <w:rPr>
          <w:rFonts w:hint="eastAsia" w:ascii="宋体" w:cs="宋体"/>
          <w:color w:val="auto"/>
          <w:szCs w:val="21"/>
          <w:highlight w:val="none"/>
          <w:u w:val="single"/>
        </w:rPr>
        <w:t xml:space="preserve"> 不采用 </w:t>
      </w:r>
      <w:r>
        <w:rPr>
          <w:rFonts w:hint="eastAsia" w:ascii="宋体" w:cs="宋体"/>
          <w:color w:val="auto"/>
          <w:szCs w:val="21"/>
          <w:highlight w:val="none"/>
        </w:rPr>
        <w:t>。</w:t>
      </w:r>
    </w:p>
    <w:p w14:paraId="1F7E5E99">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12.3.5总价合同采用支付分解表计量支付的，是否适用第</w:t>
      </w:r>
      <w:r>
        <w:rPr>
          <w:rFonts w:hint="eastAsia" w:ascii="宋体" w:cs="宋体"/>
          <w:color w:val="auto"/>
          <w:kern w:val="0"/>
          <w:szCs w:val="21"/>
          <w:highlight w:val="none"/>
        </w:rPr>
        <w:t xml:space="preserve">12.3.4 </w:t>
      </w:r>
      <w:r>
        <w:rPr>
          <w:rFonts w:hint="eastAsia" w:ascii="宋体" w:cs="宋体"/>
          <w:color w:val="auto"/>
          <w:szCs w:val="21"/>
          <w:highlight w:val="none"/>
        </w:rPr>
        <w:t>项</w:t>
      </w:r>
      <w:r>
        <w:rPr>
          <w:rFonts w:hint="eastAsia" w:ascii="宋体" w:cs="宋体"/>
          <w:color w:val="auto"/>
          <w:kern w:val="0"/>
          <w:szCs w:val="21"/>
          <w:highlight w:val="none"/>
        </w:rPr>
        <w:t>〔总价合同的计量〕</w:t>
      </w:r>
      <w:r>
        <w:rPr>
          <w:rFonts w:hint="eastAsia" w:ascii="宋体" w:cs="宋体"/>
          <w:color w:val="auto"/>
          <w:szCs w:val="21"/>
          <w:highlight w:val="none"/>
        </w:rPr>
        <w:t>约定进行计量：</w:t>
      </w:r>
      <w:r>
        <w:rPr>
          <w:rFonts w:hint="eastAsia" w:ascii="宋体" w:cs="宋体"/>
          <w:color w:val="auto"/>
          <w:szCs w:val="21"/>
          <w:highlight w:val="none"/>
          <w:u w:val="single"/>
        </w:rPr>
        <w:t xml:space="preserve">   不采用   </w:t>
      </w:r>
      <w:r>
        <w:rPr>
          <w:rFonts w:hint="eastAsia" w:ascii="宋体" w:cs="宋体"/>
          <w:color w:val="auto"/>
          <w:szCs w:val="21"/>
          <w:highlight w:val="none"/>
        </w:rPr>
        <w:t>。</w:t>
      </w:r>
    </w:p>
    <w:p w14:paraId="1B7A5C17">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12.3.6 其他价格形式合同的计量</w:t>
      </w:r>
    </w:p>
    <w:p w14:paraId="2077859C">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其他价格形式的计量方式和程序：</w:t>
      </w:r>
      <w:r>
        <w:rPr>
          <w:rFonts w:hint="eastAsia" w:ascii="宋体" w:cs="宋体"/>
          <w:color w:val="auto"/>
          <w:szCs w:val="21"/>
          <w:highlight w:val="none"/>
          <w:u w:val="single"/>
        </w:rPr>
        <w:t xml:space="preserve">   不采用   </w:t>
      </w:r>
      <w:r>
        <w:rPr>
          <w:rFonts w:hint="eastAsia" w:ascii="宋体" w:cs="宋体"/>
          <w:color w:val="auto"/>
          <w:szCs w:val="21"/>
          <w:highlight w:val="none"/>
        </w:rPr>
        <w:t>。</w:t>
      </w:r>
    </w:p>
    <w:p w14:paraId="722A638E">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12.4 工程进度款支付</w:t>
      </w:r>
    </w:p>
    <w:p w14:paraId="09C6DD08">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12.4.1 付款周期</w:t>
      </w:r>
    </w:p>
    <w:p w14:paraId="33B46178">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关于付款周期的约定：</w:t>
      </w:r>
      <w:r>
        <w:rPr>
          <w:rFonts w:hint="eastAsia" w:ascii="宋体" w:cs="宋体"/>
          <w:color w:val="auto"/>
          <w:szCs w:val="21"/>
          <w:highlight w:val="none"/>
          <w:u w:val="single"/>
        </w:rPr>
        <w:t xml:space="preserve"> 按月进度付款，当月完成进度计划的合格分部分项工程按85%付进度款，工程竣工验收合格后支付至已完成合格工程量价款的90%，竣工结算完成审计且经审核或复核后付至结算总造价的98%，剩余2%作为工程质量保证金，工程缺陷责任期（缺陷责任期</w:t>
      </w:r>
      <w:r>
        <w:rPr>
          <w:rFonts w:hint="eastAsia" w:ascii="宋体" w:cs="宋体"/>
          <w:color w:val="auto"/>
          <w:szCs w:val="21"/>
          <w:highlight w:val="none"/>
          <w:u w:val="single"/>
          <w:lang w:val="en-US" w:eastAsia="zh-CN"/>
        </w:rPr>
        <w:t>两</w:t>
      </w:r>
      <w:r>
        <w:rPr>
          <w:rFonts w:hint="eastAsia" w:ascii="宋体" w:cs="宋体"/>
          <w:color w:val="auto"/>
          <w:szCs w:val="21"/>
          <w:highlight w:val="none"/>
          <w:u w:val="single"/>
        </w:rPr>
        <w:t>年，从验收合格之日起计算）满回访合格后一个月内付清。质量保证金支持保函（银行保函、担保机构担保、保证保险）使用。采用保函的不再从工程进度款中扣留质量保证金，保函有效期须与工程缺陷责任期截止时间保持一致</w:t>
      </w:r>
      <w:r>
        <w:rPr>
          <w:rFonts w:hint="eastAsia" w:ascii="宋体" w:cs="宋体"/>
          <w:color w:val="auto"/>
          <w:szCs w:val="21"/>
          <w:highlight w:val="none"/>
        </w:rPr>
        <w:t>。</w:t>
      </w:r>
    </w:p>
    <w:p w14:paraId="5534717C">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12.4.2 进度付款申请单的编制</w:t>
      </w:r>
    </w:p>
    <w:p w14:paraId="5FCC44FF">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关于进度付款申请单编制的约定：</w:t>
      </w:r>
      <w:r>
        <w:rPr>
          <w:rFonts w:hint="eastAsia" w:ascii="宋体" w:cs="宋体"/>
          <w:color w:val="auto"/>
          <w:szCs w:val="21"/>
          <w:highlight w:val="none"/>
          <w:u w:val="single"/>
        </w:rPr>
        <w:t>执行发包人统一内容格式。</w:t>
      </w:r>
    </w:p>
    <w:p w14:paraId="6633F6EF">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12.4.3 进度付款申请单的提交</w:t>
      </w:r>
    </w:p>
    <w:p w14:paraId="1450CD72">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（1）单价合同进度付款申请单提交的约定：</w:t>
      </w:r>
      <w:r>
        <w:rPr>
          <w:rFonts w:hint="eastAsia" w:ascii="宋体" w:cs="宋体"/>
          <w:color w:val="auto"/>
          <w:szCs w:val="21"/>
          <w:highlight w:val="none"/>
          <w:u w:val="single"/>
        </w:rPr>
        <w:t xml:space="preserve"> </w:t>
      </w:r>
      <w:r>
        <w:rPr>
          <w:rFonts w:hint="eastAsia" w:ascii="宋体" w:hAnsi="宋体" w:cs="宋体"/>
          <w:color w:val="auto"/>
          <w:szCs w:val="21"/>
          <w:highlight w:val="none"/>
          <w:u w:val="single"/>
        </w:rPr>
        <w:t>无</w:t>
      </w:r>
      <w:r>
        <w:rPr>
          <w:rFonts w:hint="eastAsia" w:ascii="黑体" w:eastAsia="黑体" w:cs="宋体"/>
          <w:b/>
          <w:bCs/>
          <w:color w:val="auto"/>
          <w:szCs w:val="21"/>
          <w:highlight w:val="none"/>
          <w:u w:val="single"/>
        </w:rPr>
        <w:t>。</w:t>
      </w:r>
    </w:p>
    <w:p w14:paraId="40D27AC6">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（2）总价合同进度付款申请单提交的约定：</w:t>
      </w:r>
      <w:r>
        <w:rPr>
          <w:rFonts w:hint="eastAsia" w:ascii="宋体" w:cs="宋体"/>
          <w:color w:val="auto"/>
          <w:szCs w:val="21"/>
          <w:highlight w:val="none"/>
          <w:u w:val="single"/>
        </w:rPr>
        <w:t xml:space="preserve">   不采用   </w:t>
      </w:r>
      <w:r>
        <w:rPr>
          <w:rFonts w:hint="eastAsia" w:ascii="宋体" w:cs="宋体"/>
          <w:color w:val="auto"/>
          <w:szCs w:val="21"/>
          <w:highlight w:val="none"/>
        </w:rPr>
        <w:t>。</w:t>
      </w:r>
    </w:p>
    <w:p w14:paraId="2F3518F9">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（3）其他价格形式合同进度付款申请单提交的约定：</w:t>
      </w:r>
      <w:r>
        <w:rPr>
          <w:rFonts w:hint="eastAsia" w:ascii="宋体" w:cs="宋体"/>
          <w:color w:val="auto"/>
          <w:szCs w:val="21"/>
          <w:highlight w:val="none"/>
          <w:u w:val="single"/>
        </w:rPr>
        <w:t xml:space="preserve">  不采用  </w:t>
      </w:r>
      <w:r>
        <w:rPr>
          <w:rFonts w:hint="eastAsia" w:ascii="宋体" w:cs="宋体"/>
          <w:color w:val="auto"/>
          <w:szCs w:val="21"/>
          <w:highlight w:val="none"/>
        </w:rPr>
        <w:t>。</w:t>
      </w:r>
    </w:p>
    <w:p w14:paraId="089C9138">
      <w:pPr>
        <w:snapToGrid w:val="0"/>
        <w:spacing w:line="440" w:lineRule="exact"/>
        <w:ind w:firstLine="420" w:firstLineChars="200"/>
        <w:rPr>
          <w:rFonts w:hint="default" w:ascii="宋体" w:eastAsia="宋体" w:cs="宋体"/>
          <w:color w:val="auto"/>
          <w:szCs w:val="21"/>
          <w:highlight w:val="none"/>
          <w:lang w:val="en-US" w:eastAsia="zh-CN"/>
        </w:rPr>
      </w:pPr>
      <w:r>
        <w:rPr>
          <w:rFonts w:hint="eastAsia" w:ascii="宋体" w:cs="宋体"/>
          <w:color w:val="auto"/>
          <w:szCs w:val="21"/>
          <w:highlight w:val="none"/>
        </w:rPr>
        <w:t>12.4.4 进度款审核和支付</w:t>
      </w:r>
      <w:r>
        <w:rPr>
          <w:rFonts w:hint="eastAsia" w:ascii="宋体" w:cs="宋体"/>
          <w:color w:val="auto"/>
          <w:szCs w:val="21"/>
          <w:highlight w:val="none"/>
          <w:lang w:eastAsia="zh-CN"/>
        </w:rPr>
        <w:t>：</w:t>
      </w:r>
      <w:r>
        <w:rPr>
          <w:rFonts w:hint="eastAsia" w:ascii="宋体" w:cs="宋体"/>
          <w:color w:val="auto"/>
          <w:szCs w:val="21"/>
          <w:highlight w:val="none"/>
          <w:lang w:val="en-US" w:eastAsia="zh-CN"/>
        </w:rPr>
        <w:t>发包人审核无误后支付。</w:t>
      </w:r>
    </w:p>
    <w:p w14:paraId="72C134E7">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12.4.6 支付分解表的编制</w:t>
      </w:r>
    </w:p>
    <w:p w14:paraId="4BDAC30A">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2、总价合同支付分解表的编制与审批：</w:t>
      </w:r>
      <w:r>
        <w:rPr>
          <w:rFonts w:hint="eastAsia" w:ascii="宋体" w:cs="宋体"/>
          <w:color w:val="auto"/>
          <w:szCs w:val="21"/>
          <w:highlight w:val="none"/>
          <w:u w:val="single"/>
        </w:rPr>
        <w:t xml:space="preserve">   不采用   </w:t>
      </w:r>
      <w:r>
        <w:rPr>
          <w:rFonts w:hint="eastAsia" w:ascii="宋体" w:cs="宋体"/>
          <w:color w:val="auto"/>
          <w:szCs w:val="21"/>
          <w:highlight w:val="none"/>
        </w:rPr>
        <w:t>。</w:t>
      </w:r>
    </w:p>
    <w:p w14:paraId="49074B90">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3、单价合同的总价项目支付分解表的编制与审批：</w:t>
      </w:r>
      <w:r>
        <w:rPr>
          <w:rFonts w:hint="eastAsia" w:ascii="宋体" w:cs="宋体"/>
          <w:color w:val="auto"/>
          <w:szCs w:val="21"/>
          <w:highlight w:val="none"/>
          <w:u w:val="single"/>
        </w:rPr>
        <w:t>执行发包人统一内容格式。</w:t>
      </w:r>
    </w:p>
    <w:p w14:paraId="34A23DCC">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13. 验收和工程试车</w:t>
      </w:r>
    </w:p>
    <w:p w14:paraId="3B224C1D">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13.1 分部分项工程验收</w:t>
      </w:r>
    </w:p>
    <w:p w14:paraId="380D1859">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13.1.2</w:t>
      </w:r>
      <w:r>
        <w:rPr>
          <w:rFonts w:hint="eastAsia" w:ascii="宋体" w:cs="宋体"/>
          <w:color w:val="auto"/>
          <w:szCs w:val="21"/>
          <w:highlight w:val="none"/>
          <w:lang w:eastAsia="zh-CN"/>
        </w:rPr>
        <w:t>发包人</w:t>
      </w:r>
      <w:r>
        <w:rPr>
          <w:rFonts w:hint="eastAsia" w:ascii="宋体" w:cs="宋体"/>
          <w:color w:val="auto"/>
          <w:szCs w:val="21"/>
          <w:highlight w:val="none"/>
        </w:rPr>
        <w:t>不能按时进行验收时，应提前</w:t>
      </w:r>
      <w:r>
        <w:rPr>
          <w:rFonts w:hint="eastAsia" w:ascii="宋体" w:cs="宋体"/>
          <w:color w:val="auto"/>
          <w:szCs w:val="21"/>
          <w:highlight w:val="none"/>
          <w:u w:val="single"/>
        </w:rPr>
        <w:t xml:space="preserve">  3  </w:t>
      </w:r>
      <w:r>
        <w:rPr>
          <w:rFonts w:hint="eastAsia" w:ascii="宋体" w:cs="宋体"/>
          <w:color w:val="auto"/>
          <w:szCs w:val="21"/>
          <w:highlight w:val="none"/>
        </w:rPr>
        <w:t>小时提交书面延期要求。</w:t>
      </w:r>
    </w:p>
    <w:p w14:paraId="770CCE0D">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关于延期最长不得超过：</w:t>
      </w:r>
      <w:r>
        <w:rPr>
          <w:rFonts w:hint="eastAsia" w:ascii="宋体" w:cs="宋体"/>
          <w:color w:val="auto"/>
          <w:szCs w:val="21"/>
          <w:highlight w:val="none"/>
          <w:u w:val="single"/>
        </w:rPr>
        <w:t xml:space="preserve"> 6  </w:t>
      </w:r>
      <w:r>
        <w:rPr>
          <w:rFonts w:hint="eastAsia" w:ascii="宋体" w:cs="宋体"/>
          <w:color w:val="auto"/>
          <w:szCs w:val="21"/>
          <w:highlight w:val="none"/>
        </w:rPr>
        <w:t>小时。</w:t>
      </w:r>
    </w:p>
    <w:p w14:paraId="4094C838">
      <w:pPr>
        <w:wordWrap w:val="0"/>
        <w:snapToGrid w:val="0"/>
        <w:spacing w:line="440" w:lineRule="exact"/>
        <w:ind w:firstLine="420" w:firstLineChars="200"/>
        <w:textAlignment w:val="bottom"/>
        <w:rPr>
          <w:rFonts w:hint="eastAsia" w:ascii="宋体" w:cs="宋体"/>
          <w:color w:val="auto"/>
          <w:szCs w:val="21"/>
          <w:highlight w:val="none"/>
        </w:rPr>
      </w:pPr>
      <w:r>
        <w:rPr>
          <w:rFonts w:hint="eastAsia" w:ascii="宋体" w:cs="宋体"/>
          <w:color w:val="auto"/>
          <w:szCs w:val="21"/>
          <w:highlight w:val="none"/>
        </w:rPr>
        <w:t>13.2 竣工验收</w:t>
      </w:r>
    </w:p>
    <w:p w14:paraId="31977786">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13.2.2竣工验收程序</w:t>
      </w:r>
    </w:p>
    <w:p w14:paraId="243D8C3F">
      <w:pPr>
        <w:wordWrap w:val="0"/>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关于竣工验收程序的约定：</w:t>
      </w:r>
      <w:r>
        <w:rPr>
          <w:rFonts w:hint="eastAsia" w:ascii="宋体" w:hAnsi="宋体" w:cs="宋体"/>
          <w:color w:val="auto"/>
          <w:szCs w:val="21"/>
          <w:highlight w:val="none"/>
          <w:u w:val="single"/>
        </w:rPr>
        <w:t>执行通用条款</w:t>
      </w:r>
      <w:r>
        <w:rPr>
          <w:rFonts w:ascii="宋体" w:hAnsi="宋体" w:cs="宋体"/>
          <w:color w:val="auto"/>
          <w:szCs w:val="21"/>
          <w:highlight w:val="none"/>
          <w:u w:val="single"/>
        </w:rPr>
        <w:t xml:space="preserve">  </w:t>
      </w:r>
      <w:r>
        <w:rPr>
          <w:rFonts w:hint="eastAsia" w:ascii="宋体" w:cs="宋体"/>
          <w:color w:val="auto"/>
          <w:szCs w:val="21"/>
          <w:highlight w:val="none"/>
          <w:u w:val="single"/>
        </w:rPr>
        <w:t>。</w:t>
      </w:r>
    </w:p>
    <w:p w14:paraId="6F7E86BC">
      <w:pPr>
        <w:wordWrap w:val="0"/>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kern w:val="0"/>
          <w:szCs w:val="21"/>
          <w:highlight w:val="none"/>
        </w:rPr>
        <w:t>发包人不按照本项约定组织竣工验收、颁发工程接收证书的违约金的计算方法：</w:t>
      </w:r>
      <w:r>
        <w:rPr>
          <w:rFonts w:hint="eastAsia" w:ascii="宋体" w:cs="宋体"/>
          <w:color w:val="auto"/>
          <w:szCs w:val="21"/>
          <w:highlight w:val="none"/>
          <w:u w:val="single"/>
        </w:rPr>
        <w:t xml:space="preserve">  不考虑 </w:t>
      </w:r>
      <w:r>
        <w:rPr>
          <w:rFonts w:hint="eastAsia" w:ascii="宋体" w:cs="宋体"/>
          <w:color w:val="auto"/>
          <w:szCs w:val="21"/>
          <w:highlight w:val="none"/>
        </w:rPr>
        <w:t>。</w:t>
      </w:r>
    </w:p>
    <w:p w14:paraId="503E590C">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13.2.5移交、接收全部与部分工程</w:t>
      </w:r>
    </w:p>
    <w:p w14:paraId="6C6A8D01">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承包人向发包人移交工程的期限：</w:t>
      </w:r>
      <w:r>
        <w:rPr>
          <w:rFonts w:hint="eastAsia" w:ascii="宋体" w:cs="宋体"/>
          <w:color w:val="auto"/>
          <w:szCs w:val="21"/>
          <w:highlight w:val="none"/>
          <w:u w:val="single"/>
        </w:rPr>
        <w:t xml:space="preserve"> 承包人应当无条件配合发包人在30日内将工程移交给</w:t>
      </w:r>
      <w:r>
        <w:rPr>
          <w:rFonts w:hint="eastAsia" w:ascii="宋体" w:cs="宋体"/>
          <w:color w:val="auto"/>
          <w:szCs w:val="21"/>
          <w:highlight w:val="none"/>
          <w:u w:val="single"/>
          <w:lang w:val="en-US" w:eastAsia="zh-CN"/>
        </w:rPr>
        <w:t>发包人</w:t>
      </w:r>
      <w:r>
        <w:rPr>
          <w:rFonts w:hint="eastAsia" w:ascii="宋体" w:cs="宋体"/>
          <w:color w:val="auto"/>
          <w:szCs w:val="21"/>
          <w:highlight w:val="none"/>
          <w:u w:val="single"/>
        </w:rPr>
        <w:t>。</w:t>
      </w:r>
    </w:p>
    <w:p w14:paraId="23E89819">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kern w:val="0"/>
          <w:szCs w:val="21"/>
          <w:highlight w:val="none"/>
        </w:rPr>
        <w:t>发包人未按本合同约定接收全部或部分工程的，违约金的计算方法为：</w:t>
      </w:r>
      <w:r>
        <w:rPr>
          <w:rFonts w:hint="eastAsia" w:ascii="宋体" w:cs="宋体"/>
          <w:color w:val="auto"/>
          <w:szCs w:val="21"/>
          <w:highlight w:val="none"/>
          <w:u w:val="single"/>
        </w:rPr>
        <w:t xml:space="preserve">  不考虑  </w:t>
      </w:r>
      <w:r>
        <w:rPr>
          <w:rFonts w:hint="eastAsia" w:ascii="宋体" w:cs="宋体"/>
          <w:color w:val="auto"/>
          <w:szCs w:val="21"/>
          <w:highlight w:val="none"/>
        </w:rPr>
        <w:t>。</w:t>
      </w:r>
    </w:p>
    <w:p w14:paraId="2E1832CE">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承包人未按时移交工程的，违约金的计算方法为：</w:t>
      </w:r>
      <w:r>
        <w:rPr>
          <w:rFonts w:hint="eastAsia" w:ascii="宋体" w:cs="宋体"/>
          <w:color w:val="auto"/>
          <w:szCs w:val="21"/>
          <w:highlight w:val="none"/>
          <w:u w:val="single"/>
        </w:rPr>
        <w:t xml:space="preserve"> 因承包人原因，未按合同期限按时移交的，暂停工程款支付，发包人可动用质保金，用于工程质量整改 </w:t>
      </w:r>
      <w:r>
        <w:rPr>
          <w:rFonts w:hint="eastAsia" w:ascii="宋体" w:cs="宋体"/>
          <w:color w:val="auto"/>
          <w:szCs w:val="21"/>
          <w:highlight w:val="none"/>
        </w:rPr>
        <w:t>。</w:t>
      </w:r>
    </w:p>
    <w:p w14:paraId="60BEADE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13.3 工程试车</w:t>
      </w:r>
    </w:p>
    <w:p w14:paraId="69FB1ECF">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13.3.1 试车程序</w:t>
      </w:r>
    </w:p>
    <w:p w14:paraId="0AABA755">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kern w:val="0"/>
          <w:szCs w:val="21"/>
          <w:highlight w:val="none"/>
        </w:rPr>
        <w:t>工程试车内容：</w:t>
      </w:r>
      <w:r>
        <w:rPr>
          <w:rFonts w:hint="eastAsia" w:ascii="宋体" w:cs="宋体"/>
          <w:color w:val="auto"/>
          <w:szCs w:val="21"/>
          <w:highlight w:val="none"/>
          <w:u w:val="single"/>
          <w:lang w:val="en-US" w:eastAsia="zh-CN"/>
        </w:rPr>
        <w:t>/</w:t>
      </w:r>
      <w:r>
        <w:rPr>
          <w:rFonts w:hint="eastAsia" w:ascii="宋体" w:cs="宋体"/>
          <w:color w:val="auto"/>
          <w:szCs w:val="21"/>
          <w:highlight w:val="none"/>
          <w:u w:val="single"/>
        </w:rPr>
        <w:t>。</w:t>
      </w:r>
    </w:p>
    <w:p w14:paraId="07AAC025">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（1）单机无负荷试车费用由</w:t>
      </w:r>
      <w:r>
        <w:rPr>
          <w:rFonts w:hint="eastAsia" w:ascii="宋体" w:cs="宋体"/>
          <w:color w:val="auto"/>
          <w:szCs w:val="21"/>
          <w:highlight w:val="none"/>
          <w:u w:val="single"/>
        </w:rPr>
        <w:t xml:space="preserve">  承包人  </w:t>
      </w:r>
      <w:r>
        <w:rPr>
          <w:rFonts w:hint="eastAsia" w:ascii="宋体" w:cs="宋体"/>
          <w:color w:val="auto"/>
          <w:kern w:val="0"/>
          <w:szCs w:val="21"/>
          <w:highlight w:val="none"/>
        </w:rPr>
        <w:t>承担；</w:t>
      </w:r>
    </w:p>
    <w:p w14:paraId="456ADB78">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（2）无负荷联动试车费用由</w:t>
      </w:r>
      <w:r>
        <w:rPr>
          <w:rFonts w:hint="eastAsia" w:ascii="宋体" w:cs="宋体"/>
          <w:color w:val="auto"/>
          <w:szCs w:val="21"/>
          <w:highlight w:val="none"/>
          <w:u w:val="single"/>
        </w:rPr>
        <w:t xml:space="preserve">  承包人  </w:t>
      </w:r>
      <w:r>
        <w:rPr>
          <w:rFonts w:hint="eastAsia" w:ascii="宋体" w:cs="宋体"/>
          <w:color w:val="auto"/>
          <w:kern w:val="0"/>
          <w:szCs w:val="21"/>
          <w:highlight w:val="none"/>
        </w:rPr>
        <w:t>承担。</w:t>
      </w:r>
    </w:p>
    <w:p w14:paraId="1EDFA0A8">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13.3.3 投料试车</w:t>
      </w:r>
    </w:p>
    <w:p w14:paraId="4AFD898D">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kern w:val="0"/>
          <w:szCs w:val="21"/>
          <w:highlight w:val="none"/>
        </w:rPr>
        <w:t>关于投料试车相关事项的约定：</w:t>
      </w:r>
      <w:r>
        <w:rPr>
          <w:rFonts w:hint="eastAsia" w:ascii="宋体" w:cs="宋体"/>
          <w:color w:val="auto"/>
          <w:kern w:val="0"/>
          <w:szCs w:val="21"/>
          <w:highlight w:val="none"/>
          <w:u w:val="single"/>
        </w:rPr>
        <w:t>如需进行投料试车的，发包人应在工程竣工验收后组织投料试车。发包人要求在工程竣工验收前进行或需要承包人配合时，应征得承包人同意。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2E8CDC51">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13.6 竣工退场</w:t>
      </w:r>
    </w:p>
    <w:p w14:paraId="7F26C140">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13.6.1 竣工退场</w:t>
      </w:r>
    </w:p>
    <w:p w14:paraId="68B12229">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承包人完成竣工退场的期限：</w:t>
      </w:r>
      <w:r>
        <w:rPr>
          <w:rFonts w:hint="eastAsia" w:ascii="宋体" w:cs="宋体"/>
          <w:color w:val="auto"/>
          <w:szCs w:val="21"/>
          <w:highlight w:val="none"/>
          <w:u w:val="single"/>
        </w:rPr>
        <w:t>工程竣工合格后，7天内退场。</w:t>
      </w:r>
    </w:p>
    <w:p w14:paraId="7AFDC68E">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14. 竣工结算</w:t>
      </w:r>
    </w:p>
    <w:p w14:paraId="48D547BE">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14.1 竣工付款申请</w:t>
      </w:r>
    </w:p>
    <w:p w14:paraId="17D44050">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承包人提交竣工付款申请单的期限：</w:t>
      </w:r>
      <w:r>
        <w:rPr>
          <w:rFonts w:hint="eastAsia" w:ascii="宋体" w:cs="宋体"/>
          <w:color w:val="auto"/>
          <w:szCs w:val="21"/>
          <w:highlight w:val="none"/>
          <w:u w:val="single"/>
        </w:rPr>
        <w:t>承包人须于竣工验收合格后60日内完成竣工结算报告和完整结算资料上报，特殊情况，经分管领导批准的可以延长。凡因承包人原因，未能在规定时间内上报竣工结算的，处</w:t>
      </w:r>
      <w:r>
        <w:rPr>
          <w:rFonts w:hint="eastAsia" w:ascii="宋体" w:cs="宋体"/>
          <w:color w:val="auto"/>
          <w:szCs w:val="21"/>
          <w:highlight w:val="none"/>
          <w:u w:val="single"/>
          <w:lang w:val="en-US" w:eastAsia="zh-CN"/>
        </w:rPr>
        <w:t>以</w:t>
      </w:r>
      <w:r>
        <w:rPr>
          <w:rFonts w:hint="eastAsia" w:ascii="宋体" w:cs="宋体"/>
          <w:color w:val="auto"/>
          <w:szCs w:val="21"/>
          <w:highlight w:val="none"/>
          <w:u w:val="single"/>
        </w:rPr>
        <w:t>10000元/月的违约金。情节严重的，项目单位有权按已有资料或按已付款报相关部门办理结算。</w:t>
      </w:r>
    </w:p>
    <w:p w14:paraId="1FD8D83E">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竣工结算申请单应包括的内容：</w:t>
      </w:r>
      <w:r>
        <w:rPr>
          <w:rFonts w:hint="eastAsia" w:ascii="宋体" w:cs="宋体"/>
          <w:color w:val="auto"/>
          <w:szCs w:val="21"/>
          <w:highlight w:val="none"/>
          <w:u w:val="single"/>
        </w:rPr>
        <w:t>执行发包人统一内容格式。</w:t>
      </w:r>
    </w:p>
    <w:p w14:paraId="17CBFC35">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14.2 竣工结算审核</w:t>
      </w:r>
    </w:p>
    <w:p w14:paraId="70E79288">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发包人审批竣工付款申请单的期限：</w:t>
      </w:r>
      <w:r>
        <w:rPr>
          <w:rFonts w:hint="eastAsia" w:ascii="宋体" w:cs="宋体"/>
          <w:color w:val="auto"/>
          <w:szCs w:val="21"/>
          <w:highlight w:val="none"/>
          <w:u w:val="single"/>
        </w:rPr>
        <w:t>相关部门审核通过后7天内完成审批并签发结算款支付证书</w:t>
      </w:r>
      <w:r>
        <w:rPr>
          <w:rFonts w:hint="eastAsia" w:ascii="宋体" w:cs="宋体"/>
          <w:color w:val="auto"/>
          <w:szCs w:val="21"/>
          <w:highlight w:val="none"/>
        </w:rPr>
        <w:t>。</w:t>
      </w:r>
    </w:p>
    <w:p w14:paraId="4950B9A8">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发包人完成竣工付款的期限：</w:t>
      </w:r>
      <w:r>
        <w:rPr>
          <w:rFonts w:hint="eastAsia" w:ascii="宋体" w:cs="宋体"/>
          <w:color w:val="auto"/>
          <w:szCs w:val="21"/>
          <w:highlight w:val="none"/>
          <w:u w:val="single"/>
        </w:rPr>
        <w:t xml:space="preserve">发包人在发票送达一周内完成支付 </w:t>
      </w:r>
      <w:r>
        <w:rPr>
          <w:rFonts w:hint="eastAsia" w:ascii="宋体" w:cs="宋体"/>
          <w:color w:val="auto"/>
          <w:szCs w:val="21"/>
          <w:highlight w:val="none"/>
        </w:rPr>
        <w:t>。</w:t>
      </w:r>
    </w:p>
    <w:p w14:paraId="6C79B7B4">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关于竣工付款证书异议部分复核的方式和程序：</w:t>
      </w:r>
      <w:r>
        <w:rPr>
          <w:rFonts w:hint="eastAsia" w:ascii="宋体" w:cs="宋体"/>
          <w:color w:val="auto"/>
          <w:szCs w:val="21"/>
          <w:highlight w:val="none"/>
          <w:u w:val="single"/>
        </w:rPr>
        <w:t>按照第20条〔争议解决〕约定处理。</w:t>
      </w:r>
    </w:p>
    <w:p w14:paraId="49BF49AC">
      <w:pPr>
        <w:snapToGrid w:val="0"/>
        <w:spacing w:beforeLines="0" w:afterLines="0" w:line="440" w:lineRule="exact"/>
        <w:ind w:firstLine="422" w:firstLineChars="200"/>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根据滁规建管办字【2023】3号文件《关于规范建设项目工程造价控制与审核费用的通知》的规定，工程造价审减率超过5%时，施工单位承担审减率超出5%以上的核减额的5%，项目结算付款单位根据审计结果从工程待结价款中扣除或以违约金形式缴纳至招标人处。</w:t>
      </w:r>
    </w:p>
    <w:p w14:paraId="5C3F1324">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14.4 最终结清</w:t>
      </w:r>
    </w:p>
    <w:p w14:paraId="38774111">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14.4.1 最终结清申请单</w:t>
      </w:r>
    </w:p>
    <w:p w14:paraId="68B5514F">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承包人提交最终结清申请单的份数：</w:t>
      </w:r>
      <w:r>
        <w:rPr>
          <w:rFonts w:hint="eastAsia" w:ascii="宋体" w:cs="宋体"/>
          <w:color w:val="auto"/>
          <w:szCs w:val="21"/>
          <w:highlight w:val="none"/>
          <w:u w:val="single"/>
        </w:rPr>
        <w:t xml:space="preserve"> 4份  </w:t>
      </w:r>
      <w:r>
        <w:rPr>
          <w:rFonts w:hint="eastAsia" w:ascii="宋体" w:cs="宋体"/>
          <w:color w:val="auto"/>
          <w:szCs w:val="21"/>
          <w:highlight w:val="none"/>
        </w:rPr>
        <w:t>。</w:t>
      </w:r>
    </w:p>
    <w:p w14:paraId="0C4BE8D9">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kern w:val="0"/>
          <w:szCs w:val="21"/>
          <w:highlight w:val="none"/>
        </w:rPr>
        <w:t>承包人提交最终结算申请单的期限：</w:t>
      </w:r>
      <w:r>
        <w:rPr>
          <w:rFonts w:hint="eastAsia" w:ascii="宋体" w:cs="宋体"/>
          <w:color w:val="auto"/>
          <w:szCs w:val="21"/>
          <w:highlight w:val="none"/>
          <w:u w:val="single"/>
        </w:rPr>
        <w:t xml:space="preserve"> 缺陷责任期满经复查合格后7天内。</w:t>
      </w:r>
    </w:p>
    <w:p w14:paraId="7A267CD1">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14.4.2 最终结清证书和支付</w:t>
      </w:r>
    </w:p>
    <w:p w14:paraId="6013B0EE">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（1）发包人完成最终结清申请单的审批并颁发最终结清证书的期限：</w:t>
      </w:r>
      <w:r>
        <w:rPr>
          <w:rFonts w:hint="eastAsia" w:ascii="宋体" w:cs="宋体"/>
          <w:color w:val="auto"/>
          <w:szCs w:val="21"/>
          <w:highlight w:val="none"/>
          <w:u w:val="single"/>
        </w:rPr>
        <w:t xml:space="preserve"> 缺陷责任期满经复查合格后14天内。</w:t>
      </w:r>
    </w:p>
    <w:p w14:paraId="632C4B0A">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（2）发包人完成支付的期限：</w:t>
      </w:r>
      <w:r>
        <w:rPr>
          <w:rFonts w:hint="eastAsia" w:ascii="宋体" w:cs="宋体"/>
          <w:color w:val="auto"/>
          <w:szCs w:val="21"/>
          <w:highlight w:val="none"/>
          <w:u w:val="single"/>
        </w:rPr>
        <w:t xml:space="preserve">发包人发票送达一周内完成支付 </w:t>
      </w:r>
      <w:r>
        <w:rPr>
          <w:rFonts w:hint="eastAsia" w:ascii="宋体" w:cs="宋体"/>
          <w:color w:val="auto"/>
          <w:szCs w:val="21"/>
          <w:highlight w:val="none"/>
        </w:rPr>
        <w:t>。</w:t>
      </w:r>
    </w:p>
    <w:p w14:paraId="32DAD0B0">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15. 缺陷责任期与保修</w:t>
      </w:r>
    </w:p>
    <w:p w14:paraId="3BA5262F">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15.2缺陷责任期</w:t>
      </w:r>
    </w:p>
    <w:p w14:paraId="33B70E31">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缺陷责任期的具体期限：</w:t>
      </w:r>
      <w:r>
        <w:rPr>
          <w:rFonts w:hint="eastAsia" w:ascii="黑体" w:hAnsi="黑体" w:eastAsia="黑体" w:cs="黑体"/>
          <w:b/>
          <w:bCs/>
          <w:color w:val="auto"/>
          <w:szCs w:val="21"/>
          <w:highlight w:val="none"/>
          <w:u w:val="single"/>
        </w:rPr>
        <w:t>自竣工验收合格之日起</w:t>
      </w:r>
      <w:r>
        <w:rPr>
          <w:rFonts w:hint="eastAsia" w:ascii="黑体" w:hAnsi="黑体" w:eastAsia="黑体" w:cs="黑体"/>
          <w:b/>
          <w:bCs/>
          <w:color w:val="auto"/>
          <w:szCs w:val="21"/>
          <w:highlight w:val="none"/>
          <w:u w:val="single"/>
          <w:lang w:val="en-US" w:eastAsia="zh-CN"/>
        </w:rPr>
        <w:t>24个月（</w:t>
      </w:r>
      <w:r>
        <w:rPr>
          <w:rFonts w:hint="eastAsia" w:ascii="黑体" w:hAnsi="黑体" w:eastAsia="黑体" w:cs="黑体"/>
          <w:b/>
          <w:bCs/>
          <w:color w:val="auto"/>
          <w:szCs w:val="21"/>
          <w:highlight w:val="none"/>
          <w:u w:val="single"/>
        </w:rPr>
        <w:t>详见付款方式）</w:t>
      </w:r>
      <w:r>
        <w:rPr>
          <w:rFonts w:hint="eastAsia" w:ascii="宋体" w:cs="宋体"/>
          <w:color w:val="auto"/>
          <w:szCs w:val="21"/>
          <w:highlight w:val="none"/>
          <w:u w:val="single"/>
        </w:rPr>
        <w:t>。</w:t>
      </w:r>
    </w:p>
    <w:p w14:paraId="3B355A45">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15.3 质量保证金</w:t>
      </w:r>
    </w:p>
    <w:p w14:paraId="66075D64">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关于是否扣留质量保证金的约定：</w:t>
      </w:r>
      <w:r>
        <w:rPr>
          <w:rFonts w:hint="eastAsia" w:ascii="宋体" w:cs="宋体"/>
          <w:color w:val="auto"/>
          <w:szCs w:val="21"/>
          <w:highlight w:val="none"/>
          <w:u w:val="single"/>
        </w:rPr>
        <w:t xml:space="preserve"> 是。   </w:t>
      </w:r>
    </w:p>
    <w:p w14:paraId="0E5CDBA6">
      <w:pPr>
        <w:snapToGrid w:val="0"/>
        <w:spacing w:line="44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在工程项目竣工前，承包人按专用合同条款第3.7条提供履约担保的，发包人不得同时预留工程质量保证金。</w:t>
      </w:r>
    </w:p>
    <w:p w14:paraId="5C937D85">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15.3.1 承包人提供质量保证金的方式</w:t>
      </w:r>
    </w:p>
    <w:p w14:paraId="013BEBBC">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质量保证金采用以下方式：</w:t>
      </w:r>
    </w:p>
    <w:p w14:paraId="3B7DE62A">
      <w:pPr>
        <w:autoSpaceDE w:val="0"/>
        <w:autoSpaceDN w:val="0"/>
        <w:adjustRightInd w:val="0"/>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 xml:space="preserve">（1）质量保证金保函； </w:t>
      </w:r>
    </w:p>
    <w:p w14:paraId="1E77815B">
      <w:pPr>
        <w:autoSpaceDE w:val="0"/>
        <w:autoSpaceDN w:val="0"/>
        <w:adjustRightInd w:val="0"/>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（2）</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u w:val="single"/>
          <w:lang w:val="en-US" w:eastAsia="zh-CN"/>
        </w:rPr>
        <w:t>2</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的工程款；</w:t>
      </w:r>
    </w:p>
    <w:p w14:paraId="799C8D62">
      <w:pPr>
        <w:autoSpaceDE w:val="0"/>
        <w:autoSpaceDN w:val="0"/>
        <w:adjustRightInd w:val="0"/>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（3）其他方式:</w:t>
      </w:r>
      <w:r>
        <w:rPr>
          <w:rFonts w:hint="eastAsia" w:ascii="宋体" w:cs="宋体"/>
          <w:color w:val="auto"/>
          <w:kern w:val="0"/>
          <w:szCs w:val="21"/>
          <w:highlight w:val="none"/>
          <w:u w:val="single"/>
        </w:rPr>
        <w:t xml:space="preserve">        。</w:t>
      </w:r>
    </w:p>
    <w:p w14:paraId="7BAAB318">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 xml:space="preserve">15.3.2 质量保证金的扣留 </w:t>
      </w:r>
    </w:p>
    <w:p w14:paraId="5A9C84FF">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质量保证金的扣留采取以下方式：</w:t>
      </w:r>
    </w:p>
    <w:p w14:paraId="6F2A5770">
      <w:pPr>
        <w:autoSpaceDE w:val="0"/>
        <w:autoSpaceDN w:val="0"/>
        <w:adjustRightInd w:val="0"/>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（1）在支付工程进度款时逐次扣留，在此情形下，质量保证金的计算基数不包括预付款的支付、扣回以及价格调整的金额；</w:t>
      </w:r>
    </w:p>
    <w:p w14:paraId="0F70043A">
      <w:pPr>
        <w:autoSpaceDE w:val="0"/>
        <w:autoSpaceDN w:val="0"/>
        <w:adjustRightInd w:val="0"/>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（2）工程竣工结算时一次性扣留质量保证金；</w:t>
      </w:r>
    </w:p>
    <w:p w14:paraId="43B4D75C">
      <w:pPr>
        <w:autoSpaceDE w:val="0"/>
        <w:autoSpaceDN w:val="0"/>
        <w:adjustRightInd w:val="0"/>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（3）其他扣留方式:</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w:t>
      </w:r>
    </w:p>
    <w:p w14:paraId="4ADAC490">
      <w:pPr>
        <w:snapToGrid w:val="0"/>
        <w:spacing w:line="440" w:lineRule="exact"/>
        <w:ind w:firstLine="420" w:firstLineChars="200"/>
        <w:jc w:val="left"/>
        <w:rPr>
          <w:rFonts w:hint="eastAsia" w:ascii="宋体" w:eastAsia="宋体" w:cs="宋体"/>
          <w:color w:val="auto"/>
          <w:kern w:val="0"/>
          <w:szCs w:val="21"/>
          <w:highlight w:val="none"/>
          <w:u w:val="single"/>
          <w:lang w:eastAsia="zh-CN"/>
        </w:rPr>
      </w:pPr>
      <w:r>
        <w:rPr>
          <w:rFonts w:hint="eastAsia" w:ascii="宋体" w:cs="宋体"/>
          <w:color w:val="auto"/>
          <w:szCs w:val="21"/>
          <w:highlight w:val="none"/>
        </w:rPr>
        <w:t>关于质量保证金的补充约定：</w:t>
      </w:r>
      <w:r>
        <w:rPr>
          <w:rFonts w:hint="eastAsia" w:ascii="宋体" w:cs="宋体"/>
          <w:color w:val="auto"/>
          <w:kern w:val="0"/>
          <w:szCs w:val="21"/>
          <w:highlight w:val="none"/>
          <w:u w:val="single"/>
        </w:rPr>
        <w:t xml:space="preserve"> </w:t>
      </w:r>
      <w:r>
        <w:rPr>
          <w:rFonts w:hint="eastAsia" w:ascii="宋体" w:cs="宋体"/>
          <w:color w:val="auto"/>
          <w:szCs w:val="21"/>
          <w:highlight w:val="none"/>
          <w:u w:val="single"/>
        </w:rPr>
        <w:t>承包人在缺陷责任期内未履行保修义务的，缺陷责任期满经复查不合格的，质量保证金不予退还。</w:t>
      </w:r>
      <w:r>
        <w:rPr>
          <w:rFonts w:hint="eastAsia" w:ascii="宋体" w:cs="宋体"/>
          <w:color w:val="auto"/>
          <w:kern w:val="0"/>
          <w:szCs w:val="21"/>
          <w:highlight w:val="none"/>
          <w:u w:val="single"/>
        </w:rPr>
        <w:t>质量缺陷较多，多次催促整改不到位，处理不及时的，</w:t>
      </w:r>
      <w:r>
        <w:rPr>
          <w:rFonts w:hint="eastAsia" w:ascii="宋体" w:cs="宋体"/>
          <w:color w:val="auto"/>
          <w:szCs w:val="21"/>
          <w:highlight w:val="none"/>
          <w:u w:val="single"/>
        </w:rPr>
        <w:t>发包人可动用质保金，用于工程质量整改，同时限制承包人一年内不得参与我单位项目投标。</w:t>
      </w:r>
    </w:p>
    <w:p w14:paraId="79CA4C01">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15.4保修</w:t>
      </w:r>
    </w:p>
    <w:p w14:paraId="29C671CF">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15.4.1 保修责任</w:t>
      </w:r>
    </w:p>
    <w:p w14:paraId="5233C9E2">
      <w:pPr>
        <w:snapToGrid w:val="0"/>
        <w:spacing w:line="440" w:lineRule="exact"/>
        <w:ind w:firstLine="420" w:firstLineChars="200"/>
        <w:jc w:val="left"/>
        <w:rPr>
          <w:rFonts w:hint="eastAsia" w:ascii="宋体" w:cs="宋体"/>
          <w:color w:val="auto"/>
          <w:kern w:val="0"/>
          <w:szCs w:val="21"/>
          <w:highlight w:val="none"/>
          <w:u w:val="single"/>
        </w:rPr>
      </w:pPr>
      <w:r>
        <w:rPr>
          <w:rFonts w:hint="eastAsia" w:ascii="宋体" w:cs="宋体"/>
          <w:color w:val="auto"/>
          <w:szCs w:val="21"/>
          <w:highlight w:val="none"/>
        </w:rPr>
        <w:t>工程保修期为：</w:t>
      </w:r>
      <w:r>
        <w:rPr>
          <w:rFonts w:hint="eastAsia" w:ascii="宋体" w:cs="宋体"/>
          <w:color w:val="auto"/>
          <w:kern w:val="0"/>
          <w:szCs w:val="21"/>
          <w:highlight w:val="none"/>
          <w:u w:val="single"/>
        </w:rPr>
        <w:t xml:space="preserve">   执行《建设工程质量管理条例》及有关规定，如与国家最新相关标准冲突的按标准较高的执行。     </w:t>
      </w:r>
    </w:p>
    <w:p w14:paraId="212224CE">
      <w:pPr>
        <w:snapToGrid w:val="0"/>
        <w:spacing w:line="440" w:lineRule="exact"/>
        <w:ind w:firstLine="420" w:firstLineChars="200"/>
        <w:jc w:val="left"/>
        <w:rPr>
          <w:rFonts w:hint="eastAsia" w:ascii="宋体" w:cs="宋体"/>
          <w:color w:val="auto"/>
          <w:kern w:val="0"/>
          <w:szCs w:val="21"/>
          <w:highlight w:val="none"/>
          <w:u w:val="single"/>
        </w:rPr>
      </w:pPr>
      <w:r>
        <w:rPr>
          <w:rFonts w:hint="eastAsia" w:ascii="宋体" w:cs="宋体"/>
          <w:color w:val="auto"/>
          <w:kern w:val="0"/>
          <w:szCs w:val="21"/>
          <w:highlight w:val="none"/>
        </w:rPr>
        <w:t>承包人收到保修通知并到达工程现场的合理时间：</w:t>
      </w:r>
      <w:r>
        <w:rPr>
          <w:rFonts w:hint="eastAsia" w:ascii="宋体" w:cs="宋体"/>
          <w:color w:val="auto"/>
          <w:kern w:val="0"/>
          <w:szCs w:val="21"/>
          <w:highlight w:val="none"/>
          <w:u w:val="single"/>
        </w:rPr>
        <w:t xml:space="preserve">自承包人收到保修通知起24小时内到达工程现场。  </w:t>
      </w:r>
    </w:p>
    <w:p w14:paraId="20A88CC6">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16. 违约</w:t>
      </w:r>
    </w:p>
    <w:p w14:paraId="79E101CA">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16.1 发包人违约</w:t>
      </w:r>
    </w:p>
    <w:p w14:paraId="5D97D515">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16.1.1发包人违约的情形</w:t>
      </w:r>
    </w:p>
    <w:p w14:paraId="22711157">
      <w:pPr>
        <w:snapToGrid w:val="0"/>
        <w:spacing w:line="440" w:lineRule="exact"/>
        <w:ind w:firstLine="420" w:firstLineChars="200"/>
        <w:jc w:val="left"/>
        <w:rPr>
          <w:rFonts w:hint="eastAsia" w:ascii="宋体" w:cs="宋体"/>
          <w:color w:val="auto"/>
          <w:kern w:val="0"/>
          <w:szCs w:val="21"/>
          <w:highlight w:val="none"/>
          <w:u w:val="single"/>
        </w:rPr>
      </w:pPr>
      <w:r>
        <w:rPr>
          <w:rFonts w:hint="eastAsia" w:ascii="宋体" w:cs="宋体"/>
          <w:color w:val="auto"/>
          <w:kern w:val="0"/>
          <w:szCs w:val="21"/>
          <w:highlight w:val="none"/>
        </w:rPr>
        <w:t>发包人违约的其他情形：</w:t>
      </w:r>
      <w:r>
        <w:rPr>
          <w:rFonts w:hint="eastAsia" w:ascii="宋体" w:cs="宋体"/>
          <w:color w:val="auto"/>
          <w:kern w:val="0"/>
          <w:szCs w:val="21"/>
          <w:highlight w:val="none"/>
          <w:u w:val="single"/>
        </w:rPr>
        <w:t xml:space="preserve">   无    </w:t>
      </w:r>
      <w:r>
        <w:rPr>
          <w:rFonts w:hint="eastAsia" w:ascii="宋体" w:cs="宋体"/>
          <w:color w:val="auto"/>
          <w:kern w:val="0"/>
          <w:szCs w:val="21"/>
          <w:highlight w:val="none"/>
        </w:rPr>
        <w:t>。</w:t>
      </w:r>
    </w:p>
    <w:p w14:paraId="653AEB3B">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16.1.2 发包人违约的责任</w:t>
      </w:r>
    </w:p>
    <w:p w14:paraId="368ACDE4">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发包人违约责任的承担方式和计算方法：</w:t>
      </w:r>
    </w:p>
    <w:p w14:paraId="1EC7A411">
      <w:pPr>
        <w:snapToGrid w:val="0"/>
        <w:spacing w:line="440" w:lineRule="exact"/>
        <w:ind w:firstLine="420" w:firstLineChars="200"/>
        <w:jc w:val="left"/>
        <w:rPr>
          <w:rFonts w:hint="eastAsia" w:ascii="宋体" w:cs="宋体"/>
          <w:color w:val="auto"/>
          <w:kern w:val="0"/>
          <w:szCs w:val="21"/>
          <w:highlight w:val="none"/>
          <w:u w:val="single"/>
        </w:rPr>
      </w:pPr>
      <w:r>
        <w:rPr>
          <w:rFonts w:hint="eastAsia" w:ascii="宋体" w:cs="宋体"/>
          <w:color w:val="auto"/>
          <w:kern w:val="0"/>
          <w:szCs w:val="21"/>
          <w:highlight w:val="none"/>
        </w:rPr>
        <w:t>（1）因发包人原因未能在计划开工日期前7天内下达开工通知的违约责任：</w:t>
      </w:r>
      <w:r>
        <w:rPr>
          <w:rFonts w:hint="eastAsia" w:ascii="宋体" w:cs="宋体"/>
          <w:color w:val="auto"/>
          <w:kern w:val="0"/>
          <w:szCs w:val="21"/>
          <w:highlight w:val="none"/>
          <w:u w:val="single"/>
        </w:rPr>
        <w:t>对工期造成影响的可顺延工期</w:t>
      </w:r>
      <w:r>
        <w:rPr>
          <w:rFonts w:hint="eastAsia" w:ascii="宋体" w:cs="宋体"/>
          <w:color w:val="auto"/>
          <w:kern w:val="0"/>
          <w:szCs w:val="21"/>
          <w:highlight w:val="none"/>
        </w:rPr>
        <w:t>。</w:t>
      </w:r>
    </w:p>
    <w:p w14:paraId="5F3C2604">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（2）因发包人原因未能按合同约定支付合同价款的违约责任：</w:t>
      </w:r>
      <w:r>
        <w:rPr>
          <w:rFonts w:hint="eastAsia" w:ascii="宋体" w:cs="宋体"/>
          <w:color w:val="auto"/>
          <w:kern w:val="0"/>
          <w:szCs w:val="21"/>
          <w:highlight w:val="none"/>
          <w:u w:val="single"/>
        </w:rPr>
        <w:t>可按照中国人民银行发布的同期同类贷款基准利率支付违约金</w:t>
      </w:r>
      <w:r>
        <w:rPr>
          <w:rFonts w:hint="eastAsia" w:ascii="宋体" w:cs="宋体"/>
          <w:color w:val="auto"/>
          <w:kern w:val="0"/>
          <w:szCs w:val="21"/>
          <w:highlight w:val="none"/>
        </w:rPr>
        <w:t>。</w:t>
      </w:r>
    </w:p>
    <w:p w14:paraId="784394A7">
      <w:pPr>
        <w:snapToGrid w:val="0"/>
        <w:spacing w:line="440" w:lineRule="exact"/>
        <w:ind w:firstLine="420" w:firstLineChars="200"/>
        <w:jc w:val="left"/>
        <w:rPr>
          <w:rFonts w:hint="eastAsia" w:ascii="宋体" w:cs="宋体"/>
          <w:color w:val="auto"/>
          <w:kern w:val="0"/>
          <w:szCs w:val="21"/>
          <w:highlight w:val="none"/>
          <w:u w:val="single"/>
        </w:rPr>
      </w:pPr>
      <w:r>
        <w:rPr>
          <w:rFonts w:hint="eastAsia" w:ascii="宋体" w:cs="宋体"/>
          <w:color w:val="auto"/>
          <w:kern w:val="0"/>
          <w:szCs w:val="21"/>
          <w:highlight w:val="none"/>
        </w:rPr>
        <w:t>（3）发包人违反第10.1款〔变更的范围〕第（2）项约定，自行实施被取消的工作或转由他人实施的违约责任：</w:t>
      </w:r>
      <w:r>
        <w:rPr>
          <w:rFonts w:hint="eastAsia" w:ascii="宋体" w:cs="宋体"/>
          <w:color w:val="auto"/>
          <w:kern w:val="0"/>
          <w:szCs w:val="21"/>
          <w:highlight w:val="none"/>
          <w:u w:val="single"/>
        </w:rPr>
        <w:t xml:space="preserve">   发包人可追加与被取消的工作造价相当的额外工作做为补偿</w:t>
      </w:r>
      <w:r>
        <w:rPr>
          <w:rFonts w:hint="eastAsia" w:ascii="宋体" w:cs="宋体"/>
          <w:color w:val="auto"/>
          <w:kern w:val="0"/>
          <w:szCs w:val="21"/>
          <w:highlight w:val="none"/>
        </w:rPr>
        <w:t>。</w:t>
      </w:r>
    </w:p>
    <w:p w14:paraId="5076FD04">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（4）发包人提供的材料、工程设备的规格、数量或质量不符合合同约定，或因发包人原因导致交货日期延误或交货地点变更等情况的违约责任：</w:t>
      </w:r>
      <w:r>
        <w:rPr>
          <w:rFonts w:hint="eastAsia" w:ascii="宋体" w:cs="宋体"/>
          <w:color w:val="auto"/>
          <w:kern w:val="0"/>
          <w:szCs w:val="21"/>
          <w:highlight w:val="none"/>
          <w:u w:val="single"/>
        </w:rPr>
        <w:t xml:space="preserve">发包人可补足或更换材料、工程设备；对工期造成延误的可以顺延；增加承包人成本的可予以补偿  </w:t>
      </w:r>
      <w:r>
        <w:rPr>
          <w:rFonts w:hint="eastAsia" w:ascii="宋体" w:cs="宋体"/>
          <w:color w:val="auto"/>
          <w:kern w:val="0"/>
          <w:szCs w:val="21"/>
          <w:highlight w:val="none"/>
        </w:rPr>
        <w:t>。</w:t>
      </w:r>
    </w:p>
    <w:p w14:paraId="55A3FCCC">
      <w:pPr>
        <w:snapToGrid w:val="0"/>
        <w:spacing w:line="440" w:lineRule="exact"/>
        <w:ind w:firstLine="420" w:firstLineChars="200"/>
        <w:jc w:val="left"/>
        <w:rPr>
          <w:rFonts w:hint="eastAsia" w:ascii="宋体" w:cs="宋体"/>
          <w:color w:val="auto"/>
          <w:kern w:val="0"/>
          <w:szCs w:val="21"/>
          <w:highlight w:val="none"/>
          <w:u w:val="single"/>
        </w:rPr>
      </w:pPr>
      <w:r>
        <w:rPr>
          <w:rFonts w:hint="eastAsia" w:ascii="宋体" w:cs="宋体"/>
          <w:color w:val="auto"/>
          <w:kern w:val="0"/>
          <w:szCs w:val="21"/>
          <w:highlight w:val="none"/>
        </w:rPr>
        <w:t>（5）因发包人违反合同约定造成暂停施工的违约责任：</w:t>
      </w:r>
      <w:r>
        <w:rPr>
          <w:rFonts w:hint="eastAsia" w:ascii="宋体" w:cs="宋体"/>
          <w:color w:val="auto"/>
          <w:kern w:val="0"/>
          <w:szCs w:val="21"/>
          <w:highlight w:val="none"/>
          <w:u w:val="single"/>
        </w:rPr>
        <w:t xml:space="preserve">  可顺延工期  </w:t>
      </w:r>
      <w:r>
        <w:rPr>
          <w:rFonts w:hint="eastAsia" w:ascii="宋体" w:cs="宋体"/>
          <w:color w:val="auto"/>
          <w:kern w:val="0"/>
          <w:szCs w:val="21"/>
          <w:highlight w:val="none"/>
        </w:rPr>
        <w:t>。</w:t>
      </w:r>
    </w:p>
    <w:p w14:paraId="2EA567F6">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（6）发包人无正当理由没有在约定期限内发出复工指示，导致承包人无法复工的违约责任：</w:t>
      </w:r>
      <w:r>
        <w:rPr>
          <w:rFonts w:hint="eastAsia" w:ascii="宋体" w:cs="宋体"/>
          <w:color w:val="auto"/>
          <w:kern w:val="0"/>
          <w:szCs w:val="21"/>
          <w:highlight w:val="none"/>
          <w:u w:val="single"/>
        </w:rPr>
        <w:t xml:space="preserve"> 对工期造成影响的可顺延工期  </w:t>
      </w:r>
      <w:r>
        <w:rPr>
          <w:rFonts w:hint="eastAsia" w:ascii="宋体" w:cs="宋体"/>
          <w:color w:val="auto"/>
          <w:kern w:val="0"/>
          <w:szCs w:val="21"/>
          <w:highlight w:val="none"/>
        </w:rPr>
        <w:t>。</w:t>
      </w:r>
    </w:p>
    <w:p w14:paraId="0210D642">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（7）其他：</w:t>
      </w:r>
      <w:r>
        <w:rPr>
          <w:rFonts w:hint="eastAsia" w:ascii="宋体" w:cs="宋体"/>
          <w:color w:val="auto"/>
          <w:kern w:val="0"/>
          <w:szCs w:val="21"/>
          <w:highlight w:val="none"/>
          <w:u w:val="single"/>
        </w:rPr>
        <w:t xml:space="preserve">  无  </w:t>
      </w:r>
      <w:r>
        <w:rPr>
          <w:rFonts w:hint="eastAsia" w:ascii="宋体" w:cs="宋体"/>
          <w:color w:val="auto"/>
          <w:kern w:val="0"/>
          <w:szCs w:val="21"/>
          <w:highlight w:val="none"/>
        </w:rPr>
        <w:t>。</w:t>
      </w:r>
    </w:p>
    <w:p w14:paraId="2273882A">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16.1.3 因发包人违约解除合同</w:t>
      </w:r>
    </w:p>
    <w:p w14:paraId="4E0A94D1">
      <w:pPr>
        <w:autoSpaceDE w:val="0"/>
        <w:autoSpaceDN w:val="0"/>
        <w:adjustRightInd w:val="0"/>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承包人按16.1.1项〔发包人违约的情形〕约定暂停施工满</w:t>
      </w:r>
      <w:r>
        <w:rPr>
          <w:rFonts w:hint="eastAsia" w:ascii="宋体" w:cs="宋体"/>
          <w:color w:val="auto"/>
          <w:kern w:val="0"/>
          <w:szCs w:val="21"/>
          <w:highlight w:val="none"/>
          <w:u w:val="single"/>
        </w:rPr>
        <w:t xml:space="preserve">  28  </w:t>
      </w:r>
      <w:r>
        <w:rPr>
          <w:rFonts w:hint="eastAsia" w:ascii="宋体" w:cs="宋体"/>
          <w:color w:val="auto"/>
          <w:kern w:val="0"/>
          <w:szCs w:val="21"/>
          <w:highlight w:val="none"/>
        </w:rPr>
        <w:t>天后发包人仍不纠正其违约行为并致使合同目的不能实现的，承包人有权解除合同。</w:t>
      </w:r>
    </w:p>
    <w:p w14:paraId="2DFD0365">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16.2 承包人违约</w:t>
      </w:r>
    </w:p>
    <w:p w14:paraId="2356CB72">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16.2.1 承包人违约的情形</w:t>
      </w:r>
    </w:p>
    <w:p w14:paraId="590BD45A">
      <w:pPr>
        <w:snapToGrid w:val="0"/>
        <w:spacing w:line="440" w:lineRule="exact"/>
        <w:ind w:firstLine="420" w:firstLineChars="200"/>
        <w:jc w:val="left"/>
        <w:rPr>
          <w:rFonts w:hint="eastAsia" w:ascii="宋体" w:cs="宋体"/>
          <w:color w:val="auto"/>
          <w:kern w:val="0"/>
          <w:szCs w:val="21"/>
          <w:highlight w:val="none"/>
          <w:u w:val="single"/>
        </w:rPr>
      </w:pPr>
      <w:r>
        <w:rPr>
          <w:rFonts w:hint="eastAsia" w:ascii="宋体" w:cs="宋体"/>
          <w:color w:val="auto"/>
          <w:kern w:val="0"/>
          <w:szCs w:val="21"/>
          <w:highlight w:val="none"/>
        </w:rPr>
        <w:t>承包人违约的其他情形：</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u w:val="single"/>
          <w:lang w:val="en-US" w:eastAsia="zh-CN"/>
        </w:rPr>
        <w:t>/</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w:t>
      </w:r>
    </w:p>
    <w:p w14:paraId="19246357">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16.2.2承包人违约的责任</w:t>
      </w:r>
    </w:p>
    <w:p w14:paraId="407C5581">
      <w:pPr>
        <w:snapToGrid w:val="0"/>
        <w:spacing w:line="440" w:lineRule="exact"/>
        <w:ind w:firstLine="420" w:firstLineChars="200"/>
        <w:jc w:val="left"/>
        <w:rPr>
          <w:rFonts w:hint="eastAsia" w:ascii="宋体" w:cs="宋体"/>
          <w:color w:val="auto"/>
          <w:kern w:val="0"/>
          <w:szCs w:val="21"/>
          <w:highlight w:val="none"/>
          <w:u w:val="single"/>
        </w:rPr>
      </w:pPr>
      <w:r>
        <w:rPr>
          <w:rFonts w:hint="eastAsia" w:ascii="宋体" w:cs="宋体"/>
          <w:color w:val="auto"/>
          <w:kern w:val="0"/>
          <w:szCs w:val="21"/>
          <w:highlight w:val="none"/>
        </w:rPr>
        <w:t>承包人违约责任的承担方式和计算方法：</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u w:val="single"/>
          <w:lang w:val="en-US" w:eastAsia="zh-CN"/>
        </w:rPr>
        <w:t>/</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w:t>
      </w:r>
      <w:r>
        <w:rPr>
          <w:rFonts w:hint="eastAsia" w:ascii="宋体" w:cs="宋体"/>
          <w:color w:val="auto"/>
          <w:szCs w:val="21"/>
          <w:highlight w:val="none"/>
        </w:rPr>
        <w:t xml:space="preserve">    </w:t>
      </w:r>
    </w:p>
    <w:p w14:paraId="36526C89">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16.2.3 因承包人违约解除合同</w:t>
      </w:r>
    </w:p>
    <w:p w14:paraId="5B7708A5">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关于承包人违约解除合同的特别约定：</w:t>
      </w:r>
      <w:r>
        <w:rPr>
          <w:rFonts w:hint="eastAsia" w:ascii="宋体" w:cs="宋体"/>
          <w:color w:val="auto"/>
          <w:kern w:val="0"/>
          <w:szCs w:val="21"/>
          <w:highlight w:val="none"/>
          <w:u w:val="single"/>
          <w:lang w:val="en-US" w:eastAsia="zh-CN"/>
        </w:rPr>
        <w:t>/</w:t>
      </w:r>
      <w:r>
        <w:rPr>
          <w:rFonts w:hint="eastAsia" w:ascii="宋体" w:cs="宋体"/>
          <w:color w:val="auto"/>
          <w:szCs w:val="21"/>
          <w:highlight w:val="none"/>
          <w:u w:val="single"/>
        </w:rPr>
        <w:t>。</w:t>
      </w:r>
    </w:p>
    <w:p w14:paraId="18ED1F74">
      <w:pPr>
        <w:snapToGrid w:val="0"/>
        <w:spacing w:line="42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发包人继续使用承包人在施工现场的材料、设备、临时工程、承包人文件和由承包人或以其名义编制的其他文件的费用承担方式：</w:t>
      </w:r>
      <w:r>
        <w:rPr>
          <w:rFonts w:hint="eastAsia" w:ascii="宋体" w:cs="宋体"/>
          <w:color w:val="auto"/>
          <w:kern w:val="0"/>
          <w:szCs w:val="21"/>
          <w:highlight w:val="none"/>
          <w:u w:val="single"/>
        </w:rPr>
        <w:t xml:space="preserve">   发包人不承担费用   </w:t>
      </w:r>
      <w:r>
        <w:rPr>
          <w:rFonts w:hint="eastAsia" w:ascii="宋体" w:cs="宋体"/>
          <w:color w:val="auto"/>
          <w:kern w:val="0"/>
          <w:szCs w:val="21"/>
          <w:highlight w:val="none"/>
        </w:rPr>
        <w:t>。</w:t>
      </w:r>
    </w:p>
    <w:p w14:paraId="6AD4A121">
      <w:pPr>
        <w:pStyle w:val="9"/>
        <w:snapToGrid w:val="0"/>
        <w:spacing w:before="0" w:after="0" w:line="42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 xml:space="preserve">17. 不可抗力 </w:t>
      </w:r>
    </w:p>
    <w:p w14:paraId="6D1E4E0B">
      <w:pPr>
        <w:snapToGrid w:val="0"/>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17.1 不可抗力的确认</w:t>
      </w:r>
    </w:p>
    <w:p w14:paraId="7EBA4857">
      <w:pPr>
        <w:snapToGrid w:val="0"/>
        <w:spacing w:line="420" w:lineRule="exact"/>
        <w:ind w:firstLine="420" w:firstLineChars="200"/>
        <w:jc w:val="left"/>
        <w:rPr>
          <w:rFonts w:hint="eastAsia" w:ascii="宋体" w:cs="宋体"/>
          <w:color w:val="auto"/>
          <w:kern w:val="0"/>
          <w:szCs w:val="21"/>
          <w:highlight w:val="none"/>
          <w:u w:val="single"/>
        </w:rPr>
      </w:pPr>
      <w:r>
        <w:rPr>
          <w:rFonts w:hint="eastAsia" w:ascii="宋体" w:cs="宋体"/>
          <w:color w:val="auto"/>
          <w:szCs w:val="21"/>
          <w:highlight w:val="none"/>
        </w:rPr>
        <w:t>除通用合同条款约定的不可抗力事件之外，视为不可抗力的其他情形：</w:t>
      </w:r>
      <w:r>
        <w:rPr>
          <w:rFonts w:hint="eastAsia" w:ascii="宋体" w:cs="宋体"/>
          <w:color w:val="auto"/>
          <w:kern w:val="0"/>
          <w:szCs w:val="21"/>
          <w:highlight w:val="none"/>
          <w:u w:val="single"/>
        </w:rPr>
        <w:t xml:space="preserve">   </w:t>
      </w:r>
      <w:r>
        <w:rPr>
          <w:rFonts w:hint="eastAsia" w:ascii="宋体" w:cs="宋体"/>
          <w:color w:val="auto"/>
          <w:szCs w:val="21"/>
          <w:highlight w:val="none"/>
          <w:u w:val="single"/>
        </w:rPr>
        <w:t>无</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w:t>
      </w:r>
    </w:p>
    <w:p w14:paraId="67B4DBD0">
      <w:pPr>
        <w:snapToGrid w:val="0"/>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17.4 因不可抗力解除合同</w:t>
      </w:r>
    </w:p>
    <w:p w14:paraId="06969A8D">
      <w:pPr>
        <w:snapToGrid w:val="0"/>
        <w:spacing w:line="42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合同解除后，发包人应在</w:t>
      </w:r>
      <w:r>
        <w:rPr>
          <w:rFonts w:hint="eastAsia" w:ascii="宋体" w:cs="宋体"/>
          <w:color w:val="auto"/>
          <w:szCs w:val="21"/>
          <w:highlight w:val="none"/>
          <w:u w:val="single"/>
        </w:rPr>
        <w:t>发票送达一周内</w:t>
      </w:r>
      <w:r>
        <w:rPr>
          <w:rFonts w:hint="eastAsia" w:ascii="宋体" w:cs="宋体"/>
          <w:color w:val="auto"/>
          <w:szCs w:val="21"/>
          <w:highlight w:val="none"/>
        </w:rPr>
        <w:t>完成款项的支付。</w:t>
      </w:r>
    </w:p>
    <w:p w14:paraId="14FD3927">
      <w:pPr>
        <w:pStyle w:val="9"/>
        <w:snapToGrid w:val="0"/>
        <w:spacing w:before="0" w:after="0" w:line="42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18. 保险</w:t>
      </w:r>
    </w:p>
    <w:p w14:paraId="070EA78C">
      <w:pPr>
        <w:snapToGrid w:val="0"/>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18.1 工程保险</w:t>
      </w:r>
    </w:p>
    <w:p w14:paraId="44346733">
      <w:pPr>
        <w:snapToGrid w:val="0"/>
        <w:spacing w:line="420" w:lineRule="exact"/>
        <w:ind w:firstLine="420" w:firstLineChars="200"/>
        <w:rPr>
          <w:rFonts w:hint="eastAsia"/>
          <w:color w:val="auto"/>
          <w:highlight w:val="none"/>
        </w:rPr>
      </w:pPr>
      <w:r>
        <w:rPr>
          <w:rFonts w:hint="eastAsia"/>
          <w:color w:val="auto"/>
          <w:highlight w:val="none"/>
        </w:rPr>
        <w:t>关于工程保险的特别约定：</w:t>
      </w:r>
      <w:r>
        <w:rPr>
          <w:rFonts w:hint="eastAsia"/>
          <w:color w:val="auto"/>
          <w:highlight w:val="none"/>
          <w:u w:val="single"/>
        </w:rPr>
        <w:t xml:space="preserve"> 无   </w:t>
      </w:r>
      <w:r>
        <w:rPr>
          <w:rFonts w:hint="eastAsia"/>
          <w:color w:val="auto"/>
          <w:highlight w:val="none"/>
        </w:rPr>
        <w:t>。</w:t>
      </w:r>
    </w:p>
    <w:p w14:paraId="42B52B41">
      <w:pPr>
        <w:snapToGrid w:val="0"/>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18.3 其他保险</w:t>
      </w:r>
    </w:p>
    <w:p w14:paraId="41AFB948">
      <w:pPr>
        <w:snapToGrid w:val="0"/>
        <w:spacing w:line="420" w:lineRule="exact"/>
        <w:ind w:firstLine="420" w:firstLineChars="200"/>
        <w:jc w:val="left"/>
        <w:rPr>
          <w:rFonts w:hint="eastAsia" w:ascii="宋体" w:cs="宋体"/>
          <w:color w:val="auto"/>
          <w:kern w:val="0"/>
          <w:szCs w:val="21"/>
          <w:highlight w:val="none"/>
        </w:rPr>
      </w:pPr>
      <w:r>
        <w:rPr>
          <w:rFonts w:hint="eastAsia" w:ascii="宋体" w:cs="宋体"/>
          <w:color w:val="auto"/>
          <w:szCs w:val="21"/>
          <w:highlight w:val="none"/>
        </w:rPr>
        <w:t>关于其他保险的约定：</w:t>
      </w:r>
      <w:r>
        <w:rPr>
          <w:rFonts w:hint="eastAsia" w:ascii="宋体" w:cs="宋体"/>
          <w:color w:val="auto"/>
          <w:kern w:val="0"/>
          <w:szCs w:val="21"/>
          <w:highlight w:val="none"/>
          <w:u w:val="single"/>
        </w:rPr>
        <w:t xml:space="preserve"> 执行国家、省、市有关规定</w:t>
      </w:r>
    </w:p>
    <w:p w14:paraId="2D0F178B">
      <w:pPr>
        <w:snapToGrid w:val="0"/>
        <w:spacing w:line="42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承包人是否应为其施工设备等办理财产保险：</w:t>
      </w:r>
      <w:r>
        <w:rPr>
          <w:rFonts w:hint="eastAsia" w:ascii="宋体" w:cs="宋体"/>
          <w:color w:val="auto"/>
          <w:szCs w:val="21"/>
          <w:highlight w:val="none"/>
          <w:u w:val="single"/>
        </w:rPr>
        <w:t xml:space="preserve"> 承包人应为其施工设备等办理财产保险。</w:t>
      </w:r>
    </w:p>
    <w:p w14:paraId="09A158A5">
      <w:pPr>
        <w:snapToGrid w:val="0"/>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18.7 通知义务</w:t>
      </w:r>
    </w:p>
    <w:p w14:paraId="5C57493F">
      <w:pPr>
        <w:snapToGrid w:val="0"/>
        <w:spacing w:line="420" w:lineRule="exact"/>
        <w:ind w:firstLine="420" w:firstLineChars="200"/>
        <w:jc w:val="left"/>
        <w:rPr>
          <w:rFonts w:hint="eastAsia" w:ascii="宋体" w:cs="宋体"/>
          <w:color w:val="auto"/>
          <w:kern w:val="0"/>
          <w:szCs w:val="21"/>
          <w:highlight w:val="none"/>
          <w:u w:val="single"/>
        </w:rPr>
      </w:pPr>
      <w:r>
        <w:rPr>
          <w:rFonts w:hint="eastAsia" w:ascii="宋体" w:cs="宋体"/>
          <w:color w:val="auto"/>
          <w:kern w:val="0"/>
          <w:szCs w:val="21"/>
          <w:highlight w:val="none"/>
        </w:rPr>
        <w:t>关于变更保险合同时的通知义务的约定：</w:t>
      </w:r>
      <w:r>
        <w:rPr>
          <w:rFonts w:hint="eastAsia" w:ascii="宋体" w:cs="宋体"/>
          <w:color w:val="auto"/>
          <w:kern w:val="0"/>
          <w:szCs w:val="21"/>
          <w:highlight w:val="none"/>
          <w:u w:val="single"/>
        </w:rPr>
        <w:t>发包人变更除工伤保险之外的保险合同时，应事先征得承包人同意，并通知</w:t>
      </w:r>
      <w:r>
        <w:rPr>
          <w:rFonts w:hint="eastAsia" w:ascii="宋体" w:cs="宋体"/>
          <w:color w:val="auto"/>
          <w:kern w:val="0"/>
          <w:szCs w:val="21"/>
          <w:highlight w:val="none"/>
          <w:u w:val="single"/>
          <w:lang w:eastAsia="zh-CN"/>
        </w:rPr>
        <w:t>发包人</w:t>
      </w:r>
      <w:r>
        <w:rPr>
          <w:rFonts w:hint="eastAsia" w:ascii="宋体" w:cs="宋体"/>
          <w:color w:val="auto"/>
          <w:kern w:val="0"/>
          <w:szCs w:val="21"/>
          <w:highlight w:val="none"/>
          <w:u w:val="single"/>
        </w:rPr>
        <w:t>；承包人变更除工伤保险之外的保险合同时，应事先征得发包人同意，并通知</w:t>
      </w:r>
      <w:r>
        <w:rPr>
          <w:rFonts w:hint="eastAsia" w:ascii="宋体" w:cs="宋体"/>
          <w:color w:val="auto"/>
          <w:kern w:val="0"/>
          <w:szCs w:val="21"/>
          <w:highlight w:val="none"/>
          <w:u w:val="single"/>
          <w:lang w:eastAsia="zh-CN"/>
        </w:rPr>
        <w:t>发包人</w:t>
      </w:r>
      <w:r>
        <w:rPr>
          <w:rFonts w:hint="eastAsia" w:ascii="宋体" w:cs="宋体"/>
          <w:color w:val="auto"/>
          <w:kern w:val="0"/>
          <w:szCs w:val="21"/>
          <w:highlight w:val="none"/>
          <w:u w:val="single"/>
        </w:rPr>
        <w:t>。</w:t>
      </w:r>
    </w:p>
    <w:p w14:paraId="74846FD8">
      <w:pPr>
        <w:snapToGrid w:val="0"/>
        <w:spacing w:line="420" w:lineRule="exact"/>
        <w:ind w:firstLine="420" w:firstLineChars="200"/>
        <w:jc w:val="left"/>
        <w:rPr>
          <w:rFonts w:hint="eastAsia" w:ascii="宋体" w:cs="宋体"/>
          <w:color w:val="auto"/>
          <w:kern w:val="0"/>
          <w:szCs w:val="21"/>
          <w:highlight w:val="none"/>
          <w:u w:val="single"/>
        </w:rPr>
      </w:pPr>
      <w:r>
        <w:rPr>
          <w:rFonts w:hint="eastAsia" w:ascii="宋体" w:cs="宋体"/>
          <w:color w:val="auto"/>
          <w:kern w:val="0"/>
          <w:szCs w:val="21"/>
          <w:highlight w:val="none"/>
          <w:u w:val="single"/>
        </w:rPr>
        <w:t>保险事故发生时，投保人应按照保险合同规定的条件和期限及时向保险人报告。发包人和承包人应当在知道保险事故发生后及时通知对方。</w:t>
      </w:r>
    </w:p>
    <w:p w14:paraId="7BCEA6EB">
      <w:pPr>
        <w:pStyle w:val="9"/>
        <w:snapToGrid w:val="0"/>
        <w:spacing w:before="0" w:after="0" w:line="42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20. 争议解决</w:t>
      </w:r>
    </w:p>
    <w:p w14:paraId="285D1C4B">
      <w:pPr>
        <w:snapToGrid w:val="0"/>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20.3 争议评审</w:t>
      </w:r>
    </w:p>
    <w:p w14:paraId="267104C0">
      <w:pPr>
        <w:snapToGrid w:val="0"/>
        <w:spacing w:line="42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合同当事人是否同意将工程争议提交争议评审小组决定：</w:t>
      </w:r>
      <w:r>
        <w:rPr>
          <w:rFonts w:hint="eastAsia" w:ascii="宋体" w:cs="宋体"/>
          <w:color w:val="auto"/>
          <w:szCs w:val="21"/>
          <w:highlight w:val="none"/>
          <w:u w:val="single"/>
        </w:rPr>
        <w:t xml:space="preserve">  不同意   </w:t>
      </w:r>
      <w:r>
        <w:rPr>
          <w:rFonts w:hint="eastAsia" w:ascii="宋体" w:cs="宋体"/>
          <w:color w:val="auto"/>
          <w:szCs w:val="21"/>
          <w:highlight w:val="none"/>
        </w:rPr>
        <w:t xml:space="preserve">。  </w:t>
      </w:r>
    </w:p>
    <w:p w14:paraId="73D2A403">
      <w:pPr>
        <w:snapToGrid w:val="0"/>
        <w:spacing w:line="42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20.3.1 争议评审小组的确定</w:t>
      </w:r>
    </w:p>
    <w:p w14:paraId="321C3B32">
      <w:pPr>
        <w:snapToGrid w:val="0"/>
        <w:spacing w:line="42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争议评审小组成员的确定：</w:t>
      </w:r>
      <w:r>
        <w:rPr>
          <w:rFonts w:hint="eastAsia" w:ascii="宋体" w:cs="宋体"/>
          <w:color w:val="auto"/>
          <w:szCs w:val="21"/>
          <w:highlight w:val="none"/>
          <w:u w:val="single"/>
        </w:rPr>
        <w:t xml:space="preserve">  无   </w:t>
      </w:r>
      <w:r>
        <w:rPr>
          <w:rFonts w:hint="eastAsia" w:ascii="宋体" w:cs="宋体"/>
          <w:color w:val="auto"/>
          <w:szCs w:val="21"/>
          <w:highlight w:val="none"/>
        </w:rPr>
        <w:t>。</w:t>
      </w:r>
    </w:p>
    <w:p w14:paraId="3D718519">
      <w:pPr>
        <w:snapToGrid w:val="0"/>
        <w:spacing w:line="42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选定争议评审员的期限：</w:t>
      </w:r>
      <w:r>
        <w:rPr>
          <w:rFonts w:hint="eastAsia" w:ascii="宋体" w:cs="宋体"/>
          <w:color w:val="auto"/>
          <w:szCs w:val="21"/>
          <w:highlight w:val="none"/>
          <w:u w:val="single"/>
        </w:rPr>
        <w:t xml:space="preserve">  无   </w:t>
      </w:r>
      <w:r>
        <w:rPr>
          <w:rFonts w:hint="eastAsia" w:ascii="宋体" w:cs="宋体"/>
          <w:color w:val="auto"/>
          <w:szCs w:val="21"/>
          <w:highlight w:val="none"/>
        </w:rPr>
        <w:t>。</w:t>
      </w:r>
    </w:p>
    <w:p w14:paraId="63CD848C">
      <w:pPr>
        <w:snapToGrid w:val="0"/>
        <w:spacing w:line="42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争议评审小组成员的报酬承担方式：</w:t>
      </w:r>
      <w:r>
        <w:rPr>
          <w:rFonts w:hint="eastAsia" w:ascii="宋体" w:cs="宋体"/>
          <w:color w:val="auto"/>
          <w:szCs w:val="21"/>
          <w:highlight w:val="none"/>
          <w:u w:val="single"/>
        </w:rPr>
        <w:t xml:space="preserve">  无   </w:t>
      </w:r>
      <w:r>
        <w:rPr>
          <w:rFonts w:hint="eastAsia" w:ascii="宋体" w:cs="宋体"/>
          <w:color w:val="auto"/>
          <w:szCs w:val="21"/>
          <w:highlight w:val="none"/>
        </w:rPr>
        <w:t>。</w:t>
      </w:r>
    </w:p>
    <w:p w14:paraId="0DDC8274">
      <w:pPr>
        <w:snapToGrid w:val="0"/>
        <w:spacing w:line="42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其他事项的约定：</w:t>
      </w:r>
      <w:r>
        <w:rPr>
          <w:rFonts w:hint="eastAsia" w:ascii="宋体" w:cs="宋体"/>
          <w:color w:val="auto"/>
          <w:szCs w:val="21"/>
          <w:highlight w:val="none"/>
          <w:u w:val="single"/>
        </w:rPr>
        <w:t xml:space="preserve">  无   </w:t>
      </w:r>
      <w:r>
        <w:rPr>
          <w:rFonts w:hint="eastAsia" w:ascii="宋体" w:cs="宋体"/>
          <w:color w:val="auto"/>
          <w:szCs w:val="21"/>
          <w:highlight w:val="none"/>
        </w:rPr>
        <w:t>。</w:t>
      </w:r>
    </w:p>
    <w:p w14:paraId="2A400314">
      <w:pPr>
        <w:autoSpaceDE w:val="0"/>
        <w:autoSpaceDN w:val="0"/>
        <w:adjustRightInd w:val="0"/>
        <w:snapToGrid w:val="0"/>
        <w:spacing w:line="42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20.3.2 争议评审小组的决定</w:t>
      </w:r>
    </w:p>
    <w:p w14:paraId="06CDA5DE">
      <w:pPr>
        <w:snapToGrid w:val="0"/>
        <w:spacing w:line="42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合同当事人关于本项的约定：</w:t>
      </w:r>
      <w:r>
        <w:rPr>
          <w:rFonts w:hint="eastAsia" w:ascii="宋体" w:cs="宋体"/>
          <w:color w:val="auto"/>
          <w:szCs w:val="21"/>
          <w:highlight w:val="none"/>
          <w:u w:val="single"/>
        </w:rPr>
        <w:t xml:space="preserve">  无   </w:t>
      </w:r>
      <w:r>
        <w:rPr>
          <w:rFonts w:hint="eastAsia" w:ascii="宋体" w:cs="宋体"/>
          <w:color w:val="auto"/>
          <w:szCs w:val="21"/>
          <w:highlight w:val="none"/>
        </w:rPr>
        <w:t>。</w:t>
      </w:r>
    </w:p>
    <w:p w14:paraId="31BEA9A6">
      <w:pPr>
        <w:autoSpaceDE w:val="0"/>
        <w:autoSpaceDN w:val="0"/>
        <w:adjustRightInd w:val="0"/>
        <w:snapToGrid w:val="0"/>
        <w:spacing w:line="42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20.4仲裁或诉讼</w:t>
      </w:r>
    </w:p>
    <w:p w14:paraId="55F054A3">
      <w:pPr>
        <w:autoSpaceDE w:val="0"/>
        <w:autoSpaceDN w:val="0"/>
        <w:adjustRightInd w:val="0"/>
        <w:snapToGrid w:val="0"/>
        <w:spacing w:line="42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因合同及合同有关事项发生的争议，按下列第</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u w:val="single"/>
          <w:lang w:val="en-US" w:eastAsia="zh-CN"/>
        </w:rPr>
        <w:t xml:space="preserve"> 1</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种方式解决：</w:t>
      </w:r>
    </w:p>
    <w:p w14:paraId="69F64AA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20" w:lineRule="exact"/>
        <w:ind w:left="317" w:leftChars="0" w:firstLine="0" w:firstLineChars="0"/>
        <w:jc w:val="both"/>
        <w:textAlignment w:val="auto"/>
        <w:rPr>
          <w:rFonts w:hint="eastAsia" w:ascii="宋体" w:cs="宋体"/>
          <w:color w:val="auto"/>
          <w:kern w:val="0"/>
          <w:szCs w:val="21"/>
          <w:highlight w:val="none"/>
        </w:rPr>
      </w:pPr>
      <w:r>
        <w:rPr>
          <w:rFonts w:hint="eastAsia" w:ascii="宋体" w:hAnsi="Times New Roman" w:eastAsia="宋体" w:cs="宋体"/>
          <w:color w:val="auto"/>
          <w:kern w:val="0"/>
          <w:sz w:val="21"/>
          <w:szCs w:val="21"/>
          <w:highlight w:val="none"/>
          <w:lang w:val="en-US" w:eastAsia="zh-CN" w:bidi="ar-SA"/>
        </w:rPr>
        <w:t>（1）</w:t>
      </w:r>
      <w:r>
        <w:rPr>
          <w:rFonts w:hint="eastAsia" w:ascii="宋体" w:cs="宋体"/>
          <w:color w:val="auto"/>
          <w:kern w:val="0"/>
          <w:szCs w:val="21"/>
          <w:highlight w:val="none"/>
        </w:rPr>
        <w:t>向</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u w:val="single"/>
          <w:lang w:val="en-US" w:eastAsia="zh-CN"/>
        </w:rPr>
        <w:t>滁州</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仲裁委员会申请仲裁；</w:t>
      </w:r>
    </w:p>
    <w:p w14:paraId="6487881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20" w:lineRule="exact"/>
        <w:ind w:left="317" w:leftChars="0" w:firstLine="0" w:firstLineChars="0"/>
        <w:jc w:val="both"/>
        <w:textAlignment w:val="auto"/>
        <w:rPr>
          <w:rFonts w:hint="eastAsia" w:ascii="宋体" w:cs="宋体"/>
          <w:color w:val="auto"/>
          <w:kern w:val="0"/>
          <w:szCs w:val="21"/>
          <w:highlight w:val="none"/>
        </w:rPr>
      </w:pPr>
      <w:r>
        <w:rPr>
          <w:rFonts w:hint="eastAsia" w:ascii="宋体" w:hAnsi="Times New Roman" w:eastAsia="宋体" w:cs="宋体"/>
          <w:color w:val="auto"/>
          <w:kern w:val="0"/>
          <w:sz w:val="21"/>
          <w:szCs w:val="21"/>
          <w:highlight w:val="none"/>
          <w:lang w:val="en-US" w:eastAsia="zh-CN" w:bidi="ar-SA"/>
        </w:rPr>
        <w:t>（2）</w:t>
      </w:r>
      <w:r>
        <w:rPr>
          <w:rFonts w:hint="eastAsia" w:ascii="宋体" w:cs="宋体"/>
          <w:color w:val="auto"/>
          <w:kern w:val="0"/>
          <w:szCs w:val="21"/>
          <w:highlight w:val="none"/>
        </w:rPr>
        <w:t>向</w:t>
      </w:r>
      <w:r>
        <w:rPr>
          <w:rFonts w:hint="eastAsia" w:ascii="宋体" w:hAnsi="宋体" w:cs="宋体"/>
          <w:color w:val="auto"/>
          <w:szCs w:val="21"/>
          <w:highlight w:val="none"/>
          <w:u w:val="single"/>
        </w:rPr>
        <w:t>工程所在地</w:t>
      </w:r>
      <w:r>
        <w:rPr>
          <w:rFonts w:hint="eastAsia" w:ascii="宋体" w:cs="宋体"/>
          <w:color w:val="auto"/>
          <w:kern w:val="0"/>
          <w:szCs w:val="21"/>
          <w:highlight w:val="none"/>
        </w:rPr>
        <w:t>人民法院起诉</w:t>
      </w:r>
      <w:r>
        <w:rPr>
          <w:rFonts w:hint="eastAsia" w:ascii="宋体" w:cs="宋体"/>
          <w:color w:val="auto"/>
          <w:kern w:val="0"/>
          <w:szCs w:val="21"/>
          <w:highlight w:val="none"/>
          <w:lang w:eastAsia="zh-CN"/>
        </w:rPr>
        <w:t>。</w:t>
      </w:r>
    </w:p>
    <w:p w14:paraId="03C0199E">
      <w:pPr>
        <w:keepNext w:val="0"/>
        <w:keepLines w:val="0"/>
        <w:widowControl w:val="0"/>
        <w:suppressLineNumbers w:val="0"/>
        <w:snapToGrid w:val="0"/>
        <w:spacing w:before="0" w:beforeAutospacing="0" w:after="0" w:afterAutospacing="0" w:line="420" w:lineRule="exact"/>
        <w:ind w:left="0" w:right="0" w:firstLine="420" w:firstLineChars="200"/>
        <w:jc w:val="both"/>
        <w:rPr>
          <w:rFonts w:hint="eastAsia" w:ascii="宋体" w:hAnsi="Times New Roman"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21. 补充条款 </w:t>
      </w:r>
    </w:p>
    <w:p w14:paraId="5E907F07">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本补充条款是专用条款的一部分，其解释顺序优先于专用条款内的其他条款。</w:t>
      </w:r>
    </w:p>
    <w:p w14:paraId="65031C3A">
      <w:pPr>
        <w:keepNext/>
        <w:keepLines/>
        <w:widowControl w:val="0"/>
        <w:suppressLineNumbers w:val="0"/>
        <w:adjustRightInd w:val="0"/>
        <w:snapToGrid w:val="0"/>
        <w:spacing w:before="0" w:beforeAutospacing="0" w:after="0" w:afterAutospacing="0" w:line="384" w:lineRule="auto"/>
        <w:ind w:left="0" w:right="0" w:firstLine="420" w:firstLineChars="200"/>
        <w:jc w:val="both"/>
        <w:outlineLvl w:val="3"/>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21.1 人员及职责</w:t>
      </w:r>
    </w:p>
    <w:p w14:paraId="21154655">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21.1.1 发包人委派的发包人代表或监理工程师（以下简称“工程师”）无权更改合同，也无权解除发包人和承包人的义务和责任。</w:t>
      </w:r>
    </w:p>
    <w:p w14:paraId="4AEE6C33">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21.1.2 发包人代表的任何批准、检查、证书、同意、通知、建议、检验、指令和要求等不解除承包人在合同中的责任。</w:t>
      </w:r>
    </w:p>
    <w:p w14:paraId="66527711">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21.1.3 承包人只能从发包人代表或其授权代表处接受指令。</w:t>
      </w:r>
    </w:p>
    <w:p w14:paraId="1C930ADB">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21.1.4 发包人如需更换发包人代表须提前7天通知承包人。</w:t>
      </w:r>
    </w:p>
    <w:p w14:paraId="7B2A6C85">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21.1.5 投标人委任的项目经理、项目技术负责人、各专业负责人（其他主要管理人员和技术人员）及施工机械等在整个项目施工期内必须在位。</w:t>
      </w:r>
    </w:p>
    <w:p w14:paraId="5FE4988A">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承包人的项目经理离开现场的，须经发包人代表同意，并书面指定临时代表，代为行使项目经理的权力；该临时代表的一切行为，甲方均认为是项目经理的行为。</w:t>
      </w:r>
    </w:p>
    <w:p w14:paraId="43691983">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21.1.6 承包人提交发包人的任何文件，发包人都认为该文件已经承包人内部程序批准；承包人提交的文件发生修改的，应及时将最新版本提交发包人代表。</w:t>
      </w:r>
    </w:p>
    <w:p w14:paraId="0F94DE24">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21.1.7 承包人应始终采取一切合理防范措施来避免在项目人员内部发生违法、动乱或妨碍治安的行为，保持项目的安定；并保护好现场和周围的人员和财产安全。</w:t>
      </w:r>
    </w:p>
    <w:p w14:paraId="1E3E0F11">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21.1.8 承包人雇佣职员或工人应遵守相关法律法规的规定。</w:t>
      </w:r>
    </w:p>
    <w:p w14:paraId="374B7734">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21.1.9 参与本项目的承包人代表或其雇员不遵守合同规定或一贯行为不轨或或不能胜任工作或危害安全，发包人代表有权要求更换；原人选未经发包人许可不得再进入本项目（包括项目经理在内）。</w:t>
      </w:r>
    </w:p>
    <w:p w14:paraId="205DD4A0">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21.1.10 承包人更换项目经理的，须提前14天通知发包人，并征得发包人同意；该行为视为违约，承包人须支付发包人</w:t>
      </w:r>
      <w:r>
        <w:rPr>
          <w:rFonts w:hint="eastAsia" w:ascii="宋体" w:hAnsi="宋体" w:eastAsia="宋体" w:cs="宋体"/>
          <w:color w:val="auto"/>
          <w:kern w:val="2"/>
          <w:sz w:val="21"/>
          <w:szCs w:val="21"/>
          <w:highlight w:val="none"/>
          <w:u w:val="single"/>
          <w:lang w:val="en-US" w:eastAsia="zh-CN" w:bidi="ar"/>
        </w:rPr>
        <w:t xml:space="preserve"> 10  </w:t>
      </w:r>
      <w:r>
        <w:rPr>
          <w:rFonts w:hint="eastAsia" w:ascii="宋体" w:hAnsi="宋体" w:eastAsia="宋体" w:cs="宋体"/>
          <w:color w:val="auto"/>
          <w:kern w:val="2"/>
          <w:sz w:val="21"/>
          <w:szCs w:val="21"/>
          <w:highlight w:val="none"/>
          <w:lang w:val="en-US" w:eastAsia="zh-CN" w:bidi="ar"/>
        </w:rPr>
        <w:t>万元违约金。更换后的项目经理资历、水平不得降低。</w:t>
      </w:r>
    </w:p>
    <w:p w14:paraId="10C47BC4">
      <w:pPr>
        <w:keepNext/>
        <w:keepLines/>
        <w:widowControl w:val="0"/>
        <w:suppressLineNumbers w:val="0"/>
        <w:adjustRightInd w:val="0"/>
        <w:snapToGrid w:val="0"/>
        <w:spacing w:before="0" w:beforeAutospacing="0" w:after="0" w:afterAutospacing="0" w:line="384" w:lineRule="auto"/>
        <w:ind w:left="0" w:right="0" w:firstLine="420" w:firstLineChars="200"/>
        <w:jc w:val="both"/>
        <w:outlineLvl w:val="3"/>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21.2 变更与调整</w:t>
      </w:r>
    </w:p>
    <w:p w14:paraId="6F76C020">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21.2.1 在工程移交前，发包人代表有权签发变更指令，承包人应按照指令来实施变更，并进行工期和费用的估算，提交发包人代表。</w:t>
      </w:r>
    </w:p>
    <w:p w14:paraId="578759A3">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21.2.2 发包人代表收到承包人的估算后，可以决定撤销、修改或确认实施该项变更。</w:t>
      </w:r>
    </w:p>
    <w:p w14:paraId="3BF75D27">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21.2.3 如果承包人认为自己的建议能缩短工期、降低工程实施或运营成本，或对业主产生其他利益，可以向发包人代表提交建议书；建议书的编制费用自理。</w:t>
      </w:r>
    </w:p>
    <w:p w14:paraId="7DAD82C0">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21.2.4 如果发包人采纳承包人的建议节省了工程费用，将给予承包人节约费用适当比例的奖励。</w:t>
      </w:r>
    </w:p>
    <w:p w14:paraId="5C8FA9D3">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21.2.5 上一款中节省费用的计算方法为：降低的合同额度减去因变更而引起在工程质量、寿命、以及运营效率等方面为发包人带来的潜在损失。</w:t>
      </w:r>
    </w:p>
    <w:p w14:paraId="5840DFFA">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21.2.6 任何变更指令都应由发包人代表签发给承包人，承包人收到后应回函说明；涉及到费用调整的，按照相关条款执行。</w:t>
      </w:r>
    </w:p>
    <w:p w14:paraId="5D9C3D7A">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21.2.7 设计文件示意内容的尺寸做法、要求等标注有错误、有遗漏，或理解不一致，发包人或其委托的勘查设计单位根据工程施工需要而对其进行更正和补充的，称为技术核定；技术核定不调整合同价款，也不调整工期。</w:t>
      </w:r>
    </w:p>
    <w:p w14:paraId="5043EDBF">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21.2.8 未经发包人代表批准，承包人不得对工程进行任何变更。</w:t>
      </w:r>
    </w:p>
    <w:p w14:paraId="724D99C7">
      <w:pPr>
        <w:keepNext/>
        <w:keepLines/>
        <w:widowControl w:val="0"/>
        <w:suppressLineNumbers w:val="0"/>
        <w:adjustRightInd w:val="0"/>
        <w:snapToGrid w:val="0"/>
        <w:spacing w:before="0" w:beforeAutospacing="0" w:after="0" w:afterAutospacing="0" w:line="384" w:lineRule="auto"/>
        <w:ind w:left="0" w:right="0" w:firstLine="420" w:firstLineChars="200"/>
        <w:jc w:val="both"/>
        <w:outlineLvl w:val="3"/>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21.3 分包与配合</w:t>
      </w:r>
    </w:p>
    <w:p w14:paraId="5EAD00B2">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21.3.1 承包人进行工程分包的，应遵守通用条款相关规定，发包人视其为承包人自行施工的工程；发包人代表对分包的同意或批准并不解除承包人的任何责任，也不代表发包人对此承担任何责任。</w:t>
      </w:r>
    </w:p>
    <w:p w14:paraId="20FF0BDA">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xml:space="preserve">21.3.2 发包人分包的专业工程范围如下： </w:t>
      </w:r>
    </w:p>
    <w:p w14:paraId="49D3ED47">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DA66FF7">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66A3695">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21.3.3 发包人通过招标方式选择专业工程分包施工单位，承包人参与分包工程的招标，认可招标结果，并作为总包单位与分包工程的中标人（以下简称“分包人”）签订工程分包施工合同。</w:t>
      </w:r>
    </w:p>
    <w:p w14:paraId="111588F8">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21.3.4 发包人支付给承包人专业分包工程合同价款（不含设备价格）的</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%作为总承包服务配合费用，承包人不得向分包人收取其他费用；该项费用包括但不限于以下内容：</w:t>
      </w:r>
    </w:p>
    <w:p w14:paraId="6AF78535">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（1）乙方承担总包责任所发生的费用。</w:t>
      </w:r>
    </w:p>
    <w:p w14:paraId="0929D25A">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（2）“分包工程”施工完毕、土建工程的收尾和修复以及使用承包人的施工所用水电管线等费用（水电费用装表计量，按照实际用量结算）。</w:t>
      </w:r>
    </w:p>
    <w:p w14:paraId="2A456E17">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（3）分包人使用承包人现场临时工程及在用的脚手架、塔吊、施工电梯等费用。</w:t>
      </w:r>
    </w:p>
    <w:p w14:paraId="2C2242C6">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（4）分包人使用工程的施工道路，到总包单位搭伙，使用总包单位的卫生间等。</w:t>
      </w:r>
    </w:p>
    <w:p w14:paraId="1DD49752">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（5）门窗洞口、安装工程管道口、楼地面墙面凿洞、槽等的后塞及修补等，以及整个工程的安全保卫等。</w:t>
      </w:r>
    </w:p>
    <w:p w14:paraId="58861DDB">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（6）为分包人提供标高、轴线、定位，隐蔽工程指引等。</w:t>
      </w:r>
    </w:p>
    <w:p w14:paraId="5B15486C">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（7）分包人的工程资料收集整理和移交；工程质量的检验和验收。</w:t>
      </w:r>
    </w:p>
    <w:p w14:paraId="32F453CC">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（8）保证分包工程在施工期间有足够的工作面，保证其按时开工和连续施工，并承担因乙方原因使分包工程不能按时开工和配合不及时造成的工期延误责任。</w:t>
      </w:r>
    </w:p>
    <w:p w14:paraId="2EBEEEC4">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21.3.5 配合工程：是指某一位于施工现场内或现场外的工程，并非由承包人施工或总包，但与承包人的工程有一定联系，需要承包人配合的工程；配合工程如下：</w:t>
      </w:r>
    </w:p>
    <w:p w14:paraId="22E63EEF">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u w:val="single"/>
          <w:lang w:val="en-US" w:eastAsia="zh-CN" w:bidi="ar"/>
        </w:rPr>
        <w:t xml:space="preserve">                                     </w:t>
      </w:r>
    </w:p>
    <w:p w14:paraId="2E65C254">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u w:val="single"/>
          <w:lang w:val="en-US" w:eastAsia="zh-CN" w:bidi="ar"/>
        </w:rPr>
        <w:t xml:space="preserve">                                     </w:t>
      </w:r>
    </w:p>
    <w:p w14:paraId="64347D29">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21.3.6 对于配合工程，承包人除不需要承办总包责任外，其他责任和义务同分包工程；发包人给予承包人</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万元作为承包人承担配合工作的配合费用。</w:t>
      </w:r>
    </w:p>
    <w:p w14:paraId="5AC628D2">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21.3.7 凡在与已交工工程有关联的部位施工时，必须提前向甲方提出书面联系单，经甲方同意，并签字后方可施工。</w:t>
      </w:r>
    </w:p>
    <w:p w14:paraId="60833C69">
      <w:pPr>
        <w:keepNext/>
        <w:keepLines/>
        <w:widowControl w:val="0"/>
        <w:suppressLineNumbers w:val="0"/>
        <w:adjustRightInd w:val="0"/>
        <w:snapToGrid w:val="0"/>
        <w:spacing w:before="0" w:beforeAutospacing="0" w:after="0" w:afterAutospacing="0" w:line="384" w:lineRule="auto"/>
        <w:ind w:left="0" w:right="0" w:firstLine="420" w:firstLineChars="200"/>
        <w:jc w:val="both"/>
        <w:outlineLvl w:val="3"/>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21.4 结算</w:t>
      </w:r>
    </w:p>
    <w:p w14:paraId="33F66A91">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21.4.1 承包人的投标报价（合同价款）是承包人基于业主提供的资料和现场数据及承包人的解释和现场考察计算出来的，覆盖了完成合同义务所包括的一切工作，不得以漏项或考虑不周提出索赔。</w:t>
      </w:r>
    </w:p>
    <w:p w14:paraId="3DF5DDFC">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21.4.2 水电费的结算：</w:t>
      </w:r>
    </w:p>
    <w:p w14:paraId="573B6276">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（1）发包人在现场安装计量装置，承包人负责施工期间的保护，并在工程移交的同时完好地移交给发包人。</w:t>
      </w:r>
    </w:p>
    <w:p w14:paraId="3B08BEAB">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（2）承包人投标报价已经包含水电费用，工程结算时按照发包人实际缴纳的水电费在结算价（税前）中扣除。</w:t>
      </w:r>
    </w:p>
    <w:p w14:paraId="4126A5B7">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（3）因承包人保护不善造成计量装置损坏，承包人负责修复，并承担由此造成的增加费用（包括修复费用和水电损失费用以及可能发生的罚款或其他费用）。</w:t>
      </w:r>
    </w:p>
    <w:p w14:paraId="18168A88">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u w:val="single" w:color="FFFFFF"/>
        </w:rPr>
      </w:pPr>
      <w:r>
        <w:rPr>
          <w:rFonts w:hint="eastAsia" w:ascii="宋体" w:hAnsi="宋体" w:eastAsia="宋体" w:cs="宋体"/>
          <w:color w:val="auto"/>
          <w:kern w:val="0"/>
          <w:sz w:val="21"/>
          <w:szCs w:val="21"/>
          <w:highlight w:val="none"/>
          <w:u w:val="single" w:color="FFFFFF"/>
          <w:lang w:val="en-US" w:eastAsia="zh-CN" w:bidi="ar"/>
        </w:rPr>
        <w:t>21.4.3 发包人供应材料设备的结算：材料按照总价的</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color="FFFFFF"/>
          <w:lang w:val="en-US" w:eastAsia="zh-CN" w:bidi="ar"/>
        </w:rPr>
        <w:t xml:space="preserve"> %计取保管费（材料数量最多不超过设计文件的用量（可以计算定额损耗））；设备按照总价的 </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color="FFFFFF"/>
          <w:lang w:val="en-US" w:eastAsia="zh-CN" w:bidi="ar"/>
        </w:rPr>
        <w:t xml:space="preserve"> %计取保管费；此费用仅计取税金。</w:t>
      </w:r>
    </w:p>
    <w:p w14:paraId="00348757">
      <w:pPr>
        <w:keepNext w:val="0"/>
        <w:keepLines w:val="0"/>
        <w:widowControl w:val="0"/>
        <w:suppressLineNumbers w:val="0"/>
        <w:adjustRightInd w:val="0"/>
        <w:snapToGrid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21.5本合同文本未尽事宜，由合同签定双方在发生时具体商定。</w:t>
      </w:r>
    </w:p>
    <w:p w14:paraId="47951595">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7C21BEA8">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  (公章)                           承包人：  (公章)</w:t>
      </w:r>
    </w:p>
    <w:p w14:paraId="3B3B963B">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法定代表人或其委托代理人：                 法定代表人或其委托代理人：</w:t>
      </w:r>
    </w:p>
    <w:p w14:paraId="48D10C38">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（签字）                                  （签字）</w:t>
      </w:r>
    </w:p>
    <w:p w14:paraId="2F498A2F">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组织机构代码：</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组织机构代码：</w:t>
      </w:r>
      <w:r>
        <w:rPr>
          <w:rFonts w:hint="eastAsia" w:ascii="宋体" w:hAnsi="宋体" w:eastAsia="宋体" w:cs="宋体"/>
          <w:color w:val="auto"/>
          <w:kern w:val="2"/>
          <w:sz w:val="21"/>
          <w:szCs w:val="21"/>
          <w:highlight w:val="none"/>
          <w:u w:val="single"/>
          <w:lang w:val="en-US" w:eastAsia="zh-CN" w:bidi="ar"/>
        </w:rPr>
        <w:t xml:space="preserve">          </w:t>
      </w:r>
    </w:p>
    <w:p w14:paraId="39AAC782">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地  址：</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地  址：</w:t>
      </w:r>
      <w:r>
        <w:rPr>
          <w:rFonts w:hint="eastAsia" w:ascii="宋体" w:hAnsi="宋体" w:eastAsia="宋体" w:cs="宋体"/>
          <w:color w:val="auto"/>
          <w:kern w:val="2"/>
          <w:sz w:val="21"/>
          <w:szCs w:val="21"/>
          <w:highlight w:val="none"/>
          <w:u w:val="single"/>
          <w:lang w:val="en-US" w:eastAsia="zh-CN" w:bidi="ar"/>
        </w:rPr>
        <w:t xml:space="preserve">                  </w:t>
      </w:r>
    </w:p>
    <w:p w14:paraId="2C3C9F7A">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邮政编码：</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邮政编码：</w:t>
      </w:r>
      <w:r>
        <w:rPr>
          <w:rFonts w:hint="eastAsia" w:ascii="宋体" w:hAnsi="宋体" w:eastAsia="宋体" w:cs="宋体"/>
          <w:color w:val="auto"/>
          <w:kern w:val="2"/>
          <w:sz w:val="21"/>
          <w:szCs w:val="21"/>
          <w:highlight w:val="none"/>
          <w:u w:val="single"/>
          <w:lang w:val="en-US" w:eastAsia="zh-CN" w:bidi="ar"/>
        </w:rPr>
        <w:t xml:space="preserve">                   </w:t>
      </w:r>
    </w:p>
    <w:p w14:paraId="792E3593">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法定代表人：</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 xml:space="preserve">                法定代表人：</w:t>
      </w:r>
      <w:r>
        <w:rPr>
          <w:rFonts w:hint="eastAsia" w:ascii="宋体" w:hAnsi="宋体" w:eastAsia="宋体" w:cs="宋体"/>
          <w:color w:val="auto"/>
          <w:kern w:val="2"/>
          <w:sz w:val="21"/>
          <w:szCs w:val="21"/>
          <w:highlight w:val="none"/>
          <w:u w:val="single"/>
          <w:lang w:val="en-US" w:eastAsia="zh-CN" w:bidi="ar"/>
        </w:rPr>
        <w:t xml:space="preserve">            </w:t>
      </w:r>
    </w:p>
    <w:p w14:paraId="7E0B1CEB">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委托代理人：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委托代理人：</w:t>
      </w:r>
      <w:r>
        <w:rPr>
          <w:rFonts w:hint="eastAsia" w:ascii="宋体" w:hAnsi="宋体" w:eastAsia="宋体" w:cs="宋体"/>
          <w:color w:val="auto"/>
          <w:kern w:val="2"/>
          <w:sz w:val="21"/>
          <w:szCs w:val="21"/>
          <w:highlight w:val="none"/>
          <w:u w:val="single"/>
          <w:lang w:val="en-US" w:eastAsia="zh-CN" w:bidi="ar"/>
        </w:rPr>
        <w:t xml:space="preserve">                </w:t>
      </w:r>
    </w:p>
    <w:p w14:paraId="4C7397EE">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  话：</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电  话：</w:t>
      </w:r>
      <w:r>
        <w:rPr>
          <w:rFonts w:hint="eastAsia" w:ascii="宋体" w:hAnsi="宋体" w:eastAsia="宋体" w:cs="宋体"/>
          <w:color w:val="auto"/>
          <w:kern w:val="2"/>
          <w:sz w:val="21"/>
          <w:szCs w:val="21"/>
          <w:highlight w:val="none"/>
          <w:u w:val="single"/>
          <w:lang w:val="en-US" w:eastAsia="zh-CN" w:bidi="ar"/>
        </w:rPr>
        <w:t xml:space="preserve">                     </w:t>
      </w:r>
    </w:p>
    <w:p w14:paraId="2C5D955A">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传  真：</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传  真：</w:t>
      </w:r>
      <w:r>
        <w:rPr>
          <w:rFonts w:hint="eastAsia" w:ascii="宋体" w:hAnsi="宋体" w:eastAsia="宋体" w:cs="宋体"/>
          <w:color w:val="auto"/>
          <w:kern w:val="2"/>
          <w:sz w:val="21"/>
          <w:szCs w:val="21"/>
          <w:highlight w:val="none"/>
          <w:u w:val="single"/>
          <w:lang w:val="en-US" w:eastAsia="zh-CN" w:bidi="ar"/>
        </w:rPr>
        <w:t xml:space="preserve">                   </w:t>
      </w:r>
    </w:p>
    <w:p w14:paraId="7AA1A21C">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电子信箱：</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电子信箱：</w:t>
      </w:r>
      <w:r>
        <w:rPr>
          <w:rFonts w:hint="eastAsia" w:ascii="宋体" w:hAnsi="宋体" w:eastAsia="宋体" w:cs="宋体"/>
          <w:color w:val="auto"/>
          <w:kern w:val="2"/>
          <w:sz w:val="21"/>
          <w:szCs w:val="21"/>
          <w:highlight w:val="none"/>
          <w:u w:val="single"/>
          <w:lang w:val="en-US" w:eastAsia="zh-CN" w:bidi="ar"/>
        </w:rPr>
        <w:t xml:space="preserve">                   </w:t>
      </w:r>
    </w:p>
    <w:p w14:paraId="34FDC5C9">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开户银行：</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开户银行：</w:t>
      </w:r>
      <w:r>
        <w:rPr>
          <w:rFonts w:hint="eastAsia" w:ascii="宋体" w:hAnsi="宋体" w:eastAsia="宋体" w:cs="宋体"/>
          <w:color w:val="auto"/>
          <w:kern w:val="2"/>
          <w:sz w:val="21"/>
          <w:szCs w:val="21"/>
          <w:highlight w:val="none"/>
          <w:u w:val="single"/>
          <w:lang w:val="en-US" w:eastAsia="zh-CN" w:bidi="ar"/>
        </w:rPr>
        <w:t xml:space="preserve">                   </w:t>
      </w:r>
    </w:p>
    <w:p w14:paraId="15DD917A">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账  号：</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 xml:space="preserve">                账  号：</w:t>
      </w:r>
      <w:r>
        <w:rPr>
          <w:rFonts w:hint="eastAsia" w:ascii="宋体" w:hAnsi="宋体" w:eastAsia="宋体" w:cs="宋体"/>
          <w:color w:val="auto"/>
          <w:kern w:val="2"/>
          <w:sz w:val="21"/>
          <w:szCs w:val="21"/>
          <w:highlight w:val="none"/>
          <w:u w:val="single"/>
          <w:lang w:val="en-US" w:eastAsia="zh-CN" w:bidi="ar"/>
        </w:rPr>
        <w:t xml:space="preserve">                     </w:t>
      </w:r>
    </w:p>
    <w:p w14:paraId="3E4ECB2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20" w:lineRule="exact"/>
        <w:ind w:left="317" w:leftChars="0" w:firstLine="0" w:firstLineChars="0"/>
        <w:jc w:val="both"/>
        <w:textAlignment w:val="auto"/>
        <w:rPr>
          <w:rFonts w:hint="eastAsia" w:ascii="宋体" w:cs="宋体"/>
          <w:color w:val="auto"/>
          <w:kern w:val="0"/>
          <w:szCs w:val="21"/>
          <w:highlight w:val="none"/>
        </w:rPr>
      </w:pPr>
    </w:p>
    <w:bookmarkEnd w:id="865"/>
    <w:bookmarkEnd w:id="866"/>
    <w:bookmarkEnd w:id="867"/>
    <w:bookmarkEnd w:id="868"/>
    <w:bookmarkEnd w:id="899"/>
    <w:bookmarkEnd w:id="900"/>
    <w:p w14:paraId="63C48556">
      <w:pPr>
        <w:rPr>
          <w:rFonts w:hint="eastAsia" w:ascii="宋体" w:hAnsi="宋体" w:cs="宋体"/>
          <w:bCs/>
          <w:color w:val="auto"/>
          <w:sz w:val="24"/>
          <w:highlight w:val="none"/>
        </w:rPr>
      </w:pPr>
      <w:bookmarkStart w:id="901" w:name="_Toc95223487"/>
      <w:bookmarkStart w:id="902" w:name="_Toc247085872"/>
      <w:bookmarkStart w:id="903" w:name="_Toc246996354"/>
      <w:bookmarkStart w:id="904" w:name="_Toc506107340"/>
      <w:bookmarkStart w:id="905" w:name="_Toc144974855"/>
      <w:bookmarkStart w:id="906" w:name="_Toc35424970"/>
      <w:bookmarkStart w:id="907" w:name="_Toc35425136"/>
      <w:bookmarkStart w:id="908" w:name="_Toc152042575"/>
      <w:bookmarkStart w:id="909" w:name="_Toc179632806"/>
      <w:bookmarkStart w:id="910" w:name="_Toc15058934"/>
      <w:bookmarkStart w:id="911" w:name="_Toc324404888"/>
      <w:bookmarkStart w:id="912" w:name="_Toc246997097"/>
      <w:bookmarkStart w:id="913" w:name="_Toc152045786"/>
      <w:bookmarkStart w:id="914" w:name="_Toc78803398"/>
      <w:r>
        <w:rPr>
          <w:rFonts w:hint="eastAsia" w:ascii="宋体" w:hAnsi="宋体" w:cs="宋体"/>
          <w:bCs/>
          <w:color w:val="auto"/>
          <w:sz w:val="24"/>
          <w:highlight w:val="none"/>
        </w:rPr>
        <w:br w:type="page"/>
      </w:r>
    </w:p>
    <w:p w14:paraId="689253E7">
      <w:pPr>
        <w:keepNext/>
        <w:keepLines/>
        <w:spacing w:before="120" w:after="120" w:line="360" w:lineRule="auto"/>
        <w:jc w:val="left"/>
        <w:outlineLvl w:val="2"/>
        <w:rPr>
          <w:rFonts w:hint="eastAsia" w:ascii="宋体" w:hAnsi="宋体" w:cs="宋体"/>
          <w:bCs/>
          <w:color w:val="auto"/>
          <w:sz w:val="24"/>
          <w:highlight w:val="none"/>
        </w:rPr>
      </w:pPr>
      <w:r>
        <w:rPr>
          <w:rFonts w:hint="eastAsia" w:ascii="宋体" w:hAnsi="宋体" w:cs="宋体"/>
          <w:bCs/>
          <w:color w:val="auto"/>
          <w:sz w:val="24"/>
          <w:highlight w:val="none"/>
        </w:rPr>
        <w:t>附</w:t>
      </w:r>
      <w:bookmarkStart w:id="915" w:name="_Toc296503225"/>
      <w:bookmarkStart w:id="916" w:name="_Toc296944564"/>
      <w:bookmarkStart w:id="917" w:name="_Toc296347224"/>
      <w:bookmarkStart w:id="918" w:name="_Toc296891265"/>
      <w:bookmarkStart w:id="919" w:name="_Toc296891053"/>
      <w:bookmarkStart w:id="920" w:name="_Toc296346726"/>
      <w:bookmarkStart w:id="921" w:name="_Toc267261692"/>
      <w:r>
        <w:rPr>
          <w:rFonts w:hint="eastAsia" w:ascii="宋体" w:hAnsi="宋体" w:cs="宋体"/>
          <w:bCs/>
          <w:color w:val="auto"/>
          <w:sz w:val="24"/>
          <w:highlight w:val="none"/>
        </w:rPr>
        <w:t>件</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：发包人供应材料设备一览表</w:t>
      </w:r>
      <w:bookmarkEnd w:id="901"/>
    </w:p>
    <w:bookmarkEnd w:id="915"/>
    <w:bookmarkEnd w:id="916"/>
    <w:bookmarkEnd w:id="917"/>
    <w:bookmarkEnd w:id="918"/>
    <w:bookmarkEnd w:id="919"/>
    <w:bookmarkEnd w:id="920"/>
    <w:bookmarkEnd w:id="921"/>
    <w:p w14:paraId="5B0B9FEF">
      <w:pPr>
        <w:spacing w:line="360" w:lineRule="auto"/>
        <w:jc w:val="center"/>
        <w:rPr>
          <w:rFonts w:hint="eastAsia" w:ascii="宋体" w:hAnsi="宋体" w:cs="宋体"/>
          <w:color w:val="auto"/>
          <w:sz w:val="22"/>
          <w:szCs w:val="21"/>
          <w:highlight w:val="none"/>
        </w:rPr>
      </w:pPr>
      <w:r>
        <w:rPr>
          <w:rFonts w:hint="eastAsia" w:ascii="宋体" w:hAnsi="宋体" w:cs="宋体"/>
          <w:color w:val="auto"/>
          <w:sz w:val="22"/>
          <w:szCs w:val="21"/>
          <w:highlight w:val="none"/>
        </w:rPr>
        <w:t>发包人供应材料设备一览表</w:t>
      </w:r>
    </w:p>
    <w:tbl>
      <w:tblPr>
        <w:tblStyle w:val="46"/>
        <w:tblW w:w="965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082"/>
        <w:gridCol w:w="940"/>
        <w:gridCol w:w="851"/>
        <w:gridCol w:w="1044"/>
        <w:gridCol w:w="992"/>
        <w:gridCol w:w="851"/>
        <w:gridCol w:w="966"/>
        <w:gridCol w:w="803"/>
      </w:tblGrid>
      <w:tr w14:paraId="4270CE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51" w:type="dxa"/>
            <w:tcBorders>
              <w:top w:val="single" w:color="auto" w:sz="12" w:space="0"/>
              <w:bottom w:val="double" w:color="auto" w:sz="6" w:space="0"/>
            </w:tcBorders>
            <w:noWrap w:val="0"/>
            <w:vAlign w:val="center"/>
          </w:tcPr>
          <w:p w14:paraId="664CA2C8">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r>
              <w:rPr>
                <w:rFonts w:hint="eastAsia" w:ascii="宋体" w:hAnsi="宋体" w:cs="宋体"/>
                <w:color w:val="auto"/>
                <w:sz w:val="22"/>
                <w:szCs w:val="21"/>
                <w:highlight w:val="none"/>
              </w:rPr>
              <w:t>序号</w:t>
            </w:r>
          </w:p>
        </w:tc>
        <w:tc>
          <w:tcPr>
            <w:tcW w:w="1276" w:type="dxa"/>
            <w:tcBorders>
              <w:top w:val="single" w:color="auto" w:sz="12" w:space="0"/>
              <w:bottom w:val="double" w:color="auto" w:sz="6" w:space="0"/>
            </w:tcBorders>
            <w:noWrap w:val="0"/>
            <w:vAlign w:val="center"/>
          </w:tcPr>
          <w:p w14:paraId="46C66B54">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r>
              <w:rPr>
                <w:rFonts w:hint="eastAsia" w:ascii="宋体" w:hAnsi="宋体" w:cs="宋体"/>
                <w:color w:val="auto"/>
                <w:sz w:val="22"/>
                <w:szCs w:val="21"/>
                <w:highlight w:val="none"/>
              </w:rPr>
              <w:t>材料、设备品种</w:t>
            </w:r>
          </w:p>
        </w:tc>
        <w:tc>
          <w:tcPr>
            <w:tcW w:w="1082" w:type="dxa"/>
            <w:tcBorders>
              <w:top w:val="single" w:color="auto" w:sz="12" w:space="0"/>
              <w:bottom w:val="double" w:color="auto" w:sz="6" w:space="0"/>
            </w:tcBorders>
            <w:noWrap w:val="0"/>
            <w:vAlign w:val="center"/>
          </w:tcPr>
          <w:p w14:paraId="6545F392">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r>
              <w:rPr>
                <w:rFonts w:hint="eastAsia" w:ascii="宋体" w:hAnsi="宋体" w:cs="宋体"/>
                <w:color w:val="auto"/>
                <w:sz w:val="22"/>
                <w:szCs w:val="21"/>
                <w:highlight w:val="none"/>
              </w:rPr>
              <w:t>规格型号</w:t>
            </w:r>
          </w:p>
        </w:tc>
        <w:tc>
          <w:tcPr>
            <w:tcW w:w="940" w:type="dxa"/>
            <w:tcBorders>
              <w:top w:val="single" w:color="auto" w:sz="12" w:space="0"/>
              <w:bottom w:val="double" w:color="auto" w:sz="6" w:space="0"/>
            </w:tcBorders>
            <w:noWrap w:val="0"/>
            <w:vAlign w:val="center"/>
          </w:tcPr>
          <w:p w14:paraId="59C161AD">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r>
              <w:rPr>
                <w:rFonts w:hint="eastAsia" w:ascii="宋体" w:hAnsi="宋体" w:cs="宋体"/>
                <w:color w:val="auto"/>
                <w:sz w:val="22"/>
                <w:szCs w:val="21"/>
                <w:highlight w:val="none"/>
              </w:rPr>
              <w:t>单位</w:t>
            </w:r>
          </w:p>
        </w:tc>
        <w:tc>
          <w:tcPr>
            <w:tcW w:w="851" w:type="dxa"/>
            <w:tcBorders>
              <w:top w:val="single" w:color="auto" w:sz="12" w:space="0"/>
              <w:bottom w:val="double" w:color="auto" w:sz="6" w:space="0"/>
            </w:tcBorders>
            <w:noWrap w:val="0"/>
            <w:vAlign w:val="center"/>
          </w:tcPr>
          <w:p w14:paraId="0BA9B8F6">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r>
              <w:rPr>
                <w:rFonts w:hint="eastAsia" w:ascii="宋体" w:hAnsi="宋体" w:cs="宋体"/>
                <w:color w:val="auto"/>
                <w:sz w:val="22"/>
                <w:szCs w:val="21"/>
                <w:highlight w:val="none"/>
              </w:rPr>
              <w:t>数量</w:t>
            </w:r>
          </w:p>
        </w:tc>
        <w:tc>
          <w:tcPr>
            <w:tcW w:w="1044" w:type="dxa"/>
            <w:tcBorders>
              <w:top w:val="single" w:color="auto" w:sz="12" w:space="0"/>
              <w:bottom w:val="double" w:color="auto" w:sz="6" w:space="0"/>
            </w:tcBorders>
            <w:noWrap w:val="0"/>
            <w:vAlign w:val="center"/>
          </w:tcPr>
          <w:p w14:paraId="68B054E2">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r>
              <w:rPr>
                <w:rFonts w:hint="eastAsia" w:ascii="宋体" w:hAnsi="宋体" w:cs="宋体"/>
                <w:color w:val="auto"/>
                <w:sz w:val="22"/>
                <w:szCs w:val="21"/>
                <w:highlight w:val="none"/>
              </w:rPr>
              <w:t>单价（元）</w:t>
            </w:r>
          </w:p>
        </w:tc>
        <w:tc>
          <w:tcPr>
            <w:tcW w:w="992" w:type="dxa"/>
            <w:tcBorders>
              <w:top w:val="single" w:color="auto" w:sz="12" w:space="0"/>
              <w:bottom w:val="double" w:color="auto" w:sz="6" w:space="0"/>
            </w:tcBorders>
            <w:noWrap w:val="0"/>
            <w:vAlign w:val="center"/>
          </w:tcPr>
          <w:p w14:paraId="6A381AE1">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r>
              <w:rPr>
                <w:rFonts w:hint="eastAsia" w:ascii="宋体" w:hAnsi="宋体" w:cs="宋体"/>
                <w:color w:val="auto"/>
                <w:sz w:val="22"/>
                <w:szCs w:val="21"/>
                <w:highlight w:val="none"/>
              </w:rPr>
              <w:t>质量等级</w:t>
            </w:r>
          </w:p>
        </w:tc>
        <w:tc>
          <w:tcPr>
            <w:tcW w:w="851" w:type="dxa"/>
            <w:tcBorders>
              <w:top w:val="single" w:color="auto" w:sz="12" w:space="0"/>
              <w:bottom w:val="double" w:color="auto" w:sz="6" w:space="0"/>
            </w:tcBorders>
            <w:noWrap w:val="0"/>
            <w:vAlign w:val="center"/>
          </w:tcPr>
          <w:p w14:paraId="783F313C">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r>
              <w:rPr>
                <w:rFonts w:hint="eastAsia" w:ascii="宋体" w:hAnsi="宋体" w:cs="宋体"/>
                <w:color w:val="auto"/>
                <w:sz w:val="22"/>
                <w:szCs w:val="21"/>
                <w:highlight w:val="none"/>
              </w:rPr>
              <w:t>供应时间</w:t>
            </w:r>
          </w:p>
        </w:tc>
        <w:tc>
          <w:tcPr>
            <w:tcW w:w="966" w:type="dxa"/>
            <w:tcBorders>
              <w:top w:val="single" w:color="auto" w:sz="12" w:space="0"/>
              <w:bottom w:val="double" w:color="auto" w:sz="6" w:space="0"/>
            </w:tcBorders>
            <w:noWrap w:val="0"/>
            <w:vAlign w:val="center"/>
          </w:tcPr>
          <w:p w14:paraId="4A902FA2">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r>
              <w:rPr>
                <w:rFonts w:hint="eastAsia" w:ascii="宋体" w:hAnsi="宋体" w:cs="宋体"/>
                <w:color w:val="auto"/>
                <w:sz w:val="22"/>
                <w:szCs w:val="21"/>
                <w:highlight w:val="none"/>
              </w:rPr>
              <w:t>送达地点</w:t>
            </w:r>
          </w:p>
        </w:tc>
        <w:tc>
          <w:tcPr>
            <w:tcW w:w="803" w:type="dxa"/>
            <w:tcBorders>
              <w:top w:val="single" w:color="auto" w:sz="12" w:space="0"/>
              <w:bottom w:val="double" w:color="auto" w:sz="6" w:space="0"/>
            </w:tcBorders>
            <w:noWrap w:val="0"/>
            <w:vAlign w:val="center"/>
          </w:tcPr>
          <w:p w14:paraId="17514DF3">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r>
              <w:rPr>
                <w:rFonts w:hint="eastAsia" w:ascii="宋体" w:hAnsi="宋体" w:cs="宋体"/>
                <w:color w:val="auto"/>
                <w:sz w:val="22"/>
                <w:szCs w:val="21"/>
                <w:highlight w:val="none"/>
              </w:rPr>
              <w:t>备注</w:t>
            </w:r>
          </w:p>
        </w:tc>
      </w:tr>
      <w:tr w14:paraId="4D47F4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tcBorders>
              <w:top w:val="double" w:color="auto" w:sz="6" w:space="0"/>
            </w:tcBorders>
            <w:noWrap w:val="0"/>
            <w:vAlign w:val="center"/>
          </w:tcPr>
          <w:p w14:paraId="790D5341">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1276" w:type="dxa"/>
            <w:tcBorders>
              <w:top w:val="double" w:color="auto" w:sz="6" w:space="0"/>
            </w:tcBorders>
            <w:noWrap w:val="0"/>
            <w:vAlign w:val="center"/>
          </w:tcPr>
          <w:p w14:paraId="71953AEF">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1082" w:type="dxa"/>
            <w:tcBorders>
              <w:top w:val="double" w:color="auto" w:sz="6" w:space="0"/>
            </w:tcBorders>
            <w:noWrap w:val="0"/>
            <w:vAlign w:val="center"/>
          </w:tcPr>
          <w:p w14:paraId="52454B0E">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940" w:type="dxa"/>
            <w:tcBorders>
              <w:top w:val="double" w:color="auto" w:sz="6" w:space="0"/>
            </w:tcBorders>
            <w:noWrap w:val="0"/>
            <w:vAlign w:val="center"/>
          </w:tcPr>
          <w:p w14:paraId="3BE7D1F6">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851" w:type="dxa"/>
            <w:tcBorders>
              <w:top w:val="double" w:color="auto" w:sz="6" w:space="0"/>
            </w:tcBorders>
            <w:noWrap w:val="0"/>
            <w:vAlign w:val="center"/>
          </w:tcPr>
          <w:p w14:paraId="27A9A0B7">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1044" w:type="dxa"/>
            <w:tcBorders>
              <w:top w:val="double" w:color="auto" w:sz="6" w:space="0"/>
            </w:tcBorders>
            <w:noWrap w:val="0"/>
            <w:vAlign w:val="center"/>
          </w:tcPr>
          <w:p w14:paraId="4178D754">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992" w:type="dxa"/>
            <w:tcBorders>
              <w:top w:val="double" w:color="auto" w:sz="6" w:space="0"/>
            </w:tcBorders>
            <w:noWrap w:val="0"/>
            <w:vAlign w:val="center"/>
          </w:tcPr>
          <w:p w14:paraId="5C4FCA4F">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851" w:type="dxa"/>
            <w:tcBorders>
              <w:top w:val="double" w:color="auto" w:sz="6" w:space="0"/>
            </w:tcBorders>
            <w:noWrap w:val="0"/>
            <w:vAlign w:val="center"/>
          </w:tcPr>
          <w:p w14:paraId="24234688">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966" w:type="dxa"/>
            <w:tcBorders>
              <w:top w:val="double" w:color="auto" w:sz="6" w:space="0"/>
            </w:tcBorders>
            <w:noWrap w:val="0"/>
            <w:vAlign w:val="center"/>
          </w:tcPr>
          <w:p w14:paraId="66CD1B1C">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803" w:type="dxa"/>
            <w:tcBorders>
              <w:top w:val="double" w:color="auto" w:sz="6" w:space="0"/>
            </w:tcBorders>
            <w:noWrap w:val="0"/>
            <w:vAlign w:val="center"/>
          </w:tcPr>
          <w:p w14:paraId="20943203">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r>
      <w:tr w14:paraId="1BDE83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noWrap w:val="0"/>
            <w:vAlign w:val="center"/>
          </w:tcPr>
          <w:p w14:paraId="5E96D377">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1276" w:type="dxa"/>
            <w:noWrap w:val="0"/>
            <w:vAlign w:val="center"/>
          </w:tcPr>
          <w:p w14:paraId="37DA0DBD">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1082" w:type="dxa"/>
            <w:noWrap w:val="0"/>
            <w:vAlign w:val="center"/>
          </w:tcPr>
          <w:p w14:paraId="13E5C528">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940" w:type="dxa"/>
            <w:noWrap w:val="0"/>
            <w:vAlign w:val="center"/>
          </w:tcPr>
          <w:p w14:paraId="67F73C6B">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851" w:type="dxa"/>
            <w:noWrap w:val="0"/>
            <w:vAlign w:val="center"/>
          </w:tcPr>
          <w:p w14:paraId="3E6953B1">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1044" w:type="dxa"/>
            <w:noWrap w:val="0"/>
            <w:vAlign w:val="center"/>
          </w:tcPr>
          <w:p w14:paraId="3224DD59">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992" w:type="dxa"/>
            <w:noWrap w:val="0"/>
            <w:vAlign w:val="center"/>
          </w:tcPr>
          <w:p w14:paraId="5FDEBBBC">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851" w:type="dxa"/>
            <w:noWrap w:val="0"/>
            <w:vAlign w:val="center"/>
          </w:tcPr>
          <w:p w14:paraId="708FBD63">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966" w:type="dxa"/>
            <w:noWrap w:val="0"/>
            <w:vAlign w:val="center"/>
          </w:tcPr>
          <w:p w14:paraId="2594E5F6">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803" w:type="dxa"/>
            <w:noWrap w:val="0"/>
            <w:vAlign w:val="center"/>
          </w:tcPr>
          <w:p w14:paraId="4CF3D4EC">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r>
      <w:tr w14:paraId="566F09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tcBorders>
              <w:bottom w:val="single" w:color="auto" w:sz="12" w:space="0"/>
            </w:tcBorders>
            <w:noWrap w:val="0"/>
            <w:vAlign w:val="center"/>
          </w:tcPr>
          <w:p w14:paraId="47E25938">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1276" w:type="dxa"/>
            <w:tcBorders>
              <w:bottom w:val="single" w:color="auto" w:sz="12" w:space="0"/>
            </w:tcBorders>
            <w:noWrap w:val="0"/>
            <w:vAlign w:val="center"/>
          </w:tcPr>
          <w:p w14:paraId="3CB0514B">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1082" w:type="dxa"/>
            <w:tcBorders>
              <w:bottom w:val="single" w:color="auto" w:sz="12" w:space="0"/>
            </w:tcBorders>
            <w:noWrap w:val="0"/>
            <w:vAlign w:val="center"/>
          </w:tcPr>
          <w:p w14:paraId="4B8FEA5B">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940" w:type="dxa"/>
            <w:tcBorders>
              <w:bottom w:val="single" w:color="auto" w:sz="12" w:space="0"/>
            </w:tcBorders>
            <w:noWrap w:val="0"/>
            <w:vAlign w:val="center"/>
          </w:tcPr>
          <w:p w14:paraId="0A1B517F">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851" w:type="dxa"/>
            <w:tcBorders>
              <w:bottom w:val="single" w:color="auto" w:sz="12" w:space="0"/>
            </w:tcBorders>
            <w:noWrap w:val="0"/>
            <w:vAlign w:val="center"/>
          </w:tcPr>
          <w:p w14:paraId="6A7B2B66">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1044" w:type="dxa"/>
            <w:tcBorders>
              <w:bottom w:val="single" w:color="auto" w:sz="12" w:space="0"/>
            </w:tcBorders>
            <w:noWrap w:val="0"/>
            <w:vAlign w:val="center"/>
          </w:tcPr>
          <w:p w14:paraId="757FE34C">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992" w:type="dxa"/>
            <w:tcBorders>
              <w:bottom w:val="single" w:color="auto" w:sz="12" w:space="0"/>
            </w:tcBorders>
            <w:noWrap w:val="0"/>
            <w:vAlign w:val="center"/>
          </w:tcPr>
          <w:p w14:paraId="28EEE061">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851" w:type="dxa"/>
            <w:tcBorders>
              <w:bottom w:val="single" w:color="auto" w:sz="12" w:space="0"/>
            </w:tcBorders>
            <w:noWrap w:val="0"/>
            <w:vAlign w:val="center"/>
          </w:tcPr>
          <w:p w14:paraId="7810AFA5">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966" w:type="dxa"/>
            <w:tcBorders>
              <w:bottom w:val="single" w:color="auto" w:sz="12" w:space="0"/>
            </w:tcBorders>
            <w:noWrap w:val="0"/>
            <w:vAlign w:val="center"/>
          </w:tcPr>
          <w:p w14:paraId="51D4FD10">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803" w:type="dxa"/>
            <w:tcBorders>
              <w:bottom w:val="single" w:color="auto" w:sz="12" w:space="0"/>
            </w:tcBorders>
            <w:noWrap w:val="0"/>
            <w:vAlign w:val="center"/>
          </w:tcPr>
          <w:p w14:paraId="75B997B0">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r>
    </w:tbl>
    <w:p w14:paraId="0B1EC708">
      <w:pPr>
        <w:pStyle w:val="2"/>
        <w:rPr>
          <w:rFonts w:hint="eastAsia"/>
          <w:color w:val="auto"/>
          <w:highlight w:val="none"/>
        </w:rPr>
      </w:pPr>
    </w:p>
    <w:p w14:paraId="2B3FBC5C">
      <w:pPr>
        <w:rPr>
          <w:rFonts w:hint="eastAsia" w:ascii="宋体" w:hAnsi="宋体" w:cs="宋体"/>
          <w:bCs/>
          <w:color w:val="auto"/>
          <w:sz w:val="24"/>
          <w:highlight w:val="none"/>
        </w:rPr>
      </w:pPr>
      <w:bookmarkStart w:id="922" w:name="_Toc95223490"/>
      <w:r>
        <w:rPr>
          <w:rFonts w:hint="eastAsia" w:ascii="宋体" w:hAnsi="宋体" w:cs="宋体"/>
          <w:bCs/>
          <w:color w:val="auto"/>
          <w:sz w:val="24"/>
          <w:highlight w:val="none"/>
        </w:rPr>
        <w:br w:type="page"/>
      </w:r>
    </w:p>
    <w:p w14:paraId="45E03395">
      <w:pPr>
        <w:keepNext/>
        <w:keepLines/>
        <w:spacing w:before="120" w:after="120" w:line="360" w:lineRule="auto"/>
        <w:jc w:val="left"/>
        <w:outlineLvl w:val="2"/>
        <w:rPr>
          <w:rFonts w:hint="eastAsia" w:ascii="宋体" w:hAnsi="宋体" w:cs="宋体"/>
          <w:bCs/>
          <w:color w:val="auto"/>
          <w:sz w:val="24"/>
          <w:highlight w:val="none"/>
        </w:rPr>
      </w:pPr>
      <w:r>
        <w:rPr>
          <w:rFonts w:hint="eastAsia" w:ascii="宋体" w:hAnsi="宋体" w:cs="宋体"/>
          <w:bCs/>
          <w:color w:val="auto"/>
          <w:sz w:val="24"/>
          <w:highlight w:val="none"/>
        </w:rPr>
        <w:t>附</w:t>
      </w:r>
      <w:bookmarkStart w:id="923" w:name="_Toc296891054"/>
      <w:bookmarkStart w:id="924" w:name="_Toc296503226"/>
      <w:bookmarkStart w:id="925" w:name="_Toc296944565"/>
      <w:bookmarkStart w:id="926" w:name="_Toc296891266"/>
      <w:bookmarkStart w:id="927" w:name="_Toc267261693"/>
      <w:bookmarkStart w:id="928" w:name="_Toc296347225"/>
      <w:bookmarkStart w:id="929" w:name="_Toc296346727"/>
      <w:r>
        <w:rPr>
          <w:rFonts w:hint="eastAsia" w:ascii="宋体" w:hAnsi="宋体" w:cs="宋体"/>
          <w:bCs/>
          <w:color w:val="auto"/>
          <w:sz w:val="24"/>
          <w:highlight w:val="none"/>
        </w:rPr>
        <w:t>件</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w:t>
      </w:r>
      <w:bookmarkEnd w:id="923"/>
      <w:bookmarkEnd w:id="924"/>
      <w:bookmarkEnd w:id="925"/>
      <w:bookmarkEnd w:id="926"/>
      <w:bookmarkEnd w:id="927"/>
      <w:bookmarkEnd w:id="928"/>
      <w:bookmarkEnd w:id="929"/>
      <w:r>
        <w:rPr>
          <w:rFonts w:hint="eastAsia" w:ascii="宋体" w:hAnsi="宋体" w:cs="宋体"/>
          <w:bCs/>
          <w:color w:val="auto"/>
          <w:sz w:val="24"/>
          <w:highlight w:val="none"/>
        </w:rPr>
        <w:t>工程质量保修书</w:t>
      </w:r>
    </w:p>
    <w:p w14:paraId="5BFAB746">
      <w:pPr>
        <w:adjustRightInd w:val="0"/>
        <w:snapToGrid w:val="0"/>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工程质量保修书</w:t>
      </w:r>
    </w:p>
    <w:p w14:paraId="31284209">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0"/>
          <w:position w:val="14"/>
          <w:sz w:val="21"/>
          <w:szCs w:val="21"/>
          <w:highlight w:val="none"/>
        </w:rPr>
      </w:pPr>
      <w:r>
        <w:rPr>
          <w:rFonts w:hint="eastAsia" w:ascii="宋体" w:hAnsi="宋体" w:eastAsia="宋体" w:cs="宋体"/>
          <w:bCs/>
          <w:color w:val="auto"/>
          <w:kern w:val="0"/>
          <w:position w:val="14"/>
          <w:sz w:val="21"/>
          <w:szCs w:val="21"/>
          <w:highlight w:val="none"/>
          <w:lang w:val="en-US" w:eastAsia="zh-CN" w:bidi="ar"/>
        </w:rPr>
        <w:t>发包人</w:t>
      </w:r>
      <w:r>
        <w:rPr>
          <w:rFonts w:hint="eastAsia" w:ascii="宋体" w:hAnsi="宋体" w:eastAsia="宋体" w:cs="宋体"/>
          <w:color w:val="auto"/>
          <w:kern w:val="0"/>
          <w:position w:val="14"/>
          <w:sz w:val="21"/>
          <w:szCs w:val="21"/>
          <w:highlight w:val="none"/>
          <w:lang w:val="en-US" w:eastAsia="zh-CN" w:bidi="ar"/>
        </w:rPr>
        <w:t>：_______________________________</w:t>
      </w:r>
    </w:p>
    <w:p w14:paraId="3E1B6CEF">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kern w:val="0"/>
          <w:position w:val="14"/>
          <w:sz w:val="21"/>
          <w:szCs w:val="21"/>
          <w:highlight w:val="none"/>
        </w:rPr>
      </w:pPr>
      <w:r>
        <w:rPr>
          <w:rFonts w:hint="eastAsia" w:ascii="宋体" w:hAnsi="宋体" w:eastAsia="宋体" w:cs="宋体"/>
          <w:bCs/>
          <w:color w:val="auto"/>
          <w:kern w:val="0"/>
          <w:position w:val="14"/>
          <w:sz w:val="21"/>
          <w:szCs w:val="21"/>
          <w:highlight w:val="none"/>
          <w:lang w:val="en-US" w:eastAsia="zh-CN" w:bidi="ar"/>
        </w:rPr>
        <w:t>承包人</w:t>
      </w:r>
      <w:r>
        <w:rPr>
          <w:rFonts w:hint="eastAsia" w:ascii="宋体" w:hAnsi="宋体" w:eastAsia="宋体" w:cs="宋体"/>
          <w:color w:val="auto"/>
          <w:kern w:val="0"/>
          <w:position w:val="14"/>
          <w:sz w:val="21"/>
          <w:szCs w:val="21"/>
          <w:highlight w:val="none"/>
          <w:lang w:val="en-US" w:eastAsia="zh-CN" w:bidi="ar"/>
        </w:rPr>
        <w:t>：_______________________________</w:t>
      </w:r>
    </w:p>
    <w:p w14:paraId="0C420588">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lang w:val="en-US" w:eastAsia="zh-CN" w:bidi="ar"/>
        </w:rPr>
        <w:t>发包人、承包人根据《中华人民共和国建筑法》《建设工程质量管理条例》,参照《房屋建筑工程质量保修办法》，经协商一致，对______________________工程签订工程质量保修书。</w:t>
      </w:r>
    </w:p>
    <w:p w14:paraId="6BEAA0A4">
      <w:pPr>
        <w:keepNext w:val="0"/>
        <w:keepLines w:val="0"/>
        <w:widowControl/>
        <w:suppressLineNumbers w:val="0"/>
        <w:adjustRightInd w:val="0"/>
        <w:snapToGrid w:val="0"/>
        <w:spacing w:before="0" w:beforeAutospacing="0" w:after="0" w:afterAutospacing="0" w:line="360" w:lineRule="auto"/>
        <w:ind w:left="0" w:right="0" w:firstLine="422" w:firstLineChars="200"/>
        <w:jc w:val="left"/>
        <w:rPr>
          <w:rFonts w:hint="eastAsia" w:ascii="宋体" w:hAnsi="宋体" w:eastAsia="宋体" w:cs="宋体"/>
          <w:b/>
          <w:bCs/>
          <w:color w:val="auto"/>
          <w:kern w:val="0"/>
          <w:position w:val="6"/>
          <w:sz w:val="21"/>
          <w:szCs w:val="21"/>
          <w:highlight w:val="none"/>
        </w:rPr>
      </w:pPr>
      <w:r>
        <w:rPr>
          <w:rFonts w:hint="eastAsia" w:ascii="宋体" w:hAnsi="宋体" w:eastAsia="宋体" w:cs="宋体"/>
          <w:b/>
          <w:bCs/>
          <w:color w:val="auto"/>
          <w:kern w:val="0"/>
          <w:position w:val="6"/>
          <w:sz w:val="21"/>
          <w:szCs w:val="21"/>
          <w:highlight w:val="none"/>
          <w:lang w:val="en-US" w:eastAsia="zh-CN" w:bidi="ar"/>
        </w:rPr>
        <w:t>一、工程质量保修范围和内容</w:t>
      </w:r>
    </w:p>
    <w:p w14:paraId="0F0A41FE">
      <w:pPr>
        <w:keepNext w:val="0"/>
        <w:keepLines w:val="0"/>
        <w:widowControl w:val="0"/>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kern w:val="2"/>
          <w:position w:val="6"/>
          <w:sz w:val="21"/>
          <w:szCs w:val="21"/>
          <w:highlight w:val="none"/>
        </w:rPr>
      </w:pPr>
      <w:r>
        <w:rPr>
          <w:rFonts w:hint="eastAsia" w:ascii="宋体" w:hAnsi="宋体" w:eastAsia="宋体" w:cs="宋体"/>
          <w:color w:val="auto"/>
          <w:kern w:val="2"/>
          <w:position w:val="6"/>
          <w:sz w:val="21"/>
          <w:szCs w:val="21"/>
          <w:highlight w:val="none"/>
          <w:lang w:val="en-US" w:eastAsia="zh-CN" w:bidi="ar"/>
        </w:rPr>
        <w:t>按照《建设工程质量管理条例》及有关法律、法规、规章的管理规定，双方约定由施工单位在质量保修期内，承担本工程的质量保修责任。</w:t>
      </w:r>
    </w:p>
    <w:p w14:paraId="0DEC3472">
      <w:pPr>
        <w:keepNext w:val="0"/>
        <w:keepLines w:val="0"/>
        <w:widowControl w:val="0"/>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kern w:val="2"/>
          <w:position w:val="6"/>
          <w:sz w:val="21"/>
          <w:szCs w:val="21"/>
          <w:highlight w:val="none"/>
        </w:rPr>
      </w:pPr>
      <w:r>
        <w:rPr>
          <w:rFonts w:hint="eastAsia" w:ascii="宋体" w:hAnsi="宋体" w:eastAsia="宋体" w:cs="宋体"/>
          <w:color w:val="auto"/>
          <w:kern w:val="2"/>
          <w:position w:val="6"/>
          <w:sz w:val="21"/>
          <w:szCs w:val="21"/>
          <w:highlight w:val="none"/>
          <w:lang w:val="en-US" w:eastAsia="zh-CN" w:bidi="ar"/>
        </w:rPr>
        <w:t>质量保修范围和内容：______________________。</w:t>
      </w:r>
      <w:r>
        <w:rPr>
          <w:rFonts w:hint="eastAsia" w:ascii="宋体" w:hAnsi="宋体" w:eastAsia="宋体" w:cs="宋体"/>
          <w:bCs/>
          <w:color w:val="auto"/>
          <w:kern w:val="0"/>
          <w:position w:val="6"/>
          <w:sz w:val="21"/>
          <w:szCs w:val="21"/>
          <w:highlight w:val="none"/>
          <w:lang w:val="en-US" w:eastAsia="zh-CN" w:bidi="ar"/>
        </w:rPr>
        <w:t>因不可抗力或使用不当造成的质量缺陷，不属保修范围。</w:t>
      </w:r>
    </w:p>
    <w:p w14:paraId="6B9FCD62">
      <w:pPr>
        <w:keepNext w:val="0"/>
        <w:keepLines w:val="0"/>
        <w:widowControl/>
        <w:suppressLineNumbers w:val="0"/>
        <w:adjustRightInd w:val="0"/>
        <w:snapToGrid w:val="0"/>
        <w:spacing w:before="0" w:beforeAutospacing="0" w:after="0" w:afterAutospacing="0" w:line="360" w:lineRule="auto"/>
        <w:ind w:left="0" w:right="0" w:firstLine="422" w:firstLineChars="200"/>
        <w:jc w:val="left"/>
        <w:rPr>
          <w:rFonts w:hint="eastAsia" w:ascii="宋体" w:hAnsi="宋体" w:eastAsia="宋体" w:cs="宋体"/>
          <w:b/>
          <w:bCs/>
          <w:color w:val="auto"/>
          <w:kern w:val="0"/>
          <w:position w:val="6"/>
          <w:sz w:val="21"/>
          <w:szCs w:val="21"/>
          <w:highlight w:val="none"/>
        </w:rPr>
      </w:pPr>
      <w:r>
        <w:rPr>
          <w:rFonts w:hint="eastAsia" w:ascii="宋体" w:hAnsi="宋体" w:eastAsia="宋体" w:cs="宋体"/>
          <w:b/>
          <w:bCs/>
          <w:color w:val="auto"/>
          <w:kern w:val="0"/>
          <w:position w:val="6"/>
          <w:sz w:val="21"/>
          <w:szCs w:val="21"/>
          <w:highlight w:val="none"/>
          <w:lang w:val="en-US" w:eastAsia="zh-CN" w:bidi="ar"/>
        </w:rPr>
        <w:t>二、质量保修期</w:t>
      </w:r>
    </w:p>
    <w:p w14:paraId="46DCA03C">
      <w:pPr>
        <w:keepNext w:val="0"/>
        <w:keepLines w:val="0"/>
        <w:widowControl w:val="0"/>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lang w:val="en-US" w:eastAsia="zh-CN" w:bidi="ar"/>
        </w:rPr>
        <w:t>双方根据</w:t>
      </w:r>
      <w:r>
        <w:rPr>
          <w:rFonts w:hint="eastAsia" w:ascii="宋体" w:hAnsi="宋体" w:eastAsia="宋体" w:cs="宋体"/>
          <w:color w:val="auto"/>
          <w:kern w:val="2"/>
          <w:position w:val="6"/>
          <w:sz w:val="21"/>
          <w:szCs w:val="21"/>
          <w:highlight w:val="none"/>
          <w:lang w:val="en-US" w:eastAsia="zh-CN" w:bidi="ar"/>
        </w:rPr>
        <w:t>《建设工程质量管理条例》</w:t>
      </w:r>
      <w:r>
        <w:rPr>
          <w:rFonts w:hint="eastAsia" w:ascii="宋体" w:hAnsi="宋体" w:eastAsia="宋体" w:cs="宋体"/>
          <w:color w:val="auto"/>
          <w:kern w:val="0"/>
          <w:position w:val="6"/>
          <w:sz w:val="21"/>
          <w:szCs w:val="21"/>
          <w:highlight w:val="none"/>
          <w:lang w:val="en-US" w:eastAsia="zh-CN" w:bidi="ar"/>
        </w:rPr>
        <w:t>及有关规定，约定本工程的质量保修期如下：</w:t>
      </w:r>
    </w:p>
    <w:p w14:paraId="7CA14180">
      <w:pPr>
        <w:keepNext w:val="0"/>
        <w:keepLines w:val="0"/>
        <w:widowControl/>
        <w:suppressLineNumbers w:val="0"/>
        <w:adjustRightInd w:val="0"/>
        <w:snapToGrid w:val="0"/>
        <w:spacing w:before="0" w:beforeAutospacing="0" w:after="0" w:afterAutospacing="0" w:line="360" w:lineRule="auto"/>
        <w:ind w:left="420" w:leftChars="200" w:right="0" w:firstLine="58" w:firstLineChars="28"/>
        <w:jc w:val="left"/>
        <w:rPr>
          <w:rFonts w:hint="eastAsia"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lang w:val="en-US" w:eastAsia="zh-CN" w:bidi="ar"/>
        </w:rPr>
        <w:t>1. 主体结构和基础工程，同设计年限；</w:t>
      </w:r>
    </w:p>
    <w:p w14:paraId="68030920">
      <w:pPr>
        <w:keepNext w:val="0"/>
        <w:keepLines w:val="0"/>
        <w:widowControl/>
        <w:suppressLineNumbers w:val="0"/>
        <w:adjustRightInd w:val="0"/>
        <w:snapToGrid w:val="0"/>
        <w:spacing w:before="0" w:beforeAutospacing="0" w:after="0" w:afterAutospacing="0" w:line="360" w:lineRule="auto"/>
        <w:ind w:left="420" w:leftChars="200" w:right="0" w:firstLine="58" w:firstLineChars="28"/>
        <w:jc w:val="left"/>
        <w:rPr>
          <w:rFonts w:hint="eastAsia"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lang w:val="en-US" w:eastAsia="zh-CN" w:bidi="ar"/>
        </w:rPr>
        <w:t xml:space="preserve">2. </w:t>
      </w:r>
      <w:r>
        <w:rPr>
          <w:rFonts w:hint="eastAsia" w:ascii="宋体" w:hAnsi="宋体" w:eastAsia="宋体" w:cs="宋体"/>
          <w:color w:val="auto"/>
          <w:kern w:val="0"/>
          <w:position w:val="6"/>
          <w:sz w:val="21"/>
          <w:szCs w:val="21"/>
          <w:highlight w:val="none"/>
          <w:u w:val="single"/>
          <w:lang w:val="en-US" w:eastAsia="zh-CN" w:bidi="ar"/>
        </w:rPr>
        <w:t xml:space="preserve">              </w:t>
      </w:r>
      <w:r>
        <w:rPr>
          <w:rFonts w:hint="eastAsia" w:ascii="宋体" w:hAnsi="宋体" w:eastAsia="宋体" w:cs="宋体"/>
          <w:color w:val="auto"/>
          <w:kern w:val="0"/>
          <w:position w:val="6"/>
          <w:sz w:val="21"/>
          <w:szCs w:val="21"/>
          <w:highlight w:val="none"/>
          <w:lang w:val="en-US" w:eastAsia="zh-CN" w:bidi="ar"/>
        </w:rPr>
        <w:t>工程，为</w:t>
      </w:r>
      <w:r>
        <w:rPr>
          <w:rFonts w:hint="eastAsia" w:ascii="宋体" w:hAnsi="宋体" w:eastAsia="宋体" w:cs="宋体"/>
          <w:color w:val="auto"/>
          <w:kern w:val="0"/>
          <w:position w:val="6"/>
          <w:sz w:val="21"/>
          <w:szCs w:val="21"/>
          <w:highlight w:val="none"/>
          <w:u w:val="single"/>
          <w:lang w:val="en-US" w:eastAsia="zh-CN" w:bidi="ar"/>
        </w:rPr>
        <w:t xml:space="preserve">     </w:t>
      </w:r>
      <w:r>
        <w:rPr>
          <w:rFonts w:hint="eastAsia" w:ascii="宋体" w:hAnsi="宋体" w:eastAsia="宋体" w:cs="宋体"/>
          <w:color w:val="auto"/>
          <w:kern w:val="0"/>
          <w:position w:val="6"/>
          <w:sz w:val="21"/>
          <w:szCs w:val="21"/>
          <w:highlight w:val="none"/>
          <w:lang w:val="en-US" w:eastAsia="zh-CN" w:bidi="ar"/>
        </w:rPr>
        <w:t>年；</w:t>
      </w:r>
    </w:p>
    <w:p w14:paraId="618C93E9">
      <w:pPr>
        <w:keepNext w:val="0"/>
        <w:keepLines w:val="0"/>
        <w:widowControl/>
        <w:suppressLineNumbers w:val="0"/>
        <w:adjustRightInd w:val="0"/>
        <w:snapToGrid w:val="0"/>
        <w:spacing w:before="0" w:beforeAutospacing="0" w:after="0" w:afterAutospacing="0" w:line="360" w:lineRule="auto"/>
        <w:ind w:left="420" w:leftChars="200" w:right="0" w:firstLine="58" w:firstLineChars="28"/>
        <w:jc w:val="left"/>
        <w:rPr>
          <w:rFonts w:hint="eastAsia"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lang w:val="en-US" w:eastAsia="zh-CN" w:bidi="ar"/>
        </w:rPr>
        <w:t xml:space="preserve">3. </w:t>
      </w:r>
      <w:r>
        <w:rPr>
          <w:rFonts w:hint="eastAsia" w:ascii="宋体" w:hAnsi="宋体" w:eastAsia="宋体" w:cs="宋体"/>
          <w:color w:val="auto"/>
          <w:kern w:val="0"/>
          <w:position w:val="6"/>
          <w:sz w:val="21"/>
          <w:szCs w:val="21"/>
          <w:highlight w:val="none"/>
          <w:u w:val="single"/>
          <w:lang w:val="en-US" w:eastAsia="zh-CN" w:bidi="ar"/>
        </w:rPr>
        <w:t xml:space="preserve">              </w:t>
      </w:r>
      <w:r>
        <w:rPr>
          <w:rFonts w:hint="eastAsia" w:ascii="宋体" w:hAnsi="宋体" w:eastAsia="宋体" w:cs="宋体"/>
          <w:color w:val="auto"/>
          <w:kern w:val="0"/>
          <w:position w:val="6"/>
          <w:sz w:val="21"/>
          <w:szCs w:val="21"/>
          <w:highlight w:val="none"/>
          <w:lang w:val="en-US" w:eastAsia="zh-CN" w:bidi="ar"/>
        </w:rPr>
        <w:t>工程，为</w:t>
      </w:r>
      <w:r>
        <w:rPr>
          <w:rFonts w:hint="eastAsia" w:ascii="宋体" w:hAnsi="宋体" w:eastAsia="宋体" w:cs="宋体"/>
          <w:color w:val="auto"/>
          <w:kern w:val="0"/>
          <w:position w:val="6"/>
          <w:sz w:val="21"/>
          <w:szCs w:val="21"/>
          <w:highlight w:val="none"/>
          <w:u w:val="single"/>
          <w:lang w:val="en-US" w:eastAsia="zh-CN" w:bidi="ar"/>
        </w:rPr>
        <w:t xml:space="preserve">     </w:t>
      </w:r>
      <w:r>
        <w:rPr>
          <w:rFonts w:hint="eastAsia" w:ascii="宋体" w:hAnsi="宋体" w:eastAsia="宋体" w:cs="宋体"/>
          <w:color w:val="auto"/>
          <w:kern w:val="0"/>
          <w:position w:val="6"/>
          <w:sz w:val="21"/>
          <w:szCs w:val="21"/>
          <w:highlight w:val="none"/>
          <w:lang w:val="en-US" w:eastAsia="zh-CN" w:bidi="ar"/>
        </w:rPr>
        <w:t>年；</w:t>
      </w:r>
    </w:p>
    <w:p w14:paraId="797A9E01">
      <w:pPr>
        <w:keepNext w:val="0"/>
        <w:keepLines w:val="0"/>
        <w:widowControl w:val="0"/>
        <w:suppressLineNumbers w:val="0"/>
        <w:adjustRightInd w:val="0"/>
        <w:snapToGrid w:val="0"/>
        <w:spacing w:before="0" w:beforeAutospacing="0" w:after="0" w:afterAutospacing="0" w:line="360" w:lineRule="auto"/>
        <w:ind w:left="359" w:leftChars="171" w:right="0" w:firstLine="105" w:firstLineChars="50"/>
        <w:jc w:val="both"/>
        <w:rPr>
          <w:rFonts w:hint="eastAsia"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lang w:val="en-US" w:eastAsia="zh-CN" w:bidi="ar"/>
        </w:rPr>
        <w:t xml:space="preserve">4. </w:t>
      </w:r>
      <w:r>
        <w:rPr>
          <w:rFonts w:hint="eastAsia" w:ascii="宋体" w:hAnsi="宋体" w:eastAsia="宋体" w:cs="宋体"/>
          <w:color w:val="auto"/>
          <w:kern w:val="0"/>
          <w:position w:val="6"/>
          <w:sz w:val="21"/>
          <w:szCs w:val="21"/>
          <w:highlight w:val="none"/>
          <w:u w:val="single"/>
          <w:lang w:val="en-US" w:eastAsia="zh-CN" w:bidi="ar"/>
        </w:rPr>
        <w:t xml:space="preserve">              </w:t>
      </w:r>
      <w:r>
        <w:rPr>
          <w:rFonts w:hint="eastAsia" w:ascii="宋体" w:hAnsi="宋体" w:eastAsia="宋体" w:cs="宋体"/>
          <w:color w:val="auto"/>
          <w:kern w:val="0"/>
          <w:position w:val="6"/>
          <w:sz w:val="21"/>
          <w:szCs w:val="21"/>
          <w:highlight w:val="none"/>
          <w:lang w:val="en-US" w:eastAsia="zh-CN" w:bidi="ar"/>
        </w:rPr>
        <w:t xml:space="preserve">工程，为 </w:t>
      </w:r>
      <w:r>
        <w:rPr>
          <w:rFonts w:hint="eastAsia" w:ascii="宋体" w:hAnsi="宋体" w:eastAsia="宋体" w:cs="宋体"/>
          <w:color w:val="auto"/>
          <w:kern w:val="0"/>
          <w:position w:val="6"/>
          <w:sz w:val="21"/>
          <w:szCs w:val="21"/>
          <w:highlight w:val="none"/>
          <w:u w:val="single"/>
          <w:lang w:val="en-US" w:eastAsia="zh-CN" w:bidi="ar"/>
        </w:rPr>
        <w:t xml:space="preserve">     </w:t>
      </w:r>
      <w:r>
        <w:rPr>
          <w:rFonts w:hint="eastAsia" w:ascii="宋体" w:hAnsi="宋体" w:eastAsia="宋体" w:cs="宋体"/>
          <w:color w:val="auto"/>
          <w:kern w:val="0"/>
          <w:position w:val="6"/>
          <w:sz w:val="21"/>
          <w:szCs w:val="21"/>
          <w:highlight w:val="none"/>
          <w:lang w:val="en-US" w:eastAsia="zh-CN" w:bidi="ar"/>
        </w:rPr>
        <w:t>年；</w:t>
      </w:r>
      <w:r>
        <w:rPr>
          <w:rFonts w:hint="eastAsia" w:ascii="宋体" w:hAnsi="宋体" w:eastAsia="宋体" w:cs="宋体"/>
          <w:color w:val="auto"/>
          <w:kern w:val="0"/>
          <w:position w:val="6"/>
          <w:sz w:val="21"/>
          <w:szCs w:val="21"/>
          <w:highlight w:val="none"/>
          <w:lang w:val="en-US" w:eastAsia="zh-CN" w:bidi="ar"/>
        </w:rPr>
        <w:br w:type="textWrapping"/>
      </w:r>
      <w:r>
        <w:rPr>
          <w:rFonts w:hint="eastAsia" w:ascii="宋体" w:hAnsi="宋体" w:eastAsia="宋体" w:cs="宋体"/>
          <w:color w:val="auto"/>
          <w:kern w:val="0"/>
          <w:position w:val="6"/>
          <w:sz w:val="21"/>
          <w:szCs w:val="21"/>
          <w:highlight w:val="none"/>
          <w:lang w:val="en-US" w:eastAsia="zh-CN" w:bidi="ar"/>
        </w:rPr>
        <w:t>质量保修期自工程竣工验收合格之日起计算。</w:t>
      </w:r>
    </w:p>
    <w:p w14:paraId="2E32FFAA">
      <w:pPr>
        <w:keepNext w:val="0"/>
        <w:keepLines w:val="0"/>
        <w:widowControl w:val="0"/>
        <w:suppressLineNumbers w:val="0"/>
        <w:adjustRightInd w:val="0"/>
        <w:snapToGrid w:val="0"/>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三、缺陷责任期</w:t>
      </w:r>
    </w:p>
    <w:p w14:paraId="0C59D30A">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工程缺陷责任期为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cs="宋体"/>
          <w:color w:val="auto"/>
          <w:kern w:val="2"/>
          <w:sz w:val="21"/>
          <w:szCs w:val="21"/>
          <w:highlight w:val="none"/>
          <w:u w:val="single"/>
          <w:lang w:val="en-US" w:eastAsia="zh-CN" w:bidi="ar"/>
        </w:rPr>
        <w:t>24</w:t>
      </w:r>
      <w:r>
        <w:rPr>
          <w:rFonts w:hint="eastAsia" w:ascii="宋体" w:hAnsi="宋体" w:eastAsia="宋体" w:cs="宋体"/>
          <w:color w:val="auto"/>
          <w:kern w:val="2"/>
          <w:sz w:val="21"/>
          <w:szCs w:val="21"/>
          <w:highlight w:val="none"/>
          <w:u w:val="single"/>
          <w:lang w:val="en-US" w:eastAsia="zh-CN" w:bidi="ar"/>
        </w:rPr>
        <w:t xml:space="preserve">个月 </w:t>
      </w:r>
      <w:r>
        <w:rPr>
          <w:rFonts w:hint="eastAsia" w:ascii="宋体" w:hAnsi="宋体" w:eastAsia="宋体" w:cs="宋体"/>
          <w:color w:val="auto"/>
          <w:kern w:val="2"/>
          <w:sz w:val="21"/>
          <w:szCs w:val="21"/>
          <w:highlight w:val="none"/>
          <w:lang w:val="en-US" w:eastAsia="zh-CN" w:bidi="ar"/>
        </w:rPr>
        <w:t>，缺陷责任期自工程竣工验收合格之日起计算。单位工程先于全部工程进行验收，单位工程缺陷责任期自单位工程验收合格之日起算。</w:t>
      </w:r>
    </w:p>
    <w:p w14:paraId="454549CC">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缺陷责任期终止后，发包人应退还剩余的质量保证金。</w:t>
      </w:r>
    </w:p>
    <w:p w14:paraId="26682D3A">
      <w:pPr>
        <w:keepNext w:val="0"/>
        <w:keepLines w:val="0"/>
        <w:widowControl/>
        <w:suppressLineNumbers w:val="0"/>
        <w:adjustRightInd w:val="0"/>
        <w:snapToGrid w:val="0"/>
        <w:spacing w:before="0" w:beforeAutospacing="0" w:after="0" w:afterAutospacing="0" w:line="360" w:lineRule="auto"/>
        <w:ind w:left="0" w:right="0" w:firstLine="422" w:firstLineChars="200"/>
        <w:jc w:val="left"/>
        <w:rPr>
          <w:rFonts w:hint="eastAsia" w:ascii="宋体" w:hAnsi="宋体" w:eastAsia="宋体" w:cs="宋体"/>
          <w:b/>
          <w:bCs/>
          <w:color w:val="auto"/>
          <w:kern w:val="0"/>
          <w:position w:val="6"/>
          <w:sz w:val="21"/>
          <w:szCs w:val="21"/>
          <w:highlight w:val="none"/>
        </w:rPr>
      </w:pPr>
      <w:r>
        <w:rPr>
          <w:rFonts w:hint="eastAsia" w:ascii="宋体" w:hAnsi="宋体" w:eastAsia="宋体" w:cs="宋体"/>
          <w:b/>
          <w:bCs w:val="0"/>
          <w:color w:val="auto"/>
          <w:kern w:val="2"/>
          <w:sz w:val="21"/>
          <w:szCs w:val="21"/>
          <w:highlight w:val="none"/>
          <w:lang w:val="en-US" w:eastAsia="zh-CN" w:bidi="ar"/>
        </w:rPr>
        <w:t>四、质量保修责任</w:t>
      </w:r>
    </w:p>
    <w:p w14:paraId="0FD05692">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kern w:val="0"/>
          <w:position w:val="6"/>
          <w:sz w:val="21"/>
          <w:szCs w:val="21"/>
          <w:highlight w:val="none"/>
          <w:lang w:val="en-US" w:eastAsia="zh-CN" w:bidi="ar"/>
        </w:rPr>
      </w:pPr>
      <w:r>
        <w:rPr>
          <w:rFonts w:hint="eastAsia" w:ascii="宋体" w:hAnsi="宋体" w:eastAsia="宋体" w:cs="宋体"/>
          <w:color w:val="auto"/>
          <w:kern w:val="0"/>
          <w:position w:val="6"/>
          <w:sz w:val="21"/>
          <w:szCs w:val="21"/>
          <w:highlight w:val="none"/>
          <w:lang w:val="en-US" w:eastAsia="zh-CN" w:bidi="ar"/>
        </w:rPr>
        <w:t>1. 属于保修范围、内容的项目，承包人应当在接到保修通知之日起48小时内派人保修。承包人不约定期限内派人保修的，发包人可以委托他人修理。</w:t>
      </w:r>
    </w:p>
    <w:p w14:paraId="4878028C">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kern w:val="0"/>
          <w:position w:val="6"/>
          <w:sz w:val="21"/>
          <w:szCs w:val="21"/>
          <w:highlight w:val="none"/>
          <w:lang w:val="en-US" w:eastAsia="zh-CN" w:bidi="ar"/>
        </w:rPr>
      </w:pPr>
      <w:r>
        <w:rPr>
          <w:rFonts w:hint="eastAsia" w:ascii="宋体" w:hAnsi="宋体" w:eastAsia="宋体" w:cs="宋体"/>
          <w:color w:val="auto"/>
          <w:kern w:val="0"/>
          <w:position w:val="6"/>
          <w:sz w:val="21"/>
          <w:szCs w:val="21"/>
          <w:highlight w:val="none"/>
          <w:lang w:val="en-US" w:eastAsia="zh-CN" w:bidi="ar"/>
        </w:rPr>
        <w:t>2、发生紧急抢修事故的，承包人在接到事故通知后，应当立即到达事故现场抢修。</w:t>
      </w:r>
    </w:p>
    <w:p w14:paraId="74AFFF3A">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lang w:val="en-US" w:eastAsia="zh-CN" w:bidi="ar"/>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227BB5F">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lang w:val="en-US" w:eastAsia="zh-CN" w:bidi="ar"/>
        </w:rPr>
        <w:t>4. 质量保修完成后，由发包人组织验收。</w:t>
      </w:r>
    </w:p>
    <w:p w14:paraId="072B2446">
      <w:pPr>
        <w:keepNext w:val="0"/>
        <w:keepLines w:val="0"/>
        <w:widowControl/>
        <w:suppressLineNumbers w:val="0"/>
        <w:adjustRightInd w:val="0"/>
        <w:snapToGrid w:val="0"/>
        <w:spacing w:before="0" w:beforeAutospacing="0" w:after="0" w:afterAutospacing="0" w:line="360" w:lineRule="auto"/>
        <w:ind w:left="0" w:right="0" w:firstLine="422" w:firstLineChars="200"/>
        <w:jc w:val="left"/>
        <w:rPr>
          <w:rFonts w:hint="eastAsia" w:ascii="宋体" w:hAnsi="宋体" w:eastAsia="宋体" w:cs="宋体"/>
          <w:b/>
          <w:bCs/>
          <w:color w:val="auto"/>
          <w:kern w:val="0"/>
          <w:position w:val="6"/>
          <w:sz w:val="21"/>
          <w:szCs w:val="21"/>
          <w:highlight w:val="none"/>
        </w:rPr>
      </w:pPr>
      <w:r>
        <w:rPr>
          <w:rFonts w:hint="eastAsia" w:ascii="宋体" w:hAnsi="宋体" w:eastAsia="宋体" w:cs="宋体"/>
          <w:b/>
          <w:bCs/>
          <w:color w:val="auto"/>
          <w:kern w:val="0"/>
          <w:position w:val="6"/>
          <w:sz w:val="21"/>
          <w:szCs w:val="21"/>
          <w:highlight w:val="none"/>
          <w:lang w:val="en-US" w:eastAsia="zh-CN" w:bidi="ar"/>
        </w:rPr>
        <w:t>五、保修费用</w:t>
      </w:r>
    </w:p>
    <w:p w14:paraId="3FD1DBB9">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lang w:val="en-US" w:eastAsia="zh-CN" w:bidi="ar"/>
        </w:rPr>
        <w:t>保修费用由造成质量缺陷的责任方承担。</w:t>
      </w:r>
    </w:p>
    <w:p w14:paraId="2204D71E">
      <w:pPr>
        <w:keepNext w:val="0"/>
        <w:keepLines w:val="0"/>
        <w:widowControl/>
        <w:suppressLineNumbers w:val="0"/>
        <w:adjustRightInd w:val="0"/>
        <w:snapToGrid w:val="0"/>
        <w:spacing w:before="0" w:beforeAutospacing="0" w:after="0" w:afterAutospacing="0" w:line="360" w:lineRule="auto"/>
        <w:ind w:left="0" w:right="0" w:firstLine="422" w:firstLineChars="200"/>
        <w:jc w:val="left"/>
        <w:rPr>
          <w:rFonts w:hint="eastAsia" w:ascii="宋体" w:hAnsi="宋体" w:eastAsia="宋体" w:cs="宋体"/>
          <w:b/>
          <w:bCs w:val="0"/>
          <w:color w:val="auto"/>
          <w:kern w:val="2"/>
          <w:sz w:val="21"/>
          <w:szCs w:val="21"/>
          <w:highlight w:val="none"/>
        </w:rPr>
      </w:pPr>
      <w:r>
        <w:rPr>
          <w:rFonts w:hint="eastAsia" w:ascii="宋体" w:hAnsi="宋体" w:eastAsia="宋体" w:cs="宋体"/>
          <w:b/>
          <w:bCs/>
          <w:color w:val="auto"/>
          <w:kern w:val="0"/>
          <w:position w:val="6"/>
          <w:sz w:val="21"/>
          <w:szCs w:val="21"/>
          <w:highlight w:val="none"/>
          <w:lang w:val="en-US" w:eastAsia="zh-CN" w:bidi="ar"/>
        </w:rPr>
        <w:t>六、双方约定的其他工程质量保修事项：</w:t>
      </w:r>
      <w:r>
        <w:rPr>
          <w:rFonts w:hint="eastAsia" w:ascii="宋体" w:hAnsi="宋体" w:eastAsia="宋体" w:cs="宋体"/>
          <w:b/>
          <w:bCs w:val="0"/>
          <w:color w:val="auto"/>
          <w:kern w:val="2"/>
          <w:sz w:val="21"/>
          <w:szCs w:val="21"/>
          <w:highlight w:val="none"/>
          <w:u w:val="single"/>
          <w:lang w:val="en-US" w:eastAsia="zh-CN" w:bidi="ar"/>
        </w:rPr>
        <w:t xml:space="preserve">             </w:t>
      </w:r>
      <w:r>
        <w:rPr>
          <w:rFonts w:hint="eastAsia" w:ascii="宋体" w:hAnsi="宋体" w:eastAsia="宋体" w:cs="宋体"/>
          <w:b/>
          <w:bCs w:val="0"/>
          <w:color w:val="auto"/>
          <w:kern w:val="2"/>
          <w:sz w:val="21"/>
          <w:szCs w:val="21"/>
          <w:highlight w:val="none"/>
          <w:lang w:val="en-US" w:eastAsia="zh-CN" w:bidi="ar"/>
        </w:rPr>
        <w:t>。</w:t>
      </w:r>
    </w:p>
    <w:p w14:paraId="1BFFE4DE">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kern w:val="0"/>
          <w:position w:val="6"/>
          <w:sz w:val="21"/>
          <w:szCs w:val="21"/>
          <w:highlight w:val="none"/>
          <w:lang w:val="en-US" w:eastAsia="zh-CN" w:bidi="ar"/>
        </w:rPr>
      </w:pPr>
      <w:r>
        <w:rPr>
          <w:rFonts w:hint="eastAsia" w:ascii="宋体" w:hAnsi="宋体" w:eastAsia="宋体" w:cs="宋体"/>
          <w:color w:val="auto"/>
          <w:kern w:val="0"/>
          <w:position w:val="6"/>
          <w:sz w:val="21"/>
          <w:szCs w:val="21"/>
          <w:highlight w:val="none"/>
          <w:lang w:val="en-US" w:eastAsia="zh-CN" w:bidi="ar"/>
        </w:rPr>
        <w:t>本工程质量保修书，由施工合同发包人、承包人双方在竣工验收前共同签署，作为施工合同附件，其有效期限至保修期满。</w:t>
      </w:r>
    </w:p>
    <w:p w14:paraId="30001B9F">
      <w:pPr>
        <w:adjustRightInd w:val="0"/>
        <w:snapToGrid w:val="0"/>
        <w:spacing w:line="360" w:lineRule="auto"/>
        <w:ind w:firstLine="420"/>
        <w:rPr>
          <w:rFonts w:hint="eastAsia" w:ascii="宋体" w:hAnsi="宋体" w:cs="宋体"/>
          <w:color w:val="auto"/>
          <w:szCs w:val="21"/>
          <w:highlight w:val="none"/>
        </w:rPr>
      </w:pPr>
    </w:p>
    <w:p w14:paraId="793D9D16">
      <w:pPr>
        <w:adjustRightInd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发包人(公章)：</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承包人(公章)：</w:t>
      </w:r>
      <w:r>
        <w:rPr>
          <w:rFonts w:hint="eastAsia" w:ascii="宋体" w:hAnsi="宋体" w:cs="宋体"/>
          <w:color w:val="auto"/>
          <w:szCs w:val="21"/>
          <w:highlight w:val="none"/>
          <w:u w:val="single"/>
        </w:rPr>
        <w:t xml:space="preserve">           </w:t>
      </w:r>
    </w:p>
    <w:p w14:paraId="4FF4357D">
      <w:pPr>
        <w:adjustRightInd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xml:space="preserve">                  </w:t>
      </w:r>
    </w:p>
    <w:p w14:paraId="649B0361">
      <w:pPr>
        <w:adjustRightInd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法定代表人(签字)：</w:t>
      </w:r>
      <w:r>
        <w:rPr>
          <w:rFonts w:hint="eastAsia" w:ascii="宋体" w:hAnsi="宋体" w:cs="宋体"/>
          <w:color w:val="auto"/>
          <w:szCs w:val="21"/>
          <w:highlight w:val="none"/>
          <w:u w:val="single"/>
        </w:rPr>
        <w:t xml:space="preserve">           </w:t>
      </w:r>
    </w:p>
    <w:p w14:paraId="18A92D5C">
      <w:pPr>
        <w:adjustRightInd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委托代理人(签字)：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委托代理人(签字)：</w:t>
      </w:r>
      <w:r>
        <w:rPr>
          <w:rFonts w:hint="eastAsia" w:ascii="宋体" w:hAnsi="宋体" w:cs="宋体"/>
          <w:color w:val="auto"/>
          <w:szCs w:val="21"/>
          <w:highlight w:val="none"/>
          <w:u w:val="single"/>
        </w:rPr>
        <w:t xml:space="preserve">         </w:t>
      </w:r>
    </w:p>
    <w:p w14:paraId="7E541B29">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xml:space="preserve">                     </w:t>
      </w:r>
    </w:p>
    <w:p w14:paraId="06FFE4E4">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   </w:t>
      </w:r>
    </w:p>
    <w:p w14:paraId="415D220E">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p>
    <w:p w14:paraId="379C983C">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账  号：</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 xml:space="preserve">                     </w:t>
      </w:r>
    </w:p>
    <w:p w14:paraId="1CB88932">
      <w:pPr>
        <w:rPr>
          <w:color w:val="auto"/>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p>
    <w:p w14:paraId="2A2885E9">
      <w:pPr>
        <w:rPr>
          <w:rFonts w:hint="eastAsia" w:ascii="宋体" w:hAnsi="宋体" w:cs="宋体"/>
          <w:bCs/>
          <w:color w:val="auto"/>
          <w:sz w:val="24"/>
          <w:highlight w:val="none"/>
        </w:rPr>
      </w:pPr>
      <w:r>
        <w:rPr>
          <w:rFonts w:hint="eastAsia" w:ascii="宋体" w:hAnsi="宋体" w:cs="宋体"/>
          <w:bCs/>
          <w:color w:val="auto"/>
          <w:sz w:val="24"/>
          <w:highlight w:val="none"/>
        </w:rPr>
        <w:br w:type="page"/>
      </w:r>
    </w:p>
    <w:p w14:paraId="6AD25752">
      <w:pPr>
        <w:keepNext/>
        <w:keepLines/>
        <w:spacing w:before="120" w:after="120" w:line="360" w:lineRule="auto"/>
        <w:jc w:val="left"/>
        <w:outlineLvl w:val="2"/>
        <w:rPr>
          <w:rFonts w:hint="eastAsia" w:ascii="宋体" w:hAnsi="宋体" w:cs="宋体"/>
          <w:bCs/>
          <w:color w:val="auto"/>
          <w:sz w:val="24"/>
          <w:highlight w:val="none"/>
        </w:rPr>
      </w:pPr>
      <w:r>
        <w:rPr>
          <w:rFonts w:hint="eastAsia" w:ascii="宋体" w:hAnsi="宋体" w:cs="宋体"/>
          <w:bCs/>
          <w:color w:val="auto"/>
          <w:sz w:val="24"/>
          <w:highlight w:val="none"/>
        </w:rPr>
        <w:t>附件</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：主要建设工程文件目录</w:t>
      </w:r>
      <w:bookmarkEnd w:id="922"/>
    </w:p>
    <w:p w14:paraId="2FF27E47">
      <w:pPr>
        <w:spacing w:before="120" w:beforeLines="50" w:after="120" w:afterLines="50"/>
        <w:jc w:val="center"/>
        <w:rPr>
          <w:rFonts w:hint="eastAsia" w:ascii="宋体" w:hAnsi="宋体" w:cs="宋体"/>
          <w:color w:val="auto"/>
          <w:szCs w:val="21"/>
          <w:highlight w:val="none"/>
        </w:rPr>
      </w:pPr>
      <w:r>
        <w:rPr>
          <w:rFonts w:hint="eastAsia" w:ascii="宋体" w:hAnsi="宋体" w:cs="宋体"/>
          <w:color w:val="auto"/>
          <w:szCs w:val="21"/>
          <w:highlight w:val="none"/>
        </w:rPr>
        <w:t>主要建设工程文件目录</w:t>
      </w:r>
    </w:p>
    <w:tbl>
      <w:tblPr>
        <w:tblStyle w:val="4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4631D1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953" w:type="dxa"/>
            <w:tcBorders>
              <w:top w:val="single" w:color="auto" w:sz="12" w:space="0"/>
              <w:bottom w:val="double" w:color="auto" w:sz="6" w:space="0"/>
            </w:tcBorders>
            <w:noWrap w:val="0"/>
            <w:vAlign w:val="center"/>
          </w:tcPr>
          <w:p w14:paraId="01326C7D">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文件名称</w:t>
            </w:r>
          </w:p>
        </w:tc>
        <w:tc>
          <w:tcPr>
            <w:tcW w:w="1276" w:type="dxa"/>
            <w:tcBorders>
              <w:top w:val="single" w:color="auto" w:sz="12" w:space="0"/>
              <w:bottom w:val="double" w:color="auto" w:sz="6" w:space="0"/>
            </w:tcBorders>
            <w:noWrap w:val="0"/>
            <w:vAlign w:val="center"/>
          </w:tcPr>
          <w:p w14:paraId="3C63DD06">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套数</w:t>
            </w:r>
          </w:p>
        </w:tc>
        <w:tc>
          <w:tcPr>
            <w:tcW w:w="1450" w:type="dxa"/>
            <w:tcBorders>
              <w:top w:val="single" w:color="auto" w:sz="12" w:space="0"/>
              <w:bottom w:val="double" w:color="auto" w:sz="6" w:space="0"/>
            </w:tcBorders>
            <w:noWrap w:val="0"/>
            <w:vAlign w:val="center"/>
          </w:tcPr>
          <w:p w14:paraId="6629B0B3">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费用（元）</w:t>
            </w:r>
          </w:p>
        </w:tc>
        <w:tc>
          <w:tcPr>
            <w:tcW w:w="1243" w:type="dxa"/>
            <w:tcBorders>
              <w:top w:val="single" w:color="auto" w:sz="12" w:space="0"/>
              <w:bottom w:val="double" w:color="auto" w:sz="6" w:space="0"/>
            </w:tcBorders>
            <w:noWrap w:val="0"/>
            <w:vAlign w:val="center"/>
          </w:tcPr>
          <w:p w14:paraId="4AFE535F">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质量</w:t>
            </w:r>
          </w:p>
        </w:tc>
        <w:tc>
          <w:tcPr>
            <w:tcW w:w="1450" w:type="dxa"/>
            <w:tcBorders>
              <w:top w:val="single" w:color="auto" w:sz="12" w:space="0"/>
              <w:bottom w:val="double" w:color="auto" w:sz="6" w:space="0"/>
            </w:tcBorders>
            <w:noWrap w:val="0"/>
            <w:vAlign w:val="top"/>
          </w:tcPr>
          <w:p w14:paraId="5C713BBD">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移交时间</w:t>
            </w:r>
          </w:p>
        </w:tc>
        <w:tc>
          <w:tcPr>
            <w:tcW w:w="1667" w:type="dxa"/>
            <w:tcBorders>
              <w:top w:val="single" w:color="auto" w:sz="12" w:space="0"/>
              <w:bottom w:val="double" w:color="auto" w:sz="6" w:space="0"/>
            </w:tcBorders>
            <w:noWrap w:val="0"/>
            <w:vAlign w:val="top"/>
          </w:tcPr>
          <w:p w14:paraId="69B82739">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责任人</w:t>
            </w:r>
          </w:p>
        </w:tc>
      </w:tr>
      <w:tr w14:paraId="0D8132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double" w:color="auto" w:sz="6" w:space="0"/>
            </w:tcBorders>
            <w:noWrap w:val="0"/>
            <w:vAlign w:val="center"/>
          </w:tcPr>
          <w:p w14:paraId="5641AF4E">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276" w:type="dxa"/>
            <w:tcBorders>
              <w:top w:val="double" w:color="auto" w:sz="6" w:space="0"/>
            </w:tcBorders>
            <w:noWrap w:val="0"/>
            <w:vAlign w:val="center"/>
          </w:tcPr>
          <w:p w14:paraId="59AE4482">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450" w:type="dxa"/>
            <w:tcBorders>
              <w:top w:val="double" w:color="auto" w:sz="6" w:space="0"/>
            </w:tcBorders>
            <w:noWrap w:val="0"/>
            <w:vAlign w:val="center"/>
          </w:tcPr>
          <w:p w14:paraId="07785DF1">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243" w:type="dxa"/>
            <w:tcBorders>
              <w:top w:val="double" w:color="auto" w:sz="6" w:space="0"/>
            </w:tcBorders>
            <w:noWrap w:val="0"/>
            <w:vAlign w:val="center"/>
          </w:tcPr>
          <w:p w14:paraId="09AA1961">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450" w:type="dxa"/>
            <w:tcBorders>
              <w:top w:val="double" w:color="auto" w:sz="6" w:space="0"/>
            </w:tcBorders>
            <w:noWrap w:val="0"/>
            <w:vAlign w:val="center"/>
          </w:tcPr>
          <w:p w14:paraId="6433DCA4">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667" w:type="dxa"/>
            <w:tcBorders>
              <w:top w:val="double" w:color="auto" w:sz="6" w:space="0"/>
            </w:tcBorders>
            <w:noWrap w:val="0"/>
            <w:vAlign w:val="center"/>
          </w:tcPr>
          <w:p w14:paraId="0744B172">
            <w:pPr>
              <w:keepNext/>
              <w:keepLines w:val="0"/>
              <w:suppressLineNumbers w:val="0"/>
              <w:spacing w:before="0" w:beforeAutospacing="0" w:after="0" w:afterAutospacing="0"/>
              <w:ind w:left="0" w:right="0"/>
              <w:rPr>
                <w:rFonts w:hint="eastAsia" w:ascii="宋体" w:hAnsi="宋体" w:cs="宋体"/>
                <w:color w:val="auto"/>
                <w:szCs w:val="21"/>
                <w:highlight w:val="none"/>
              </w:rPr>
            </w:pPr>
          </w:p>
        </w:tc>
      </w:tr>
      <w:tr w14:paraId="4ABEA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nil"/>
            </w:tcBorders>
            <w:noWrap w:val="0"/>
            <w:vAlign w:val="center"/>
          </w:tcPr>
          <w:p w14:paraId="461B421A">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276" w:type="dxa"/>
            <w:tcBorders>
              <w:top w:val="nil"/>
            </w:tcBorders>
            <w:noWrap w:val="0"/>
            <w:vAlign w:val="center"/>
          </w:tcPr>
          <w:p w14:paraId="03A51E32">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450" w:type="dxa"/>
            <w:tcBorders>
              <w:top w:val="nil"/>
            </w:tcBorders>
            <w:noWrap w:val="0"/>
            <w:vAlign w:val="center"/>
          </w:tcPr>
          <w:p w14:paraId="7B07B9D8">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243" w:type="dxa"/>
            <w:tcBorders>
              <w:top w:val="nil"/>
            </w:tcBorders>
            <w:noWrap w:val="0"/>
            <w:vAlign w:val="center"/>
          </w:tcPr>
          <w:p w14:paraId="204EE9C5">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450" w:type="dxa"/>
            <w:tcBorders>
              <w:top w:val="nil"/>
            </w:tcBorders>
            <w:noWrap w:val="0"/>
            <w:vAlign w:val="center"/>
          </w:tcPr>
          <w:p w14:paraId="5CF6E9B4">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667" w:type="dxa"/>
            <w:tcBorders>
              <w:top w:val="nil"/>
            </w:tcBorders>
            <w:noWrap w:val="0"/>
            <w:vAlign w:val="center"/>
          </w:tcPr>
          <w:p w14:paraId="6F747FDD">
            <w:pPr>
              <w:keepNext/>
              <w:keepLines w:val="0"/>
              <w:suppressLineNumbers w:val="0"/>
              <w:spacing w:before="0" w:beforeAutospacing="0" w:after="0" w:afterAutospacing="0"/>
              <w:ind w:left="0" w:right="0"/>
              <w:rPr>
                <w:rFonts w:hint="eastAsia" w:ascii="宋体" w:hAnsi="宋体" w:cs="宋体"/>
                <w:color w:val="auto"/>
                <w:szCs w:val="21"/>
                <w:highlight w:val="none"/>
              </w:rPr>
            </w:pPr>
          </w:p>
        </w:tc>
      </w:tr>
      <w:tr w14:paraId="19CE37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186D378F">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276" w:type="dxa"/>
            <w:noWrap w:val="0"/>
            <w:vAlign w:val="top"/>
          </w:tcPr>
          <w:p w14:paraId="276635EB">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50" w:type="dxa"/>
            <w:noWrap w:val="0"/>
            <w:vAlign w:val="top"/>
          </w:tcPr>
          <w:p w14:paraId="3ECC46B8">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243" w:type="dxa"/>
            <w:noWrap w:val="0"/>
            <w:vAlign w:val="top"/>
          </w:tcPr>
          <w:p w14:paraId="750CC424">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50" w:type="dxa"/>
            <w:noWrap w:val="0"/>
            <w:vAlign w:val="top"/>
          </w:tcPr>
          <w:p w14:paraId="30AA16D4">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667" w:type="dxa"/>
            <w:noWrap w:val="0"/>
            <w:vAlign w:val="top"/>
          </w:tcPr>
          <w:p w14:paraId="5115C585">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14:paraId="38FD83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5CF648C3">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276" w:type="dxa"/>
            <w:noWrap w:val="0"/>
            <w:vAlign w:val="top"/>
          </w:tcPr>
          <w:p w14:paraId="6759918A">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50" w:type="dxa"/>
            <w:noWrap w:val="0"/>
            <w:vAlign w:val="top"/>
          </w:tcPr>
          <w:p w14:paraId="01F6BFD0">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243" w:type="dxa"/>
            <w:noWrap w:val="0"/>
            <w:vAlign w:val="top"/>
          </w:tcPr>
          <w:p w14:paraId="2C85DFB3">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50" w:type="dxa"/>
            <w:noWrap w:val="0"/>
            <w:vAlign w:val="top"/>
          </w:tcPr>
          <w:p w14:paraId="66358DD8">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667" w:type="dxa"/>
            <w:noWrap w:val="0"/>
            <w:vAlign w:val="top"/>
          </w:tcPr>
          <w:p w14:paraId="6718F284">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14:paraId="37B556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bottom w:val="single" w:color="auto" w:sz="12" w:space="0"/>
            </w:tcBorders>
            <w:noWrap w:val="0"/>
            <w:vAlign w:val="top"/>
          </w:tcPr>
          <w:p w14:paraId="23A9FD5C">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276" w:type="dxa"/>
            <w:tcBorders>
              <w:bottom w:val="single" w:color="auto" w:sz="12" w:space="0"/>
            </w:tcBorders>
            <w:noWrap w:val="0"/>
            <w:vAlign w:val="top"/>
          </w:tcPr>
          <w:p w14:paraId="5A7B34A2">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50" w:type="dxa"/>
            <w:tcBorders>
              <w:bottom w:val="single" w:color="auto" w:sz="12" w:space="0"/>
            </w:tcBorders>
            <w:noWrap w:val="0"/>
            <w:vAlign w:val="top"/>
          </w:tcPr>
          <w:p w14:paraId="3E476A3A">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243" w:type="dxa"/>
            <w:tcBorders>
              <w:bottom w:val="single" w:color="auto" w:sz="12" w:space="0"/>
            </w:tcBorders>
            <w:noWrap w:val="0"/>
            <w:vAlign w:val="top"/>
          </w:tcPr>
          <w:p w14:paraId="54A61970">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50" w:type="dxa"/>
            <w:tcBorders>
              <w:bottom w:val="single" w:color="auto" w:sz="12" w:space="0"/>
            </w:tcBorders>
            <w:noWrap w:val="0"/>
            <w:vAlign w:val="top"/>
          </w:tcPr>
          <w:p w14:paraId="7020E8BF">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667" w:type="dxa"/>
            <w:tcBorders>
              <w:bottom w:val="single" w:color="auto" w:sz="12" w:space="0"/>
            </w:tcBorders>
            <w:noWrap w:val="0"/>
            <w:vAlign w:val="top"/>
          </w:tcPr>
          <w:p w14:paraId="77F8A887">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bl>
    <w:p w14:paraId="2E23B826">
      <w:pPr>
        <w:rPr>
          <w:rFonts w:hint="eastAsia" w:ascii="宋体" w:hAnsi="宋体" w:cs="宋体"/>
          <w:color w:val="auto"/>
          <w:szCs w:val="21"/>
          <w:highlight w:val="none"/>
        </w:rPr>
      </w:pPr>
    </w:p>
    <w:p w14:paraId="6E3FDEB0">
      <w:pPr>
        <w:keepNext/>
        <w:keepLines/>
        <w:spacing w:before="120" w:after="120" w:line="360" w:lineRule="auto"/>
        <w:jc w:val="left"/>
        <w:outlineLvl w:val="2"/>
        <w:rPr>
          <w:rFonts w:hint="eastAsia" w:ascii="宋体" w:hAnsi="宋体" w:cs="宋体"/>
          <w:bCs/>
          <w:color w:val="auto"/>
          <w:sz w:val="24"/>
          <w:highlight w:val="none"/>
        </w:rPr>
      </w:pPr>
      <w:bookmarkStart w:id="930" w:name="_Toc95223491"/>
      <w:r>
        <w:rPr>
          <w:rFonts w:hint="eastAsia" w:ascii="宋体" w:hAnsi="宋体" w:cs="宋体"/>
          <w:bCs/>
          <w:color w:val="auto"/>
          <w:sz w:val="24"/>
          <w:highlight w:val="none"/>
        </w:rPr>
        <w:t>附</w:t>
      </w:r>
      <w:bookmarkStart w:id="931" w:name="_Toc296944566"/>
      <w:bookmarkStart w:id="932" w:name="_Toc296347226"/>
      <w:bookmarkStart w:id="933" w:name="_Toc267261698"/>
      <w:bookmarkStart w:id="934" w:name="_Toc296503227"/>
      <w:bookmarkStart w:id="935" w:name="_Toc296891267"/>
      <w:bookmarkStart w:id="936" w:name="_Toc296891055"/>
      <w:bookmarkStart w:id="937" w:name="_Toc296346728"/>
      <w:r>
        <w:rPr>
          <w:rFonts w:hint="eastAsia" w:ascii="宋体" w:hAnsi="宋体" w:cs="宋体"/>
          <w:bCs/>
          <w:color w:val="auto"/>
          <w:sz w:val="24"/>
          <w:highlight w:val="none"/>
        </w:rPr>
        <w:t>件</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：承包人用于本工程施工的机械设备表</w:t>
      </w:r>
      <w:bookmarkEnd w:id="930"/>
    </w:p>
    <w:bookmarkEnd w:id="931"/>
    <w:bookmarkEnd w:id="932"/>
    <w:bookmarkEnd w:id="933"/>
    <w:bookmarkEnd w:id="934"/>
    <w:bookmarkEnd w:id="935"/>
    <w:bookmarkEnd w:id="936"/>
    <w:bookmarkEnd w:id="937"/>
    <w:p w14:paraId="6CEC47E5">
      <w:pPr>
        <w:spacing w:before="120" w:beforeLines="50" w:after="120" w:afterLines="50"/>
        <w:jc w:val="center"/>
        <w:rPr>
          <w:rFonts w:hint="eastAsia" w:ascii="宋体" w:hAnsi="宋体" w:cs="宋体"/>
          <w:color w:val="auto"/>
          <w:szCs w:val="21"/>
          <w:highlight w:val="none"/>
        </w:rPr>
      </w:pPr>
      <w:r>
        <w:rPr>
          <w:rFonts w:hint="eastAsia" w:ascii="宋体" w:hAnsi="宋体" w:cs="宋体"/>
          <w:color w:val="auto"/>
          <w:szCs w:val="21"/>
          <w:highlight w:val="none"/>
        </w:rPr>
        <w:t>承包人用于本工程施工的机械设备表</w:t>
      </w:r>
    </w:p>
    <w:tbl>
      <w:tblPr>
        <w:tblStyle w:val="46"/>
        <w:tblW w:w="895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7"/>
        <w:gridCol w:w="1418"/>
        <w:gridCol w:w="850"/>
        <w:gridCol w:w="709"/>
        <w:gridCol w:w="850"/>
        <w:gridCol w:w="963"/>
        <w:gridCol w:w="1480"/>
        <w:gridCol w:w="1020"/>
        <w:gridCol w:w="932"/>
      </w:tblGrid>
      <w:tr w14:paraId="592D00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37" w:type="dxa"/>
            <w:tcBorders>
              <w:top w:val="single" w:color="auto" w:sz="12" w:space="0"/>
              <w:bottom w:val="double" w:color="auto" w:sz="6" w:space="0"/>
            </w:tcBorders>
            <w:noWrap w:val="0"/>
            <w:vAlign w:val="center"/>
          </w:tcPr>
          <w:p w14:paraId="5F423480">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418" w:type="dxa"/>
            <w:tcBorders>
              <w:top w:val="single" w:color="auto" w:sz="12" w:space="0"/>
              <w:bottom w:val="double" w:color="auto" w:sz="6" w:space="0"/>
            </w:tcBorders>
            <w:noWrap w:val="0"/>
            <w:vAlign w:val="center"/>
          </w:tcPr>
          <w:p w14:paraId="753B4202">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机械或设备名称</w:t>
            </w:r>
          </w:p>
        </w:tc>
        <w:tc>
          <w:tcPr>
            <w:tcW w:w="850" w:type="dxa"/>
            <w:tcBorders>
              <w:top w:val="single" w:color="auto" w:sz="12" w:space="0"/>
              <w:bottom w:val="double" w:color="auto" w:sz="6" w:space="0"/>
            </w:tcBorders>
            <w:noWrap w:val="0"/>
            <w:vAlign w:val="center"/>
          </w:tcPr>
          <w:p w14:paraId="7B98DF6D">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规格型号</w:t>
            </w:r>
          </w:p>
        </w:tc>
        <w:tc>
          <w:tcPr>
            <w:tcW w:w="709" w:type="dxa"/>
            <w:tcBorders>
              <w:top w:val="single" w:color="auto" w:sz="12" w:space="0"/>
              <w:bottom w:val="double" w:color="auto" w:sz="6" w:space="0"/>
            </w:tcBorders>
            <w:noWrap w:val="0"/>
            <w:vAlign w:val="center"/>
          </w:tcPr>
          <w:p w14:paraId="2519C85F">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850" w:type="dxa"/>
            <w:tcBorders>
              <w:top w:val="single" w:color="auto" w:sz="12" w:space="0"/>
              <w:bottom w:val="double" w:color="auto" w:sz="6" w:space="0"/>
            </w:tcBorders>
            <w:noWrap w:val="0"/>
            <w:vAlign w:val="center"/>
          </w:tcPr>
          <w:p w14:paraId="194C7560">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产地</w:t>
            </w:r>
          </w:p>
        </w:tc>
        <w:tc>
          <w:tcPr>
            <w:tcW w:w="963" w:type="dxa"/>
            <w:tcBorders>
              <w:top w:val="single" w:color="auto" w:sz="12" w:space="0"/>
              <w:bottom w:val="double" w:color="auto" w:sz="6" w:space="0"/>
            </w:tcBorders>
            <w:noWrap w:val="0"/>
            <w:vAlign w:val="center"/>
          </w:tcPr>
          <w:p w14:paraId="5E267337">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制造年份</w:t>
            </w:r>
          </w:p>
        </w:tc>
        <w:tc>
          <w:tcPr>
            <w:tcW w:w="1480" w:type="dxa"/>
            <w:tcBorders>
              <w:top w:val="single" w:color="auto" w:sz="12" w:space="0"/>
              <w:bottom w:val="double" w:color="auto" w:sz="6" w:space="0"/>
            </w:tcBorders>
            <w:noWrap w:val="0"/>
            <w:vAlign w:val="center"/>
          </w:tcPr>
          <w:p w14:paraId="65CF92CE">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额定功率(kW)</w:t>
            </w:r>
          </w:p>
        </w:tc>
        <w:tc>
          <w:tcPr>
            <w:tcW w:w="1020" w:type="dxa"/>
            <w:tcBorders>
              <w:top w:val="single" w:color="auto" w:sz="12" w:space="0"/>
              <w:bottom w:val="double" w:color="auto" w:sz="6" w:space="0"/>
            </w:tcBorders>
            <w:noWrap w:val="0"/>
            <w:vAlign w:val="center"/>
          </w:tcPr>
          <w:p w14:paraId="1F8029E7">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生产能力</w:t>
            </w:r>
          </w:p>
        </w:tc>
        <w:tc>
          <w:tcPr>
            <w:tcW w:w="932" w:type="dxa"/>
            <w:tcBorders>
              <w:top w:val="single" w:color="auto" w:sz="12" w:space="0"/>
              <w:bottom w:val="double" w:color="auto" w:sz="6" w:space="0"/>
            </w:tcBorders>
            <w:noWrap w:val="0"/>
            <w:vAlign w:val="center"/>
          </w:tcPr>
          <w:p w14:paraId="22DFD0ED">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482AE3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tcBorders>
              <w:top w:val="double" w:color="auto" w:sz="6" w:space="0"/>
            </w:tcBorders>
            <w:noWrap w:val="0"/>
            <w:vAlign w:val="center"/>
          </w:tcPr>
          <w:p w14:paraId="06C0EC82">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418" w:type="dxa"/>
            <w:tcBorders>
              <w:top w:val="double" w:color="auto" w:sz="6" w:space="0"/>
            </w:tcBorders>
            <w:noWrap w:val="0"/>
            <w:vAlign w:val="center"/>
          </w:tcPr>
          <w:p w14:paraId="787EA274">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850" w:type="dxa"/>
            <w:tcBorders>
              <w:top w:val="double" w:color="auto" w:sz="6" w:space="0"/>
            </w:tcBorders>
            <w:noWrap w:val="0"/>
            <w:vAlign w:val="center"/>
          </w:tcPr>
          <w:p w14:paraId="4A037A4C">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709" w:type="dxa"/>
            <w:tcBorders>
              <w:top w:val="double" w:color="auto" w:sz="6" w:space="0"/>
            </w:tcBorders>
            <w:noWrap w:val="0"/>
            <w:vAlign w:val="center"/>
          </w:tcPr>
          <w:p w14:paraId="7F6D16C3">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850" w:type="dxa"/>
            <w:tcBorders>
              <w:top w:val="double" w:color="auto" w:sz="6" w:space="0"/>
            </w:tcBorders>
            <w:noWrap w:val="0"/>
            <w:vAlign w:val="center"/>
          </w:tcPr>
          <w:p w14:paraId="4E302225">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963" w:type="dxa"/>
            <w:tcBorders>
              <w:top w:val="double" w:color="auto" w:sz="6" w:space="0"/>
            </w:tcBorders>
            <w:noWrap w:val="0"/>
            <w:vAlign w:val="center"/>
          </w:tcPr>
          <w:p w14:paraId="78AD8A72">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480" w:type="dxa"/>
            <w:tcBorders>
              <w:top w:val="double" w:color="auto" w:sz="6" w:space="0"/>
            </w:tcBorders>
            <w:noWrap w:val="0"/>
            <w:vAlign w:val="center"/>
          </w:tcPr>
          <w:p w14:paraId="75782F54">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020" w:type="dxa"/>
            <w:tcBorders>
              <w:top w:val="double" w:color="auto" w:sz="6" w:space="0"/>
            </w:tcBorders>
            <w:noWrap w:val="0"/>
            <w:vAlign w:val="center"/>
          </w:tcPr>
          <w:p w14:paraId="2DFD83A0">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932" w:type="dxa"/>
            <w:tcBorders>
              <w:top w:val="double" w:color="auto" w:sz="6" w:space="0"/>
            </w:tcBorders>
            <w:noWrap w:val="0"/>
            <w:vAlign w:val="center"/>
          </w:tcPr>
          <w:p w14:paraId="31EA2E29">
            <w:pPr>
              <w:keepNext/>
              <w:keepLines w:val="0"/>
              <w:suppressLineNumbers w:val="0"/>
              <w:spacing w:before="0" w:beforeAutospacing="0" w:after="0" w:afterAutospacing="0"/>
              <w:ind w:left="0" w:right="0"/>
              <w:rPr>
                <w:rFonts w:hint="eastAsia" w:ascii="宋体" w:hAnsi="宋体" w:cs="宋体"/>
                <w:color w:val="auto"/>
                <w:szCs w:val="21"/>
                <w:highlight w:val="none"/>
              </w:rPr>
            </w:pPr>
          </w:p>
        </w:tc>
      </w:tr>
      <w:tr w14:paraId="2B773E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tcBorders>
              <w:top w:val="nil"/>
            </w:tcBorders>
            <w:noWrap w:val="0"/>
            <w:vAlign w:val="center"/>
          </w:tcPr>
          <w:p w14:paraId="4F072B68">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418" w:type="dxa"/>
            <w:tcBorders>
              <w:top w:val="nil"/>
            </w:tcBorders>
            <w:noWrap w:val="0"/>
            <w:vAlign w:val="center"/>
          </w:tcPr>
          <w:p w14:paraId="539B7EEF">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850" w:type="dxa"/>
            <w:tcBorders>
              <w:top w:val="nil"/>
            </w:tcBorders>
            <w:noWrap w:val="0"/>
            <w:vAlign w:val="center"/>
          </w:tcPr>
          <w:p w14:paraId="1039B45A">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709" w:type="dxa"/>
            <w:tcBorders>
              <w:top w:val="nil"/>
            </w:tcBorders>
            <w:noWrap w:val="0"/>
            <w:vAlign w:val="center"/>
          </w:tcPr>
          <w:p w14:paraId="605348DB">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850" w:type="dxa"/>
            <w:tcBorders>
              <w:top w:val="nil"/>
            </w:tcBorders>
            <w:noWrap w:val="0"/>
            <w:vAlign w:val="center"/>
          </w:tcPr>
          <w:p w14:paraId="2546E11B">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963" w:type="dxa"/>
            <w:tcBorders>
              <w:top w:val="nil"/>
            </w:tcBorders>
            <w:noWrap w:val="0"/>
            <w:vAlign w:val="center"/>
          </w:tcPr>
          <w:p w14:paraId="2414940A">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480" w:type="dxa"/>
            <w:tcBorders>
              <w:top w:val="nil"/>
            </w:tcBorders>
            <w:noWrap w:val="0"/>
            <w:vAlign w:val="center"/>
          </w:tcPr>
          <w:p w14:paraId="3AD7AD45">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020" w:type="dxa"/>
            <w:tcBorders>
              <w:top w:val="nil"/>
            </w:tcBorders>
            <w:noWrap w:val="0"/>
            <w:vAlign w:val="center"/>
          </w:tcPr>
          <w:p w14:paraId="5E226135">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932" w:type="dxa"/>
            <w:tcBorders>
              <w:top w:val="nil"/>
            </w:tcBorders>
            <w:noWrap w:val="0"/>
            <w:vAlign w:val="center"/>
          </w:tcPr>
          <w:p w14:paraId="79370F79">
            <w:pPr>
              <w:keepNext/>
              <w:keepLines w:val="0"/>
              <w:suppressLineNumbers w:val="0"/>
              <w:spacing w:before="0" w:beforeAutospacing="0" w:after="0" w:afterAutospacing="0"/>
              <w:ind w:left="0" w:right="0"/>
              <w:rPr>
                <w:rFonts w:hint="eastAsia" w:ascii="宋体" w:hAnsi="宋体" w:cs="宋体"/>
                <w:color w:val="auto"/>
                <w:szCs w:val="21"/>
                <w:highlight w:val="none"/>
              </w:rPr>
            </w:pPr>
          </w:p>
        </w:tc>
      </w:tr>
      <w:tr w14:paraId="560963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noWrap w:val="0"/>
            <w:vAlign w:val="top"/>
          </w:tcPr>
          <w:p w14:paraId="2E5DD079">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18" w:type="dxa"/>
            <w:noWrap w:val="0"/>
            <w:vAlign w:val="top"/>
          </w:tcPr>
          <w:p w14:paraId="2A0A19E6">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850" w:type="dxa"/>
            <w:noWrap w:val="0"/>
            <w:vAlign w:val="top"/>
          </w:tcPr>
          <w:p w14:paraId="09FACC45">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709" w:type="dxa"/>
            <w:noWrap w:val="0"/>
            <w:vAlign w:val="top"/>
          </w:tcPr>
          <w:p w14:paraId="5DDEE3DD">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850" w:type="dxa"/>
            <w:noWrap w:val="0"/>
            <w:vAlign w:val="top"/>
          </w:tcPr>
          <w:p w14:paraId="178DE745">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963" w:type="dxa"/>
            <w:noWrap w:val="0"/>
            <w:vAlign w:val="top"/>
          </w:tcPr>
          <w:p w14:paraId="7D40C506">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80" w:type="dxa"/>
            <w:noWrap w:val="0"/>
            <w:vAlign w:val="top"/>
          </w:tcPr>
          <w:p w14:paraId="2D11C2F1">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020" w:type="dxa"/>
            <w:noWrap w:val="0"/>
            <w:vAlign w:val="top"/>
          </w:tcPr>
          <w:p w14:paraId="22C17353">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932" w:type="dxa"/>
            <w:noWrap w:val="0"/>
            <w:vAlign w:val="top"/>
          </w:tcPr>
          <w:p w14:paraId="6C2C5947">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14:paraId="457B9D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noWrap w:val="0"/>
            <w:vAlign w:val="top"/>
          </w:tcPr>
          <w:p w14:paraId="0D22E5C0">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18" w:type="dxa"/>
            <w:noWrap w:val="0"/>
            <w:vAlign w:val="top"/>
          </w:tcPr>
          <w:p w14:paraId="7D71505F">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850" w:type="dxa"/>
            <w:noWrap w:val="0"/>
            <w:vAlign w:val="top"/>
          </w:tcPr>
          <w:p w14:paraId="74AF76CC">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709" w:type="dxa"/>
            <w:noWrap w:val="0"/>
            <w:vAlign w:val="top"/>
          </w:tcPr>
          <w:p w14:paraId="40D7B7DB">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850" w:type="dxa"/>
            <w:noWrap w:val="0"/>
            <w:vAlign w:val="top"/>
          </w:tcPr>
          <w:p w14:paraId="4562DCC6">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963" w:type="dxa"/>
            <w:noWrap w:val="0"/>
            <w:vAlign w:val="top"/>
          </w:tcPr>
          <w:p w14:paraId="3334E94B">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80" w:type="dxa"/>
            <w:noWrap w:val="0"/>
            <w:vAlign w:val="top"/>
          </w:tcPr>
          <w:p w14:paraId="0F25EFA1">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020" w:type="dxa"/>
            <w:noWrap w:val="0"/>
            <w:vAlign w:val="top"/>
          </w:tcPr>
          <w:p w14:paraId="3C5EBED7">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932" w:type="dxa"/>
            <w:noWrap w:val="0"/>
            <w:vAlign w:val="top"/>
          </w:tcPr>
          <w:p w14:paraId="72057E5B">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14:paraId="6DDE6C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tcBorders>
              <w:bottom w:val="single" w:color="auto" w:sz="12" w:space="0"/>
            </w:tcBorders>
            <w:noWrap w:val="0"/>
            <w:vAlign w:val="top"/>
          </w:tcPr>
          <w:p w14:paraId="779AA3DF">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18" w:type="dxa"/>
            <w:tcBorders>
              <w:bottom w:val="single" w:color="auto" w:sz="12" w:space="0"/>
            </w:tcBorders>
            <w:noWrap w:val="0"/>
            <w:vAlign w:val="top"/>
          </w:tcPr>
          <w:p w14:paraId="368BA419">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850" w:type="dxa"/>
            <w:tcBorders>
              <w:bottom w:val="single" w:color="auto" w:sz="12" w:space="0"/>
            </w:tcBorders>
            <w:noWrap w:val="0"/>
            <w:vAlign w:val="top"/>
          </w:tcPr>
          <w:p w14:paraId="66B0EA31">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709" w:type="dxa"/>
            <w:tcBorders>
              <w:bottom w:val="single" w:color="auto" w:sz="12" w:space="0"/>
            </w:tcBorders>
            <w:noWrap w:val="0"/>
            <w:vAlign w:val="top"/>
          </w:tcPr>
          <w:p w14:paraId="01CE7BFE">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850" w:type="dxa"/>
            <w:tcBorders>
              <w:bottom w:val="single" w:color="auto" w:sz="12" w:space="0"/>
            </w:tcBorders>
            <w:noWrap w:val="0"/>
            <w:vAlign w:val="top"/>
          </w:tcPr>
          <w:p w14:paraId="75907B3F">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963" w:type="dxa"/>
            <w:tcBorders>
              <w:bottom w:val="single" w:color="auto" w:sz="12" w:space="0"/>
            </w:tcBorders>
            <w:noWrap w:val="0"/>
            <w:vAlign w:val="top"/>
          </w:tcPr>
          <w:p w14:paraId="5C9D2168">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80" w:type="dxa"/>
            <w:tcBorders>
              <w:bottom w:val="single" w:color="auto" w:sz="12" w:space="0"/>
            </w:tcBorders>
            <w:noWrap w:val="0"/>
            <w:vAlign w:val="top"/>
          </w:tcPr>
          <w:p w14:paraId="2C5B8B7B">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020" w:type="dxa"/>
            <w:tcBorders>
              <w:bottom w:val="single" w:color="auto" w:sz="12" w:space="0"/>
            </w:tcBorders>
            <w:noWrap w:val="0"/>
            <w:vAlign w:val="top"/>
          </w:tcPr>
          <w:p w14:paraId="250967E7">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932" w:type="dxa"/>
            <w:tcBorders>
              <w:bottom w:val="single" w:color="auto" w:sz="12" w:space="0"/>
            </w:tcBorders>
            <w:noWrap w:val="0"/>
            <w:vAlign w:val="top"/>
          </w:tcPr>
          <w:p w14:paraId="193D3BC5">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bl>
    <w:p w14:paraId="61FA4BB7">
      <w:pPr>
        <w:rPr>
          <w:rFonts w:hint="eastAsia" w:ascii="宋体" w:hAnsi="宋体" w:cs="宋体"/>
          <w:color w:val="auto"/>
          <w:szCs w:val="21"/>
          <w:highlight w:val="none"/>
        </w:rPr>
      </w:pPr>
    </w:p>
    <w:p w14:paraId="06804B52">
      <w:pPr>
        <w:widowControl/>
        <w:spacing w:line="360" w:lineRule="auto"/>
        <w:jc w:val="center"/>
        <w:rPr>
          <w:rFonts w:hint="eastAsia" w:ascii="宋体" w:hAnsi="宋体" w:cs="宋体"/>
          <w:color w:val="auto"/>
          <w:sz w:val="24"/>
          <w:highlight w:val="none"/>
        </w:rPr>
      </w:pPr>
      <w:r>
        <w:rPr>
          <w:rFonts w:hint="eastAsia" w:ascii="宋体" w:hAnsi="宋体" w:cs="宋体"/>
          <w:color w:val="auto"/>
          <w:szCs w:val="21"/>
          <w:highlight w:val="none"/>
        </w:rPr>
        <w:br w:type="page"/>
      </w:r>
    </w:p>
    <w:p w14:paraId="714CD14E">
      <w:pPr>
        <w:keepNext/>
        <w:keepLines/>
        <w:spacing w:before="120" w:after="120" w:line="360" w:lineRule="auto"/>
        <w:jc w:val="left"/>
        <w:outlineLvl w:val="2"/>
        <w:rPr>
          <w:rFonts w:hint="eastAsia" w:ascii="宋体" w:hAnsi="宋体" w:cs="宋体"/>
          <w:bCs/>
          <w:color w:val="auto"/>
          <w:sz w:val="24"/>
          <w:highlight w:val="none"/>
        </w:rPr>
      </w:pPr>
      <w:bookmarkStart w:id="938" w:name="_Toc95223492"/>
      <w:r>
        <w:rPr>
          <w:rFonts w:hint="eastAsia" w:ascii="宋体" w:hAnsi="宋体" w:cs="宋体"/>
          <w:bCs/>
          <w:color w:val="auto"/>
          <w:sz w:val="24"/>
          <w:highlight w:val="none"/>
        </w:rPr>
        <w:t>附</w:t>
      </w:r>
      <w:bookmarkStart w:id="939" w:name="_Toc267261699"/>
      <w:bookmarkStart w:id="940" w:name="_Toc296944567"/>
      <w:bookmarkStart w:id="941" w:name="_Toc296347227"/>
      <w:bookmarkStart w:id="942" w:name="_Toc296891056"/>
      <w:bookmarkStart w:id="943" w:name="_Toc296503228"/>
      <w:bookmarkStart w:id="944" w:name="_Toc296346729"/>
      <w:bookmarkStart w:id="945" w:name="_Toc296891268"/>
      <w:r>
        <w:rPr>
          <w:rFonts w:hint="eastAsia" w:ascii="宋体" w:hAnsi="宋体" w:cs="宋体"/>
          <w:bCs/>
          <w:color w:val="auto"/>
          <w:sz w:val="24"/>
          <w:highlight w:val="none"/>
        </w:rPr>
        <w:t>件</w:t>
      </w:r>
      <w:bookmarkEnd w:id="939"/>
      <w:bookmarkEnd w:id="940"/>
      <w:bookmarkEnd w:id="941"/>
      <w:bookmarkEnd w:id="942"/>
      <w:bookmarkEnd w:id="943"/>
      <w:bookmarkEnd w:id="944"/>
      <w:bookmarkEnd w:id="945"/>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：承包人主要施工管理人员表</w:t>
      </w:r>
      <w:bookmarkEnd w:id="938"/>
    </w:p>
    <w:p w14:paraId="6210502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承包人主要施工管理人员表</w:t>
      </w:r>
    </w:p>
    <w:tbl>
      <w:tblPr>
        <w:tblStyle w:val="46"/>
        <w:tblW w:w="511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729"/>
        <w:gridCol w:w="1156"/>
        <w:gridCol w:w="926"/>
        <w:gridCol w:w="926"/>
        <w:gridCol w:w="2358"/>
        <w:gridCol w:w="2124"/>
      </w:tblGrid>
      <w:tr w14:paraId="419976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single" w:color="auto" w:sz="12" w:space="0"/>
              <w:bottom w:val="double" w:color="auto" w:sz="6" w:space="0"/>
            </w:tcBorders>
            <w:noWrap w:val="0"/>
            <w:vAlign w:val="center"/>
          </w:tcPr>
          <w:p w14:paraId="0E7F0615">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名    称</w:t>
            </w:r>
          </w:p>
        </w:tc>
        <w:tc>
          <w:tcPr>
            <w:tcW w:w="627" w:type="pct"/>
            <w:tcBorders>
              <w:top w:val="single" w:color="auto" w:sz="12" w:space="0"/>
              <w:bottom w:val="double" w:color="auto" w:sz="6" w:space="0"/>
            </w:tcBorders>
            <w:noWrap w:val="0"/>
            <w:vAlign w:val="center"/>
          </w:tcPr>
          <w:p w14:paraId="79A938E9">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502" w:type="pct"/>
            <w:tcBorders>
              <w:top w:val="single" w:color="auto" w:sz="12" w:space="0"/>
              <w:bottom w:val="double" w:color="auto" w:sz="6" w:space="0"/>
            </w:tcBorders>
            <w:noWrap w:val="0"/>
            <w:vAlign w:val="center"/>
          </w:tcPr>
          <w:p w14:paraId="486DD76F">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502" w:type="pct"/>
            <w:tcBorders>
              <w:top w:val="single" w:color="auto" w:sz="12" w:space="0"/>
              <w:bottom w:val="double" w:color="auto" w:sz="6" w:space="0"/>
            </w:tcBorders>
            <w:noWrap w:val="0"/>
            <w:vAlign w:val="center"/>
          </w:tcPr>
          <w:p w14:paraId="509B37E0">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职称</w:t>
            </w:r>
          </w:p>
        </w:tc>
        <w:tc>
          <w:tcPr>
            <w:tcW w:w="1279" w:type="pct"/>
            <w:tcBorders>
              <w:top w:val="single" w:color="auto" w:sz="12" w:space="0"/>
              <w:bottom w:val="double" w:color="auto" w:sz="6" w:space="0"/>
            </w:tcBorders>
            <w:noWrap w:val="0"/>
            <w:vAlign w:val="center"/>
          </w:tcPr>
          <w:p w14:paraId="71F0E30E">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主要资历、经验及承担过的项目</w:t>
            </w:r>
          </w:p>
        </w:tc>
        <w:tc>
          <w:tcPr>
            <w:tcW w:w="1153" w:type="pct"/>
            <w:tcBorders>
              <w:top w:val="single" w:color="auto" w:sz="12" w:space="0"/>
              <w:bottom w:val="double" w:color="auto" w:sz="6" w:space="0"/>
            </w:tcBorders>
            <w:noWrap w:val="0"/>
            <w:vAlign w:val="top"/>
          </w:tcPr>
          <w:p w14:paraId="0D23D10E">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身份证号码</w:t>
            </w:r>
          </w:p>
        </w:tc>
      </w:tr>
      <w:tr w14:paraId="5C719E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7" w:type="pct"/>
            <w:gridSpan w:val="5"/>
            <w:tcBorders>
              <w:top w:val="double" w:color="auto" w:sz="6" w:space="0"/>
            </w:tcBorders>
            <w:noWrap w:val="0"/>
            <w:vAlign w:val="center"/>
          </w:tcPr>
          <w:p w14:paraId="4B3889C1">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一、总部人员</w:t>
            </w:r>
          </w:p>
        </w:tc>
        <w:tc>
          <w:tcPr>
            <w:tcW w:w="1153" w:type="pct"/>
            <w:tcBorders>
              <w:top w:val="double" w:color="auto" w:sz="6" w:space="0"/>
            </w:tcBorders>
            <w:noWrap w:val="0"/>
            <w:vAlign w:val="top"/>
          </w:tcPr>
          <w:p w14:paraId="5724B80E">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08386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nil"/>
              <w:bottom w:val="nil"/>
            </w:tcBorders>
            <w:noWrap w:val="0"/>
            <w:vAlign w:val="center"/>
          </w:tcPr>
          <w:p w14:paraId="1D857CBD">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项目主管</w:t>
            </w:r>
          </w:p>
        </w:tc>
        <w:tc>
          <w:tcPr>
            <w:tcW w:w="627" w:type="pct"/>
            <w:tcBorders>
              <w:top w:val="nil"/>
            </w:tcBorders>
            <w:noWrap w:val="0"/>
            <w:vAlign w:val="center"/>
          </w:tcPr>
          <w:p w14:paraId="62E8FBD5">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tcBorders>
              <w:top w:val="nil"/>
            </w:tcBorders>
            <w:noWrap w:val="0"/>
            <w:vAlign w:val="center"/>
          </w:tcPr>
          <w:p w14:paraId="2A20831D">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tcBorders>
              <w:top w:val="nil"/>
            </w:tcBorders>
            <w:noWrap w:val="0"/>
            <w:vAlign w:val="center"/>
          </w:tcPr>
          <w:p w14:paraId="78D08EE7">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tcBorders>
              <w:top w:val="nil"/>
            </w:tcBorders>
            <w:noWrap w:val="0"/>
            <w:vAlign w:val="center"/>
          </w:tcPr>
          <w:p w14:paraId="5381D376">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tcBorders>
              <w:top w:val="nil"/>
            </w:tcBorders>
            <w:noWrap w:val="0"/>
            <w:vAlign w:val="top"/>
          </w:tcPr>
          <w:p w14:paraId="0F822F7F">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79B6D0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bottom w:val="nil"/>
            </w:tcBorders>
            <w:noWrap w:val="0"/>
            <w:vAlign w:val="center"/>
          </w:tcPr>
          <w:p w14:paraId="476354F4">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27" w:type="pct"/>
            <w:noWrap w:val="0"/>
            <w:vAlign w:val="center"/>
          </w:tcPr>
          <w:p w14:paraId="71D01405">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1DD8EF83">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4F180227">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39244798">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56DC4CF3">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54122C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nil"/>
              <w:bottom w:val="nil"/>
            </w:tcBorders>
            <w:noWrap w:val="0"/>
            <w:vAlign w:val="center"/>
          </w:tcPr>
          <w:p w14:paraId="7D1CA425">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其他人员</w:t>
            </w:r>
          </w:p>
        </w:tc>
        <w:tc>
          <w:tcPr>
            <w:tcW w:w="627" w:type="pct"/>
            <w:noWrap w:val="0"/>
            <w:vAlign w:val="center"/>
          </w:tcPr>
          <w:p w14:paraId="29E879D6">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325A3643">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6B185137">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1066CEAD">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2AD50767">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5AEBEA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nil"/>
              <w:bottom w:val="nil"/>
            </w:tcBorders>
            <w:noWrap w:val="0"/>
            <w:vAlign w:val="center"/>
          </w:tcPr>
          <w:p w14:paraId="3D3395C8">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27" w:type="pct"/>
            <w:noWrap w:val="0"/>
            <w:vAlign w:val="center"/>
          </w:tcPr>
          <w:p w14:paraId="74288964">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2067ED19">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22E5C67C">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1AC88324">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5858AE25">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399DEA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7" w:type="pct"/>
            <w:gridSpan w:val="5"/>
            <w:noWrap w:val="0"/>
            <w:vAlign w:val="center"/>
          </w:tcPr>
          <w:p w14:paraId="50D72B3C">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二、现场人员</w:t>
            </w:r>
          </w:p>
        </w:tc>
        <w:tc>
          <w:tcPr>
            <w:tcW w:w="1153" w:type="pct"/>
            <w:noWrap w:val="0"/>
            <w:vAlign w:val="top"/>
          </w:tcPr>
          <w:p w14:paraId="4586297E">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430132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0F8D14AA">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项目经理</w:t>
            </w:r>
          </w:p>
        </w:tc>
        <w:tc>
          <w:tcPr>
            <w:tcW w:w="627" w:type="pct"/>
            <w:noWrap w:val="0"/>
            <w:vAlign w:val="center"/>
          </w:tcPr>
          <w:p w14:paraId="2AF728D7">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211458D7">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5C8B507E">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10F07EB5">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4388B309">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739C1D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158B3749">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项目副经理</w:t>
            </w:r>
          </w:p>
        </w:tc>
        <w:tc>
          <w:tcPr>
            <w:tcW w:w="627" w:type="pct"/>
            <w:noWrap w:val="0"/>
            <w:vAlign w:val="center"/>
          </w:tcPr>
          <w:p w14:paraId="1409BC0A">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3BD4C570">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4CF59CC4">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5B0FC8D6">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6E2AE43E">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63E104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47C3718D">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项目技术负责人</w:t>
            </w:r>
          </w:p>
        </w:tc>
        <w:tc>
          <w:tcPr>
            <w:tcW w:w="627" w:type="pct"/>
            <w:noWrap w:val="0"/>
            <w:vAlign w:val="center"/>
          </w:tcPr>
          <w:p w14:paraId="5FE7D2B2">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2FAD9970">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62BF17EF">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069BF46C">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686AF8CB">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34F92C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522F51F9">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施工员</w:t>
            </w:r>
          </w:p>
        </w:tc>
        <w:tc>
          <w:tcPr>
            <w:tcW w:w="627" w:type="pct"/>
            <w:noWrap w:val="0"/>
            <w:vAlign w:val="center"/>
          </w:tcPr>
          <w:p w14:paraId="02668F43">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7E047DF0">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1A4DD232">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6CAF03F8">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3A0A8829">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193E9E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49799CBB">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质检员（质量员）</w:t>
            </w:r>
          </w:p>
        </w:tc>
        <w:tc>
          <w:tcPr>
            <w:tcW w:w="627" w:type="pct"/>
            <w:noWrap w:val="0"/>
            <w:vAlign w:val="center"/>
          </w:tcPr>
          <w:p w14:paraId="4AC4A708">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40011158">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64536B64">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4AFE13E5">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63C0935F">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00C2BC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3B4B457E">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安全员</w:t>
            </w:r>
          </w:p>
        </w:tc>
        <w:tc>
          <w:tcPr>
            <w:tcW w:w="627" w:type="pct"/>
            <w:noWrap w:val="0"/>
            <w:vAlign w:val="center"/>
          </w:tcPr>
          <w:p w14:paraId="7E9AD855">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2C803DBE">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400BCC31">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2FE52498">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7C286904">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38EBD1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10414D9D">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资料员</w:t>
            </w:r>
          </w:p>
        </w:tc>
        <w:tc>
          <w:tcPr>
            <w:tcW w:w="627" w:type="pct"/>
            <w:noWrap w:val="0"/>
            <w:vAlign w:val="center"/>
          </w:tcPr>
          <w:p w14:paraId="40F124E2">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53D21374">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707E520D">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7CB5DFA2">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13A1166F">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685298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restart"/>
            <w:noWrap w:val="0"/>
            <w:vAlign w:val="center"/>
          </w:tcPr>
          <w:p w14:paraId="69F4D5DF">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其他人员</w:t>
            </w:r>
          </w:p>
        </w:tc>
        <w:tc>
          <w:tcPr>
            <w:tcW w:w="627" w:type="pct"/>
            <w:noWrap w:val="0"/>
            <w:vAlign w:val="center"/>
          </w:tcPr>
          <w:p w14:paraId="716051CC">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02E2D4B9">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69C32755">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0D9873EA">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6B5C87C6">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6D228A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noWrap w:val="0"/>
            <w:vAlign w:val="center"/>
          </w:tcPr>
          <w:p w14:paraId="7431DB2C">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27" w:type="pct"/>
            <w:tcBorders>
              <w:bottom w:val="nil"/>
            </w:tcBorders>
            <w:noWrap w:val="0"/>
            <w:vAlign w:val="center"/>
          </w:tcPr>
          <w:p w14:paraId="10B1B944">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tcBorders>
              <w:bottom w:val="nil"/>
            </w:tcBorders>
            <w:noWrap w:val="0"/>
            <w:vAlign w:val="center"/>
          </w:tcPr>
          <w:p w14:paraId="632222FB">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tcBorders>
              <w:bottom w:val="nil"/>
            </w:tcBorders>
            <w:noWrap w:val="0"/>
            <w:vAlign w:val="center"/>
          </w:tcPr>
          <w:p w14:paraId="34095AAF">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tcBorders>
              <w:bottom w:val="nil"/>
            </w:tcBorders>
            <w:noWrap w:val="0"/>
            <w:vAlign w:val="center"/>
          </w:tcPr>
          <w:p w14:paraId="4776EF71">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tcBorders>
              <w:bottom w:val="nil"/>
            </w:tcBorders>
            <w:noWrap w:val="0"/>
            <w:vAlign w:val="top"/>
          </w:tcPr>
          <w:p w14:paraId="5940A872">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0A73AF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noWrap w:val="0"/>
            <w:vAlign w:val="center"/>
          </w:tcPr>
          <w:p w14:paraId="4A626EAD">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27" w:type="pct"/>
            <w:noWrap w:val="0"/>
            <w:vAlign w:val="center"/>
          </w:tcPr>
          <w:p w14:paraId="0CD8D5AD">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1DB03F07">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572F9555">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51711F3B">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2D502A6B">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49BCA3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noWrap w:val="0"/>
            <w:vAlign w:val="center"/>
          </w:tcPr>
          <w:p w14:paraId="45142ABD">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27" w:type="pct"/>
            <w:noWrap w:val="0"/>
            <w:vAlign w:val="center"/>
          </w:tcPr>
          <w:p w14:paraId="3339267C">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6BA14EE1">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1090A154">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7E800FAA">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222D0A59">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19A47B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noWrap w:val="0"/>
            <w:vAlign w:val="center"/>
          </w:tcPr>
          <w:p w14:paraId="22BBDE21">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27" w:type="pct"/>
            <w:noWrap w:val="0"/>
            <w:vAlign w:val="center"/>
          </w:tcPr>
          <w:p w14:paraId="1D8142D5">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02BA7EDF">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1B5A5F66">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23F92978">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65DB35B9">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72189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tcBorders>
              <w:bottom w:val="single" w:color="auto" w:sz="12" w:space="0"/>
            </w:tcBorders>
            <w:noWrap w:val="0"/>
            <w:vAlign w:val="center"/>
          </w:tcPr>
          <w:p w14:paraId="55EC8C23">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27" w:type="pct"/>
            <w:tcBorders>
              <w:bottom w:val="single" w:color="auto" w:sz="12" w:space="0"/>
            </w:tcBorders>
            <w:noWrap w:val="0"/>
            <w:vAlign w:val="center"/>
          </w:tcPr>
          <w:p w14:paraId="0A629894">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tcBorders>
              <w:bottom w:val="single" w:color="auto" w:sz="12" w:space="0"/>
            </w:tcBorders>
            <w:noWrap w:val="0"/>
            <w:vAlign w:val="center"/>
          </w:tcPr>
          <w:p w14:paraId="5AC7F031">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tcBorders>
              <w:bottom w:val="single" w:color="auto" w:sz="12" w:space="0"/>
            </w:tcBorders>
            <w:noWrap w:val="0"/>
            <w:vAlign w:val="center"/>
          </w:tcPr>
          <w:p w14:paraId="6DC8EC06">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tcBorders>
              <w:bottom w:val="single" w:color="auto" w:sz="12" w:space="0"/>
            </w:tcBorders>
            <w:noWrap w:val="0"/>
            <w:vAlign w:val="center"/>
          </w:tcPr>
          <w:p w14:paraId="397D9971">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tcBorders>
              <w:bottom w:val="single" w:color="auto" w:sz="12" w:space="0"/>
            </w:tcBorders>
            <w:noWrap w:val="0"/>
            <w:vAlign w:val="top"/>
          </w:tcPr>
          <w:p w14:paraId="65D1317F">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bl>
    <w:p w14:paraId="5F835956">
      <w:pPr>
        <w:pStyle w:val="43"/>
        <w:spacing w:beforeLines="50" w:afterLines="50" w:line="440" w:lineRule="exact"/>
        <w:rPr>
          <w:rFonts w:hint="eastAsia"/>
          <w:bCs/>
          <w:color w:val="auto"/>
          <w:szCs w:val="32"/>
          <w:highlight w:val="none"/>
        </w:rPr>
      </w:pPr>
    </w:p>
    <w:p w14:paraId="453FC575">
      <w:pPr>
        <w:rPr>
          <w:rFonts w:hint="eastAsia" w:ascii="宋体" w:hAnsi="宋体" w:cs="宋体"/>
          <w:bCs/>
          <w:color w:val="auto"/>
          <w:sz w:val="24"/>
          <w:highlight w:val="none"/>
        </w:rPr>
      </w:pPr>
      <w:bookmarkStart w:id="946" w:name="_Toc95223495"/>
      <w:bookmarkStart w:id="947" w:name="_Toc25726"/>
      <w:bookmarkStart w:id="948" w:name="_Toc7655"/>
      <w:r>
        <w:rPr>
          <w:rFonts w:hint="eastAsia" w:ascii="宋体" w:hAnsi="宋体" w:cs="宋体"/>
          <w:bCs/>
          <w:color w:val="auto"/>
          <w:sz w:val="24"/>
          <w:highlight w:val="none"/>
        </w:rPr>
        <w:br w:type="page"/>
      </w:r>
    </w:p>
    <w:p w14:paraId="48071A51">
      <w:pPr>
        <w:keepNext/>
        <w:keepLines/>
        <w:spacing w:before="120" w:after="120" w:line="360" w:lineRule="auto"/>
        <w:jc w:val="left"/>
        <w:outlineLvl w:val="0"/>
        <w:rPr>
          <w:rFonts w:hint="eastAsia" w:ascii="宋体" w:hAnsi="宋体" w:cs="宋体"/>
          <w:bCs/>
          <w:color w:val="auto"/>
          <w:sz w:val="24"/>
          <w:highlight w:val="none"/>
        </w:rPr>
      </w:pPr>
      <w:bookmarkStart w:id="949" w:name="_Toc9955"/>
      <w:bookmarkStart w:id="950" w:name="_Toc3028"/>
      <w:bookmarkStart w:id="951" w:name="_Toc11846"/>
      <w:r>
        <w:rPr>
          <w:rFonts w:hint="eastAsia" w:ascii="宋体" w:hAnsi="宋体" w:cs="宋体"/>
          <w:bCs/>
          <w:color w:val="auto"/>
          <w:sz w:val="24"/>
          <w:highlight w:val="none"/>
        </w:rPr>
        <w:t>附</w:t>
      </w:r>
      <w:bookmarkStart w:id="952" w:name="_Toc296944570"/>
      <w:bookmarkStart w:id="953" w:name="_Toc296891059"/>
      <w:bookmarkStart w:id="954" w:name="_Toc296347230"/>
      <w:bookmarkStart w:id="955" w:name="_Toc296891271"/>
      <w:bookmarkStart w:id="956" w:name="_Toc296503231"/>
      <w:bookmarkStart w:id="957" w:name="_Toc296346732"/>
      <w:r>
        <w:rPr>
          <w:rFonts w:hint="eastAsia" w:ascii="宋体" w:hAnsi="宋体" w:cs="宋体"/>
          <w:bCs/>
          <w:color w:val="auto"/>
          <w:sz w:val="24"/>
          <w:highlight w:val="none"/>
        </w:rPr>
        <w:t>件</w:t>
      </w: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：廉政协议</w:t>
      </w:r>
      <w:bookmarkEnd w:id="946"/>
      <w:bookmarkEnd w:id="947"/>
      <w:bookmarkEnd w:id="948"/>
      <w:bookmarkEnd w:id="949"/>
      <w:bookmarkEnd w:id="950"/>
      <w:bookmarkEnd w:id="951"/>
    </w:p>
    <w:bookmarkEnd w:id="952"/>
    <w:bookmarkEnd w:id="953"/>
    <w:bookmarkEnd w:id="954"/>
    <w:bookmarkEnd w:id="955"/>
    <w:bookmarkEnd w:id="956"/>
    <w:bookmarkEnd w:id="957"/>
    <w:p w14:paraId="4DD32C49">
      <w:pPr>
        <w:widowControl/>
        <w:spacing w:line="360" w:lineRule="auto"/>
        <w:ind w:firstLine="643"/>
        <w:jc w:val="center"/>
        <w:outlineLvl w:val="0"/>
        <w:rPr>
          <w:rFonts w:hint="eastAsia" w:ascii="宋体" w:hAnsi="宋体" w:cs="宋体"/>
          <w:b/>
          <w:bCs/>
          <w:color w:val="auto"/>
          <w:kern w:val="0"/>
          <w:sz w:val="32"/>
          <w:szCs w:val="32"/>
          <w:highlight w:val="none"/>
        </w:rPr>
      </w:pPr>
      <w:bookmarkStart w:id="958" w:name="_Toc95223496"/>
      <w:bookmarkStart w:id="959" w:name="_Toc26094"/>
      <w:bookmarkStart w:id="960" w:name="_Toc26092"/>
      <w:bookmarkStart w:id="961" w:name="_Toc7607"/>
      <w:bookmarkStart w:id="962" w:name="_Toc2825"/>
      <w:bookmarkStart w:id="963" w:name="_Toc9808"/>
      <w:r>
        <w:rPr>
          <w:rFonts w:hint="eastAsia" w:ascii="宋体" w:hAnsi="宋体" w:cs="宋体"/>
          <w:b/>
          <w:bCs/>
          <w:color w:val="auto"/>
          <w:kern w:val="0"/>
          <w:sz w:val="32"/>
          <w:szCs w:val="32"/>
          <w:highlight w:val="none"/>
        </w:rPr>
        <w:t>廉 政 协 议</w:t>
      </w:r>
      <w:bookmarkEnd w:id="958"/>
      <w:bookmarkEnd w:id="959"/>
      <w:bookmarkEnd w:id="960"/>
      <w:bookmarkEnd w:id="961"/>
      <w:bookmarkEnd w:id="962"/>
      <w:bookmarkEnd w:id="963"/>
    </w:p>
    <w:p w14:paraId="0D3683E3">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为促进双方诚信经营、廉洁从业，防范商业贿赂，保护国家、集体和当事人的合法权益，根据国家有关法律法规和安徽省、项目所在地廉政建设的规定，</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(以下称甲方)与</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(以下称乙方)，特此订立本协议共同遵照执行。</w:t>
      </w:r>
    </w:p>
    <w:p w14:paraId="6CCBE773">
      <w:pPr>
        <w:widowControl/>
        <w:spacing w:line="360" w:lineRule="auto"/>
        <w:ind w:firstLine="420" w:firstLineChars="200"/>
        <w:jc w:val="left"/>
        <w:outlineLvl w:val="0"/>
        <w:rPr>
          <w:rFonts w:hint="eastAsia" w:ascii="宋体" w:hAnsi="宋体" w:cs="宋体"/>
          <w:color w:val="auto"/>
          <w:kern w:val="0"/>
          <w:szCs w:val="21"/>
          <w:highlight w:val="none"/>
        </w:rPr>
      </w:pPr>
      <w:bookmarkStart w:id="964" w:name="_Toc10794"/>
      <w:bookmarkStart w:id="965" w:name="_Toc8556"/>
      <w:bookmarkStart w:id="966" w:name="_Toc95223497"/>
      <w:bookmarkStart w:id="967" w:name="_Toc9888"/>
      <w:bookmarkStart w:id="968" w:name="_Toc21306"/>
      <w:bookmarkStart w:id="969" w:name="_Toc23614"/>
      <w:r>
        <w:rPr>
          <w:rFonts w:hint="eastAsia" w:ascii="宋体" w:hAnsi="宋体" w:cs="宋体"/>
          <w:color w:val="auto"/>
          <w:kern w:val="0"/>
          <w:szCs w:val="21"/>
          <w:highlight w:val="none"/>
        </w:rPr>
        <w:t>第一条 甲乙双方的权利和义务</w:t>
      </w:r>
      <w:bookmarkEnd w:id="964"/>
      <w:bookmarkEnd w:id="965"/>
      <w:bookmarkEnd w:id="966"/>
      <w:bookmarkEnd w:id="967"/>
      <w:bookmarkEnd w:id="968"/>
      <w:bookmarkEnd w:id="969"/>
    </w:p>
    <w:p w14:paraId="2BDD7AE4">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1ECC9F98">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（二）严格执行</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的合同要求，自觉履行合同约定的相关义务。</w:t>
      </w:r>
    </w:p>
    <w:p w14:paraId="719498BA">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（三）在业务活动中坚持公开、公正、诚信、透明的原则，不得损害国家、集体利益。</w:t>
      </w:r>
    </w:p>
    <w:p w14:paraId="3CD905F1">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（四）建立健全廉政制度，开展廉政教育，公布举报电话，监督并认真查处违法违纪行为。</w:t>
      </w:r>
    </w:p>
    <w:p w14:paraId="60408D1F">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（五）发现对方在业务活动中有违反廉政规定的行为，应及时提醒对方纠正。情节严重的，应向其上级有关部门举报、建议给予处理，并有权要求告知处理结果。</w:t>
      </w:r>
    </w:p>
    <w:p w14:paraId="68794724">
      <w:pPr>
        <w:widowControl/>
        <w:spacing w:line="360" w:lineRule="auto"/>
        <w:ind w:firstLine="420" w:firstLineChars="200"/>
        <w:jc w:val="left"/>
        <w:outlineLvl w:val="0"/>
        <w:rPr>
          <w:rFonts w:hint="eastAsia" w:ascii="宋体" w:hAnsi="宋体" w:cs="宋体"/>
          <w:color w:val="auto"/>
          <w:kern w:val="0"/>
          <w:szCs w:val="21"/>
          <w:highlight w:val="none"/>
        </w:rPr>
      </w:pPr>
      <w:bookmarkStart w:id="970" w:name="_Toc95223498"/>
      <w:bookmarkStart w:id="971" w:name="_Toc27534"/>
      <w:bookmarkStart w:id="972" w:name="_Toc1917"/>
      <w:bookmarkStart w:id="973" w:name="_Toc3866"/>
      <w:bookmarkStart w:id="974" w:name="_Toc20007"/>
      <w:bookmarkStart w:id="975" w:name="_Toc28206"/>
      <w:r>
        <w:rPr>
          <w:rFonts w:hint="eastAsia" w:ascii="宋体" w:hAnsi="宋体" w:cs="宋体"/>
          <w:color w:val="auto"/>
          <w:kern w:val="0"/>
          <w:szCs w:val="21"/>
          <w:highlight w:val="none"/>
        </w:rPr>
        <w:t>第二条 甲方的义务</w:t>
      </w:r>
      <w:bookmarkEnd w:id="970"/>
      <w:bookmarkEnd w:id="971"/>
      <w:bookmarkEnd w:id="972"/>
      <w:bookmarkEnd w:id="973"/>
      <w:bookmarkEnd w:id="974"/>
      <w:bookmarkEnd w:id="975"/>
    </w:p>
    <w:p w14:paraId="01988A78">
      <w:pPr>
        <w:widowControl/>
        <w:spacing w:line="360" w:lineRule="auto"/>
        <w:ind w:firstLine="525" w:firstLineChars="2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(一)甲方及其工作人员不得索要或接受乙方的礼金、有价证券和贵重物品，不得在乙方报销任何应由甲方单位或个人支付的费用等。</w:t>
      </w:r>
    </w:p>
    <w:p w14:paraId="1542B912">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781B771A">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（三） 甲方及其工作人员不得要求或者接受乙方为其住房装修、婚丧嫁娶活动、配偶子女工作安排以及出国出境、旅游等提供方便等。</w:t>
      </w:r>
    </w:p>
    <w:p w14:paraId="6FE7893E">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（四） 甲方工作人员不得在乙方有股权关联的企业兼职，不得向乙方介绍家属或者亲友从事与甲方业务有关的经济活动。</w:t>
      </w:r>
    </w:p>
    <w:p w14:paraId="78E2FA3C">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（五）甲方工作人员不得以明显低于市场的价格向乙方购买房屋、汽车等物品；不得以明显高于市场的价格向乙方出售房屋、汽车等物品；不得以其他交易形式非法收受请托人财物。</w:t>
      </w:r>
    </w:p>
    <w:p w14:paraId="7FAF7E6F">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（六）甲方工作人员不得利用职务之便收受乙方以回扣、手续费、加班费、咨询费、劳务费、协调费、辛苦费等各种名义给予或赠送的钱物。</w:t>
      </w:r>
    </w:p>
    <w:p w14:paraId="046D5011">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（七）甲方工作人员不得接受乙方给予或赠送的干股或红利。</w:t>
      </w:r>
    </w:p>
    <w:p w14:paraId="7A876444">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（八）甲方任何人不得以个人的名义向乙方推荐设备、部件等供货商以及其他合作单位。</w:t>
      </w:r>
    </w:p>
    <w:p w14:paraId="43D71909">
      <w:pPr>
        <w:widowControl/>
        <w:spacing w:line="360" w:lineRule="auto"/>
        <w:ind w:firstLine="420" w:firstLineChars="200"/>
        <w:jc w:val="left"/>
        <w:outlineLvl w:val="0"/>
        <w:rPr>
          <w:rFonts w:hint="eastAsia" w:ascii="宋体" w:hAnsi="宋体" w:cs="宋体"/>
          <w:color w:val="auto"/>
          <w:kern w:val="0"/>
          <w:szCs w:val="21"/>
          <w:highlight w:val="none"/>
        </w:rPr>
      </w:pPr>
      <w:bookmarkStart w:id="976" w:name="_Toc20831"/>
      <w:bookmarkStart w:id="977" w:name="_Toc22106"/>
      <w:bookmarkStart w:id="978" w:name="_Toc95223499"/>
      <w:bookmarkStart w:id="979" w:name="_Toc27727"/>
      <w:bookmarkStart w:id="980" w:name="_Toc11255"/>
      <w:bookmarkStart w:id="981" w:name="_Toc10556"/>
      <w:r>
        <w:rPr>
          <w:rFonts w:hint="eastAsia" w:ascii="宋体" w:hAnsi="宋体" w:cs="宋体"/>
          <w:color w:val="auto"/>
          <w:kern w:val="0"/>
          <w:szCs w:val="21"/>
          <w:highlight w:val="none"/>
        </w:rPr>
        <w:t>第三条 乙方的义务</w:t>
      </w:r>
      <w:bookmarkEnd w:id="976"/>
      <w:bookmarkEnd w:id="977"/>
      <w:bookmarkEnd w:id="978"/>
      <w:bookmarkEnd w:id="979"/>
      <w:bookmarkEnd w:id="980"/>
      <w:bookmarkEnd w:id="981"/>
    </w:p>
    <w:p w14:paraId="3983E1D2">
      <w:pPr>
        <w:widowControl/>
        <w:spacing w:line="360" w:lineRule="auto"/>
        <w:ind w:firstLine="525" w:firstLineChars="2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(一)乙方不得以任何理由向甲方及其工作人员行贿或馈赠礼金、有价证券、贵重礼品。</w:t>
      </w:r>
    </w:p>
    <w:p w14:paraId="2AF75EF0">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（二)乙方不得以任何名义为甲方及其工作人员报销应由甲方单位或个人支付的任何费用。</w:t>
      </w:r>
    </w:p>
    <w:p w14:paraId="7B1B62A9">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(三)乙方不得以任何理由安排甲方工作人员参加可能影响相关业务公开、公正、公平性的宴请及娱乐活动。</w:t>
      </w:r>
    </w:p>
    <w:p w14:paraId="00B1377F">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（四）乙方不得为甲方单位和个人购置或提供通讯工具和高档办公用品等物品，也不得为甲方提供与工作无关的房屋、汽车等。</w:t>
      </w:r>
    </w:p>
    <w:p w14:paraId="42F8D758">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（五）乙方不得与甲方工作人员就合同中的质量、数量、价格、工程量、验收等条款进行私下商谈或者达成默契。</w:t>
      </w:r>
    </w:p>
    <w:p w14:paraId="4A7A3F77">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（六）乙方不得以回扣、手续费、加班费、咨询费、劳务费、协调费、辛苦费等各种名义向甲方工作人员给予或赠送钱物。</w:t>
      </w:r>
    </w:p>
    <w:p w14:paraId="5400177D">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（七）乙方不得向甲方工作人员提供干股或红利。</w:t>
      </w:r>
    </w:p>
    <w:p w14:paraId="541E415E">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（八）乙方须按</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专项纪检监察工作组(如有)要求开展相关工作。</w:t>
      </w:r>
    </w:p>
    <w:p w14:paraId="22E01A84">
      <w:pPr>
        <w:widowControl/>
        <w:spacing w:line="360" w:lineRule="auto"/>
        <w:ind w:firstLine="420" w:firstLineChars="200"/>
        <w:jc w:val="left"/>
        <w:outlineLvl w:val="0"/>
        <w:rPr>
          <w:rFonts w:hint="eastAsia" w:ascii="宋体" w:hAnsi="宋体" w:cs="宋体"/>
          <w:color w:val="auto"/>
          <w:kern w:val="0"/>
          <w:szCs w:val="21"/>
          <w:highlight w:val="none"/>
        </w:rPr>
      </w:pPr>
      <w:bookmarkStart w:id="982" w:name="_Toc7904"/>
      <w:bookmarkStart w:id="983" w:name="_Toc14507"/>
      <w:bookmarkStart w:id="984" w:name="_Toc30703"/>
      <w:bookmarkStart w:id="985" w:name="_Toc95223500"/>
      <w:bookmarkStart w:id="986" w:name="_Toc2198"/>
      <w:bookmarkStart w:id="987" w:name="_Toc4145"/>
      <w:r>
        <w:rPr>
          <w:rFonts w:hint="eastAsia" w:ascii="宋体" w:hAnsi="宋体" w:cs="宋体"/>
          <w:color w:val="auto"/>
          <w:kern w:val="0"/>
          <w:szCs w:val="21"/>
          <w:highlight w:val="none"/>
        </w:rPr>
        <w:t>第四条 违约责任</w:t>
      </w:r>
      <w:bookmarkEnd w:id="982"/>
      <w:bookmarkEnd w:id="983"/>
      <w:bookmarkEnd w:id="984"/>
      <w:bookmarkEnd w:id="985"/>
      <w:bookmarkEnd w:id="986"/>
      <w:bookmarkEnd w:id="987"/>
    </w:p>
    <w:p w14:paraId="491E84CE">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一）甲方及其工作人员违反本协议第一、二条规定。甲方按管理权限，对相关责任人依据有关规定给予党纪、政纪处分或组织处理；涉嫌犯罪的，移交司法机关追究刑事责任；给乙方单位造成经济损失的，应予以赔偿。</w:t>
      </w:r>
    </w:p>
    <w:p w14:paraId="47AD30D0">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甲方投诉联系部门：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，联系电话：</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64666ED3">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（二）乙方及其工作人员违反本协议第一、三条规定。根据具体情节和造成的后果，甲方有权对乙方采取以下一种或多种处理办法：</w:t>
      </w:r>
    </w:p>
    <w:p w14:paraId="26C59130">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 全额收取乙方合同履约保证金不予退还； </w:t>
      </w:r>
    </w:p>
    <w:p w14:paraId="5D78FED6">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 追究乙方其他违约责任；</w:t>
      </w:r>
    </w:p>
    <w:p w14:paraId="0666D479">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 终止或解除双方已签订的包括本合同在内的所有合同；</w:t>
      </w:r>
    </w:p>
    <w:p w14:paraId="14BC62F2">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 乙方一定期限内（6个月至3年，具体由甲方根据情况而定）不得参与甲方作为发包人（业主）的工程项目投标。</w:t>
      </w:r>
    </w:p>
    <w:p w14:paraId="0B874A3E">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甲方作出的处理意见，乙方应无条件接受并承担给甲方造成的损失，全额返还通过不正当手段从甲方获取的非法所得，并承担相应的法律责任。</w:t>
      </w:r>
    </w:p>
    <w:p w14:paraId="525B616E">
      <w:pPr>
        <w:widowControl/>
        <w:spacing w:line="360" w:lineRule="auto"/>
        <w:ind w:firstLine="420" w:firstLineChars="200"/>
        <w:jc w:val="left"/>
        <w:outlineLvl w:val="0"/>
        <w:rPr>
          <w:rFonts w:hint="eastAsia" w:ascii="宋体" w:hAnsi="宋体" w:cs="宋体"/>
          <w:color w:val="auto"/>
          <w:kern w:val="0"/>
          <w:szCs w:val="21"/>
          <w:highlight w:val="none"/>
        </w:rPr>
      </w:pPr>
      <w:bookmarkStart w:id="988" w:name="_Toc6544"/>
      <w:bookmarkStart w:id="989" w:name="_Toc95223501"/>
      <w:bookmarkStart w:id="990" w:name="_Toc26114"/>
      <w:bookmarkStart w:id="991" w:name="_Toc29845"/>
      <w:bookmarkStart w:id="992" w:name="_Toc2334"/>
      <w:bookmarkStart w:id="993" w:name="_Toc10228"/>
      <w:r>
        <w:rPr>
          <w:rFonts w:hint="eastAsia" w:ascii="宋体" w:hAnsi="宋体" w:cs="宋体"/>
          <w:color w:val="auto"/>
          <w:kern w:val="0"/>
          <w:szCs w:val="21"/>
          <w:highlight w:val="none"/>
        </w:rPr>
        <w:t>第五条 双方约定</w:t>
      </w:r>
      <w:bookmarkEnd w:id="988"/>
      <w:bookmarkEnd w:id="989"/>
      <w:bookmarkEnd w:id="990"/>
      <w:bookmarkEnd w:id="991"/>
      <w:bookmarkEnd w:id="992"/>
      <w:bookmarkEnd w:id="993"/>
    </w:p>
    <w:p w14:paraId="67A7EB8E">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本协议由双方或双方上级单位负责监督。可由甲方或甲方上级单位的纪检监察部门约请乙方或乙方上级单位的纪检监察部门对本协议履行情况进行检查，提出在本协议规定范围内的裁定意见。</w:t>
      </w:r>
    </w:p>
    <w:p w14:paraId="7072F990">
      <w:pPr>
        <w:widowControl/>
        <w:spacing w:line="360" w:lineRule="auto"/>
        <w:ind w:firstLine="420" w:firstLineChars="200"/>
        <w:jc w:val="left"/>
        <w:outlineLvl w:val="0"/>
        <w:rPr>
          <w:rFonts w:hint="eastAsia" w:ascii="宋体" w:hAnsi="宋体" w:cs="宋体"/>
          <w:color w:val="auto"/>
          <w:kern w:val="0"/>
          <w:szCs w:val="21"/>
          <w:highlight w:val="none"/>
        </w:rPr>
      </w:pPr>
      <w:bookmarkStart w:id="994" w:name="_Toc19293"/>
      <w:bookmarkStart w:id="995" w:name="_Toc17717"/>
      <w:bookmarkStart w:id="996" w:name="_Toc8779"/>
      <w:bookmarkStart w:id="997" w:name="_Toc10240"/>
      <w:bookmarkStart w:id="998" w:name="_Toc32140"/>
      <w:bookmarkStart w:id="999" w:name="_Toc95223502"/>
      <w:r>
        <w:rPr>
          <w:rFonts w:hint="eastAsia" w:ascii="宋体" w:hAnsi="宋体" w:cs="宋体"/>
          <w:color w:val="auto"/>
          <w:kern w:val="0"/>
          <w:szCs w:val="21"/>
          <w:highlight w:val="none"/>
        </w:rPr>
        <w:t>第六条  本协议有效期为甲乙双方签署之日起至合同终止。</w:t>
      </w:r>
      <w:bookmarkEnd w:id="994"/>
      <w:bookmarkEnd w:id="995"/>
      <w:bookmarkEnd w:id="996"/>
      <w:bookmarkEnd w:id="997"/>
      <w:bookmarkEnd w:id="998"/>
      <w:bookmarkEnd w:id="999"/>
      <w:r>
        <w:rPr>
          <w:rFonts w:hint="eastAsia" w:ascii="宋体" w:hAnsi="宋体" w:cs="宋体"/>
          <w:color w:val="auto"/>
          <w:kern w:val="0"/>
          <w:szCs w:val="21"/>
          <w:highlight w:val="none"/>
        </w:rPr>
        <w:t xml:space="preserve">  </w:t>
      </w:r>
    </w:p>
    <w:p w14:paraId="691D2F2D">
      <w:pPr>
        <w:widowControl/>
        <w:spacing w:line="360" w:lineRule="auto"/>
        <w:ind w:firstLine="420" w:firstLineChars="200"/>
        <w:jc w:val="left"/>
        <w:outlineLvl w:val="0"/>
        <w:rPr>
          <w:rFonts w:hint="eastAsia" w:ascii="宋体" w:hAnsi="宋体" w:cs="宋体"/>
          <w:color w:val="auto"/>
          <w:kern w:val="0"/>
          <w:szCs w:val="21"/>
          <w:highlight w:val="none"/>
        </w:rPr>
      </w:pPr>
      <w:bookmarkStart w:id="1000" w:name="_Toc22264"/>
      <w:bookmarkStart w:id="1001" w:name="_Toc1871"/>
      <w:bookmarkStart w:id="1002" w:name="_Toc28117"/>
      <w:bookmarkStart w:id="1003" w:name="_Toc24032"/>
      <w:bookmarkStart w:id="1004" w:name="_Toc19977"/>
      <w:bookmarkStart w:id="1005" w:name="_Toc95223503"/>
      <w:r>
        <w:rPr>
          <w:rFonts w:hint="eastAsia" w:ascii="宋体" w:hAnsi="宋体" w:cs="宋体"/>
          <w:color w:val="auto"/>
          <w:kern w:val="0"/>
          <w:szCs w:val="21"/>
          <w:highlight w:val="none"/>
        </w:rPr>
        <w:t>第七条  本协议作为合同的附件，与本合同具有同等法律效力。</w:t>
      </w:r>
      <w:bookmarkEnd w:id="1000"/>
      <w:bookmarkEnd w:id="1001"/>
      <w:bookmarkEnd w:id="1002"/>
      <w:bookmarkEnd w:id="1003"/>
      <w:bookmarkEnd w:id="1004"/>
      <w:bookmarkEnd w:id="1005"/>
    </w:p>
    <w:p w14:paraId="3923A459">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p>
    <w:p w14:paraId="664C47F8">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甲方（盖章）：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乙方（盖章）：</w:t>
      </w:r>
      <w:r>
        <w:rPr>
          <w:rFonts w:hint="eastAsia" w:ascii="宋体" w:hAnsi="宋体" w:cs="宋体"/>
          <w:color w:val="auto"/>
          <w:kern w:val="0"/>
          <w:szCs w:val="21"/>
          <w:highlight w:val="none"/>
          <w:u w:val="single"/>
        </w:rPr>
        <w:t xml:space="preserve">                      </w:t>
      </w:r>
    </w:p>
    <w:p w14:paraId="444A94F4">
      <w:pPr>
        <w:widowControl/>
        <w:spacing w:line="360" w:lineRule="auto"/>
        <w:ind w:firstLine="420" w:firstLineChars="200"/>
        <w:jc w:val="left"/>
        <w:rPr>
          <w:rFonts w:hint="eastAsia" w:ascii="宋体" w:hAnsi="宋体" w:cs="宋体"/>
          <w:color w:val="auto"/>
          <w:kern w:val="0"/>
          <w:szCs w:val="21"/>
          <w:highlight w:val="none"/>
        </w:rPr>
      </w:pPr>
    </w:p>
    <w:p w14:paraId="00FAB523">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法定代表人或                                法定代表人或</w:t>
      </w:r>
    </w:p>
    <w:p w14:paraId="5172F428">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授权代表：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(职务)              授权代表：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(职务)</w:t>
      </w:r>
    </w:p>
    <w:p w14:paraId="2EB11DCE">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姓名：</w:t>
      </w:r>
      <w:r>
        <w:rPr>
          <w:rFonts w:hint="eastAsia" w:ascii="宋体" w:hAnsi="宋体" w:cs="宋体"/>
          <w:color w:val="auto"/>
          <w:kern w:val="0"/>
          <w:szCs w:val="21"/>
          <w:highlight w:val="none"/>
          <w:u w:val="single"/>
        </w:rPr>
        <w:t xml:space="preserve">             </w:t>
      </w:r>
    </w:p>
    <w:p w14:paraId="442AF2A6">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签字：</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签字：</w:t>
      </w:r>
      <w:r>
        <w:rPr>
          <w:rFonts w:hint="eastAsia" w:ascii="宋体" w:hAnsi="宋体" w:cs="宋体"/>
          <w:color w:val="auto"/>
          <w:kern w:val="0"/>
          <w:szCs w:val="21"/>
          <w:highlight w:val="none"/>
          <w:u w:val="single"/>
        </w:rPr>
        <w:t xml:space="preserve">             </w:t>
      </w:r>
    </w:p>
    <w:p w14:paraId="5D6A44B1">
      <w:pPr>
        <w:widowControl/>
        <w:spacing w:line="360" w:lineRule="auto"/>
        <w:ind w:firstLine="420" w:firstLineChars="200"/>
        <w:jc w:val="left"/>
        <w:rPr>
          <w:rFonts w:hint="eastAsia" w:ascii="宋体" w:hAnsi="宋体" w:cs="宋体"/>
          <w:color w:val="auto"/>
          <w:kern w:val="0"/>
          <w:szCs w:val="21"/>
          <w:highlight w:val="none"/>
        </w:rPr>
      </w:pPr>
    </w:p>
    <w:p w14:paraId="75B47E46">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廉政监督联系人                              廉政监督联系人</w:t>
      </w:r>
    </w:p>
    <w:p w14:paraId="6D943A18">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姓名：</w:t>
      </w:r>
      <w:r>
        <w:rPr>
          <w:rFonts w:hint="eastAsia" w:ascii="宋体" w:hAnsi="宋体" w:cs="宋体"/>
          <w:color w:val="auto"/>
          <w:kern w:val="0"/>
          <w:szCs w:val="21"/>
          <w:highlight w:val="none"/>
          <w:u w:val="single"/>
        </w:rPr>
        <w:t xml:space="preserve">                       </w:t>
      </w:r>
    </w:p>
    <w:p w14:paraId="3A72BD9D">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签字：</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签字：</w:t>
      </w:r>
      <w:r>
        <w:rPr>
          <w:rFonts w:hint="eastAsia" w:ascii="宋体" w:hAnsi="宋体" w:cs="宋体"/>
          <w:color w:val="auto"/>
          <w:kern w:val="0"/>
          <w:szCs w:val="21"/>
          <w:highlight w:val="none"/>
          <w:u w:val="single"/>
        </w:rPr>
        <w:t xml:space="preserve">                       </w:t>
      </w:r>
    </w:p>
    <w:p w14:paraId="1FC199CE">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电话：</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电话：</w:t>
      </w:r>
      <w:r>
        <w:rPr>
          <w:rFonts w:hint="eastAsia" w:ascii="宋体" w:hAnsi="宋体" w:cs="宋体"/>
          <w:color w:val="auto"/>
          <w:kern w:val="0"/>
          <w:szCs w:val="21"/>
          <w:highlight w:val="none"/>
          <w:u w:val="single"/>
        </w:rPr>
        <w:t xml:space="preserve">                       </w:t>
      </w:r>
    </w:p>
    <w:p w14:paraId="724CAE2C">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地址：</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地址：</w:t>
      </w:r>
      <w:r>
        <w:rPr>
          <w:rFonts w:hint="eastAsia" w:ascii="宋体" w:hAnsi="宋体" w:cs="宋体"/>
          <w:color w:val="auto"/>
          <w:kern w:val="0"/>
          <w:szCs w:val="21"/>
          <w:highlight w:val="none"/>
          <w:u w:val="single"/>
        </w:rPr>
        <w:t xml:space="preserve">                       </w:t>
      </w:r>
    </w:p>
    <w:p w14:paraId="26190640">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日期：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日期：</w:t>
      </w:r>
      <w:r>
        <w:rPr>
          <w:rFonts w:hint="eastAsia" w:ascii="宋体" w:hAnsi="宋体" w:cs="宋体"/>
          <w:color w:val="auto"/>
          <w:kern w:val="0"/>
          <w:szCs w:val="21"/>
          <w:highlight w:val="none"/>
          <w:u w:val="single"/>
        </w:rPr>
        <w:t xml:space="preserve">                       </w:t>
      </w:r>
    </w:p>
    <w:p w14:paraId="17BD6120">
      <w:pPr>
        <w:keepNext/>
        <w:keepLines/>
        <w:spacing w:before="120" w:after="120" w:line="360" w:lineRule="auto"/>
        <w:jc w:val="left"/>
        <w:outlineLvl w:val="2"/>
        <w:rPr>
          <w:rFonts w:hint="eastAsia" w:ascii="宋体" w:hAnsi="宋体" w:cs="宋体"/>
          <w:color w:val="auto"/>
          <w:szCs w:val="21"/>
          <w:highlight w:val="none"/>
        </w:rPr>
      </w:pPr>
      <w:r>
        <w:rPr>
          <w:rFonts w:hint="eastAsia" w:ascii="宋体" w:hAnsi="宋体" w:cs="宋体"/>
          <w:bCs/>
          <w:color w:val="auto"/>
          <w:kern w:val="0"/>
          <w:sz w:val="24"/>
          <w:szCs w:val="21"/>
          <w:highlight w:val="none"/>
        </w:rPr>
        <w:br w:type="page"/>
      </w:r>
      <w:bookmarkStart w:id="1006" w:name="_Toc95223504"/>
      <w:r>
        <w:rPr>
          <w:rFonts w:hint="eastAsia" w:ascii="宋体" w:hAnsi="宋体" w:cs="宋体"/>
          <w:bCs/>
          <w:color w:val="auto"/>
          <w:sz w:val="24"/>
          <w:highlight w:val="none"/>
        </w:rPr>
        <w:t>附件</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：履约保证金</w:t>
      </w:r>
      <w:bookmarkEnd w:id="1006"/>
    </w:p>
    <w:p w14:paraId="749CDA6C">
      <w:pPr>
        <w:adjustRightInd w:val="0"/>
        <w:snapToGrid w:val="0"/>
        <w:spacing w:line="360" w:lineRule="auto"/>
        <w:jc w:val="center"/>
        <w:outlineLvl w:val="0"/>
        <w:rPr>
          <w:rFonts w:hint="eastAsia" w:ascii="宋体" w:hAnsi="宋体" w:cs="宋体"/>
          <w:b/>
          <w:bCs/>
          <w:color w:val="auto"/>
          <w:sz w:val="32"/>
          <w:szCs w:val="32"/>
          <w:highlight w:val="none"/>
        </w:rPr>
      </w:pPr>
      <w:bookmarkStart w:id="1007" w:name="_Toc10681"/>
      <w:bookmarkStart w:id="1008" w:name="_Toc28010"/>
      <w:bookmarkStart w:id="1009" w:name="_Toc95223505"/>
      <w:bookmarkStart w:id="1010" w:name="_Toc25855"/>
      <w:bookmarkStart w:id="1011" w:name="_Toc8655"/>
      <w:bookmarkStart w:id="1012" w:name="_Toc10603"/>
      <w:r>
        <w:rPr>
          <w:rFonts w:hint="eastAsia" w:ascii="宋体" w:hAnsi="宋体" w:cs="宋体"/>
          <w:b/>
          <w:bCs/>
          <w:color w:val="auto"/>
          <w:sz w:val="32"/>
          <w:szCs w:val="32"/>
          <w:highlight w:val="none"/>
        </w:rPr>
        <w:t>履约保函示范文本</w:t>
      </w:r>
      <w:bookmarkEnd w:id="1007"/>
      <w:bookmarkEnd w:id="1008"/>
      <w:bookmarkEnd w:id="1009"/>
      <w:bookmarkEnd w:id="1010"/>
      <w:bookmarkEnd w:id="1011"/>
      <w:bookmarkEnd w:id="1012"/>
    </w:p>
    <w:p w14:paraId="63E9E6FD">
      <w:pPr>
        <w:wordWrap w:val="0"/>
        <w:adjustRightInd w:val="0"/>
        <w:snapToGrid w:val="0"/>
        <w:spacing w:line="360"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编号：           </w:t>
      </w:r>
    </w:p>
    <w:p w14:paraId="15B5B6E9">
      <w:pPr>
        <w:adjustRightInd w:val="0"/>
        <w:snapToGrid w:val="0"/>
        <w:spacing w:line="360" w:lineRule="auto"/>
        <w:rPr>
          <w:rFonts w:hint="eastAsia" w:ascii="宋体" w:hAnsi="宋体" w:cs="宋体"/>
          <w:color w:val="auto"/>
          <w:szCs w:val="21"/>
          <w:highlight w:val="none"/>
        </w:rPr>
      </w:pPr>
    </w:p>
    <w:p w14:paraId="7F51BB03">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（受益人名称）： </w:t>
      </w:r>
    </w:p>
    <w:p w14:paraId="0453CEA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（以下简称“受益人”）与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（以下简称“申请人”）于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日就</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（标段编号）的</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（标段名称）</w:t>
      </w:r>
      <w:r>
        <w:rPr>
          <w:rFonts w:hint="eastAsia" w:ascii="宋体" w:hAnsi="宋体" w:cs="宋体"/>
          <w:color w:val="auto"/>
          <w:szCs w:val="21"/>
          <w:highlight w:val="none"/>
        </w:rPr>
        <w:t>有关事项协商一致共同签订</w:t>
      </w:r>
      <w:r>
        <w:rPr>
          <w:rFonts w:hint="eastAsia" w:ascii="宋体" w:hAnsi="宋体" w:cs="宋体"/>
          <w:color w:val="auto"/>
          <w:szCs w:val="21"/>
          <w:highlight w:val="none"/>
          <w:u w:val="single"/>
        </w:rPr>
        <w:t>《        》</w:t>
      </w:r>
      <w:r>
        <w:rPr>
          <w:rFonts w:hint="eastAsia" w:ascii="宋体" w:hAnsi="宋体" w:cs="宋体"/>
          <w:color w:val="auto"/>
          <w:szCs w:val="21"/>
          <w:highlight w:val="none"/>
        </w:rPr>
        <w:t xml:space="preserve">（以下简称“基础合同”），开立人根据基础合同了解到申请人为基础合同项下之承包人，受益人为基础合同项下之发包人，基于申请人的请求，开立人同意就申请人履行与受益人签订的基础合同项下的义务，向受益人提供不可撤销、不可转让的见索即付独立保函（以下简称“本保函”）。 </w:t>
      </w:r>
    </w:p>
    <w:p w14:paraId="08DF4E0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一、本保函担保范围：承包人未按照基础合同的约定履行义务，应当向受益人承担的违约责任和赔偿因此造成的损失、利息、律师费、诉讼费用等实现债权的费用。</w:t>
      </w:r>
    </w:p>
    <w:p w14:paraId="2C11DEF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二、本保函担保金额最高不超过人民币（大写）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76D887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三、本保函有效期自开立之日起至基础合同约定的缺陷责任期满之日止。 </w:t>
      </w:r>
    </w:p>
    <w:p w14:paraId="007118B0">
      <w:pPr>
        <w:adjustRightInd w:val="0"/>
        <w:snapToGrid w:val="0"/>
        <w:spacing w:line="360" w:lineRule="auto"/>
        <w:ind w:firstLine="480"/>
        <w:rPr>
          <w:rFonts w:hint="eastAsia" w:ascii="宋体" w:hAnsi="宋体" w:cs="宋体"/>
          <w:color w:val="auto"/>
          <w:szCs w:val="21"/>
          <w:highlight w:val="none"/>
        </w:rPr>
      </w:pPr>
      <w:bookmarkStart w:id="1013" w:name="_Hlk40302764"/>
      <w:r>
        <w:rPr>
          <w:rFonts w:hint="eastAsia" w:ascii="宋体" w:hAnsi="宋体" w:cs="宋体"/>
          <w:color w:val="auto"/>
          <w:szCs w:val="21"/>
          <w:highlight w:val="none"/>
        </w:rPr>
        <w:t>四、开立人承诺，在收到受益人发来的书面付款通知后的七日内无条件支付，前述书面付款通知即为付款要求之单据，且应满足以下要求：</w:t>
      </w:r>
    </w:p>
    <w:bookmarkEnd w:id="1013"/>
    <w:p w14:paraId="10D2EDA0">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（1）付款通知到达的日期在本保函的有效期内；</w:t>
      </w:r>
    </w:p>
    <w:p w14:paraId="7147A51B">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（2）载明要求支付的金额；</w:t>
      </w:r>
    </w:p>
    <w:p w14:paraId="663EF919">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（3）载明申请人违反合同义务的条款和内容；</w:t>
      </w:r>
    </w:p>
    <w:p w14:paraId="0EA9F6AA">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（4）声明不存在合同文件约定或我国法律规定免除申请人或开立人支付责任的情形；</w:t>
      </w:r>
    </w:p>
    <w:p w14:paraId="143BFD0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（5）付款通知应在本保函有效期内到达的地址是：</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8BFCF42">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bookmarkStart w:id="1014" w:name="_Hlk40303486"/>
      <w:r>
        <w:rPr>
          <w:rFonts w:hint="eastAsia" w:ascii="宋体" w:hAnsi="宋体" w:cs="宋体"/>
          <w:color w:val="auto"/>
          <w:szCs w:val="21"/>
          <w:highlight w:val="none"/>
        </w:rPr>
        <w:t>受益人发出的书面付款通知应由其法定代表人（负责人）或授权代理人签字并加盖公章。</w:t>
      </w:r>
      <w:bookmarkEnd w:id="1014"/>
    </w:p>
    <w:p w14:paraId="5831403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五、本保函项下的权利不得转让，不得设定担保。受益人未经我方书面同意转 让本保函或其项下任何权利，对我方不发生法律效力。 </w:t>
      </w:r>
    </w:p>
    <w:p w14:paraId="0298A2DF">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六、与本保函有关的基础合同不成立、不生效、无效、被撤销、被解除，不影响本保函的独立有效。 </w:t>
      </w:r>
    </w:p>
    <w:p w14:paraId="2C91B9A0">
      <w:pPr>
        <w:adjustRightInd w:val="0"/>
        <w:snapToGrid w:val="0"/>
        <w:spacing w:line="360" w:lineRule="auto"/>
        <w:ind w:firstLine="420" w:firstLineChars="200"/>
        <w:rPr>
          <w:rFonts w:hint="eastAsia" w:ascii="宋体" w:hAnsi="宋体" w:cs="宋体"/>
          <w:color w:val="auto"/>
          <w:szCs w:val="21"/>
          <w:highlight w:val="none"/>
        </w:rPr>
      </w:pPr>
      <w:bookmarkStart w:id="1015" w:name="_Hlk40303383"/>
      <w:bookmarkStart w:id="1016" w:name="_Hlk40354981"/>
      <w:r>
        <w:rPr>
          <w:rFonts w:hint="eastAsia" w:ascii="宋体" w:hAnsi="宋体" w:cs="宋体"/>
          <w:color w:val="auto"/>
          <w:szCs w:val="21"/>
          <w:highlight w:val="none"/>
        </w:rPr>
        <w:t xml:space="preserve">七、本保函项下的义务和责任均在保函有效期到期后自动消灭。 </w:t>
      </w:r>
    </w:p>
    <w:p w14:paraId="5C42FCD9">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八、本保函适用的法律为中华人民共和国法律，因本保函产生的纠纷案件，</w:t>
      </w:r>
      <w:bookmarkEnd w:id="1015"/>
      <w:r>
        <w:rPr>
          <w:rFonts w:hint="eastAsia" w:ascii="宋体" w:hAnsi="宋体" w:cs="宋体"/>
          <w:color w:val="auto"/>
          <w:szCs w:val="21"/>
          <w:highlight w:val="none"/>
        </w:rPr>
        <w:t xml:space="preserve">由受益人所在地人民法院管辖。 </w:t>
      </w:r>
    </w:p>
    <w:bookmarkEnd w:id="1016"/>
    <w:p w14:paraId="03D9AF2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九、本保函自我方法定代表人或授权代表签字并加盖公章之日起生效。 </w:t>
      </w:r>
    </w:p>
    <w:p w14:paraId="68965B5D">
      <w:pPr>
        <w:adjustRightInd w:val="0"/>
        <w:snapToGrid w:val="0"/>
        <w:spacing w:line="360" w:lineRule="auto"/>
        <w:ind w:firstLine="420" w:firstLineChars="200"/>
        <w:rPr>
          <w:rFonts w:hint="eastAsia" w:ascii="宋体" w:hAnsi="宋体" w:cs="宋体"/>
          <w:color w:val="auto"/>
          <w:szCs w:val="21"/>
          <w:highlight w:val="none"/>
        </w:rPr>
      </w:pPr>
    </w:p>
    <w:p w14:paraId="08F28875">
      <w:pPr>
        <w:adjustRightInd w:val="0"/>
        <w:snapToGrid w:val="0"/>
        <w:spacing w:line="360" w:lineRule="auto"/>
        <w:ind w:firstLine="420" w:firstLineChars="200"/>
        <w:rPr>
          <w:rFonts w:hint="eastAsia" w:ascii="宋体" w:hAnsi="宋体" w:cs="宋体"/>
          <w:color w:val="auto"/>
          <w:szCs w:val="21"/>
          <w:highlight w:val="none"/>
        </w:rPr>
      </w:pPr>
    </w:p>
    <w:p w14:paraId="5D01D713">
      <w:pPr>
        <w:adjustRightInd w:val="0"/>
        <w:snapToGrid w:val="0"/>
        <w:spacing w:line="360" w:lineRule="auto"/>
        <w:ind w:firstLine="420" w:firstLineChars="200"/>
        <w:rPr>
          <w:rFonts w:hint="eastAsia" w:ascii="宋体" w:hAnsi="宋体" w:cs="宋体"/>
          <w:color w:val="auto"/>
          <w:szCs w:val="21"/>
          <w:highlight w:val="none"/>
        </w:rPr>
      </w:pPr>
    </w:p>
    <w:p w14:paraId="3828C34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 立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（公章） </w:t>
      </w:r>
    </w:p>
    <w:p w14:paraId="68DE1A21">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法定代表人（或授权代表）：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（签字） </w:t>
      </w:r>
    </w:p>
    <w:p w14:paraId="1EC2E9E2">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2235652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06092619">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14:paraId="4AC5669B">
      <w:pPr>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14:paraId="6B4FCAA0">
      <w:pPr>
        <w:adjustRightInd w:val="0"/>
        <w:snapToGrid w:val="0"/>
        <w:spacing w:line="360" w:lineRule="auto"/>
        <w:ind w:left="1323" w:leftChars="200" w:hanging="903" w:hangingChars="430"/>
        <w:rPr>
          <w:rFonts w:hint="eastAsia" w:ascii="宋体" w:hAnsi="宋体" w:cs="宋体"/>
          <w:color w:val="auto"/>
          <w:szCs w:val="21"/>
          <w:highlight w:val="none"/>
        </w:rPr>
      </w:pPr>
      <w:r>
        <w:rPr>
          <w:rFonts w:hint="eastAsia" w:ascii="宋体" w:hAnsi="宋体" w:cs="宋体"/>
          <w:color w:val="auto"/>
          <w:szCs w:val="21"/>
          <w:highlight w:val="none"/>
        </w:rPr>
        <w:t>开立时间：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0F8FAE9B">
      <w:pPr>
        <w:rPr>
          <w:rFonts w:hint="eastAsia" w:ascii="宋体" w:hAnsi="宋体" w:cs="宋体"/>
          <w:bCs/>
          <w:color w:val="auto"/>
          <w:sz w:val="24"/>
          <w:highlight w:val="none"/>
        </w:rPr>
      </w:pPr>
      <w:bookmarkStart w:id="1017" w:name="_Toc95223510"/>
      <w:r>
        <w:rPr>
          <w:rFonts w:hint="eastAsia" w:ascii="宋体" w:hAnsi="宋体" w:cs="宋体"/>
          <w:bCs/>
          <w:color w:val="auto"/>
          <w:sz w:val="24"/>
          <w:highlight w:val="none"/>
        </w:rPr>
        <w:br w:type="page"/>
      </w:r>
    </w:p>
    <w:p w14:paraId="4486E087">
      <w:pPr>
        <w:keepNext/>
        <w:keepLines/>
        <w:adjustRightInd w:val="0"/>
        <w:snapToGrid w:val="0"/>
        <w:spacing w:line="360" w:lineRule="auto"/>
        <w:jc w:val="left"/>
        <w:outlineLvl w:val="2"/>
        <w:rPr>
          <w:rFonts w:hint="eastAsia" w:ascii="宋体" w:hAnsi="宋体" w:cs="宋体"/>
          <w:bCs/>
          <w:color w:val="auto"/>
          <w:sz w:val="24"/>
          <w:highlight w:val="none"/>
        </w:rPr>
      </w:pPr>
      <w:r>
        <w:rPr>
          <w:rFonts w:hint="eastAsia" w:ascii="宋体" w:hAnsi="宋体" w:cs="宋体"/>
          <w:bCs/>
          <w:color w:val="auto"/>
          <w:sz w:val="24"/>
          <w:highlight w:val="none"/>
        </w:rPr>
        <w:t>附件</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：暂估价一览表</w:t>
      </w:r>
      <w:bookmarkEnd w:id="1017"/>
    </w:p>
    <w:p w14:paraId="26A0E4F4">
      <w:pPr>
        <w:spacing w:before="120" w:beforeLines="50" w:after="120"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12-1：材料暂估价表</w:t>
      </w:r>
    </w:p>
    <w:tbl>
      <w:tblPr>
        <w:tblStyle w:val="46"/>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9B989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306B5FC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984" w:type="dxa"/>
            <w:tcBorders>
              <w:top w:val="single" w:color="auto" w:sz="12" w:space="0"/>
              <w:bottom w:val="double" w:color="auto" w:sz="6" w:space="0"/>
            </w:tcBorders>
            <w:noWrap w:val="0"/>
            <w:vAlign w:val="top"/>
          </w:tcPr>
          <w:p w14:paraId="1C1AA933">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名称</w:t>
            </w:r>
          </w:p>
        </w:tc>
        <w:tc>
          <w:tcPr>
            <w:tcW w:w="851" w:type="dxa"/>
            <w:tcBorders>
              <w:top w:val="single" w:color="auto" w:sz="12" w:space="0"/>
              <w:bottom w:val="double" w:color="auto" w:sz="6" w:space="0"/>
            </w:tcBorders>
            <w:noWrap w:val="0"/>
            <w:vAlign w:val="top"/>
          </w:tcPr>
          <w:p w14:paraId="2B8AF063">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774" w:type="dxa"/>
            <w:tcBorders>
              <w:top w:val="single" w:color="auto" w:sz="12" w:space="0"/>
              <w:bottom w:val="double" w:color="auto" w:sz="6" w:space="0"/>
            </w:tcBorders>
            <w:noWrap w:val="0"/>
            <w:vAlign w:val="top"/>
          </w:tcPr>
          <w:p w14:paraId="6D8864C7">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352" w:type="dxa"/>
            <w:tcBorders>
              <w:top w:val="single" w:color="auto" w:sz="12" w:space="0"/>
              <w:bottom w:val="double" w:color="auto" w:sz="6" w:space="0"/>
            </w:tcBorders>
            <w:noWrap w:val="0"/>
            <w:vAlign w:val="top"/>
          </w:tcPr>
          <w:p w14:paraId="5980A6BA">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单价（元）</w:t>
            </w:r>
          </w:p>
        </w:tc>
        <w:tc>
          <w:tcPr>
            <w:tcW w:w="1418" w:type="dxa"/>
            <w:tcBorders>
              <w:top w:val="single" w:color="auto" w:sz="12" w:space="0"/>
              <w:bottom w:val="double" w:color="auto" w:sz="6" w:space="0"/>
            </w:tcBorders>
            <w:noWrap w:val="0"/>
            <w:vAlign w:val="top"/>
          </w:tcPr>
          <w:p w14:paraId="146DAF6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合价（元）</w:t>
            </w:r>
          </w:p>
        </w:tc>
        <w:tc>
          <w:tcPr>
            <w:tcW w:w="1701" w:type="dxa"/>
            <w:tcBorders>
              <w:top w:val="single" w:color="auto" w:sz="12" w:space="0"/>
              <w:bottom w:val="double" w:color="auto" w:sz="6" w:space="0"/>
            </w:tcBorders>
            <w:noWrap w:val="0"/>
            <w:vAlign w:val="top"/>
          </w:tcPr>
          <w:p w14:paraId="69FB0A48">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4932CD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tcBorders>
            <w:noWrap w:val="0"/>
            <w:vAlign w:val="top"/>
          </w:tcPr>
          <w:p w14:paraId="35C0BA3F">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tcBorders>
              <w:top w:val="double" w:color="auto" w:sz="6" w:space="0"/>
            </w:tcBorders>
            <w:noWrap w:val="0"/>
            <w:vAlign w:val="top"/>
          </w:tcPr>
          <w:p w14:paraId="7F6E3A8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tcBorders>
              <w:top w:val="double" w:color="auto" w:sz="6" w:space="0"/>
            </w:tcBorders>
            <w:noWrap w:val="0"/>
            <w:vAlign w:val="top"/>
          </w:tcPr>
          <w:p w14:paraId="1721CF8D">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tcBorders>
              <w:top w:val="double" w:color="auto" w:sz="6" w:space="0"/>
            </w:tcBorders>
            <w:noWrap w:val="0"/>
            <w:vAlign w:val="top"/>
          </w:tcPr>
          <w:p w14:paraId="34474630">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tcBorders>
              <w:top w:val="double" w:color="auto" w:sz="6" w:space="0"/>
            </w:tcBorders>
            <w:noWrap w:val="0"/>
            <w:vAlign w:val="top"/>
          </w:tcPr>
          <w:p w14:paraId="06930E77">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tcBorders>
              <w:top w:val="double" w:color="auto" w:sz="6" w:space="0"/>
            </w:tcBorders>
            <w:noWrap w:val="0"/>
            <w:vAlign w:val="top"/>
          </w:tcPr>
          <w:p w14:paraId="501E58F0">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tcBorders>
              <w:top w:val="double" w:color="auto" w:sz="6" w:space="0"/>
            </w:tcBorders>
            <w:noWrap w:val="0"/>
            <w:vAlign w:val="top"/>
          </w:tcPr>
          <w:p w14:paraId="1C2D7CAD">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r w14:paraId="5DE65B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3E96567A">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tcBorders>
              <w:top w:val="nil"/>
            </w:tcBorders>
            <w:noWrap w:val="0"/>
            <w:vAlign w:val="top"/>
          </w:tcPr>
          <w:p w14:paraId="25F571CA">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tcBorders>
              <w:top w:val="nil"/>
            </w:tcBorders>
            <w:noWrap w:val="0"/>
            <w:vAlign w:val="top"/>
          </w:tcPr>
          <w:p w14:paraId="02D5E482">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tcBorders>
              <w:top w:val="nil"/>
            </w:tcBorders>
            <w:noWrap w:val="0"/>
            <w:vAlign w:val="top"/>
          </w:tcPr>
          <w:p w14:paraId="1CD43068">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tcBorders>
              <w:top w:val="nil"/>
            </w:tcBorders>
            <w:noWrap w:val="0"/>
            <w:vAlign w:val="top"/>
          </w:tcPr>
          <w:p w14:paraId="3E4CC50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tcBorders>
              <w:top w:val="nil"/>
            </w:tcBorders>
            <w:noWrap w:val="0"/>
            <w:vAlign w:val="top"/>
          </w:tcPr>
          <w:p w14:paraId="46A2CBE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tcBorders>
              <w:top w:val="nil"/>
            </w:tcBorders>
            <w:noWrap w:val="0"/>
            <w:vAlign w:val="top"/>
          </w:tcPr>
          <w:p w14:paraId="2B4E7697">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r w14:paraId="34A70F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10CBC3C">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noWrap w:val="0"/>
            <w:vAlign w:val="top"/>
          </w:tcPr>
          <w:p w14:paraId="11A839F7">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noWrap w:val="0"/>
            <w:vAlign w:val="top"/>
          </w:tcPr>
          <w:p w14:paraId="33AA4197">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noWrap w:val="0"/>
            <w:vAlign w:val="top"/>
          </w:tcPr>
          <w:p w14:paraId="329879D5">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noWrap w:val="0"/>
            <w:vAlign w:val="top"/>
          </w:tcPr>
          <w:p w14:paraId="75F04C61">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noWrap w:val="0"/>
            <w:vAlign w:val="top"/>
          </w:tcPr>
          <w:p w14:paraId="7330B18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noWrap w:val="0"/>
            <w:vAlign w:val="top"/>
          </w:tcPr>
          <w:p w14:paraId="0F51F71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r w14:paraId="6BB75F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28C781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noWrap w:val="0"/>
            <w:vAlign w:val="top"/>
          </w:tcPr>
          <w:p w14:paraId="27ADF0B5">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noWrap w:val="0"/>
            <w:vAlign w:val="top"/>
          </w:tcPr>
          <w:p w14:paraId="3F032A7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noWrap w:val="0"/>
            <w:vAlign w:val="top"/>
          </w:tcPr>
          <w:p w14:paraId="00A2744E">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noWrap w:val="0"/>
            <w:vAlign w:val="top"/>
          </w:tcPr>
          <w:p w14:paraId="7F32379C">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noWrap w:val="0"/>
            <w:vAlign w:val="top"/>
          </w:tcPr>
          <w:p w14:paraId="580B0DF8">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noWrap w:val="0"/>
            <w:vAlign w:val="top"/>
          </w:tcPr>
          <w:p w14:paraId="6B1AACCD">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r w14:paraId="45E53F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bottom w:val="single" w:color="auto" w:sz="12" w:space="0"/>
            </w:tcBorders>
            <w:noWrap w:val="0"/>
            <w:vAlign w:val="top"/>
          </w:tcPr>
          <w:p w14:paraId="2518236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tcBorders>
              <w:bottom w:val="single" w:color="auto" w:sz="12" w:space="0"/>
            </w:tcBorders>
            <w:noWrap w:val="0"/>
            <w:vAlign w:val="top"/>
          </w:tcPr>
          <w:p w14:paraId="394B6EB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tcBorders>
              <w:bottom w:val="single" w:color="auto" w:sz="12" w:space="0"/>
            </w:tcBorders>
            <w:noWrap w:val="0"/>
            <w:vAlign w:val="top"/>
          </w:tcPr>
          <w:p w14:paraId="2E37846D">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tcBorders>
              <w:bottom w:val="single" w:color="auto" w:sz="12" w:space="0"/>
            </w:tcBorders>
            <w:noWrap w:val="0"/>
            <w:vAlign w:val="top"/>
          </w:tcPr>
          <w:p w14:paraId="247544F0">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tcBorders>
              <w:bottom w:val="single" w:color="auto" w:sz="12" w:space="0"/>
            </w:tcBorders>
            <w:noWrap w:val="0"/>
            <w:vAlign w:val="top"/>
          </w:tcPr>
          <w:p w14:paraId="416CDE1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tcBorders>
              <w:bottom w:val="single" w:color="auto" w:sz="12" w:space="0"/>
            </w:tcBorders>
            <w:noWrap w:val="0"/>
            <w:vAlign w:val="top"/>
          </w:tcPr>
          <w:p w14:paraId="13E59DC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tcBorders>
              <w:bottom w:val="single" w:color="auto" w:sz="12" w:space="0"/>
            </w:tcBorders>
            <w:noWrap w:val="0"/>
            <w:vAlign w:val="top"/>
          </w:tcPr>
          <w:p w14:paraId="0361BC82">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bl>
    <w:p w14:paraId="580778DE">
      <w:pPr>
        <w:spacing w:before="120" w:beforeLines="50" w:after="120" w:afterLines="50" w:line="440" w:lineRule="exact"/>
        <w:rPr>
          <w:rFonts w:hint="eastAsia" w:ascii="宋体" w:hAnsi="宋体" w:cs="宋体"/>
          <w:color w:val="auto"/>
          <w:szCs w:val="21"/>
          <w:highlight w:val="none"/>
        </w:rPr>
      </w:pPr>
    </w:p>
    <w:p w14:paraId="6CFE0248">
      <w:pPr>
        <w:spacing w:before="120" w:beforeLines="50" w:after="120"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12-2：工程设备暂估价表</w:t>
      </w:r>
    </w:p>
    <w:tbl>
      <w:tblPr>
        <w:tblStyle w:val="46"/>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106DA2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2B2B142F">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984" w:type="dxa"/>
            <w:tcBorders>
              <w:top w:val="single" w:color="auto" w:sz="12" w:space="0"/>
              <w:bottom w:val="double" w:color="auto" w:sz="6" w:space="0"/>
            </w:tcBorders>
            <w:noWrap w:val="0"/>
            <w:vAlign w:val="top"/>
          </w:tcPr>
          <w:p w14:paraId="670731C1">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名称</w:t>
            </w:r>
          </w:p>
        </w:tc>
        <w:tc>
          <w:tcPr>
            <w:tcW w:w="851" w:type="dxa"/>
            <w:tcBorders>
              <w:top w:val="single" w:color="auto" w:sz="12" w:space="0"/>
              <w:bottom w:val="double" w:color="auto" w:sz="6" w:space="0"/>
            </w:tcBorders>
            <w:noWrap w:val="0"/>
            <w:vAlign w:val="top"/>
          </w:tcPr>
          <w:p w14:paraId="5C7EDE5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774" w:type="dxa"/>
            <w:tcBorders>
              <w:top w:val="single" w:color="auto" w:sz="12" w:space="0"/>
              <w:bottom w:val="double" w:color="auto" w:sz="6" w:space="0"/>
            </w:tcBorders>
            <w:noWrap w:val="0"/>
            <w:vAlign w:val="top"/>
          </w:tcPr>
          <w:p w14:paraId="71F13DAE">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352" w:type="dxa"/>
            <w:tcBorders>
              <w:top w:val="single" w:color="auto" w:sz="12" w:space="0"/>
              <w:bottom w:val="double" w:color="auto" w:sz="6" w:space="0"/>
            </w:tcBorders>
            <w:noWrap w:val="0"/>
            <w:vAlign w:val="top"/>
          </w:tcPr>
          <w:p w14:paraId="0FEF166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单价（元）</w:t>
            </w:r>
          </w:p>
        </w:tc>
        <w:tc>
          <w:tcPr>
            <w:tcW w:w="1418" w:type="dxa"/>
            <w:tcBorders>
              <w:top w:val="single" w:color="auto" w:sz="12" w:space="0"/>
              <w:bottom w:val="double" w:color="auto" w:sz="6" w:space="0"/>
            </w:tcBorders>
            <w:noWrap w:val="0"/>
            <w:vAlign w:val="top"/>
          </w:tcPr>
          <w:p w14:paraId="2B7B1C78">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合价（元）</w:t>
            </w:r>
          </w:p>
        </w:tc>
        <w:tc>
          <w:tcPr>
            <w:tcW w:w="1701" w:type="dxa"/>
            <w:tcBorders>
              <w:top w:val="single" w:color="auto" w:sz="12" w:space="0"/>
              <w:bottom w:val="double" w:color="auto" w:sz="6" w:space="0"/>
            </w:tcBorders>
            <w:noWrap w:val="0"/>
            <w:vAlign w:val="top"/>
          </w:tcPr>
          <w:p w14:paraId="69D1DF7A">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5D9939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tcBorders>
            <w:noWrap w:val="0"/>
            <w:vAlign w:val="top"/>
          </w:tcPr>
          <w:p w14:paraId="6DCA25F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tcBorders>
              <w:top w:val="double" w:color="auto" w:sz="6" w:space="0"/>
            </w:tcBorders>
            <w:noWrap w:val="0"/>
            <w:vAlign w:val="top"/>
          </w:tcPr>
          <w:p w14:paraId="16BB6597">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tcBorders>
              <w:top w:val="double" w:color="auto" w:sz="6" w:space="0"/>
            </w:tcBorders>
            <w:noWrap w:val="0"/>
            <w:vAlign w:val="top"/>
          </w:tcPr>
          <w:p w14:paraId="41B32E9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tcBorders>
              <w:top w:val="double" w:color="auto" w:sz="6" w:space="0"/>
            </w:tcBorders>
            <w:noWrap w:val="0"/>
            <w:vAlign w:val="top"/>
          </w:tcPr>
          <w:p w14:paraId="223D2C89">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tcBorders>
              <w:top w:val="double" w:color="auto" w:sz="6" w:space="0"/>
            </w:tcBorders>
            <w:noWrap w:val="0"/>
            <w:vAlign w:val="top"/>
          </w:tcPr>
          <w:p w14:paraId="17CB7F6F">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tcBorders>
              <w:top w:val="double" w:color="auto" w:sz="6" w:space="0"/>
            </w:tcBorders>
            <w:noWrap w:val="0"/>
            <w:vAlign w:val="top"/>
          </w:tcPr>
          <w:p w14:paraId="58B0F17D">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tcBorders>
              <w:top w:val="double" w:color="auto" w:sz="6" w:space="0"/>
            </w:tcBorders>
            <w:noWrap w:val="0"/>
            <w:vAlign w:val="top"/>
          </w:tcPr>
          <w:p w14:paraId="4920423A">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r w14:paraId="38D4FD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3B06B768">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tcBorders>
              <w:top w:val="nil"/>
            </w:tcBorders>
            <w:noWrap w:val="0"/>
            <w:vAlign w:val="top"/>
          </w:tcPr>
          <w:p w14:paraId="52D82F9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tcBorders>
              <w:top w:val="nil"/>
            </w:tcBorders>
            <w:noWrap w:val="0"/>
            <w:vAlign w:val="top"/>
          </w:tcPr>
          <w:p w14:paraId="644709FA">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tcBorders>
              <w:top w:val="nil"/>
            </w:tcBorders>
            <w:noWrap w:val="0"/>
            <w:vAlign w:val="top"/>
          </w:tcPr>
          <w:p w14:paraId="672BBE0F">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tcBorders>
              <w:top w:val="nil"/>
            </w:tcBorders>
            <w:noWrap w:val="0"/>
            <w:vAlign w:val="top"/>
          </w:tcPr>
          <w:p w14:paraId="62BBE440">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tcBorders>
              <w:top w:val="nil"/>
            </w:tcBorders>
            <w:noWrap w:val="0"/>
            <w:vAlign w:val="top"/>
          </w:tcPr>
          <w:p w14:paraId="27616665">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tcBorders>
              <w:top w:val="nil"/>
            </w:tcBorders>
            <w:noWrap w:val="0"/>
            <w:vAlign w:val="top"/>
          </w:tcPr>
          <w:p w14:paraId="735A9652">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r w14:paraId="1A1C81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97DBE22">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noWrap w:val="0"/>
            <w:vAlign w:val="top"/>
          </w:tcPr>
          <w:p w14:paraId="51D64C58">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noWrap w:val="0"/>
            <w:vAlign w:val="top"/>
          </w:tcPr>
          <w:p w14:paraId="692C6912">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noWrap w:val="0"/>
            <w:vAlign w:val="top"/>
          </w:tcPr>
          <w:p w14:paraId="3B21A6D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noWrap w:val="0"/>
            <w:vAlign w:val="top"/>
          </w:tcPr>
          <w:p w14:paraId="6497B54C">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noWrap w:val="0"/>
            <w:vAlign w:val="top"/>
          </w:tcPr>
          <w:p w14:paraId="3B4D6AAC">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noWrap w:val="0"/>
            <w:vAlign w:val="top"/>
          </w:tcPr>
          <w:p w14:paraId="20950353">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r w14:paraId="51D1C4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bottom w:val="single" w:color="auto" w:sz="12" w:space="0"/>
            </w:tcBorders>
            <w:noWrap w:val="0"/>
            <w:vAlign w:val="top"/>
          </w:tcPr>
          <w:p w14:paraId="28BE956D">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tcBorders>
              <w:bottom w:val="single" w:color="auto" w:sz="12" w:space="0"/>
            </w:tcBorders>
            <w:noWrap w:val="0"/>
            <w:vAlign w:val="top"/>
          </w:tcPr>
          <w:p w14:paraId="6D1D9B6A">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tcBorders>
              <w:bottom w:val="single" w:color="auto" w:sz="12" w:space="0"/>
            </w:tcBorders>
            <w:noWrap w:val="0"/>
            <w:vAlign w:val="top"/>
          </w:tcPr>
          <w:p w14:paraId="4D56FF7D">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tcBorders>
              <w:bottom w:val="single" w:color="auto" w:sz="12" w:space="0"/>
            </w:tcBorders>
            <w:noWrap w:val="0"/>
            <w:vAlign w:val="top"/>
          </w:tcPr>
          <w:p w14:paraId="413C34D5">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tcBorders>
              <w:bottom w:val="single" w:color="auto" w:sz="12" w:space="0"/>
            </w:tcBorders>
            <w:noWrap w:val="0"/>
            <w:vAlign w:val="top"/>
          </w:tcPr>
          <w:p w14:paraId="4386F80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tcBorders>
              <w:bottom w:val="single" w:color="auto" w:sz="12" w:space="0"/>
            </w:tcBorders>
            <w:noWrap w:val="0"/>
            <w:vAlign w:val="top"/>
          </w:tcPr>
          <w:p w14:paraId="390576D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tcBorders>
              <w:bottom w:val="single" w:color="auto" w:sz="12" w:space="0"/>
            </w:tcBorders>
            <w:noWrap w:val="0"/>
            <w:vAlign w:val="top"/>
          </w:tcPr>
          <w:p w14:paraId="3BEAB08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bl>
    <w:p w14:paraId="1B293081">
      <w:pPr>
        <w:spacing w:line="440" w:lineRule="exact"/>
        <w:rPr>
          <w:rFonts w:hint="eastAsia" w:ascii="宋体" w:hAnsi="宋体" w:cs="宋体"/>
          <w:color w:val="auto"/>
          <w:szCs w:val="21"/>
          <w:highlight w:val="none"/>
        </w:rPr>
      </w:pPr>
    </w:p>
    <w:p w14:paraId="54812880">
      <w:pPr>
        <w:spacing w:before="120" w:beforeLines="50" w:after="120"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12-3：专业工程暂估价表</w:t>
      </w:r>
    </w:p>
    <w:tbl>
      <w:tblPr>
        <w:tblStyle w:val="46"/>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2BEDD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4396E802">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984" w:type="dxa"/>
            <w:tcBorders>
              <w:top w:val="single" w:color="auto" w:sz="12" w:space="0"/>
              <w:bottom w:val="double" w:color="auto" w:sz="6" w:space="0"/>
            </w:tcBorders>
            <w:noWrap w:val="0"/>
            <w:vAlign w:val="top"/>
          </w:tcPr>
          <w:p w14:paraId="32721F92">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名称</w:t>
            </w:r>
          </w:p>
        </w:tc>
        <w:tc>
          <w:tcPr>
            <w:tcW w:w="851" w:type="dxa"/>
            <w:tcBorders>
              <w:top w:val="single" w:color="auto" w:sz="12" w:space="0"/>
              <w:bottom w:val="double" w:color="auto" w:sz="6" w:space="0"/>
            </w:tcBorders>
            <w:noWrap w:val="0"/>
            <w:vAlign w:val="top"/>
          </w:tcPr>
          <w:p w14:paraId="4AD68823">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774" w:type="dxa"/>
            <w:tcBorders>
              <w:top w:val="single" w:color="auto" w:sz="12" w:space="0"/>
              <w:bottom w:val="double" w:color="auto" w:sz="6" w:space="0"/>
            </w:tcBorders>
            <w:noWrap w:val="0"/>
            <w:vAlign w:val="top"/>
          </w:tcPr>
          <w:p w14:paraId="74877D45">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352" w:type="dxa"/>
            <w:tcBorders>
              <w:top w:val="single" w:color="auto" w:sz="12" w:space="0"/>
              <w:bottom w:val="double" w:color="auto" w:sz="6" w:space="0"/>
            </w:tcBorders>
            <w:noWrap w:val="0"/>
            <w:vAlign w:val="top"/>
          </w:tcPr>
          <w:p w14:paraId="1D7958E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单价（元）</w:t>
            </w:r>
          </w:p>
        </w:tc>
        <w:tc>
          <w:tcPr>
            <w:tcW w:w="1418" w:type="dxa"/>
            <w:tcBorders>
              <w:top w:val="single" w:color="auto" w:sz="12" w:space="0"/>
              <w:bottom w:val="double" w:color="auto" w:sz="6" w:space="0"/>
            </w:tcBorders>
            <w:noWrap w:val="0"/>
            <w:vAlign w:val="top"/>
          </w:tcPr>
          <w:p w14:paraId="5D3BF652">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合价（元）</w:t>
            </w:r>
          </w:p>
        </w:tc>
        <w:tc>
          <w:tcPr>
            <w:tcW w:w="1701" w:type="dxa"/>
            <w:tcBorders>
              <w:top w:val="single" w:color="auto" w:sz="12" w:space="0"/>
              <w:bottom w:val="double" w:color="auto" w:sz="6" w:space="0"/>
            </w:tcBorders>
            <w:noWrap w:val="0"/>
            <w:vAlign w:val="top"/>
          </w:tcPr>
          <w:p w14:paraId="5AB3834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14F1B2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tcBorders>
            <w:noWrap w:val="0"/>
            <w:vAlign w:val="top"/>
          </w:tcPr>
          <w:p w14:paraId="6E0565AD">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tcBorders>
              <w:top w:val="double" w:color="auto" w:sz="6" w:space="0"/>
            </w:tcBorders>
            <w:noWrap w:val="0"/>
            <w:vAlign w:val="top"/>
          </w:tcPr>
          <w:p w14:paraId="2360A170">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tcBorders>
              <w:top w:val="double" w:color="auto" w:sz="6" w:space="0"/>
            </w:tcBorders>
            <w:noWrap w:val="0"/>
            <w:vAlign w:val="top"/>
          </w:tcPr>
          <w:p w14:paraId="6CD58395">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tcBorders>
              <w:top w:val="double" w:color="auto" w:sz="6" w:space="0"/>
            </w:tcBorders>
            <w:noWrap w:val="0"/>
            <w:vAlign w:val="top"/>
          </w:tcPr>
          <w:p w14:paraId="4371888F">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tcBorders>
              <w:top w:val="double" w:color="auto" w:sz="6" w:space="0"/>
            </w:tcBorders>
            <w:noWrap w:val="0"/>
            <w:vAlign w:val="top"/>
          </w:tcPr>
          <w:p w14:paraId="2A5B51E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tcBorders>
              <w:top w:val="double" w:color="auto" w:sz="6" w:space="0"/>
            </w:tcBorders>
            <w:noWrap w:val="0"/>
            <w:vAlign w:val="top"/>
          </w:tcPr>
          <w:p w14:paraId="293632F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tcBorders>
              <w:top w:val="double" w:color="auto" w:sz="6" w:space="0"/>
            </w:tcBorders>
            <w:noWrap w:val="0"/>
            <w:vAlign w:val="top"/>
          </w:tcPr>
          <w:p w14:paraId="5C9C835C">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r w14:paraId="06923D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78F7F217">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tcBorders>
              <w:top w:val="nil"/>
            </w:tcBorders>
            <w:noWrap w:val="0"/>
            <w:vAlign w:val="top"/>
          </w:tcPr>
          <w:p w14:paraId="2AC2D3B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tcBorders>
              <w:top w:val="nil"/>
            </w:tcBorders>
            <w:noWrap w:val="0"/>
            <w:vAlign w:val="top"/>
          </w:tcPr>
          <w:p w14:paraId="585B2772">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tcBorders>
              <w:top w:val="nil"/>
            </w:tcBorders>
            <w:noWrap w:val="0"/>
            <w:vAlign w:val="top"/>
          </w:tcPr>
          <w:p w14:paraId="11D4589A">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tcBorders>
              <w:top w:val="nil"/>
            </w:tcBorders>
            <w:noWrap w:val="0"/>
            <w:vAlign w:val="top"/>
          </w:tcPr>
          <w:p w14:paraId="1703E31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tcBorders>
              <w:top w:val="nil"/>
            </w:tcBorders>
            <w:noWrap w:val="0"/>
            <w:vAlign w:val="top"/>
          </w:tcPr>
          <w:p w14:paraId="399B2DA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tcBorders>
              <w:top w:val="nil"/>
            </w:tcBorders>
            <w:noWrap w:val="0"/>
            <w:vAlign w:val="top"/>
          </w:tcPr>
          <w:p w14:paraId="0642424C">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r w14:paraId="12EB68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87179B9">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noWrap w:val="0"/>
            <w:vAlign w:val="top"/>
          </w:tcPr>
          <w:p w14:paraId="7572D8FF">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noWrap w:val="0"/>
            <w:vAlign w:val="top"/>
          </w:tcPr>
          <w:p w14:paraId="78BF73A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noWrap w:val="0"/>
            <w:vAlign w:val="top"/>
          </w:tcPr>
          <w:p w14:paraId="73CE85CC">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noWrap w:val="0"/>
            <w:vAlign w:val="top"/>
          </w:tcPr>
          <w:p w14:paraId="6B78477D">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noWrap w:val="0"/>
            <w:vAlign w:val="top"/>
          </w:tcPr>
          <w:p w14:paraId="1D61131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noWrap w:val="0"/>
            <w:vAlign w:val="top"/>
          </w:tcPr>
          <w:p w14:paraId="5ED6730C">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r w14:paraId="1756AF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bottom w:val="single" w:color="auto" w:sz="12" w:space="0"/>
            </w:tcBorders>
            <w:noWrap w:val="0"/>
            <w:vAlign w:val="top"/>
          </w:tcPr>
          <w:p w14:paraId="76E16FA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tcBorders>
              <w:bottom w:val="single" w:color="auto" w:sz="12" w:space="0"/>
            </w:tcBorders>
            <w:noWrap w:val="0"/>
            <w:vAlign w:val="top"/>
          </w:tcPr>
          <w:p w14:paraId="1D3AB635">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tcBorders>
              <w:bottom w:val="single" w:color="auto" w:sz="12" w:space="0"/>
            </w:tcBorders>
            <w:noWrap w:val="0"/>
            <w:vAlign w:val="top"/>
          </w:tcPr>
          <w:p w14:paraId="12C242A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tcBorders>
              <w:bottom w:val="single" w:color="auto" w:sz="12" w:space="0"/>
            </w:tcBorders>
            <w:noWrap w:val="0"/>
            <w:vAlign w:val="top"/>
          </w:tcPr>
          <w:p w14:paraId="13FD0562">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tcBorders>
              <w:bottom w:val="single" w:color="auto" w:sz="12" w:space="0"/>
            </w:tcBorders>
            <w:noWrap w:val="0"/>
            <w:vAlign w:val="top"/>
          </w:tcPr>
          <w:p w14:paraId="40D70C6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tcBorders>
              <w:bottom w:val="single" w:color="auto" w:sz="12" w:space="0"/>
            </w:tcBorders>
            <w:noWrap w:val="0"/>
            <w:vAlign w:val="top"/>
          </w:tcPr>
          <w:p w14:paraId="0DA2E08C">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tcBorders>
              <w:bottom w:val="single" w:color="auto" w:sz="12" w:space="0"/>
            </w:tcBorders>
            <w:noWrap w:val="0"/>
            <w:vAlign w:val="top"/>
          </w:tcPr>
          <w:p w14:paraId="11F86E2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bl>
    <w:p w14:paraId="612E6782">
      <w:pPr>
        <w:rPr>
          <w:rFonts w:hint="eastAsia" w:ascii="宋体" w:hAnsi="宋体" w:cs="宋体"/>
          <w:color w:val="auto"/>
          <w:szCs w:val="21"/>
          <w:highlight w:val="none"/>
        </w:rPr>
      </w:pPr>
    </w:p>
    <w:p w14:paraId="7D2BE33A">
      <w:pPr>
        <w:rPr>
          <w:rFonts w:hint="eastAsia" w:ascii="宋体" w:hAnsi="宋体" w:cs="宋体"/>
          <w:color w:val="auto"/>
          <w:szCs w:val="22"/>
          <w:highlight w:val="none"/>
        </w:rPr>
      </w:pPr>
    </w:p>
    <w:p w14:paraId="21750B7C">
      <w:pPr>
        <w:rPr>
          <w:rFonts w:hint="eastAsia" w:ascii="宋体" w:hAnsi="宋体" w:cs="宋体"/>
          <w:color w:val="auto"/>
          <w:szCs w:val="22"/>
          <w:highlight w:val="none"/>
        </w:rPr>
      </w:pPr>
    </w:p>
    <w:p w14:paraId="1355522F">
      <w:pPr>
        <w:keepNext/>
        <w:keepLines/>
        <w:spacing w:before="120" w:after="120" w:line="360" w:lineRule="auto"/>
        <w:jc w:val="left"/>
        <w:outlineLvl w:val="2"/>
        <w:rPr>
          <w:rFonts w:hint="eastAsia" w:ascii="宋体" w:hAnsi="宋体" w:cs="宋体"/>
          <w:color w:val="auto"/>
          <w:highlight w:val="none"/>
        </w:rPr>
        <w:sectPr>
          <w:footerReference r:id="rId6" w:type="default"/>
          <w:footnotePr>
            <w:numFmt w:val="decimalEnclosedCircleChinese"/>
            <w:numRestart w:val="eachPage"/>
          </w:footnotePr>
          <w:pgSz w:w="11907" w:h="16840"/>
          <w:pgMar w:top="1474" w:right="1474" w:bottom="1474" w:left="1474" w:header="799" w:footer="907" w:gutter="0"/>
          <w:pgNumType w:fmt="decimal" w:start="1"/>
          <w:cols w:space="720" w:num="1"/>
          <w:docGrid w:linePitch="271" w:charSpace="0"/>
        </w:sectPr>
      </w:pPr>
    </w:p>
    <w:p w14:paraId="7475CAD0">
      <w:pPr>
        <w:keepNext/>
        <w:keepLines/>
        <w:spacing w:before="120" w:after="120" w:line="360" w:lineRule="auto"/>
        <w:jc w:val="left"/>
        <w:outlineLvl w:val="2"/>
        <w:rPr>
          <w:rFonts w:hint="eastAsia" w:ascii="宋体" w:hAnsi="宋体" w:cs="宋体"/>
          <w:bCs/>
          <w:color w:val="auto"/>
          <w:sz w:val="24"/>
          <w:highlight w:val="none"/>
        </w:rPr>
      </w:pPr>
      <w:bookmarkStart w:id="1018" w:name="_Toc95223511"/>
      <w:r>
        <w:rPr>
          <w:rFonts w:hint="eastAsia" w:ascii="宋体" w:hAnsi="宋体" w:cs="宋体"/>
          <w:bCs/>
          <w:color w:val="auto"/>
          <w:sz w:val="24"/>
          <w:highlight w:val="none"/>
        </w:rPr>
        <w:t>附件</w:t>
      </w:r>
      <w:r>
        <w:rPr>
          <w:rFonts w:hint="eastAsia" w:ascii="宋体" w:hAnsi="宋体" w:cs="宋体"/>
          <w:bCs/>
          <w:color w:val="auto"/>
          <w:sz w:val="24"/>
          <w:highlight w:val="none"/>
          <w:lang w:val="en-US" w:eastAsia="zh-CN"/>
        </w:rPr>
        <w:t>9</w:t>
      </w:r>
      <w:r>
        <w:rPr>
          <w:rFonts w:hint="eastAsia" w:ascii="宋体" w:hAnsi="宋体" w:cs="宋体"/>
          <w:bCs/>
          <w:color w:val="auto"/>
          <w:sz w:val="24"/>
          <w:highlight w:val="none"/>
        </w:rPr>
        <w:t>：安全生产合同</w:t>
      </w:r>
      <w:bookmarkEnd w:id="1018"/>
    </w:p>
    <w:p w14:paraId="79D9962F">
      <w:pPr>
        <w:adjustRightInd w:val="0"/>
        <w:snapToGrid w:val="0"/>
        <w:spacing w:line="360" w:lineRule="auto"/>
        <w:jc w:val="center"/>
        <w:outlineLvl w:val="0"/>
        <w:rPr>
          <w:rFonts w:hint="eastAsia" w:ascii="宋体" w:hAnsi="宋体" w:cs="宋体"/>
          <w:b/>
          <w:color w:val="auto"/>
          <w:sz w:val="32"/>
          <w:szCs w:val="32"/>
          <w:highlight w:val="none"/>
        </w:rPr>
      </w:pPr>
      <w:bookmarkStart w:id="1019" w:name="_Toc32439"/>
      <w:bookmarkStart w:id="1020" w:name="_Toc17347"/>
      <w:bookmarkStart w:id="1021" w:name="_Toc31602"/>
      <w:bookmarkStart w:id="1022" w:name="_Toc26993"/>
      <w:bookmarkStart w:id="1023" w:name="_Toc95223512"/>
      <w:bookmarkStart w:id="1024" w:name="_Toc16956"/>
      <w:r>
        <w:rPr>
          <w:rFonts w:hint="eastAsia" w:ascii="宋体" w:hAnsi="宋体" w:cs="宋体"/>
          <w:b/>
          <w:color w:val="auto"/>
          <w:sz w:val="32"/>
          <w:szCs w:val="32"/>
          <w:highlight w:val="none"/>
        </w:rPr>
        <w:t>安全生产合同</w:t>
      </w:r>
      <w:bookmarkEnd w:id="1019"/>
      <w:bookmarkEnd w:id="1020"/>
      <w:bookmarkEnd w:id="1021"/>
      <w:bookmarkEnd w:id="1022"/>
      <w:bookmarkEnd w:id="1023"/>
      <w:bookmarkEnd w:id="1024"/>
    </w:p>
    <w:p w14:paraId="6109140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为在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（标段）施工合同的实施过程中创造安全、高效的施工环境，切实搞好本项目的安全管理工作，本项目发包人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（发包人名称，以下简称“发包人”）与承包人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（承包人名称，以下简称“承包人”）特此签订安全生产合同：</w:t>
      </w:r>
    </w:p>
    <w:p w14:paraId="1F2576E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1.发包人职责</w:t>
      </w:r>
    </w:p>
    <w:p w14:paraId="37EC189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（1）严格遵守国家有关安全生产的法律法规，认真执行工程承包合同中的有关安全要求。</w:t>
      </w:r>
    </w:p>
    <w:p w14:paraId="5296C0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（2）按照“安全第一、预防为主”和坚持“管生产必须管安全”的原则进行安全生产管理，做到生产与安全工作同时计划、布置、检查、总结和评比。</w:t>
      </w:r>
    </w:p>
    <w:p w14:paraId="51CEC5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（3）重要的安全设施必须坚持与主体工程“三同时”的原则，即：同时设计、审批，同时施工，同时验收，投入使用。</w:t>
      </w:r>
    </w:p>
    <w:p w14:paraId="0DF06E7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（4）定期召开安全生产调度会，及时传达中央及地方有关安全生产的精神。</w:t>
      </w:r>
    </w:p>
    <w:p w14:paraId="0072ED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（5）组织对承包人施工现场安全生产检查，监督承包人及时处理发现的各种安全隐患。</w:t>
      </w:r>
    </w:p>
    <w:p w14:paraId="50B919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2.承包人职责</w:t>
      </w:r>
    </w:p>
    <w:p w14:paraId="5E8C4FB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严格遵守《中华人民共和国安全生产法》、《建设工程安全生产管理条例》等国家有关安全生产的法律法规、《建设项目安全设施“三同时”监督管理办法》等有关安全生产的规定。认真执行工程承包合同中的有关安全要求。</w:t>
      </w:r>
    </w:p>
    <w:p w14:paraId="14E31F7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47C83D5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建设工程安全生产管理条例》及有关规定的配备专职安全生产管理人员，专职负责所有员工的安全和治安保卫工作及预防事故的发生。安全机构人员有权按有关规定发布指令，并采取保护性措施防止事故发生。</w:t>
      </w:r>
    </w:p>
    <w:p w14:paraId="1F7493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（4）承包人在任何时候都应采取各种合理的预防措施，防止其员工发生任何违法、违禁、暴力或妨碍治安的行为。</w:t>
      </w:r>
    </w:p>
    <w:p w14:paraId="315E80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5A16DFA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021FFD6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（7）操作人员上岗，必须按规定穿戴防护用品。施工负责人和安全检查员应随时检查劳动防护用品的穿戴情况，不按规定穿戴防护用品的人员不得上岗。</w:t>
      </w:r>
    </w:p>
    <w:p w14:paraId="59D1FC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（8）所有施工机具设备和高空作业的设备均应定期检查，并有安全员的签字记录，保证其经常处于完好状态；不合格的机具、设备和劳动保护用品严禁使用：</w:t>
      </w:r>
    </w:p>
    <w:p w14:paraId="3B2EF0E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（9）施工中采用新技术、新工艺、新设备、新材料时，必须制定相应的安全技术措施，施工现场必须具有相关的安全标志牌。</w:t>
      </w:r>
    </w:p>
    <w:p w14:paraId="67D7126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01C3C29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（11）安全生产费用按照《建设工程安全生产管理条例》的相关规定使用和管理。</w:t>
      </w:r>
    </w:p>
    <w:p w14:paraId="4216E41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3.违约责任</w:t>
      </w:r>
    </w:p>
    <w:p w14:paraId="58656CB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如因发包人或承包人违约造成安全事故，将依法追究责任。</w:t>
      </w:r>
    </w:p>
    <w:p w14:paraId="387D469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4.本合同由双方法定代表人或其授权的代理人签署并加盖单位章后生效，全部工程竣工验收后失效。</w:t>
      </w:r>
    </w:p>
    <w:p w14:paraId="289FE47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5.本合同正本—式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份，副本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份，合同双方各执正本—份，副本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份，当正本与副本的内容不一致时，以正本为准。</w:t>
      </w:r>
    </w:p>
    <w:p w14:paraId="0D87F2F5">
      <w:pPr>
        <w:spacing w:line="360" w:lineRule="auto"/>
        <w:rPr>
          <w:rFonts w:hint="eastAsia" w:ascii="宋体" w:hAnsi="宋体" w:cs="宋体"/>
          <w:color w:val="auto"/>
          <w:szCs w:val="21"/>
          <w:highlight w:val="none"/>
        </w:rPr>
      </w:pPr>
    </w:p>
    <w:p w14:paraId="099B03A6">
      <w:pPr>
        <w:spacing w:line="360" w:lineRule="auto"/>
        <w:rPr>
          <w:rFonts w:hint="eastAsia" w:ascii="宋体" w:hAnsi="宋体" w:cs="宋体"/>
          <w:color w:val="auto"/>
          <w:szCs w:val="21"/>
          <w:highlight w:val="none"/>
        </w:rPr>
      </w:pPr>
    </w:p>
    <w:p w14:paraId="49689A0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发包人：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           承包人：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5415A5FE">
      <w:pPr>
        <w:spacing w:line="360" w:lineRule="auto"/>
        <w:rPr>
          <w:rFonts w:hint="eastAsia" w:ascii="宋体" w:hAnsi="宋体" w:cs="宋体"/>
          <w:color w:val="auto"/>
          <w:szCs w:val="21"/>
          <w:highlight w:val="none"/>
        </w:rPr>
      </w:pPr>
    </w:p>
    <w:p w14:paraId="239F739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           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4A75BBA9">
      <w:pPr>
        <w:spacing w:line="360" w:lineRule="auto"/>
        <w:rPr>
          <w:rFonts w:hint="eastAsia" w:ascii="宋体" w:hAnsi="宋体" w:cs="宋体"/>
          <w:color w:val="auto"/>
          <w:szCs w:val="21"/>
          <w:highlight w:val="none"/>
        </w:rPr>
      </w:pPr>
    </w:p>
    <w:p w14:paraId="166E0162">
      <w:pPr>
        <w:spacing w:line="360" w:lineRule="auto"/>
        <w:ind w:firstLine="84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1B604613">
      <w:pPr>
        <w:keepNext/>
        <w:keepLines/>
        <w:spacing w:before="120" w:after="120" w:line="360" w:lineRule="auto"/>
        <w:jc w:val="left"/>
        <w:outlineLvl w:val="2"/>
        <w:rPr>
          <w:rFonts w:hint="eastAsia" w:ascii="宋体" w:hAnsi="宋体" w:cs="宋体"/>
          <w:bCs/>
          <w:color w:val="auto"/>
          <w:sz w:val="24"/>
          <w:highlight w:val="none"/>
        </w:rPr>
      </w:pPr>
      <w:r>
        <w:rPr>
          <w:rFonts w:hint="eastAsia" w:ascii="宋体" w:hAnsi="宋体" w:cs="宋体"/>
          <w:bCs/>
          <w:color w:val="auto"/>
          <w:kern w:val="44"/>
          <w:sz w:val="32"/>
          <w:szCs w:val="44"/>
          <w:highlight w:val="none"/>
        </w:rPr>
        <w:br w:type="page"/>
      </w:r>
      <w:bookmarkStart w:id="1025" w:name="_Toc95223513"/>
      <w:r>
        <w:rPr>
          <w:rFonts w:hint="eastAsia" w:ascii="宋体" w:hAnsi="宋体" w:cs="宋体"/>
          <w:bCs/>
          <w:color w:val="auto"/>
          <w:sz w:val="24"/>
          <w:highlight w:val="none"/>
        </w:rPr>
        <w:t>附件1</w:t>
      </w:r>
      <w:r>
        <w:rPr>
          <w:rFonts w:hint="eastAsia" w:ascii="宋体" w:hAnsi="宋体" w:cs="宋体"/>
          <w:bCs/>
          <w:color w:val="auto"/>
          <w:sz w:val="24"/>
          <w:highlight w:val="none"/>
          <w:lang w:val="en-US" w:eastAsia="zh-CN"/>
        </w:rPr>
        <w:t>0</w:t>
      </w:r>
      <w:r>
        <w:rPr>
          <w:rFonts w:hint="eastAsia" w:ascii="宋体" w:hAnsi="宋体" w:cs="宋体"/>
          <w:bCs/>
          <w:color w:val="auto"/>
          <w:sz w:val="24"/>
          <w:highlight w:val="none"/>
        </w:rPr>
        <w:t>：项目经理质量终身责任制承诺</w:t>
      </w:r>
      <w:bookmarkEnd w:id="1025"/>
    </w:p>
    <w:p w14:paraId="72E28F94">
      <w:pPr>
        <w:keepNext/>
        <w:keepLines/>
        <w:spacing w:before="120" w:after="120" w:line="360" w:lineRule="auto"/>
        <w:jc w:val="left"/>
        <w:outlineLvl w:val="2"/>
        <w:rPr>
          <w:rFonts w:hint="eastAsia" w:ascii="宋体" w:hAnsi="宋体" w:cs="宋体"/>
          <w:bCs/>
          <w:color w:val="auto"/>
          <w:sz w:val="24"/>
          <w:highlight w:val="none"/>
        </w:rPr>
      </w:pPr>
    </w:p>
    <w:p w14:paraId="2E635858">
      <w:pPr>
        <w:adjustRightInd w:val="0"/>
        <w:snapToGrid w:val="0"/>
        <w:spacing w:line="360" w:lineRule="auto"/>
        <w:jc w:val="center"/>
        <w:outlineLvl w:val="0"/>
        <w:rPr>
          <w:rFonts w:hint="eastAsia" w:ascii="宋体" w:hAnsi="宋体" w:cs="宋体"/>
          <w:b/>
          <w:color w:val="auto"/>
          <w:sz w:val="32"/>
          <w:szCs w:val="32"/>
          <w:highlight w:val="none"/>
        </w:rPr>
      </w:pPr>
      <w:bookmarkStart w:id="1026" w:name="_Toc20282"/>
      <w:bookmarkStart w:id="1027" w:name="_Toc31476"/>
      <w:bookmarkStart w:id="1028" w:name="_Toc19059"/>
      <w:bookmarkStart w:id="1029" w:name="_Toc4934"/>
      <w:bookmarkStart w:id="1030" w:name="_Toc95223514"/>
      <w:bookmarkStart w:id="1031" w:name="_Toc11057"/>
      <w:r>
        <w:rPr>
          <w:rFonts w:hint="eastAsia" w:ascii="宋体" w:hAnsi="宋体" w:cs="宋体"/>
          <w:b/>
          <w:color w:val="auto"/>
          <w:sz w:val="32"/>
          <w:szCs w:val="32"/>
          <w:highlight w:val="none"/>
        </w:rPr>
        <w:t>项目经理质量终身责任制承诺</w:t>
      </w:r>
      <w:bookmarkEnd w:id="1026"/>
      <w:bookmarkEnd w:id="1027"/>
      <w:bookmarkEnd w:id="1028"/>
      <w:bookmarkEnd w:id="1029"/>
      <w:bookmarkEnd w:id="1030"/>
      <w:bookmarkEnd w:id="1031"/>
    </w:p>
    <w:p w14:paraId="3268A807">
      <w:pPr>
        <w:adjustRightInd w:val="0"/>
        <w:snapToGrid w:val="0"/>
        <w:spacing w:line="360" w:lineRule="auto"/>
        <w:jc w:val="center"/>
        <w:outlineLvl w:val="0"/>
        <w:rPr>
          <w:rFonts w:hint="eastAsia" w:ascii="宋体" w:hAnsi="宋体" w:cs="宋体"/>
          <w:b/>
          <w:color w:val="auto"/>
          <w:sz w:val="32"/>
          <w:szCs w:val="32"/>
          <w:highlight w:val="none"/>
        </w:rPr>
      </w:pPr>
    </w:p>
    <w:p w14:paraId="37752062">
      <w:pPr>
        <w:adjustRightInd w:val="0"/>
        <w:snapToGrid w:val="0"/>
        <w:spacing w:line="360" w:lineRule="auto"/>
        <w:rPr>
          <w:rFonts w:hint="eastAsia" w:ascii="宋体" w:hAnsi="宋体" w:cs="宋体"/>
          <w:bCs/>
          <w:color w:val="auto"/>
          <w:sz w:val="24"/>
          <w:szCs w:val="21"/>
          <w:highlight w:val="none"/>
        </w:rPr>
      </w:pPr>
      <w:r>
        <w:rPr>
          <w:rFonts w:hint="eastAsia" w:ascii="宋体" w:hAnsi="宋体" w:cs="宋体"/>
          <w:bCs/>
          <w:color w:val="auto"/>
          <w:sz w:val="24"/>
          <w:szCs w:val="21"/>
          <w:highlight w:val="none"/>
        </w:rPr>
        <w:t>致：______________(招标人名称)</w:t>
      </w:r>
    </w:p>
    <w:p w14:paraId="58205C1F">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本人作为拟委任的施工项目经理，承担相关质量终身责任，现郑重承诺如下：</w:t>
      </w:r>
    </w:p>
    <w:p w14:paraId="43039E8C">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一、在取得施工许可证后进行施工。</w:t>
      </w:r>
    </w:p>
    <w:p w14:paraId="4BE47B15">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二、严格执行施工规范及标准。</w:t>
      </w:r>
    </w:p>
    <w:p w14:paraId="44AC49E8">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三、严格按规定配备施工项目部关键岗位人员，并确保所有人员到岗履职。</w:t>
      </w:r>
    </w:p>
    <w:p w14:paraId="6F610B85">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四、严格按照经施工图审查机构审查合格的工程设计文件及合同约定的质量标准精心组织施工。</w:t>
      </w:r>
    </w:p>
    <w:p w14:paraId="2BE619A0">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五、施工中采用合格的建筑材料、建筑构配件和设备等，并严格按规定执行见证取样制度。</w:t>
      </w:r>
    </w:p>
    <w:p w14:paraId="3547B530">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六、建立、健全质量检查、验收制度，严格工序管理，做好隐蔽工程质量的检查和记录。</w:t>
      </w:r>
    </w:p>
    <w:p w14:paraId="10C2F019">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七、对施工中出现的质量问题，及时进行整改。严格依法依规履行义务。</w:t>
      </w:r>
    </w:p>
    <w:p w14:paraId="46B1224A">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八、履行相关工程质量检查、验收及事故处理等职责。</w:t>
      </w:r>
    </w:p>
    <w:p w14:paraId="74211C12">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九、履行其他法律法规规定的职责。</w:t>
      </w:r>
    </w:p>
    <w:p w14:paraId="5991D6BF">
      <w:pPr>
        <w:spacing w:line="360" w:lineRule="auto"/>
        <w:ind w:left="359" w:leftChars="171" w:firstLine="720" w:firstLineChars="300"/>
        <w:rPr>
          <w:rFonts w:hint="eastAsia" w:ascii="宋体" w:hAnsi="宋体" w:cs="宋体"/>
          <w:bCs/>
          <w:color w:val="auto"/>
          <w:sz w:val="24"/>
          <w:szCs w:val="21"/>
          <w:highlight w:val="none"/>
        </w:rPr>
      </w:pPr>
    </w:p>
    <w:p w14:paraId="0A469C7D">
      <w:pPr>
        <w:spacing w:line="360" w:lineRule="auto"/>
        <w:ind w:left="359" w:leftChars="171" w:firstLine="720" w:firstLineChars="300"/>
        <w:rPr>
          <w:rFonts w:hint="eastAsia" w:ascii="宋体" w:hAnsi="宋体" w:cs="宋体"/>
          <w:bCs/>
          <w:color w:val="auto"/>
          <w:sz w:val="24"/>
          <w:szCs w:val="21"/>
          <w:highlight w:val="none"/>
        </w:rPr>
      </w:pPr>
    </w:p>
    <w:p w14:paraId="6CEFC16C">
      <w:pPr>
        <w:spacing w:line="360" w:lineRule="auto"/>
        <w:ind w:left="359" w:leftChars="171" w:firstLine="720" w:firstLineChars="300"/>
        <w:rPr>
          <w:rFonts w:hint="eastAsia" w:ascii="宋体" w:hAnsi="宋体" w:cs="宋体"/>
          <w:bCs/>
          <w:color w:val="auto"/>
          <w:sz w:val="24"/>
          <w:szCs w:val="21"/>
          <w:highlight w:val="none"/>
        </w:rPr>
      </w:pPr>
      <w:r>
        <w:rPr>
          <w:rFonts w:hint="eastAsia" w:ascii="宋体" w:hAnsi="宋体" w:cs="宋体"/>
          <w:bCs/>
          <w:color w:val="auto"/>
          <w:sz w:val="24"/>
          <w:szCs w:val="21"/>
          <w:highlight w:val="none"/>
        </w:rPr>
        <w:t>项目经理：</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（签字）</w:t>
      </w:r>
    </w:p>
    <w:p w14:paraId="1ACC41B0">
      <w:pPr>
        <w:spacing w:line="360" w:lineRule="auto"/>
        <w:ind w:left="359" w:leftChars="171" w:firstLine="720" w:firstLineChars="300"/>
        <w:rPr>
          <w:rFonts w:hint="eastAsia" w:ascii="宋体" w:hAnsi="宋体" w:cs="宋体"/>
          <w:bCs/>
          <w:color w:val="auto"/>
          <w:sz w:val="24"/>
          <w:szCs w:val="21"/>
          <w:highlight w:val="none"/>
        </w:rPr>
      </w:pPr>
      <w:r>
        <w:rPr>
          <w:rFonts w:hint="eastAsia" w:ascii="宋体" w:hAnsi="宋体" w:cs="宋体"/>
          <w:bCs/>
          <w:color w:val="auto"/>
          <w:sz w:val="24"/>
          <w:szCs w:val="21"/>
          <w:highlight w:val="none"/>
        </w:rPr>
        <w:t>日期：_____年____月____日</w:t>
      </w:r>
    </w:p>
    <w:p w14:paraId="42F0B42A">
      <w:pPr>
        <w:pStyle w:val="2"/>
        <w:rPr>
          <w:rFonts w:hint="eastAsia"/>
          <w:color w:val="auto"/>
          <w:highlight w:val="none"/>
        </w:rPr>
      </w:pPr>
    </w:p>
    <w:p w14:paraId="5EA12FF4">
      <w:pPr>
        <w:rPr>
          <w:rFonts w:hint="eastAsia"/>
          <w:bCs/>
          <w:color w:val="auto"/>
          <w:szCs w:val="32"/>
          <w:highlight w:val="none"/>
        </w:rPr>
      </w:pPr>
    </w:p>
    <w:p w14:paraId="7935CE66">
      <w:pPr>
        <w:rPr>
          <w:rFonts w:hint="eastAsia"/>
          <w:bCs/>
          <w:color w:val="auto"/>
          <w:szCs w:val="32"/>
          <w:highlight w:val="none"/>
        </w:rPr>
      </w:pPr>
    </w:p>
    <w:p w14:paraId="401D18A1">
      <w:pPr>
        <w:rPr>
          <w:rFonts w:hint="eastAsia"/>
          <w:bCs/>
          <w:color w:val="auto"/>
          <w:szCs w:val="32"/>
          <w:highlight w:val="none"/>
        </w:rPr>
      </w:pPr>
    </w:p>
    <w:p w14:paraId="7FDF243E">
      <w:pPr>
        <w:rPr>
          <w:rFonts w:hint="eastAsia"/>
          <w:bCs/>
          <w:color w:val="auto"/>
          <w:szCs w:val="32"/>
          <w:highlight w:val="none"/>
        </w:rPr>
      </w:pPr>
    </w:p>
    <w:p w14:paraId="53953A9B">
      <w:pPr>
        <w:rPr>
          <w:rFonts w:hint="eastAsia"/>
          <w:bCs/>
          <w:color w:val="auto"/>
          <w:szCs w:val="32"/>
          <w:highlight w:val="none"/>
        </w:rPr>
      </w:pPr>
    </w:p>
    <w:p w14:paraId="6F88FE85">
      <w:pPr>
        <w:rPr>
          <w:rFonts w:hint="eastAsia"/>
          <w:bCs/>
          <w:color w:val="auto"/>
          <w:szCs w:val="32"/>
          <w:highlight w:val="none"/>
        </w:rPr>
      </w:pPr>
    </w:p>
    <w:p w14:paraId="1651E6F8">
      <w:pPr>
        <w:rPr>
          <w:rFonts w:hint="eastAsia"/>
          <w:bCs/>
          <w:color w:val="auto"/>
          <w:szCs w:val="32"/>
          <w:highlight w:val="none"/>
        </w:rPr>
      </w:pPr>
    </w:p>
    <w:p w14:paraId="78678469">
      <w:pPr>
        <w:rPr>
          <w:rFonts w:hint="eastAsia"/>
          <w:bCs/>
          <w:color w:val="auto"/>
          <w:szCs w:val="32"/>
          <w:highlight w:val="none"/>
        </w:rPr>
      </w:pPr>
    </w:p>
    <w:p w14:paraId="347994B1">
      <w:pPr>
        <w:rPr>
          <w:rFonts w:hint="eastAsia"/>
          <w:bCs/>
          <w:color w:val="auto"/>
          <w:szCs w:val="32"/>
          <w:highlight w:val="none"/>
        </w:rPr>
      </w:pPr>
    </w:p>
    <w:p w14:paraId="6FA116AB">
      <w:pPr>
        <w:pStyle w:val="43"/>
        <w:numPr>
          <w:ilvl w:val="0"/>
          <w:numId w:val="0"/>
        </w:numPr>
        <w:spacing w:beforeLines="50" w:afterLines="50" w:line="440" w:lineRule="exact"/>
        <w:rPr>
          <w:rFonts w:hint="eastAsia" w:eastAsia="宋体" w:cs="Times New Roman"/>
          <w:bCs/>
          <w:color w:val="auto"/>
          <w:szCs w:val="32"/>
          <w:highlight w:val="none"/>
        </w:rPr>
      </w:pPr>
      <w:bookmarkStart w:id="1032" w:name="_Toc95223515"/>
      <w:bookmarkStart w:id="1033" w:name="_Toc23990"/>
      <w:bookmarkStart w:id="1034" w:name="_Toc4767"/>
      <w:r>
        <w:rPr>
          <w:rFonts w:hint="eastAsia" w:ascii="Arial" w:hAnsi="Arial" w:eastAsia="宋体" w:cs="Times New Roman"/>
          <w:b/>
          <w:bCs/>
          <w:color w:val="auto"/>
          <w:kern w:val="0"/>
          <w:sz w:val="32"/>
          <w:szCs w:val="32"/>
          <w:highlight w:val="none"/>
          <w:lang w:val="en-US" w:eastAsia="zh-CN" w:bidi="ar-SA"/>
        </w:rPr>
        <w:t>第五章</w:t>
      </w:r>
      <w:r>
        <w:rPr>
          <w:rFonts w:hint="eastAsia" w:eastAsia="宋体" w:cs="Times New Roman"/>
          <w:bCs/>
          <w:color w:val="auto"/>
          <w:szCs w:val="32"/>
          <w:highlight w:val="none"/>
        </w:rPr>
        <w:t xml:space="preserve"> </w:t>
      </w:r>
      <w:bookmarkStart w:id="1035" w:name="_Toc3388"/>
      <w:bookmarkStart w:id="1036" w:name="_Toc10898"/>
      <w:r>
        <w:rPr>
          <w:rFonts w:hint="eastAsia" w:eastAsia="宋体" w:cs="Times New Roman"/>
          <w:bCs/>
          <w:color w:val="auto"/>
          <w:szCs w:val="32"/>
          <w:highlight w:val="none"/>
        </w:rPr>
        <w:t>工程量清单</w:t>
      </w:r>
      <w:bookmarkEnd w:id="1032"/>
      <w:bookmarkEnd w:id="1033"/>
      <w:bookmarkEnd w:id="1034"/>
      <w:bookmarkEnd w:id="1035"/>
      <w:bookmarkEnd w:id="1036"/>
    </w:p>
    <w:p w14:paraId="7F47F256">
      <w:pPr>
        <w:adjustRightInd w:val="0"/>
        <w:snapToGrid w:val="0"/>
        <w:spacing w:line="360" w:lineRule="auto"/>
        <w:ind w:firstLine="422" w:firstLineChars="200"/>
        <w:rPr>
          <w:rFonts w:hint="eastAsia" w:ascii="宋体" w:hAnsi="宋体" w:cs="宋体"/>
          <w:b/>
          <w:bCs/>
          <w:color w:val="auto"/>
          <w:szCs w:val="21"/>
          <w:highlight w:val="none"/>
        </w:rPr>
      </w:pPr>
      <w:bookmarkStart w:id="1037" w:name="_Toc95223516"/>
      <w:bookmarkStart w:id="1038" w:name="_Toc1620"/>
      <w:r>
        <w:rPr>
          <w:rFonts w:hint="eastAsia" w:ascii="宋体" w:hAnsi="宋体" w:cs="宋体"/>
          <w:b/>
          <w:bCs/>
          <w:color w:val="auto"/>
          <w:szCs w:val="21"/>
          <w:highlight w:val="none"/>
        </w:rPr>
        <w:t>1. 计价依据</w:t>
      </w:r>
      <w:bookmarkEnd w:id="1037"/>
      <w:bookmarkEnd w:id="1038"/>
    </w:p>
    <w:p w14:paraId="3663EE9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 计价依据的确定符合国家法律法规、现行有关标准与规范，工程所在地的省、市工程定额和工程造价的规定以及工程造价信息要求。</w:t>
      </w:r>
    </w:p>
    <w:p w14:paraId="5815F67A">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1.2 安全文明施工费按下表执行： </w:t>
      </w:r>
    </w:p>
    <w:tbl>
      <w:tblPr>
        <w:tblStyle w:val="46"/>
        <w:tblW w:w="9560" w:type="dxa"/>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6"/>
        <w:gridCol w:w="1061"/>
        <w:gridCol w:w="675"/>
        <w:gridCol w:w="950"/>
        <w:gridCol w:w="725"/>
        <w:gridCol w:w="850"/>
        <w:gridCol w:w="1150"/>
        <w:gridCol w:w="1125"/>
        <w:gridCol w:w="853"/>
        <w:gridCol w:w="885"/>
      </w:tblGrid>
      <w:tr w14:paraId="44602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1286" w:type="dxa"/>
            <w:vMerge w:val="restart"/>
            <w:tcBorders>
              <w:top w:val="single" w:color="auto" w:sz="4" w:space="0"/>
              <w:left w:val="single" w:color="auto" w:sz="4" w:space="0"/>
              <w:bottom w:val="single" w:color="auto" w:sz="4" w:space="0"/>
              <w:right w:val="single" w:color="auto" w:sz="4" w:space="0"/>
            </w:tcBorders>
            <w:noWrap w:val="0"/>
            <w:vAlign w:val="center"/>
          </w:tcPr>
          <w:p w14:paraId="6A3A4B6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1061" w:type="dxa"/>
            <w:vMerge w:val="restart"/>
            <w:tcBorders>
              <w:top w:val="single" w:color="auto" w:sz="4" w:space="0"/>
              <w:left w:val="single" w:color="auto" w:sz="4" w:space="0"/>
              <w:bottom w:val="single" w:color="auto" w:sz="4" w:space="0"/>
              <w:right w:val="single" w:color="auto" w:sz="4" w:space="0"/>
            </w:tcBorders>
            <w:noWrap w:val="0"/>
            <w:vAlign w:val="center"/>
          </w:tcPr>
          <w:p w14:paraId="6EC1884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计费</w:t>
            </w:r>
          </w:p>
          <w:p w14:paraId="7A828F0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基础</w:t>
            </w:r>
          </w:p>
        </w:tc>
        <w:tc>
          <w:tcPr>
            <w:tcW w:w="7213" w:type="dxa"/>
            <w:gridSpan w:val="8"/>
            <w:tcBorders>
              <w:top w:val="single" w:color="auto" w:sz="4" w:space="0"/>
              <w:left w:val="single" w:color="auto" w:sz="4" w:space="0"/>
              <w:bottom w:val="single" w:color="auto" w:sz="4" w:space="0"/>
              <w:right w:val="single" w:color="auto" w:sz="4" w:space="0"/>
            </w:tcBorders>
            <w:noWrap w:val="0"/>
            <w:vAlign w:val="center"/>
          </w:tcPr>
          <w:p w14:paraId="4A0EED3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费率（%）</w:t>
            </w:r>
          </w:p>
        </w:tc>
      </w:tr>
      <w:tr w14:paraId="4AF2C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1286" w:type="dxa"/>
            <w:vMerge w:val="continue"/>
            <w:tcBorders>
              <w:top w:val="single" w:color="auto" w:sz="4" w:space="0"/>
              <w:left w:val="single" w:color="auto" w:sz="4" w:space="0"/>
              <w:bottom w:val="single" w:color="auto" w:sz="4" w:space="0"/>
              <w:right w:val="single" w:color="auto" w:sz="4" w:space="0"/>
            </w:tcBorders>
            <w:noWrap w:val="0"/>
            <w:vAlign w:val="center"/>
          </w:tcPr>
          <w:p w14:paraId="3554333A">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26FE8075">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675" w:type="dxa"/>
            <w:vMerge w:val="restart"/>
            <w:tcBorders>
              <w:top w:val="single" w:color="auto" w:sz="4" w:space="0"/>
              <w:left w:val="single" w:color="auto" w:sz="4" w:space="0"/>
              <w:right w:val="single" w:color="auto" w:sz="4" w:space="0"/>
            </w:tcBorders>
            <w:noWrap w:val="0"/>
            <w:vAlign w:val="center"/>
          </w:tcPr>
          <w:p w14:paraId="31F7ABF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建筑工程</w:t>
            </w:r>
          </w:p>
        </w:tc>
        <w:tc>
          <w:tcPr>
            <w:tcW w:w="950" w:type="dxa"/>
            <w:vMerge w:val="restart"/>
            <w:tcBorders>
              <w:top w:val="single" w:color="auto" w:sz="4" w:space="0"/>
              <w:left w:val="single" w:color="auto" w:sz="4" w:space="0"/>
              <w:right w:val="single" w:color="auto" w:sz="4" w:space="0"/>
            </w:tcBorders>
            <w:noWrap w:val="0"/>
            <w:vAlign w:val="center"/>
          </w:tcPr>
          <w:p w14:paraId="67A5E96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装饰装修工程</w:t>
            </w:r>
          </w:p>
        </w:tc>
        <w:tc>
          <w:tcPr>
            <w:tcW w:w="725" w:type="dxa"/>
            <w:vMerge w:val="restart"/>
            <w:tcBorders>
              <w:top w:val="single" w:color="auto" w:sz="4" w:space="0"/>
              <w:left w:val="single" w:color="auto" w:sz="4" w:space="0"/>
              <w:right w:val="single" w:color="auto" w:sz="4" w:space="0"/>
            </w:tcBorders>
            <w:noWrap w:val="0"/>
            <w:vAlign w:val="center"/>
          </w:tcPr>
          <w:p w14:paraId="48ADAF0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安装</w:t>
            </w:r>
          </w:p>
          <w:p w14:paraId="67058D6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工程</w:t>
            </w:r>
          </w:p>
        </w:tc>
        <w:tc>
          <w:tcPr>
            <w:tcW w:w="850" w:type="dxa"/>
            <w:vMerge w:val="restart"/>
            <w:tcBorders>
              <w:top w:val="single" w:color="auto" w:sz="4" w:space="0"/>
              <w:left w:val="single" w:color="auto" w:sz="4" w:space="0"/>
              <w:right w:val="single" w:color="auto" w:sz="4" w:space="0"/>
            </w:tcBorders>
            <w:noWrap w:val="0"/>
            <w:vAlign w:val="center"/>
          </w:tcPr>
          <w:p w14:paraId="58F7780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市政</w:t>
            </w:r>
          </w:p>
          <w:p w14:paraId="652E927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工程</w:t>
            </w:r>
          </w:p>
        </w:tc>
        <w:tc>
          <w:tcPr>
            <w:tcW w:w="2275" w:type="dxa"/>
            <w:gridSpan w:val="2"/>
            <w:tcBorders>
              <w:top w:val="single" w:color="auto" w:sz="4" w:space="0"/>
              <w:left w:val="single" w:color="auto" w:sz="4" w:space="0"/>
              <w:bottom w:val="single" w:color="auto" w:sz="4" w:space="0"/>
              <w:right w:val="single" w:color="auto" w:sz="4" w:space="0"/>
            </w:tcBorders>
            <w:noWrap w:val="0"/>
            <w:vAlign w:val="center"/>
          </w:tcPr>
          <w:p w14:paraId="34A046B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城市轨道交通工程</w:t>
            </w:r>
          </w:p>
        </w:tc>
        <w:tc>
          <w:tcPr>
            <w:tcW w:w="853" w:type="dxa"/>
            <w:vMerge w:val="restart"/>
            <w:tcBorders>
              <w:top w:val="single" w:color="auto" w:sz="4" w:space="0"/>
              <w:left w:val="single" w:color="auto" w:sz="4" w:space="0"/>
              <w:right w:val="single" w:color="auto" w:sz="4" w:space="0"/>
            </w:tcBorders>
            <w:noWrap w:val="0"/>
            <w:vAlign w:val="center"/>
          </w:tcPr>
          <w:p w14:paraId="545139F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园林绿化工程</w:t>
            </w:r>
          </w:p>
        </w:tc>
        <w:tc>
          <w:tcPr>
            <w:tcW w:w="885" w:type="dxa"/>
            <w:vMerge w:val="restart"/>
            <w:tcBorders>
              <w:top w:val="single" w:color="auto" w:sz="4" w:space="0"/>
              <w:left w:val="single" w:color="auto" w:sz="4" w:space="0"/>
              <w:right w:val="single" w:color="auto" w:sz="4" w:space="0"/>
            </w:tcBorders>
            <w:noWrap w:val="0"/>
            <w:vAlign w:val="center"/>
          </w:tcPr>
          <w:p w14:paraId="638CF0B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仿古建筑工程</w:t>
            </w:r>
          </w:p>
        </w:tc>
      </w:tr>
      <w:tr w14:paraId="1B604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286" w:type="dxa"/>
            <w:vMerge w:val="continue"/>
            <w:tcBorders>
              <w:left w:val="single" w:color="auto" w:sz="4" w:space="0"/>
              <w:bottom w:val="single" w:color="auto" w:sz="4" w:space="0"/>
              <w:right w:val="single" w:color="auto" w:sz="4" w:space="0"/>
            </w:tcBorders>
            <w:noWrap w:val="0"/>
            <w:vAlign w:val="center"/>
          </w:tcPr>
          <w:p w14:paraId="37F36DD1">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1061" w:type="dxa"/>
            <w:vMerge w:val="continue"/>
            <w:tcBorders>
              <w:left w:val="single" w:color="auto" w:sz="4" w:space="0"/>
              <w:bottom w:val="single" w:color="auto" w:sz="4" w:space="0"/>
              <w:right w:val="single" w:color="auto" w:sz="4" w:space="0"/>
            </w:tcBorders>
            <w:noWrap w:val="0"/>
            <w:vAlign w:val="center"/>
          </w:tcPr>
          <w:p w14:paraId="5C7C612E">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675" w:type="dxa"/>
            <w:vMerge w:val="continue"/>
            <w:tcBorders>
              <w:left w:val="single" w:color="auto" w:sz="4" w:space="0"/>
              <w:bottom w:val="single" w:color="auto" w:sz="4" w:space="0"/>
              <w:right w:val="single" w:color="auto" w:sz="4" w:space="0"/>
            </w:tcBorders>
            <w:noWrap w:val="0"/>
            <w:vAlign w:val="center"/>
          </w:tcPr>
          <w:p w14:paraId="4A86D65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950" w:type="dxa"/>
            <w:vMerge w:val="continue"/>
            <w:tcBorders>
              <w:left w:val="single" w:color="auto" w:sz="4" w:space="0"/>
              <w:bottom w:val="single" w:color="auto" w:sz="4" w:space="0"/>
              <w:right w:val="single" w:color="auto" w:sz="4" w:space="0"/>
            </w:tcBorders>
            <w:noWrap w:val="0"/>
            <w:vAlign w:val="center"/>
          </w:tcPr>
          <w:p w14:paraId="69D4C80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725" w:type="dxa"/>
            <w:vMerge w:val="continue"/>
            <w:tcBorders>
              <w:left w:val="single" w:color="auto" w:sz="4" w:space="0"/>
              <w:bottom w:val="single" w:color="auto" w:sz="4" w:space="0"/>
              <w:right w:val="single" w:color="auto" w:sz="4" w:space="0"/>
            </w:tcBorders>
            <w:noWrap w:val="0"/>
            <w:vAlign w:val="center"/>
          </w:tcPr>
          <w:p w14:paraId="073FD30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850" w:type="dxa"/>
            <w:vMerge w:val="continue"/>
            <w:tcBorders>
              <w:left w:val="single" w:color="auto" w:sz="4" w:space="0"/>
              <w:bottom w:val="single" w:color="auto" w:sz="4" w:space="0"/>
              <w:right w:val="single" w:color="auto" w:sz="4" w:space="0"/>
            </w:tcBorders>
            <w:noWrap w:val="0"/>
            <w:vAlign w:val="center"/>
          </w:tcPr>
          <w:p w14:paraId="298544C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7867DEB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建筑</w:t>
            </w:r>
          </w:p>
          <w:p w14:paraId="1B707DF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工程</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043D91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安装</w:t>
            </w:r>
          </w:p>
          <w:p w14:paraId="37552BD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工程</w:t>
            </w:r>
          </w:p>
        </w:tc>
        <w:tc>
          <w:tcPr>
            <w:tcW w:w="853" w:type="dxa"/>
            <w:vMerge w:val="continue"/>
            <w:tcBorders>
              <w:left w:val="single" w:color="auto" w:sz="4" w:space="0"/>
              <w:bottom w:val="single" w:color="auto" w:sz="4" w:space="0"/>
              <w:right w:val="single" w:color="auto" w:sz="4" w:space="0"/>
            </w:tcBorders>
            <w:noWrap w:val="0"/>
            <w:vAlign w:val="center"/>
          </w:tcPr>
          <w:p w14:paraId="31596C2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885" w:type="dxa"/>
            <w:vMerge w:val="continue"/>
            <w:tcBorders>
              <w:left w:val="single" w:color="auto" w:sz="4" w:space="0"/>
              <w:bottom w:val="single" w:color="auto" w:sz="4" w:space="0"/>
              <w:right w:val="single" w:color="auto" w:sz="4" w:space="0"/>
            </w:tcBorders>
            <w:noWrap w:val="0"/>
            <w:vAlign w:val="center"/>
          </w:tcPr>
          <w:p w14:paraId="4A8020F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r>
      <w:tr w14:paraId="37BAD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1286" w:type="dxa"/>
            <w:tcBorders>
              <w:top w:val="single" w:color="auto" w:sz="4" w:space="0"/>
              <w:left w:val="single" w:color="auto" w:sz="4" w:space="0"/>
              <w:right w:val="single" w:color="auto" w:sz="4" w:space="0"/>
            </w:tcBorders>
            <w:noWrap w:val="0"/>
            <w:vAlign w:val="center"/>
          </w:tcPr>
          <w:p w14:paraId="3169014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环境保护费</w:t>
            </w:r>
          </w:p>
        </w:tc>
        <w:tc>
          <w:tcPr>
            <w:tcW w:w="1061" w:type="dxa"/>
            <w:vMerge w:val="restart"/>
            <w:tcBorders>
              <w:top w:val="single" w:color="auto" w:sz="4" w:space="0"/>
              <w:left w:val="single" w:color="auto" w:sz="4" w:space="0"/>
              <w:bottom w:val="single" w:color="auto" w:sz="4" w:space="0"/>
              <w:right w:val="single" w:color="auto" w:sz="4" w:space="0"/>
            </w:tcBorders>
            <w:noWrap w:val="0"/>
            <w:vAlign w:val="center"/>
          </w:tcPr>
          <w:p w14:paraId="4FFD2C1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定额</w:t>
            </w:r>
          </w:p>
          <w:p w14:paraId="09C06F7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人工费</w:t>
            </w:r>
          </w:p>
          <w:p w14:paraId="4980C9E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w:t>
            </w:r>
          </w:p>
          <w:p w14:paraId="03E6E84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定额</w:t>
            </w:r>
          </w:p>
          <w:p w14:paraId="6692D36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机械费</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65CF5A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3.28</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27E2FAC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2.60</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268851D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1.78</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393FE2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3.57</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C5B092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2.46</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FA44E8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1.57</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47BA1A9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1.75</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010BB1D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2.07</w:t>
            </w:r>
          </w:p>
        </w:tc>
      </w:tr>
      <w:tr w14:paraId="36CB7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86" w:type="dxa"/>
            <w:tcBorders>
              <w:top w:val="single" w:color="auto" w:sz="4" w:space="0"/>
              <w:left w:val="single" w:color="auto" w:sz="4" w:space="0"/>
              <w:bottom w:val="single" w:color="auto" w:sz="4" w:space="0"/>
              <w:right w:val="single" w:color="auto" w:sz="4" w:space="0"/>
            </w:tcBorders>
            <w:noWrap w:val="0"/>
            <w:vAlign w:val="center"/>
          </w:tcPr>
          <w:p w14:paraId="0546313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文明施工费</w:t>
            </w:r>
          </w:p>
        </w:tc>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232EE1A0">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29473B2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5.12</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0A3478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4.50</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0606B6B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6.10</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FD6DF5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7.33</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6FC9014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9.24</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10BF81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6.30</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6B451DF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3.05</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0E319B4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4.67</w:t>
            </w:r>
          </w:p>
        </w:tc>
      </w:tr>
      <w:tr w14:paraId="699D2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86" w:type="dxa"/>
            <w:tcBorders>
              <w:top w:val="single" w:color="auto" w:sz="4" w:space="0"/>
              <w:left w:val="single" w:color="auto" w:sz="4" w:space="0"/>
              <w:bottom w:val="single" w:color="auto" w:sz="4" w:space="0"/>
              <w:right w:val="single" w:color="auto" w:sz="4" w:space="0"/>
            </w:tcBorders>
            <w:noWrap w:val="0"/>
            <w:vAlign w:val="center"/>
          </w:tcPr>
          <w:p w14:paraId="504CBE9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安全施工费</w:t>
            </w:r>
          </w:p>
        </w:tc>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73576FBB">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7721DE2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4.13</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4A98F6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3.10</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0C97290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4.22</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58575D7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5.28</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A1BDA4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4.30</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CB91FC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3.23</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1B2D4D3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2.16</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2660426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2.27</w:t>
            </w:r>
          </w:p>
        </w:tc>
      </w:tr>
      <w:tr w14:paraId="7DC7F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86" w:type="dxa"/>
            <w:tcBorders>
              <w:top w:val="single" w:color="auto" w:sz="4" w:space="0"/>
              <w:left w:val="single" w:color="auto" w:sz="4" w:space="0"/>
              <w:bottom w:val="single" w:color="auto" w:sz="4" w:space="0"/>
              <w:right w:val="single" w:color="auto" w:sz="4" w:space="0"/>
            </w:tcBorders>
            <w:noWrap w:val="0"/>
            <w:vAlign w:val="center"/>
          </w:tcPr>
          <w:p w14:paraId="7839FE2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临时设施费</w:t>
            </w:r>
          </w:p>
        </w:tc>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25DE866C">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6D90AF2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8.10</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22EA6A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5.80</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31D2E17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4.60</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588B7F0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7.99</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11A09E7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8.10</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E30948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4.60</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181C0E7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3.20</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568578D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3.98</w:t>
            </w:r>
          </w:p>
        </w:tc>
      </w:tr>
    </w:tbl>
    <w:p w14:paraId="688052FD">
      <w:pPr>
        <w:adjustRightInd w:val="0"/>
        <w:snapToGrid w:val="0"/>
        <w:spacing w:line="360" w:lineRule="auto"/>
        <w:ind w:firstLine="420" w:firstLineChars="200"/>
        <w:rPr>
          <w:rFonts w:hint="eastAsia" w:ascii="宋体" w:hAnsi="宋体" w:cs="宋体"/>
          <w:color w:val="auto"/>
          <w:szCs w:val="21"/>
          <w:highlight w:val="none"/>
        </w:rPr>
      </w:pPr>
    </w:p>
    <w:p w14:paraId="5C6BDD33">
      <w:pPr>
        <w:adjustRightInd w:val="0"/>
        <w:snapToGrid w:val="0"/>
        <w:spacing w:line="360" w:lineRule="auto"/>
        <w:ind w:firstLine="422" w:firstLineChars="200"/>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 xml:space="preserve">2.编制依据 </w:t>
      </w:r>
    </w:p>
    <w:p w14:paraId="7AF65BD2">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本项目采用工程量清单计价。</w:t>
      </w:r>
    </w:p>
    <w:p w14:paraId="41E47A70">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 除招标文件另有约定外，本项目计税采用增值税一般计税方法。</w:t>
      </w:r>
    </w:p>
    <w:p w14:paraId="45BEB98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 建设工程造价由分部分项工程费、措施项目费、不可竞争费、其他项目费和税金构成。</w:t>
      </w:r>
    </w:p>
    <w:p w14:paraId="4981992B">
      <w:pPr>
        <w:adjustRightInd w:val="0"/>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2.4 分部分项工程项目清单采用综合单价计价。综合单价是指完成一个规定计量单位的分部分项工程和措施清单项目所需的人工费、材料和工程设备费、施工机具使用费和综合费（企业管理费和利润）以及一定范围内的风险费用</w:t>
      </w:r>
      <w:r>
        <w:rPr>
          <w:rFonts w:hint="eastAsia" w:ascii="宋体" w:hAnsi="宋体" w:cs="宋体"/>
          <w:color w:val="auto"/>
          <w:szCs w:val="21"/>
          <w:highlight w:val="none"/>
          <w:lang w:val="en-US" w:eastAsia="zh-CN"/>
        </w:rPr>
        <w:t>。</w:t>
      </w:r>
    </w:p>
    <w:p w14:paraId="5C7DF326">
      <w:pPr>
        <w:adjustRightInd w:val="0"/>
        <w:snapToGrid w:val="0"/>
        <w:spacing w:line="360" w:lineRule="auto"/>
        <w:ind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w:t>
      </w:r>
      <w:bookmarkStart w:id="1039" w:name="_Toc19788"/>
      <w:bookmarkStart w:id="1040" w:name="_Toc95223518"/>
      <w:bookmarkStart w:id="1041" w:name="_Toc95223521"/>
      <w:bookmarkStart w:id="1042" w:name="_Toc4881"/>
      <w:r>
        <w:rPr>
          <w:rFonts w:hint="eastAsia" w:ascii="宋体" w:hAnsi="宋体" w:eastAsia="宋体" w:cs="宋体"/>
          <w:b/>
          <w:bCs/>
          <w:color w:val="auto"/>
          <w:szCs w:val="21"/>
          <w:highlight w:val="none"/>
          <w:lang w:val="en-US" w:eastAsia="zh-CN"/>
        </w:rPr>
        <w:t>招标工程量清单编制要求</w:t>
      </w:r>
      <w:bookmarkEnd w:id="1039"/>
      <w:bookmarkEnd w:id="1040"/>
    </w:p>
    <w:p w14:paraId="78CAF639">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 招标工程量清单编制依据如下：</w:t>
      </w:r>
    </w:p>
    <w:p w14:paraId="09A8AAC8">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（1）2018版安徽省建设工程工程量清单计价办法；</w:t>
      </w:r>
    </w:p>
    <w:p w14:paraId="1CD281EA">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（2）《关于调整安徽省建设工程不可竞争费构成及计费标准的通知》（建标〔2021〕42号）； </w:t>
      </w:r>
    </w:p>
    <w:p w14:paraId="2964E02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（3）建设工程设计文件及相关资料；</w:t>
      </w:r>
    </w:p>
    <w:p w14:paraId="5D2B222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（4）与建设项目有关的标准、规范、技术资料；</w:t>
      </w:r>
    </w:p>
    <w:p w14:paraId="7B4C145B">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（5）拟定的招标文件及其补充通知答疑纪要； </w:t>
      </w:r>
    </w:p>
    <w:p w14:paraId="5AFEE90F">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（6）施工现场情况、地勘水文资料、工程特点及常规施工方案；</w:t>
      </w:r>
    </w:p>
    <w:p w14:paraId="7CFAAFE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（7）招标人对项目其他相关要求文件。</w:t>
      </w:r>
    </w:p>
    <w:p w14:paraId="38EC6F8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 招标工程量清单作为招标文件的组成部分，是编制最高投标限价、投标报价、计算工程量、调整合同价款、办理工程竣工结算以及工程索赔等的依据。</w:t>
      </w:r>
    </w:p>
    <w:p w14:paraId="703E7EB8">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 投标人在投标报价过程中有责任和义务对招标人提供的工程量清单进行分析和核对,发现问题应按招标文件要求以书面形式告知招标人。</w:t>
      </w:r>
    </w:p>
    <w:p w14:paraId="39CAA0BC">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 工程量清单由分部分项工程量清单、措施项目清单、不可竞争项目清单、其他项目清单、税金项目清单组成。采用统一格式和表格，具体构成内容见“工程量清单”。</w:t>
      </w:r>
    </w:p>
    <w:p w14:paraId="45959958">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 分部分项工程量清单项目特征是结合本工程项目的实际情况予以描述的，对清单项目的技术和质量有要求的，见招标文件技术部分。措施项目清单中通用部分遵循计价规范编制，专业工程措施项目按规定和工程实际情况确定。</w:t>
      </w:r>
    </w:p>
    <w:p w14:paraId="3C3EBC0D">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 招标工程量清单编制范围应与招标文件中明确的工程招标范围一致。工程量清单的组成内容应当完整、项目特征描述应准确全面，与施工图纸保持一致。</w:t>
      </w:r>
    </w:p>
    <w:p w14:paraId="28476763">
      <w:pPr>
        <w:adjustRightInd w:val="0"/>
        <w:snapToGrid w:val="0"/>
        <w:spacing w:line="360" w:lineRule="auto"/>
        <w:ind w:firstLine="422" w:firstLineChars="200"/>
        <w:rPr>
          <w:rFonts w:hint="eastAsia" w:ascii="宋体" w:hAnsi="宋体" w:eastAsia="宋体" w:cs="宋体"/>
          <w:b/>
          <w:bCs/>
          <w:color w:val="auto"/>
          <w:szCs w:val="21"/>
          <w:highlight w:val="none"/>
          <w:lang w:val="en-US" w:eastAsia="zh-CN"/>
        </w:rPr>
      </w:pPr>
      <w:bookmarkStart w:id="1043" w:name="_Toc95223519"/>
      <w:bookmarkStart w:id="1044" w:name="_Toc23910"/>
      <w:r>
        <w:rPr>
          <w:rFonts w:hint="eastAsia" w:ascii="宋体" w:hAnsi="宋体" w:eastAsia="宋体" w:cs="宋体"/>
          <w:b/>
          <w:bCs/>
          <w:color w:val="auto"/>
          <w:szCs w:val="21"/>
          <w:highlight w:val="none"/>
          <w:lang w:val="en-US" w:eastAsia="zh-CN"/>
        </w:rPr>
        <w:t>4. 最高投标限价编制要求</w:t>
      </w:r>
      <w:bookmarkEnd w:id="1043"/>
      <w:bookmarkEnd w:id="1044"/>
    </w:p>
    <w:p w14:paraId="35E7ED1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 最高投标限价编制依据如下：</w:t>
      </w:r>
    </w:p>
    <w:p w14:paraId="7D4EB4EC">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（1）2018版安徽省建设工程费用定额；</w:t>
      </w:r>
    </w:p>
    <w:p w14:paraId="5C8CC608">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（2）2018版安徽省建设工程施工机械台班费用编制规则；</w:t>
      </w:r>
    </w:p>
    <w:p w14:paraId="688595B0">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（3）2018版安徽省配套计价定额；</w:t>
      </w:r>
    </w:p>
    <w:p w14:paraId="7355293B">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（4）《关于调整安徽省建设工程不可竞争费构成及计费标准的通知》（建标〔2021〕42号）； </w:t>
      </w:r>
    </w:p>
    <w:p w14:paraId="7F94085C">
      <w:pPr>
        <w:adjustRightInd w:val="0"/>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《关于发布《安徽省建设工程计价依据动态调整(第1期)》的公告》（安徽省住房和城乡建设厅公告第51号）</w:t>
      </w:r>
    </w:p>
    <w:p w14:paraId="72658031">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（6）建设工程设计文件及相关资料；</w:t>
      </w:r>
    </w:p>
    <w:p w14:paraId="717441FA">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（7）与建设项目有关的标准、规范、技术资料；</w:t>
      </w:r>
    </w:p>
    <w:p w14:paraId="04F6E4FC">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（8）招标文件及招标工程量清单及其补充通知答疑纪要； </w:t>
      </w:r>
    </w:p>
    <w:p w14:paraId="2FAE6780">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（9）施工现场情况、工程特点及常规施工方案；</w:t>
      </w:r>
    </w:p>
    <w:p w14:paraId="1F4B162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（10）工程造价管理机构发布的工程造价信息；</w:t>
      </w:r>
    </w:p>
    <w:p w14:paraId="45288B1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（11）施工期间的风险因素；</w:t>
      </w:r>
    </w:p>
    <w:p w14:paraId="2BC8880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（12）省、市的有关政策性文件</w:t>
      </w:r>
    </w:p>
    <w:p w14:paraId="46FA6E9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）其他相关材料。</w:t>
      </w:r>
    </w:p>
    <w:p w14:paraId="1289C2A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4.2</w:t>
      </w:r>
      <w:r>
        <w:rPr>
          <w:rFonts w:hint="eastAsia" w:ascii="宋体" w:hAnsi="宋体" w:eastAsia="宋体" w:cs="宋体"/>
          <w:color w:val="auto"/>
          <w:szCs w:val="21"/>
          <w:highlight w:val="none"/>
        </w:rPr>
        <w:t xml:space="preserve"> 材料价格：按《滁州工程造价信息》发布的不含税价格和市场询价编制。本工程混凝土、砂浆使用</w:t>
      </w:r>
      <w:r>
        <w:rPr>
          <w:rFonts w:hint="eastAsia" w:ascii="宋体" w:hAnsi="宋体" w:eastAsia="宋体" w:cs="宋体"/>
          <w:color w:val="auto"/>
          <w:szCs w:val="21"/>
          <w:highlight w:val="none"/>
          <w:u w:val="single"/>
        </w:rPr>
        <w:t xml:space="preserve">  商品混凝土、预拌砂浆</w:t>
      </w:r>
      <w:r>
        <w:rPr>
          <w:rFonts w:hint="eastAsia" w:ascii="宋体" w:hAnsi="宋体" w:eastAsia="宋体" w:cs="宋体"/>
          <w:color w:val="auto"/>
          <w:szCs w:val="21"/>
          <w:highlight w:val="none"/>
        </w:rPr>
        <w:t>。</w:t>
      </w:r>
    </w:p>
    <w:p w14:paraId="3DA1E95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4.3</w:t>
      </w:r>
      <w:r>
        <w:rPr>
          <w:rFonts w:hint="eastAsia" w:ascii="宋体" w:hAnsi="宋体" w:eastAsia="宋体" w:cs="宋体"/>
          <w:color w:val="auto"/>
          <w:szCs w:val="21"/>
          <w:highlight w:val="none"/>
        </w:rPr>
        <w:t>暂列金额与暂估价</w:t>
      </w:r>
    </w:p>
    <w:p w14:paraId="5886EAD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本工程暂列金额与暂估价详见招标人发布的最高投标限价。</w:t>
      </w:r>
    </w:p>
    <w:p w14:paraId="6E8B095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 xml:space="preserve"> 最高投标限价为本次招标工程限定的最高投标限价，应当在工程所在地建设主管部门备案。最高投标限价不做上调或下浮。如最高投标限价超过批准的概算，招标人应将其报原概算审批部门审核。</w:t>
      </w:r>
    </w:p>
    <w:p w14:paraId="79351F42">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 最高投标限价应采用工程单价计价，正确、全面地使用国家、省市标准、计价定额以及相关文件，成果文件质量应符合相关标准及规程的规定。最高</w:t>
      </w:r>
      <w:r>
        <w:rPr>
          <w:rFonts w:hint="eastAsia" w:ascii="宋体" w:hAnsi="宋体" w:cs="宋体"/>
          <w:color w:val="auto"/>
          <w:szCs w:val="21"/>
          <w:highlight w:val="none"/>
        </w:rPr>
        <w:t>投标限价包括分部分项工程费、措施项目费、不可竞争费、其他项目费和税金。</w:t>
      </w:r>
    </w:p>
    <w:p w14:paraId="44BF4306">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 xml:space="preserve"> 分部分项工程费按本招标文件的分部分项工程量清单的特征描述及有关要求，结合第4.1款编制依据确定。</w:t>
      </w:r>
    </w:p>
    <w:p w14:paraId="600C418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（1）综合单价中人工和施工机械台班单价按省级和工程所在地的市级工程造价管理机构公布的单价计算；</w:t>
      </w:r>
    </w:p>
    <w:p w14:paraId="2D00E16D">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（2）综合单价中材料、工程设备单价按省级和工程所在地的市级工程造价管理机构公布的单价以及本招标文件规定的暂估价、市场调查价格计算；</w:t>
      </w:r>
    </w:p>
    <w:p w14:paraId="4925654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（3）本招标文件中列有材料、设备暂估价的，按暂估价计算；</w:t>
      </w:r>
    </w:p>
    <w:p w14:paraId="787DBD8E">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（4）综合单价中人工、材料和施工机械台班消耗量均按2018版安徽省定额消耗量计算；</w:t>
      </w:r>
    </w:p>
    <w:p w14:paraId="57A3FAE2">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（5）综合单价中综合费费率按2018版安徽省建设工程计价依据；</w:t>
      </w:r>
    </w:p>
    <w:p w14:paraId="64B9AE92">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（6）综合单价中应包括招标文件约定的应由投标人承担的风险范围及其费用，风险按本招标文件第4.1款约定计算。</w:t>
      </w:r>
    </w:p>
    <w:p w14:paraId="6C51230B">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 xml:space="preserve"> 措施项目费按本招标文件中的措施项目清单，根据拟定的招标文件和常规施工方案确定。对于施工机械设备的选型根据工程特点和施工条件，本着经济实用、先进高效的原则确定。措施项目费依据项目具体情况进行合理确定，复杂项目需按专家论证后的方案编制。</w:t>
      </w:r>
    </w:p>
    <w:p w14:paraId="02F823F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 xml:space="preserve"> 不可竞争费（含安全文明施工费、</w:t>
      </w:r>
      <w:r>
        <w:rPr>
          <w:rFonts w:hint="eastAsia"/>
          <w:color w:val="auto"/>
          <w:highlight w:val="none"/>
        </w:rPr>
        <w:t>环境保护税</w:t>
      </w:r>
      <w:r>
        <w:rPr>
          <w:rFonts w:hint="eastAsia" w:ascii="宋体" w:hAnsi="宋体" w:cs="宋体"/>
          <w:color w:val="auto"/>
          <w:szCs w:val="21"/>
          <w:highlight w:val="none"/>
        </w:rPr>
        <w:t>）按本招标文件中的不可竞争项目清单编制确定。</w:t>
      </w:r>
    </w:p>
    <w:p w14:paraId="3BFC4E1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 xml:space="preserve"> 其他项目费用应按照下列规定计价:</w:t>
      </w:r>
    </w:p>
    <w:p w14:paraId="178FC57C">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（1）暂列金额按招标工程量清单中列出的金额填写；</w:t>
      </w:r>
    </w:p>
    <w:p w14:paraId="7389115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（2）专业工程暂估价按招标工程量清单中列出的金额填写；</w:t>
      </w:r>
    </w:p>
    <w:p w14:paraId="6A479FF8">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（3）计日工按招标人列出项目和数量，结合第4.1款编制依据的要求确定综合单价并计算费用； </w:t>
      </w:r>
    </w:p>
    <w:p w14:paraId="1A2AA28F">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（4）总承包服务费根据招标文件列出的内容和要求计算。</w:t>
      </w:r>
    </w:p>
    <w:p w14:paraId="34C8F7D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 xml:space="preserve"> 税金（增值税）按税金项目清单，结合第4.1款编制依据的要求编制，不得降低标准。</w:t>
      </w:r>
    </w:p>
    <w:p w14:paraId="41077D7B">
      <w:pPr>
        <w:adjustRightInd w:val="0"/>
        <w:snapToGrid w:val="0"/>
        <w:spacing w:line="360" w:lineRule="auto"/>
        <w:ind w:firstLine="422" w:firstLineChars="200"/>
        <w:rPr>
          <w:rFonts w:hint="eastAsia" w:ascii="宋体" w:hAnsi="宋体" w:eastAsia="宋体" w:cs="宋体"/>
          <w:b/>
          <w:bCs/>
          <w:color w:val="auto"/>
          <w:szCs w:val="21"/>
          <w:highlight w:val="none"/>
          <w:lang w:val="en-US" w:eastAsia="zh-CN"/>
        </w:rPr>
      </w:pPr>
      <w:bookmarkStart w:id="1045" w:name="_Toc95223520"/>
      <w:bookmarkStart w:id="1046" w:name="_Toc4166"/>
      <w:r>
        <w:rPr>
          <w:rFonts w:hint="eastAsia" w:ascii="宋体" w:hAnsi="宋体" w:eastAsia="宋体" w:cs="宋体"/>
          <w:b/>
          <w:bCs/>
          <w:color w:val="auto"/>
          <w:szCs w:val="21"/>
          <w:highlight w:val="none"/>
          <w:lang w:val="en-US" w:eastAsia="zh-CN"/>
        </w:rPr>
        <w:t>5. 投标报价参考编制要求</w:t>
      </w:r>
      <w:bookmarkEnd w:id="1045"/>
      <w:bookmarkEnd w:id="1046"/>
    </w:p>
    <w:p w14:paraId="69CC69DD">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 投标报价编制参考依据如下：</w:t>
      </w:r>
    </w:p>
    <w:p w14:paraId="447D4FD6">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（1）2018版安徽省建设工程费用定额；</w:t>
      </w:r>
    </w:p>
    <w:p w14:paraId="40A8D0F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（2）2018版安徽省建设工程施工机械台班费用编制规则；</w:t>
      </w:r>
    </w:p>
    <w:p w14:paraId="3199F02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（3）2018版安徽省配套计价定额；</w:t>
      </w:r>
    </w:p>
    <w:p w14:paraId="5EC4FC8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（4）《关于调整安徽省建设工程不可竞争费构成及计费标准的通知》（建标〔2021〕42号）； </w:t>
      </w:r>
    </w:p>
    <w:p w14:paraId="41E0B298">
      <w:pPr>
        <w:adjustRightInd w:val="0"/>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《关于发布《安徽省建设工程计价依据动态调整(第1期)》的公告》（安徽省住房和城乡建设厅公告第51号）</w:t>
      </w:r>
    </w:p>
    <w:p w14:paraId="07E5E4A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（6）建设工程设计文件及相关资料；</w:t>
      </w:r>
    </w:p>
    <w:p w14:paraId="71AB2E6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（7）与建设项目有关的标准、规范、技术资料；</w:t>
      </w:r>
    </w:p>
    <w:p w14:paraId="6E5D905F">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（8）招标文件及招标工程量清单及其补充通知答疑纪要； </w:t>
      </w:r>
    </w:p>
    <w:p w14:paraId="4274B5CB">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（9）施工现场情况、工程特点及常规施工方案；</w:t>
      </w:r>
    </w:p>
    <w:p w14:paraId="0E0D636F">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（10）工程造价管理机构发布的工程造价信息；</w:t>
      </w:r>
    </w:p>
    <w:p w14:paraId="0BED476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（11）施工期间的风险因素；</w:t>
      </w:r>
    </w:p>
    <w:p w14:paraId="13BC938F">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（12）其他相关材料。</w:t>
      </w:r>
    </w:p>
    <w:p w14:paraId="1E26A67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 投标人应仔细阅读招标文件，了解拟投标合同段的全部工程内容。投标人的投标报价应是招标文件所确定的招标范围内全部工程内容的价格体现，但其投标报价不得低于投标人个别成本价。</w:t>
      </w:r>
    </w:p>
    <w:p w14:paraId="04949570">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 投标人应按招标人提供的招标工程量清单填报综合单价和合价，未填报的综合单价和合价，视为此项费用已合在工程量清单的其他综合单价和合价中。</w:t>
      </w:r>
    </w:p>
    <w:p w14:paraId="19A2ECB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5.4 分部分项工程费根据招标文件中的工程量清单项目及项目特征描述等确定综合单价。其中综合单价是指完成一个规定清单项目所需的人工费、材料和工程设备费、施工机具使用费和综合费（企业管理费和利润）以及一定范围内投标人承担的的风险费用。</w:t>
      </w:r>
    </w:p>
    <w:p w14:paraId="0E72BECF">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5.5 措施项目费根据招标文件中的工程量清单措施项目，结合第5.1款编制依据确定。投标人对招标人所列的措施项目可根据工程实际情况结合施工组织设计进行增补。</w:t>
      </w:r>
    </w:p>
    <w:p w14:paraId="497AB4C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5.6 不可竞争费（含安全文明施工费、</w:t>
      </w:r>
      <w:r>
        <w:rPr>
          <w:rFonts w:hint="eastAsia"/>
          <w:color w:val="auto"/>
          <w:highlight w:val="none"/>
        </w:rPr>
        <w:t>环境保护税</w:t>
      </w:r>
      <w:r>
        <w:rPr>
          <w:rFonts w:hint="eastAsia" w:ascii="宋体" w:hAnsi="宋体" w:cs="宋体"/>
          <w:color w:val="auto"/>
          <w:szCs w:val="21"/>
          <w:highlight w:val="none"/>
        </w:rPr>
        <w:t>）根据工程量清单不可竞争项目，结合第5.1款编制依据确定，安全文明施工费费率不得调整。</w:t>
      </w:r>
    </w:p>
    <w:p w14:paraId="01DC8901">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5.7 其他项目费用应按照下列规定计价:</w:t>
      </w:r>
    </w:p>
    <w:p w14:paraId="7F488C79">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（1）暂列金额按招标工程量清单中列出的金额填写，不得更改；</w:t>
      </w:r>
    </w:p>
    <w:p w14:paraId="73A9E18D">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（2）专业工程暂估价按招标工程量清单中列出的金额填写，不得更改；</w:t>
      </w:r>
    </w:p>
    <w:p w14:paraId="292AD80D">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（3）计日工按招标人列出项目和数量，结合第5.1款编制依据的要求确定综合单价并计算费用； </w:t>
      </w:r>
    </w:p>
    <w:p w14:paraId="5927732C">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（4）总承包服务费根据招标文件列出的内容和要求计算。</w:t>
      </w:r>
    </w:p>
    <w:p w14:paraId="162D4E7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5.8 税金（增值税）按税金项目清单，结合第5.1款编制依据的要求编制，不得调整。</w:t>
      </w:r>
    </w:p>
    <w:p w14:paraId="262898E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5.9 投标报价编制注意事项</w:t>
      </w:r>
    </w:p>
    <w:p w14:paraId="09020ACC">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除可调整价格的主要材料和甲供材及实行暂估价的材料及设备以外，其他由投标人自行采购的材料确定投标报价时应充分考虑材料价格上涨等市场风险因素，中标后不作调整，综合单价中的材料费应包含材料运杂费、采保费等一切应有费用；</w:t>
      </w:r>
    </w:p>
    <w:p w14:paraId="449930E1">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（2）结算时实行暂估价的材料和设备的价差仅计取税金，不再计取其他费用；</w:t>
      </w:r>
    </w:p>
    <w:p w14:paraId="18637ADA">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招标工程的施工地点为本须知前附表所述，投标人应自行到施工现场踏勘以充分了解工地位置、情况、道路、储存空间、装卸限制及任何其他足以影响投标报价的情况，任何因忽视或误解施工场地情况而导致的索赔或工期延长申请将不被批准。对于受施工现场场地限制，如需要另外寻找场地解决临时住宿、材料及设备堆放，由此所产生的费用应包含在投标报价范围内，招标人不再承担该费用；</w:t>
      </w:r>
    </w:p>
    <w:p w14:paraId="02B10AE0">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开标前，投标人应认真对照施工设计图纸等文件核对招标人提供的工程量清单，发现工程量存在项目划分误差、计量单位误差、数量误差、遗漏项目的，必须在招标文件规定的时间内向招标人提出异议或修正要求，否则招标人可不予答复；</w:t>
      </w:r>
    </w:p>
    <w:p w14:paraId="20F3879A">
      <w:pPr>
        <w:adjustRightInd w:val="0"/>
        <w:snapToGrid w:val="0"/>
        <w:spacing w:line="360" w:lineRule="auto"/>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（5）招标人对异议或修正要求应进行核实，确认工程量单项子目误差在±3%（含±3%）以内的，招标人可不予调整工程量，投标人应将其误差考虑在综合单价内；若有遗漏项目或单项子目工</w:t>
      </w:r>
      <w:r>
        <w:rPr>
          <w:rFonts w:hint="eastAsia" w:ascii="宋体" w:hAnsi="宋体" w:cs="宋体"/>
          <w:b/>
          <w:bCs/>
          <w:color w:val="auto"/>
          <w:szCs w:val="21"/>
          <w:highlight w:val="none"/>
        </w:rPr>
        <w:t>程量误差超过±3%的，招标人应进行修正并重新公布准确的工程量清单；</w:t>
      </w:r>
    </w:p>
    <w:p w14:paraId="6C7CC648">
      <w:pPr>
        <w:adjustRightInd w:val="0"/>
        <w:snapToGrid w:val="0"/>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（6） 除合同另有约定外，中标人在工程量清单报价书中所报的综合单价在施工图纸和合同约定范围一律不予调整；</w:t>
      </w:r>
    </w:p>
    <w:p w14:paraId="7CC142F3">
      <w:pPr>
        <w:adjustRightInd w:val="0"/>
        <w:snapToGrid w:val="0"/>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（7）本招标工程不接受恶意不平衡报价，不保证最低价中标。</w:t>
      </w:r>
    </w:p>
    <w:p w14:paraId="16C65AB6">
      <w:pPr>
        <w:adjustRightInd w:val="0"/>
        <w:snapToGrid w:val="0"/>
        <w:spacing w:line="360" w:lineRule="auto"/>
        <w:ind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6. 工程量清单</w:t>
      </w:r>
      <w:bookmarkEnd w:id="1041"/>
      <w:bookmarkEnd w:id="1042"/>
    </w:p>
    <w:p w14:paraId="168D8F4E">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另</w:t>
      </w:r>
      <w:r>
        <w:rPr>
          <w:rFonts w:hint="eastAsia" w:ascii="宋体" w:hAnsi="宋体" w:cs="宋体"/>
          <w:color w:val="auto"/>
          <w:szCs w:val="21"/>
          <w:highlight w:val="none"/>
          <w:lang w:val="en-US" w:eastAsia="zh-CN"/>
        </w:rPr>
        <w:t>附</w:t>
      </w:r>
      <w:r>
        <w:rPr>
          <w:rFonts w:hint="eastAsia" w:ascii="宋体" w:hAnsi="宋体" w:cs="宋体"/>
          <w:color w:val="auto"/>
          <w:szCs w:val="21"/>
          <w:highlight w:val="none"/>
        </w:rPr>
        <w:t>。</w:t>
      </w:r>
    </w:p>
    <w:p w14:paraId="15321AFA">
      <w:pPr>
        <w:pStyle w:val="43"/>
        <w:numPr>
          <w:ilvl w:val="0"/>
          <w:numId w:val="0"/>
        </w:numPr>
        <w:spacing w:beforeLines="50" w:afterLines="50" w:line="440" w:lineRule="exact"/>
        <w:jc w:val="center"/>
        <w:rPr>
          <w:rFonts w:hint="eastAsia" w:eastAsia="宋体" w:cs="Times New Roman"/>
          <w:bCs/>
          <w:color w:val="auto"/>
          <w:szCs w:val="32"/>
          <w:highlight w:val="none"/>
          <w:lang w:val="en-US" w:eastAsia="zh-CN"/>
        </w:rPr>
      </w:pPr>
    </w:p>
    <w:p w14:paraId="4343AFE1">
      <w:pPr>
        <w:pStyle w:val="43"/>
        <w:numPr>
          <w:ilvl w:val="0"/>
          <w:numId w:val="0"/>
        </w:numPr>
        <w:spacing w:beforeLines="50" w:afterLines="50" w:line="440" w:lineRule="exact"/>
        <w:jc w:val="center"/>
        <w:rPr>
          <w:rFonts w:hint="eastAsia" w:eastAsia="宋体" w:cs="Times New Roman"/>
          <w:bCs/>
          <w:color w:val="auto"/>
          <w:szCs w:val="32"/>
          <w:highlight w:val="none"/>
        </w:rPr>
      </w:pPr>
      <w:bookmarkStart w:id="1047" w:name="_Toc10023"/>
      <w:bookmarkStart w:id="1048" w:name="_Toc20597"/>
      <w:bookmarkStart w:id="1049" w:name="_Toc25013"/>
      <w:r>
        <w:rPr>
          <w:rFonts w:hint="eastAsia" w:ascii="Arial" w:hAnsi="Arial" w:eastAsia="宋体" w:cs="Times New Roman"/>
          <w:b/>
          <w:bCs/>
          <w:color w:val="auto"/>
          <w:kern w:val="0"/>
          <w:sz w:val="32"/>
          <w:szCs w:val="32"/>
          <w:highlight w:val="none"/>
          <w:lang w:val="en-US" w:eastAsia="zh-CN" w:bidi="ar-SA"/>
        </w:rPr>
        <w:t>第六章</w:t>
      </w:r>
      <w:r>
        <w:rPr>
          <w:rFonts w:hint="eastAsia" w:cs="Times New Roman"/>
          <w:b/>
          <w:bCs/>
          <w:color w:val="auto"/>
          <w:kern w:val="0"/>
          <w:sz w:val="32"/>
          <w:szCs w:val="32"/>
          <w:highlight w:val="none"/>
          <w:lang w:val="en-US" w:eastAsia="zh-CN" w:bidi="ar-SA"/>
        </w:rPr>
        <w:t xml:space="preserve">  </w:t>
      </w:r>
      <w:r>
        <w:rPr>
          <w:rFonts w:hint="eastAsia" w:eastAsia="宋体" w:cs="Times New Roman"/>
          <w:bCs/>
          <w:color w:val="auto"/>
          <w:szCs w:val="32"/>
          <w:highlight w:val="none"/>
          <w:lang w:val="en-US" w:eastAsia="zh-CN"/>
        </w:rPr>
        <w:t>图纸</w:t>
      </w:r>
      <w:bookmarkEnd w:id="1047"/>
      <w:bookmarkEnd w:id="1048"/>
      <w:bookmarkEnd w:id="1049"/>
    </w:p>
    <w:p w14:paraId="25D4E36D">
      <w:pPr>
        <w:pStyle w:val="43"/>
        <w:numPr>
          <w:ilvl w:val="0"/>
          <w:numId w:val="0"/>
        </w:numPr>
        <w:spacing w:beforeLines="50" w:afterLines="50" w:line="440" w:lineRule="exact"/>
        <w:jc w:val="center"/>
        <w:rPr>
          <w:rFonts w:hint="eastAsia" w:eastAsia="宋体" w:cs="Times New Roman"/>
          <w:bCs/>
          <w:color w:val="auto"/>
          <w:szCs w:val="32"/>
          <w:highlight w:val="none"/>
          <w:lang w:val="en-US" w:eastAsia="zh-CN"/>
        </w:rPr>
      </w:pPr>
      <w:bookmarkStart w:id="1050" w:name="_Toc23816"/>
      <w:bookmarkStart w:id="1051" w:name="_Toc18733"/>
      <w:bookmarkStart w:id="1052" w:name="_Toc5510"/>
      <w:r>
        <w:rPr>
          <w:rFonts w:hint="eastAsia" w:eastAsia="宋体" w:cs="Times New Roman"/>
          <w:bCs/>
          <w:color w:val="auto"/>
          <w:szCs w:val="32"/>
          <w:highlight w:val="none"/>
          <w:lang w:val="en-US" w:eastAsia="zh-CN"/>
        </w:rPr>
        <w:t>另附</w:t>
      </w:r>
      <w:bookmarkEnd w:id="1050"/>
      <w:bookmarkEnd w:id="1051"/>
      <w:bookmarkEnd w:id="1052"/>
    </w:p>
    <w:p w14:paraId="2D37CADC">
      <w:pPr>
        <w:pStyle w:val="43"/>
        <w:numPr>
          <w:ilvl w:val="0"/>
          <w:numId w:val="0"/>
        </w:numPr>
        <w:spacing w:beforeLines="50" w:afterLines="50" w:line="440" w:lineRule="exact"/>
        <w:jc w:val="center"/>
        <w:rPr>
          <w:rFonts w:hint="eastAsia" w:eastAsia="宋体" w:cs="Times New Roman"/>
          <w:bCs/>
          <w:color w:val="auto"/>
          <w:szCs w:val="32"/>
          <w:highlight w:val="none"/>
          <w:lang w:val="en-US" w:eastAsia="zh-CN"/>
        </w:rPr>
      </w:pPr>
    </w:p>
    <w:p w14:paraId="53422BA0">
      <w:pPr>
        <w:pStyle w:val="43"/>
        <w:numPr>
          <w:ilvl w:val="0"/>
          <w:numId w:val="0"/>
        </w:numPr>
        <w:spacing w:beforeLines="50" w:afterLines="50" w:line="440" w:lineRule="exact"/>
        <w:jc w:val="center"/>
        <w:rPr>
          <w:rFonts w:hint="eastAsia" w:eastAsia="宋体" w:cs="Times New Roman"/>
          <w:bCs/>
          <w:color w:val="auto"/>
          <w:szCs w:val="32"/>
          <w:highlight w:val="none"/>
          <w:lang w:val="en-US" w:eastAsia="zh-CN"/>
        </w:rPr>
      </w:pPr>
    </w:p>
    <w:p w14:paraId="6A28674B">
      <w:pPr>
        <w:pStyle w:val="43"/>
        <w:numPr>
          <w:ilvl w:val="0"/>
          <w:numId w:val="0"/>
        </w:numPr>
        <w:spacing w:beforeLines="50" w:afterLines="50" w:line="440" w:lineRule="exact"/>
        <w:jc w:val="center"/>
        <w:rPr>
          <w:rFonts w:hint="eastAsia" w:cs="Times New Roman"/>
          <w:bCs/>
          <w:color w:val="auto"/>
          <w:szCs w:val="32"/>
          <w:highlight w:val="none"/>
          <w:lang w:val="en-US" w:eastAsia="zh-CN"/>
        </w:rPr>
      </w:pPr>
      <w:bookmarkStart w:id="1053" w:name="_Toc24902"/>
      <w:r>
        <w:rPr>
          <w:rFonts w:hint="eastAsia" w:cs="Times New Roman"/>
          <w:bCs/>
          <w:color w:val="auto"/>
          <w:szCs w:val="32"/>
          <w:highlight w:val="none"/>
          <w:lang w:val="en-US" w:eastAsia="zh-CN"/>
        </w:rPr>
        <w:t>第七章  技术标准和要求</w:t>
      </w:r>
      <w:bookmarkEnd w:id="1053"/>
    </w:p>
    <w:p w14:paraId="49AF09AF">
      <w:pPr>
        <w:keepNext w:val="0"/>
        <w:keepLines w:val="0"/>
        <w:widowControl w:val="0"/>
        <w:suppressLineNumbers w:val="0"/>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1. 一般要求  </w:t>
      </w:r>
    </w:p>
    <w:p w14:paraId="3879D0A5">
      <w:pPr>
        <w:keepNext w:val="0"/>
        <w:keepLines w:val="0"/>
        <w:widowControl w:val="0"/>
        <w:suppressLineNumbers w:val="0"/>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2. 特殊技术标准和要求  </w:t>
      </w:r>
    </w:p>
    <w:p w14:paraId="190A530F">
      <w:pPr>
        <w:keepNext w:val="0"/>
        <w:keepLines w:val="0"/>
        <w:widowControl w:val="0"/>
        <w:suppressLineNumbers w:val="0"/>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3. 适用的国家、行业以及地方标准、规范和规程  </w:t>
      </w:r>
    </w:p>
    <w:p w14:paraId="48B68228">
      <w:pPr>
        <w:keepNext w:val="0"/>
        <w:keepLines w:val="0"/>
        <w:widowControl w:val="0"/>
        <w:suppressLineNumbers w:val="0"/>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4、其他现行的有关规范、行业标准；</w:t>
      </w:r>
    </w:p>
    <w:p w14:paraId="6CD6A21B">
      <w:pPr>
        <w:keepNext w:val="0"/>
        <w:keepLines w:val="0"/>
        <w:widowControl w:val="0"/>
        <w:suppressLineNumbers w:val="0"/>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5、如国家对上述标准规范有调整，按最新标准和规范为准；</w:t>
      </w:r>
    </w:p>
    <w:p w14:paraId="0CC820A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3C6231A3">
      <w:pPr>
        <w:pStyle w:val="43"/>
        <w:numPr>
          <w:ilvl w:val="0"/>
          <w:numId w:val="0"/>
        </w:numPr>
        <w:spacing w:beforeLines="50" w:afterLines="50" w:line="440" w:lineRule="exact"/>
        <w:jc w:val="center"/>
        <w:rPr>
          <w:rFonts w:hint="default" w:eastAsia="宋体" w:cs="Times New Roman"/>
          <w:bCs/>
          <w:color w:val="auto"/>
          <w:szCs w:val="32"/>
          <w:highlight w:val="none"/>
          <w:lang w:val="en-US"/>
        </w:rPr>
      </w:pPr>
    </w:p>
    <w:p w14:paraId="1CB2AC58">
      <w:pPr>
        <w:rPr>
          <w:rFonts w:hint="eastAsia"/>
          <w:bCs/>
          <w:color w:val="auto"/>
          <w:szCs w:val="32"/>
          <w:highlight w:val="none"/>
        </w:rPr>
      </w:pPr>
      <w:r>
        <w:rPr>
          <w:rFonts w:hint="eastAsia"/>
          <w:bCs/>
          <w:color w:val="auto"/>
          <w:szCs w:val="32"/>
          <w:highlight w:val="none"/>
        </w:rPr>
        <w:br w:type="page"/>
      </w:r>
    </w:p>
    <w:p w14:paraId="32357EC1">
      <w:pPr>
        <w:pStyle w:val="43"/>
        <w:spacing w:beforeLines="50" w:afterLines="50" w:line="440" w:lineRule="exact"/>
        <w:rPr>
          <w:bCs/>
          <w:color w:val="auto"/>
          <w:szCs w:val="32"/>
          <w:highlight w:val="none"/>
        </w:rPr>
      </w:pPr>
      <w:bookmarkStart w:id="1054" w:name="_Toc8272"/>
      <w:bookmarkStart w:id="1055" w:name="_Toc5279"/>
      <w:bookmarkStart w:id="1056" w:name="_Toc10062"/>
      <w:r>
        <w:rPr>
          <w:rFonts w:hint="eastAsia"/>
          <w:bCs/>
          <w:color w:val="auto"/>
          <w:szCs w:val="32"/>
          <w:highlight w:val="none"/>
        </w:rPr>
        <w:t>第</w:t>
      </w:r>
      <w:r>
        <w:rPr>
          <w:rFonts w:hint="eastAsia"/>
          <w:bCs/>
          <w:color w:val="auto"/>
          <w:szCs w:val="32"/>
          <w:highlight w:val="none"/>
          <w:lang w:val="en-US" w:eastAsia="zh-CN"/>
        </w:rPr>
        <w:t>八</w:t>
      </w:r>
      <w:r>
        <w:rPr>
          <w:rFonts w:hint="eastAsia"/>
          <w:bCs/>
          <w:color w:val="auto"/>
          <w:szCs w:val="32"/>
          <w:highlight w:val="none"/>
        </w:rPr>
        <w:t>章  投标文件格式</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1054"/>
      <w:bookmarkEnd w:id="1055"/>
      <w:bookmarkEnd w:id="1056"/>
    </w:p>
    <w:p w14:paraId="30E561DA">
      <w:pPr>
        <w:rPr>
          <w:color w:val="auto"/>
          <w:highlight w:val="none"/>
        </w:rPr>
      </w:pPr>
    </w:p>
    <w:p w14:paraId="3ADE262B">
      <w:pPr>
        <w:rPr>
          <w:color w:val="auto"/>
          <w:highlight w:val="none"/>
        </w:rPr>
      </w:pPr>
    </w:p>
    <w:p w14:paraId="2AA7DA25">
      <w:pPr>
        <w:rPr>
          <w:color w:val="auto"/>
          <w:highlight w:val="none"/>
        </w:rPr>
      </w:pPr>
    </w:p>
    <w:p w14:paraId="65BAC7DC">
      <w:pPr>
        <w:jc w:val="center"/>
        <w:rPr>
          <w:rFonts w:eastAsia="黑体"/>
          <w:color w:val="auto"/>
          <w:sz w:val="20"/>
          <w:szCs w:val="20"/>
          <w:highlight w:val="none"/>
        </w:rPr>
      </w:pPr>
      <w:r>
        <w:rPr>
          <w:rFonts w:eastAsia="黑体"/>
          <w:color w:val="auto"/>
          <w:sz w:val="28"/>
          <w:szCs w:val="28"/>
          <w:highlight w:val="none"/>
        </w:rPr>
        <w:t>（项目名称）</w:t>
      </w:r>
    </w:p>
    <w:p w14:paraId="41EA6429">
      <w:pPr>
        <w:jc w:val="center"/>
        <w:rPr>
          <w:rFonts w:eastAsia="黑体"/>
          <w:color w:val="auto"/>
          <w:sz w:val="20"/>
          <w:szCs w:val="20"/>
          <w:highlight w:val="none"/>
        </w:rPr>
      </w:pPr>
    </w:p>
    <w:p w14:paraId="184AA04A">
      <w:pPr>
        <w:jc w:val="center"/>
        <w:rPr>
          <w:rFonts w:eastAsia="黑体"/>
          <w:color w:val="auto"/>
          <w:sz w:val="20"/>
          <w:szCs w:val="20"/>
          <w:highlight w:val="none"/>
        </w:rPr>
      </w:pPr>
    </w:p>
    <w:p w14:paraId="313DF073">
      <w:pPr>
        <w:jc w:val="center"/>
        <w:rPr>
          <w:rFonts w:eastAsia="黑体"/>
          <w:color w:val="auto"/>
          <w:sz w:val="20"/>
          <w:szCs w:val="20"/>
          <w:highlight w:val="none"/>
        </w:rPr>
      </w:pPr>
    </w:p>
    <w:p w14:paraId="2070887A">
      <w:pPr>
        <w:rPr>
          <w:rFonts w:eastAsia="黑体"/>
          <w:color w:val="auto"/>
          <w:sz w:val="20"/>
          <w:szCs w:val="20"/>
          <w:highlight w:val="none"/>
        </w:rPr>
      </w:pPr>
    </w:p>
    <w:p w14:paraId="4F11BA88">
      <w:pPr>
        <w:jc w:val="center"/>
        <w:rPr>
          <w:rFonts w:eastAsia="黑体"/>
          <w:color w:val="auto"/>
          <w:sz w:val="44"/>
          <w:szCs w:val="44"/>
          <w:highlight w:val="none"/>
        </w:rPr>
      </w:pPr>
      <w:r>
        <w:rPr>
          <w:rFonts w:eastAsia="黑体"/>
          <w:color w:val="auto"/>
          <w:sz w:val="44"/>
          <w:szCs w:val="44"/>
          <w:highlight w:val="none"/>
        </w:rPr>
        <w:t>投  标  文  件</w:t>
      </w:r>
      <w:r>
        <w:rPr>
          <w:rFonts w:hint="eastAsia" w:eastAsia="黑体"/>
          <w:color w:val="auto"/>
          <w:sz w:val="44"/>
          <w:szCs w:val="44"/>
          <w:highlight w:val="none"/>
        </w:rPr>
        <w:t xml:space="preserve"> 一</w:t>
      </w:r>
    </w:p>
    <w:p w14:paraId="0C10C1D2">
      <w:pPr>
        <w:jc w:val="center"/>
        <w:rPr>
          <w:rFonts w:eastAsia="黑体"/>
          <w:color w:val="auto"/>
          <w:sz w:val="44"/>
          <w:szCs w:val="44"/>
          <w:highlight w:val="none"/>
        </w:rPr>
      </w:pPr>
      <w:r>
        <w:rPr>
          <w:rFonts w:hint="eastAsia" w:eastAsia="黑体"/>
          <w:color w:val="auto"/>
          <w:sz w:val="44"/>
          <w:szCs w:val="44"/>
          <w:highlight w:val="none"/>
        </w:rPr>
        <w:t>（资信证明文件）</w:t>
      </w:r>
    </w:p>
    <w:p w14:paraId="7BF1B98E">
      <w:pPr>
        <w:rPr>
          <w:rFonts w:eastAsia="黑体"/>
          <w:color w:val="auto"/>
          <w:sz w:val="28"/>
          <w:szCs w:val="28"/>
          <w:highlight w:val="none"/>
        </w:rPr>
      </w:pPr>
    </w:p>
    <w:p w14:paraId="68699899">
      <w:pPr>
        <w:rPr>
          <w:rFonts w:eastAsia="黑体"/>
          <w:color w:val="auto"/>
          <w:sz w:val="28"/>
          <w:szCs w:val="28"/>
          <w:highlight w:val="none"/>
        </w:rPr>
      </w:pPr>
    </w:p>
    <w:p w14:paraId="718FD052">
      <w:pPr>
        <w:rPr>
          <w:rFonts w:eastAsia="黑体"/>
          <w:color w:val="auto"/>
          <w:sz w:val="28"/>
          <w:szCs w:val="28"/>
          <w:highlight w:val="none"/>
        </w:rPr>
      </w:pPr>
    </w:p>
    <w:p w14:paraId="27E2CA0B">
      <w:pPr>
        <w:jc w:val="center"/>
        <w:rPr>
          <w:rFonts w:hint="default" w:eastAsia="黑体"/>
          <w:color w:val="auto"/>
          <w:sz w:val="28"/>
          <w:szCs w:val="28"/>
          <w:highlight w:val="none"/>
          <w:lang w:val="en-US" w:eastAsia="zh-CN"/>
        </w:rPr>
      </w:pPr>
      <w:r>
        <w:rPr>
          <w:rFonts w:hint="eastAsia" w:eastAsia="黑体"/>
          <w:color w:val="auto"/>
          <w:sz w:val="28"/>
          <w:szCs w:val="28"/>
          <w:highlight w:val="none"/>
        </w:rPr>
        <w:t>项目编号：</w:t>
      </w:r>
      <w:r>
        <w:rPr>
          <w:rFonts w:hint="eastAsia" w:eastAsia="黑体"/>
          <w:color w:val="auto"/>
          <w:sz w:val="28"/>
          <w:szCs w:val="28"/>
          <w:highlight w:val="none"/>
          <w:u w:val="single"/>
          <w:lang w:val="en-US" w:eastAsia="zh-CN"/>
        </w:rPr>
        <w:t xml:space="preserve">    </w:t>
      </w:r>
    </w:p>
    <w:p w14:paraId="328B984C">
      <w:pPr>
        <w:pStyle w:val="2"/>
        <w:ind w:firstLine="420"/>
        <w:rPr>
          <w:rFonts w:ascii="Times New Roman"/>
          <w:color w:val="auto"/>
          <w:szCs w:val="24"/>
          <w:highlight w:val="none"/>
        </w:rPr>
      </w:pPr>
    </w:p>
    <w:p w14:paraId="52140B17">
      <w:pPr>
        <w:rPr>
          <w:rFonts w:ascii="Times New Roman"/>
          <w:color w:val="auto"/>
          <w:szCs w:val="24"/>
          <w:highlight w:val="none"/>
        </w:rPr>
      </w:pPr>
    </w:p>
    <w:p w14:paraId="37D7086B">
      <w:pPr>
        <w:pStyle w:val="2"/>
        <w:rPr>
          <w:rFonts w:ascii="Times New Roman"/>
          <w:color w:val="auto"/>
          <w:szCs w:val="24"/>
          <w:highlight w:val="none"/>
        </w:rPr>
      </w:pPr>
    </w:p>
    <w:p w14:paraId="0FBBAF9B">
      <w:pPr>
        <w:rPr>
          <w:rFonts w:ascii="Times New Roman"/>
          <w:color w:val="auto"/>
          <w:szCs w:val="24"/>
          <w:highlight w:val="none"/>
        </w:rPr>
      </w:pPr>
    </w:p>
    <w:p w14:paraId="267B9988">
      <w:pPr>
        <w:pStyle w:val="2"/>
        <w:rPr>
          <w:color w:val="auto"/>
          <w:highlight w:val="none"/>
        </w:rPr>
      </w:pPr>
    </w:p>
    <w:p w14:paraId="04BFC8C9">
      <w:pPr>
        <w:pStyle w:val="2"/>
        <w:ind w:firstLine="420"/>
        <w:rPr>
          <w:color w:val="auto"/>
          <w:highlight w:val="none"/>
        </w:rPr>
      </w:pPr>
    </w:p>
    <w:p w14:paraId="48A1BC3A">
      <w:pPr>
        <w:rPr>
          <w:rFonts w:eastAsia="黑体"/>
          <w:color w:val="auto"/>
          <w:sz w:val="28"/>
          <w:szCs w:val="28"/>
          <w:highlight w:val="none"/>
        </w:rPr>
      </w:pPr>
    </w:p>
    <w:p w14:paraId="4964A82C">
      <w:pPr>
        <w:rPr>
          <w:rFonts w:eastAsia="黑体"/>
          <w:color w:val="auto"/>
          <w:sz w:val="28"/>
          <w:szCs w:val="28"/>
          <w:highlight w:val="none"/>
        </w:rPr>
      </w:pPr>
    </w:p>
    <w:p w14:paraId="44178503">
      <w:pPr>
        <w:jc w:val="center"/>
        <w:rPr>
          <w:rFonts w:eastAsia="黑体"/>
          <w:color w:val="auto"/>
          <w:sz w:val="28"/>
          <w:szCs w:val="28"/>
          <w:highlight w:val="none"/>
          <w:u w:val="single"/>
        </w:rPr>
      </w:pPr>
      <w:r>
        <w:rPr>
          <w:rFonts w:hint="eastAsia" w:eastAsia="黑体"/>
          <w:color w:val="auto"/>
          <w:sz w:val="28"/>
          <w:szCs w:val="28"/>
          <w:highlight w:val="none"/>
        </w:rPr>
        <w:t xml:space="preserve"> 投标人</w:t>
      </w:r>
      <w:r>
        <w:rPr>
          <w:rFonts w:eastAsia="黑体"/>
          <w:color w:val="auto"/>
          <w:sz w:val="28"/>
          <w:szCs w:val="28"/>
          <w:highlight w:val="none"/>
        </w:rPr>
        <w:t>：</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eastAsia="黑体"/>
          <w:color w:val="auto"/>
          <w:sz w:val="28"/>
          <w:szCs w:val="28"/>
          <w:highlight w:val="none"/>
        </w:rPr>
        <w:t>（</w:t>
      </w:r>
      <w:r>
        <w:rPr>
          <w:rFonts w:hint="eastAsia" w:eastAsia="黑体"/>
          <w:color w:val="auto"/>
          <w:sz w:val="28"/>
          <w:szCs w:val="28"/>
          <w:highlight w:val="none"/>
        </w:rPr>
        <w:t>签章</w:t>
      </w:r>
      <w:r>
        <w:rPr>
          <w:rFonts w:eastAsia="黑体"/>
          <w:color w:val="auto"/>
          <w:sz w:val="28"/>
          <w:szCs w:val="28"/>
          <w:highlight w:val="none"/>
        </w:rPr>
        <w:t>）</w:t>
      </w:r>
    </w:p>
    <w:p w14:paraId="1562099F">
      <w:pPr>
        <w:jc w:val="center"/>
        <w:rPr>
          <w:rFonts w:eastAsia="黑体"/>
          <w:color w:val="auto"/>
          <w:sz w:val="28"/>
          <w:szCs w:val="28"/>
          <w:highlight w:val="none"/>
        </w:rPr>
      </w:pPr>
      <w:r>
        <w:rPr>
          <w:rFonts w:hint="eastAsia" w:eastAsia="黑体"/>
          <w:color w:val="auto"/>
          <w:sz w:val="28"/>
          <w:szCs w:val="28"/>
          <w:highlight w:val="none"/>
        </w:rPr>
        <w:t xml:space="preserve">   </w:t>
      </w:r>
      <w:r>
        <w:rPr>
          <w:rFonts w:eastAsia="黑体"/>
          <w:color w:val="auto"/>
          <w:sz w:val="28"/>
          <w:szCs w:val="28"/>
          <w:highlight w:val="none"/>
        </w:rPr>
        <w:t>法定代表人</w:t>
      </w:r>
      <w:r>
        <w:rPr>
          <w:rFonts w:hint="eastAsia" w:eastAsia="黑体"/>
          <w:color w:val="auto"/>
          <w:sz w:val="28"/>
          <w:szCs w:val="28"/>
          <w:highlight w:val="none"/>
          <w:lang w:val="en-US" w:eastAsia="zh-CN"/>
        </w:rPr>
        <w:t>或授权委托人</w:t>
      </w:r>
      <w:r>
        <w:rPr>
          <w:rFonts w:eastAsia="黑体"/>
          <w:color w:val="auto"/>
          <w:sz w:val="28"/>
          <w:szCs w:val="28"/>
          <w:highlight w:val="none"/>
        </w:rPr>
        <w:t>：</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eastAsia="黑体"/>
          <w:color w:val="auto"/>
          <w:sz w:val="28"/>
          <w:szCs w:val="28"/>
          <w:highlight w:val="none"/>
        </w:rPr>
        <w:t>（</w:t>
      </w:r>
      <w:r>
        <w:rPr>
          <w:rFonts w:hint="eastAsia" w:eastAsia="黑体"/>
          <w:color w:val="auto"/>
          <w:sz w:val="28"/>
          <w:szCs w:val="28"/>
          <w:highlight w:val="none"/>
        </w:rPr>
        <w:t>签章</w:t>
      </w:r>
      <w:r>
        <w:rPr>
          <w:rFonts w:eastAsia="黑体"/>
          <w:color w:val="auto"/>
          <w:sz w:val="28"/>
          <w:szCs w:val="28"/>
          <w:highlight w:val="none"/>
        </w:rPr>
        <w:t>）</w:t>
      </w:r>
    </w:p>
    <w:p w14:paraId="030E3540">
      <w:pPr>
        <w:jc w:val="center"/>
        <w:rPr>
          <w:rFonts w:eastAsia="黑体"/>
          <w:color w:val="auto"/>
          <w:sz w:val="28"/>
          <w:szCs w:val="28"/>
          <w:highlight w:val="none"/>
        </w:rPr>
      </w:pPr>
      <w:r>
        <w:rPr>
          <w:rFonts w:hint="eastAsia" w:eastAsia="黑体"/>
          <w:color w:val="auto"/>
          <w:sz w:val="28"/>
          <w:szCs w:val="28"/>
          <w:highlight w:val="none"/>
          <w:u w:val="single"/>
        </w:rPr>
        <w:t xml:space="preserve">      </w:t>
      </w:r>
      <w:r>
        <w:rPr>
          <w:rFonts w:eastAsia="黑体"/>
          <w:color w:val="auto"/>
          <w:sz w:val="28"/>
          <w:szCs w:val="28"/>
          <w:highlight w:val="none"/>
        </w:rPr>
        <w:t>年</w:t>
      </w:r>
      <w:r>
        <w:rPr>
          <w:rFonts w:hint="eastAsia" w:eastAsia="黑体"/>
          <w:color w:val="auto"/>
          <w:sz w:val="28"/>
          <w:szCs w:val="28"/>
          <w:highlight w:val="none"/>
          <w:u w:val="single"/>
        </w:rPr>
        <w:t xml:space="preserve">     </w:t>
      </w:r>
      <w:r>
        <w:rPr>
          <w:rFonts w:eastAsia="黑体"/>
          <w:color w:val="auto"/>
          <w:sz w:val="28"/>
          <w:szCs w:val="28"/>
          <w:highlight w:val="none"/>
        </w:rPr>
        <w:t>月</w:t>
      </w:r>
      <w:r>
        <w:rPr>
          <w:rFonts w:hint="eastAsia" w:eastAsia="黑体"/>
          <w:color w:val="auto"/>
          <w:sz w:val="28"/>
          <w:szCs w:val="28"/>
          <w:highlight w:val="none"/>
          <w:u w:val="single"/>
        </w:rPr>
        <w:t xml:space="preserve">     </w:t>
      </w:r>
      <w:r>
        <w:rPr>
          <w:rFonts w:eastAsia="黑体"/>
          <w:color w:val="auto"/>
          <w:sz w:val="28"/>
          <w:szCs w:val="28"/>
          <w:highlight w:val="none"/>
        </w:rPr>
        <w:t>日</w:t>
      </w:r>
    </w:p>
    <w:p w14:paraId="4D454CD6">
      <w:pPr>
        <w:rPr>
          <w:color w:val="auto"/>
          <w:highlight w:val="none"/>
        </w:rPr>
      </w:pPr>
      <w:bookmarkStart w:id="1057" w:name="_Toc12683"/>
      <w:bookmarkStart w:id="1058" w:name="_Toc35425137"/>
      <w:bookmarkStart w:id="1059" w:name="_Toc35424971"/>
    </w:p>
    <w:p w14:paraId="2301A984">
      <w:pPr>
        <w:spacing w:beforeLines="50" w:afterLines="50" w:line="440" w:lineRule="exact"/>
        <w:ind w:firstLine="643" w:firstLineChars="200"/>
        <w:jc w:val="left"/>
        <w:rPr>
          <w:rFonts w:ascii="宋体" w:hAnsi="宋体" w:cs="宋体"/>
          <w:b/>
          <w:color w:val="auto"/>
          <w:sz w:val="28"/>
          <w:szCs w:val="28"/>
          <w:highlight w:val="none"/>
        </w:rPr>
      </w:pPr>
      <w:bookmarkStart w:id="1060" w:name="_Toc78803399"/>
      <w:r>
        <w:rPr>
          <w:rStyle w:val="65"/>
          <w:rFonts w:hint="eastAsia" w:ascii="宋体" w:hAnsi="宋体" w:cs="宋体"/>
          <w:color w:val="auto"/>
          <w:sz w:val="32"/>
          <w:highlight w:val="none"/>
        </w:rPr>
        <w:br w:type="page"/>
      </w:r>
      <w:bookmarkStart w:id="1061" w:name="_Toc30830"/>
      <w:bookmarkStart w:id="1062" w:name="_Toc32179"/>
      <w:bookmarkStart w:id="1063" w:name="_Toc25912"/>
      <w:r>
        <w:rPr>
          <w:rStyle w:val="65"/>
          <w:rFonts w:hint="eastAsia" w:ascii="宋体" w:hAnsi="宋体" w:cs="宋体"/>
          <w:color w:val="auto"/>
          <w:sz w:val="32"/>
          <w:highlight w:val="none"/>
        </w:rPr>
        <w:t>投标文件一</w:t>
      </w:r>
      <w:bookmarkEnd w:id="1057"/>
      <w:bookmarkEnd w:id="1058"/>
      <w:bookmarkEnd w:id="1059"/>
      <w:bookmarkEnd w:id="1060"/>
      <w:bookmarkEnd w:id="1061"/>
      <w:bookmarkEnd w:id="1062"/>
      <w:bookmarkEnd w:id="1063"/>
      <w:r>
        <w:rPr>
          <w:rFonts w:hint="eastAsia" w:ascii="宋体" w:hAnsi="宋体" w:cs="宋体"/>
          <w:b/>
          <w:color w:val="auto"/>
          <w:sz w:val="28"/>
          <w:szCs w:val="28"/>
          <w:highlight w:val="none"/>
        </w:rPr>
        <w:t>：资信证明文件目录</w:t>
      </w:r>
    </w:p>
    <w:p w14:paraId="6E68789D">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（1）法定代表人身份证明和本人有效身份证(或法定代表人授权委托书和委托代理人有效身份证)；</w:t>
      </w:r>
    </w:p>
    <w:p w14:paraId="59C40F59">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（2）诚信投标承诺书；</w:t>
      </w:r>
    </w:p>
    <w:p w14:paraId="6015951C">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（3）企业法人营业执照；</w:t>
      </w:r>
    </w:p>
    <w:p w14:paraId="15F8E8B6">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（4）企业资质证书；</w:t>
      </w:r>
    </w:p>
    <w:p w14:paraId="4B5D976C">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（5）企业安全生产许可证；</w:t>
      </w:r>
    </w:p>
    <w:p w14:paraId="32827258">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（6）项目经理（建造师）有效身份证、注册证书以及安全生产考核合格证书（B证）；</w:t>
      </w:r>
    </w:p>
    <w:p w14:paraId="25C84A15">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投标人的法定代表人(或委托代理人)和拟任项目经理（建造师）须持有社保部门出具的本单位（或其不具备独立法人资格的分公司）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p>
    <w:p w14:paraId="27BEFEE8">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（8）项目管理机构；</w:t>
      </w:r>
    </w:p>
    <w:p w14:paraId="54F10C4D">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（9）资信评分评审所需材料及投标人认为需要的其它证明材料（如有）。</w:t>
      </w:r>
    </w:p>
    <w:p w14:paraId="77364466">
      <w:pPr>
        <w:spacing w:line="360" w:lineRule="auto"/>
        <w:jc w:val="center"/>
        <w:rPr>
          <w:rFonts w:ascii="宋体"/>
          <w:b/>
          <w:color w:val="auto"/>
          <w:sz w:val="28"/>
          <w:szCs w:val="28"/>
          <w:highlight w:val="none"/>
        </w:rPr>
      </w:pPr>
      <w:r>
        <w:rPr>
          <w:rFonts w:hint="eastAsia"/>
          <w:b/>
          <w:color w:val="auto"/>
          <w:sz w:val="28"/>
          <w:szCs w:val="28"/>
          <w:highlight w:val="none"/>
        </w:rPr>
        <w:br w:type="page"/>
      </w:r>
      <w:r>
        <w:rPr>
          <w:rFonts w:hint="eastAsia"/>
          <w:b/>
          <w:color w:val="auto"/>
          <w:sz w:val="28"/>
          <w:szCs w:val="28"/>
          <w:highlight w:val="none"/>
        </w:rPr>
        <w:t>（1）法定代表人身份证明或授权委托书</w:t>
      </w:r>
    </w:p>
    <w:p w14:paraId="29539D59">
      <w:pPr>
        <w:pStyle w:val="77"/>
        <w:keepNext w:val="0"/>
        <w:keepLines w:val="0"/>
        <w:pageBreakBefore w:val="0"/>
        <w:widowControl/>
        <w:kinsoku/>
        <w:wordWrap/>
        <w:overflowPunct/>
        <w:topLinePunct w:val="0"/>
        <w:autoSpaceDE/>
        <w:autoSpaceDN/>
        <w:bidi w:val="0"/>
        <w:adjustRightInd/>
        <w:snapToGrid/>
        <w:spacing w:before="157" w:beforeLines="50" w:after="157" w:afterLines="50" w:line="440" w:lineRule="exact"/>
        <w:textAlignment w:val="baseline"/>
        <w:rPr>
          <w:rFonts w:ascii="宋体"/>
          <w:b/>
          <w:color w:val="auto"/>
          <w:sz w:val="24"/>
          <w:szCs w:val="24"/>
          <w:highlight w:val="none"/>
        </w:rPr>
      </w:pPr>
      <w:bookmarkStart w:id="1064" w:name="_Toc26598"/>
      <w:bookmarkStart w:id="1065" w:name="_Toc506107356"/>
      <w:bookmarkStart w:id="1066" w:name="_Toc503196197"/>
      <w:r>
        <w:rPr>
          <w:rFonts w:hint="eastAsia" w:ascii="宋体"/>
          <w:color w:val="auto"/>
          <w:sz w:val="24"/>
          <w:szCs w:val="24"/>
          <w:highlight w:val="none"/>
        </w:rPr>
        <w:t>1、法定代表人身份证明</w:t>
      </w:r>
    </w:p>
    <w:p w14:paraId="5B4CB345">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投标人名称：</w:t>
      </w:r>
      <w:r>
        <w:rPr>
          <w:rFonts w:hint="eastAsia" w:ascii="宋体"/>
          <w:color w:val="auto"/>
          <w:sz w:val="24"/>
          <w:highlight w:val="none"/>
          <w:u w:val="single"/>
        </w:rPr>
        <w:t xml:space="preserve">                            </w:t>
      </w:r>
    </w:p>
    <w:p w14:paraId="1F055C8B">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单位性质：</w:t>
      </w:r>
      <w:r>
        <w:rPr>
          <w:rFonts w:hint="eastAsia" w:ascii="宋体"/>
          <w:color w:val="auto"/>
          <w:sz w:val="24"/>
          <w:highlight w:val="none"/>
          <w:u w:val="single"/>
        </w:rPr>
        <w:t xml:space="preserve">                              </w:t>
      </w:r>
    </w:p>
    <w:p w14:paraId="23C52F3D">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地    址：</w:t>
      </w:r>
      <w:r>
        <w:rPr>
          <w:rFonts w:hint="eastAsia" w:ascii="宋体"/>
          <w:color w:val="auto"/>
          <w:sz w:val="24"/>
          <w:highlight w:val="none"/>
          <w:u w:val="single"/>
        </w:rPr>
        <w:t xml:space="preserve">                              </w:t>
      </w:r>
    </w:p>
    <w:p w14:paraId="498E4EBE">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成立时间：</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14:paraId="629022C5">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经营期限：</w:t>
      </w:r>
      <w:r>
        <w:rPr>
          <w:rFonts w:hint="eastAsia" w:ascii="宋体"/>
          <w:color w:val="auto"/>
          <w:sz w:val="24"/>
          <w:highlight w:val="none"/>
          <w:u w:val="single"/>
        </w:rPr>
        <w:t xml:space="preserve">                              </w:t>
      </w:r>
    </w:p>
    <w:p w14:paraId="071CAC8E">
      <w:pPr>
        <w:keepNext w:val="0"/>
        <w:keepLines w:val="0"/>
        <w:pageBreakBefore w:val="0"/>
        <w:kinsoku/>
        <w:wordWrap/>
        <w:overflowPunct/>
        <w:topLinePunct w:val="0"/>
        <w:autoSpaceDE/>
        <w:autoSpaceDN/>
        <w:bidi w:val="0"/>
        <w:adjustRightInd/>
        <w:snapToGrid/>
        <w:spacing w:line="440" w:lineRule="exact"/>
        <w:jc w:val="left"/>
        <w:rPr>
          <w:rFonts w:ascii="宋体"/>
          <w:color w:val="auto"/>
          <w:sz w:val="24"/>
          <w:highlight w:val="none"/>
          <w:u w:val="single"/>
        </w:rPr>
      </w:pPr>
      <w:r>
        <w:rPr>
          <w:rFonts w:hint="eastAsia" w:ascii="宋体"/>
          <w:color w:val="auto"/>
          <w:spacing w:val="240"/>
          <w:sz w:val="24"/>
          <w:highlight w:val="none"/>
        </w:rPr>
        <w:t>姓</w:t>
      </w:r>
      <w:r>
        <w:rPr>
          <w:rFonts w:hint="eastAsia" w:ascii="宋体"/>
          <w:color w:val="auto"/>
          <w:sz w:val="24"/>
          <w:highlight w:val="none"/>
        </w:rPr>
        <w:t>名：</w:t>
      </w:r>
      <w:r>
        <w:rPr>
          <w:rFonts w:hint="eastAsia" w:ascii="宋体"/>
          <w:color w:val="auto"/>
          <w:sz w:val="24"/>
          <w:highlight w:val="none"/>
          <w:u w:val="single"/>
        </w:rPr>
        <w:t xml:space="preserve">     </w:t>
      </w:r>
      <w:r>
        <w:rPr>
          <w:rFonts w:hint="eastAsia" w:ascii="宋体"/>
          <w:color w:val="auto"/>
          <w:sz w:val="24"/>
          <w:highlight w:val="none"/>
        </w:rPr>
        <w:t>身份证号码：</w:t>
      </w:r>
      <w:r>
        <w:rPr>
          <w:rFonts w:hint="eastAsia" w:ascii="宋体"/>
          <w:color w:val="auto"/>
          <w:sz w:val="24"/>
          <w:highlight w:val="none"/>
          <w:u w:val="single"/>
        </w:rPr>
        <w:t xml:space="preserve">     </w:t>
      </w:r>
      <w:r>
        <w:rPr>
          <w:rFonts w:hint="eastAsia" w:ascii="宋体"/>
          <w:color w:val="auto"/>
          <w:sz w:val="24"/>
          <w:highlight w:val="none"/>
        </w:rPr>
        <w:t>性别</w:t>
      </w:r>
      <w:r>
        <w:rPr>
          <w:rFonts w:hint="eastAsia" w:ascii="宋体"/>
          <w:color w:val="auto"/>
          <w:sz w:val="24"/>
          <w:highlight w:val="none"/>
          <w:u w:val="single"/>
        </w:rPr>
        <w:t xml:space="preserve">：    </w:t>
      </w:r>
      <w:r>
        <w:rPr>
          <w:rFonts w:hint="eastAsia" w:ascii="宋体"/>
          <w:color w:val="auto"/>
          <w:sz w:val="24"/>
          <w:highlight w:val="none"/>
        </w:rPr>
        <w:t>年龄：</w:t>
      </w:r>
      <w:r>
        <w:rPr>
          <w:rFonts w:hint="eastAsia" w:ascii="宋体"/>
          <w:color w:val="auto"/>
          <w:sz w:val="24"/>
          <w:highlight w:val="none"/>
          <w:u w:val="single"/>
          <w:lang w:val="en-US" w:eastAsia="zh-CN"/>
        </w:rPr>
        <w:t xml:space="preserve"> </w:t>
      </w:r>
      <w:r>
        <w:rPr>
          <w:rFonts w:hint="eastAsia" w:ascii="宋体"/>
          <w:color w:val="auto"/>
          <w:sz w:val="24"/>
          <w:highlight w:val="none"/>
          <w:u w:val="single"/>
        </w:rPr>
        <w:t xml:space="preserve">  </w:t>
      </w:r>
      <w:r>
        <w:rPr>
          <w:rFonts w:hint="eastAsia" w:ascii="宋体"/>
          <w:color w:val="auto"/>
          <w:sz w:val="24"/>
          <w:highlight w:val="none"/>
        </w:rPr>
        <w:t>职务：</w:t>
      </w:r>
      <w:r>
        <w:rPr>
          <w:rFonts w:hint="eastAsia" w:ascii="宋体"/>
          <w:color w:val="auto"/>
          <w:sz w:val="24"/>
          <w:highlight w:val="none"/>
          <w:u w:val="single"/>
        </w:rPr>
        <w:t xml:space="preserve">     </w:t>
      </w:r>
      <w:r>
        <w:rPr>
          <w:rFonts w:hint="eastAsia" w:ascii="宋体"/>
          <w:color w:val="auto"/>
          <w:sz w:val="24"/>
          <w:highlight w:val="none"/>
        </w:rPr>
        <w:t>，系</w:t>
      </w:r>
      <w:r>
        <w:rPr>
          <w:rFonts w:hint="eastAsia" w:ascii="宋体"/>
          <w:color w:val="auto"/>
          <w:sz w:val="24"/>
          <w:highlight w:val="none"/>
          <w:u w:val="single"/>
        </w:rPr>
        <w:t xml:space="preserve">     （投标人名称）</w:t>
      </w:r>
      <w:r>
        <w:rPr>
          <w:rFonts w:hint="eastAsia" w:ascii="宋体"/>
          <w:color w:val="auto"/>
          <w:sz w:val="24"/>
          <w:highlight w:val="none"/>
        </w:rPr>
        <w:t>的法定代表人。</w:t>
      </w:r>
    </w:p>
    <w:p w14:paraId="1B2ACAC5">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特此证明。</w:t>
      </w:r>
    </w:p>
    <w:p w14:paraId="33827EAF">
      <w:pPr>
        <w:keepNext w:val="0"/>
        <w:keepLines w:val="0"/>
        <w:pageBreakBefore w:val="0"/>
        <w:kinsoku/>
        <w:wordWrap/>
        <w:overflowPunct/>
        <w:topLinePunct w:val="0"/>
        <w:autoSpaceDE/>
        <w:autoSpaceDN/>
        <w:bidi w:val="0"/>
        <w:adjustRightInd/>
        <w:snapToGrid/>
        <w:spacing w:line="440" w:lineRule="exact"/>
        <w:ind w:firstLine="3720" w:firstLineChars="1550"/>
        <w:rPr>
          <w:rFonts w:ascii="宋体"/>
          <w:color w:val="auto"/>
          <w:sz w:val="24"/>
          <w:highlight w:val="none"/>
        </w:rPr>
      </w:pPr>
      <w:r>
        <w:rPr>
          <w:rFonts w:hint="eastAsia" w:ascii="宋体"/>
          <w:color w:val="auto"/>
          <w:sz w:val="24"/>
          <w:highlight w:val="none"/>
        </w:rPr>
        <w:t>投标人：</w:t>
      </w:r>
      <w:r>
        <w:rPr>
          <w:rFonts w:hint="eastAsia" w:ascii="宋体"/>
          <w:color w:val="auto"/>
          <w:sz w:val="24"/>
          <w:highlight w:val="none"/>
          <w:u w:val="single"/>
        </w:rPr>
        <w:t xml:space="preserve">            （</w:t>
      </w:r>
      <w:r>
        <w:rPr>
          <w:rFonts w:hint="eastAsia" w:ascii="宋体"/>
          <w:color w:val="auto"/>
          <w:sz w:val="24"/>
          <w:highlight w:val="none"/>
          <w:u w:val="single"/>
          <w:lang w:val="en-US" w:eastAsia="zh-CN"/>
        </w:rPr>
        <w:t>签章</w:t>
      </w:r>
      <w:r>
        <w:rPr>
          <w:rFonts w:hint="eastAsia" w:ascii="宋体"/>
          <w:color w:val="auto"/>
          <w:sz w:val="24"/>
          <w:highlight w:val="none"/>
          <w:u w:val="single"/>
        </w:rPr>
        <w:t>）</w:t>
      </w:r>
    </w:p>
    <w:p w14:paraId="516F8066">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 xml:space="preserve">                                        年    月     日</w:t>
      </w:r>
    </w:p>
    <w:p w14:paraId="495C610B">
      <w:pPr>
        <w:keepNext w:val="0"/>
        <w:keepLines w:val="0"/>
        <w:pageBreakBefore w:val="0"/>
        <w:widowControl w:val="0"/>
        <w:kinsoku/>
        <w:wordWrap/>
        <w:overflowPunct/>
        <w:topLinePunct w:val="0"/>
        <w:autoSpaceDE/>
        <w:autoSpaceDN/>
        <w:bidi w:val="0"/>
        <w:adjustRightInd/>
        <w:snapToGrid/>
        <w:spacing w:line="240" w:lineRule="atLeast"/>
        <w:textAlignment w:val="auto"/>
        <w:rPr>
          <w:color w:val="auto"/>
          <w:highlight w:val="none"/>
        </w:rPr>
      </w:pPr>
    </w:p>
    <w:p w14:paraId="6E3AE3E5">
      <w:pPr>
        <w:pStyle w:val="77"/>
        <w:keepNext w:val="0"/>
        <w:keepLines w:val="0"/>
        <w:pageBreakBefore w:val="0"/>
        <w:widowControl/>
        <w:kinsoku/>
        <w:wordWrap/>
        <w:overflowPunct/>
        <w:topLinePunct w:val="0"/>
        <w:autoSpaceDE/>
        <w:autoSpaceDN/>
        <w:bidi w:val="0"/>
        <w:adjustRightInd/>
        <w:snapToGrid/>
        <w:spacing w:before="157" w:beforeLines="50" w:after="157" w:afterLines="50" w:line="440" w:lineRule="exact"/>
        <w:textAlignment w:val="baseline"/>
        <w:rPr>
          <w:rFonts w:ascii="宋体"/>
          <w:color w:val="auto"/>
          <w:sz w:val="24"/>
          <w:szCs w:val="24"/>
          <w:highlight w:val="none"/>
        </w:rPr>
      </w:pPr>
      <w:r>
        <w:rPr>
          <w:rFonts w:hint="eastAsia" w:ascii="宋体"/>
          <w:color w:val="auto"/>
          <w:sz w:val="24"/>
          <w:szCs w:val="24"/>
          <w:highlight w:val="none"/>
        </w:rPr>
        <w:t>或1、授权委托书</w:t>
      </w:r>
    </w:p>
    <w:p w14:paraId="746C71D1">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ascii="宋体"/>
          <w:color w:val="auto"/>
          <w:sz w:val="24"/>
          <w:highlight w:val="none"/>
        </w:rPr>
      </w:pPr>
      <w:r>
        <w:rPr>
          <w:rFonts w:hint="eastAsia" w:ascii="宋体"/>
          <w:color w:val="auto"/>
          <w:sz w:val="24"/>
          <w:highlight w:val="none"/>
        </w:rPr>
        <w:t>本人</w:t>
      </w:r>
      <w:r>
        <w:rPr>
          <w:rFonts w:hint="eastAsia" w:ascii="宋体"/>
          <w:color w:val="auto"/>
          <w:sz w:val="24"/>
          <w:highlight w:val="none"/>
          <w:u w:val="single"/>
        </w:rPr>
        <w:t xml:space="preserve"> （姓名）</w:t>
      </w:r>
      <w:r>
        <w:rPr>
          <w:rFonts w:hint="eastAsia" w:ascii="宋体"/>
          <w:color w:val="auto"/>
          <w:sz w:val="24"/>
          <w:highlight w:val="none"/>
        </w:rPr>
        <w:t>系</w:t>
      </w:r>
      <w:r>
        <w:rPr>
          <w:rFonts w:hint="eastAsia" w:ascii="宋体"/>
          <w:color w:val="auto"/>
          <w:sz w:val="24"/>
          <w:highlight w:val="none"/>
          <w:u w:val="single"/>
        </w:rPr>
        <w:t>（投标人）</w:t>
      </w:r>
      <w:r>
        <w:rPr>
          <w:rFonts w:hint="eastAsia" w:ascii="宋体"/>
          <w:color w:val="auto"/>
          <w:sz w:val="24"/>
          <w:highlight w:val="none"/>
        </w:rPr>
        <w:t>的法定代表人，现委托</w:t>
      </w:r>
      <w:r>
        <w:rPr>
          <w:rFonts w:hint="eastAsia" w:ascii="宋体"/>
          <w:color w:val="auto"/>
          <w:sz w:val="24"/>
          <w:highlight w:val="none"/>
          <w:u w:val="single"/>
        </w:rPr>
        <w:t>（姓名）</w:t>
      </w:r>
      <w:r>
        <w:rPr>
          <w:rFonts w:hint="eastAsia" w:ascii="宋体"/>
          <w:color w:val="auto"/>
          <w:sz w:val="24"/>
          <w:highlight w:val="none"/>
        </w:rPr>
        <w:t>为我方代理人。代理人根据授权，以我方名义签署、澄清、说明、补正、递交、撤回、修改</w:t>
      </w:r>
      <w:r>
        <w:rPr>
          <w:rFonts w:hint="eastAsia" w:ascii="宋体"/>
          <w:color w:val="auto"/>
          <w:sz w:val="24"/>
          <w:highlight w:val="none"/>
          <w:u w:val="single"/>
        </w:rPr>
        <w:t xml:space="preserve"> “   ”(项目名称</w:t>
      </w:r>
      <w:r>
        <w:rPr>
          <w:rFonts w:hint="eastAsia" w:ascii="宋体"/>
          <w:color w:val="auto"/>
          <w:sz w:val="24"/>
          <w:highlight w:val="none"/>
          <w:u w:val="single"/>
          <w:lang w:eastAsia="zh-CN"/>
        </w:rPr>
        <w:t>、</w:t>
      </w:r>
      <w:r>
        <w:rPr>
          <w:rFonts w:hint="eastAsia" w:ascii="宋体"/>
          <w:color w:val="auto"/>
          <w:sz w:val="24"/>
          <w:highlight w:val="none"/>
          <w:u w:val="single"/>
          <w:lang w:val="en-US" w:eastAsia="zh-CN"/>
        </w:rPr>
        <w:t>编号</w:t>
      </w:r>
      <w:r>
        <w:rPr>
          <w:rFonts w:hint="eastAsia" w:ascii="宋体"/>
          <w:color w:val="auto"/>
          <w:sz w:val="24"/>
          <w:highlight w:val="none"/>
          <w:u w:val="single"/>
        </w:rPr>
        <w:t>）</w:t>
      </w:r>
      <w:r>
        <w:rPr>
          <w:rFonts w:hint="eastAsia" w:ascii="宋体"/>
          <w:color w:val="auto"/>
          <w:sz w:val="24"/>
          <w:highlight w:val="none"/>
        </w:rPr>
        <w:t>投标文件，全权处理与该项目投标、评审答疑、签订合同以及与合同执行有关的一切事务，其法律后果由我方承担。</w:t>
      </w:r>
    </w:p>
    <w:p w14:paraId="3D024535">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color w:val="auto"/>
          <w:sz w:val="24"/>
          <w:highlight w:val="none"/>
        </w:rPr>
      </w:pPr>
      <w:r>
        <w:rPr>
          <w:rFonts w:hint="eastAsia" w:ascii="宋体"/>
          <w:color w:val="auto"/>
          <w:sz w:val="24"/>
          <w:highlight w:val="none"/>
        </w:rPr>
        <w:t>委托期限：</w:t>
      </w:r>
      <w:r>
        <w:rPr>
          <w:rFonts w:hint="eastAsia" w:ascii="宋体"/>
          <w:color w:val="auto"/>
          <w:sz w:val="24"/>
          <w:highlight w:val="none"/>
          <w:u w:val="single"/>
          <w:lang w:val="en-US" w:eastAsia="zh-CN"/>
        </w:rPr>
        <w:t xml:space="preserve">              </w:t>
      </w:r>
      <w:r>
        <w:rPr>
          <w:rFonts w:hint="eastAsia" w:ascii="宋体" w:cs="宋体"/>
          <w:color w:val="auto"/>
          <w:sz w:val="24"/>
          <w:highlight w:val="none"/>
        </w:rPr>
        <w:t>。</w:t>
      </w:r>
    </w:p>
    <w:p w14:paraId="48F2B58D">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color w:val="auto"/>
          <w:sz w:val="24"/>
          <w:highlight w:val="none"/>
        </w:rPr>
      </w:pPr>
      <w:r>
        <w:rPr>
          <w:rFonts w:hint="eastAsia" w:ascii="宋体"/>
          <w:color w:val="auto"/>
          <w:sz w:val="24"/>
          <w:highlight w:val="none"/>
        </w:rPr>
        <w:t>代理人无转委托权。</w:t>
      </w:r>
    </w:p>
    <w:p w14:paraId="7B27CFD2">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b/>
          <w:color w:val="auto"/>
          <w:sz w:val="24"/>
          <w:highlight w:val="none"/>
        </w:rPr>
      </w:pPr>
      <w:r>
        <w:rPr>
          <w:rFonts w:hint="eastAsia" w:ascii="宋体"/>
          <w:color w:val="auto"/>
          <w:sz w:val="24"/>
          <w:highlight w:val="none"/>
        </w:rPr>
        <w:t>附：</w:t>
      </w:r>
      <w:r>
        <w:rPr>
          <w:rFonts w:hint="eastAsia" w:ascii="宋体"/>
          <w:b/>
          <w:color w:val="auto"/>
          <w:sz w:val="24"/>
          <w:highlight w:val="none"/>
        </w:rPr>
        <w:t>委托代理人有效身份证扫描件</w:t>
      </w:r>
    </w:p>
    <w:p w14:paraId="63E97D39">
      <w:pPr>
        <w:keepNext w:val="0"/>
        <w:keepLines w:val="0"/>
        <w:pageBreakBefore w:val="0"/>
        <w:kinsoku/>
        <w:wordWrap/>
        <w:overflowPunct/>
        <w:topLinePunct w:val="0"/>
        <w:autoSpaceDE/>
        <w:autoSpaceDN/>
        <w:bidi w:val="0"/>
        <w:adjustRightInd/>
        <w:snapToGrid/>
        <w:spacing w:line="440" w:lineRule="exact"/>
        <w:ind w:firstLine="964" w:firstLineChars="400"/>
        <w:rPr>
          <w:rFonts w:ascii="宋体"/>
          <w:b/>
          <w:color w:val="auto"/>
          <w:sz w:val="24"/>
          <w:highlight w:val="none"/>
        </w:rPr>
      </w:pPr>
      <w:r>
        <w:rPr>
          <w:rFonts w:hint="eastAsia" w:ascii="宋体"/>
          <w:b/>
          <w:color w:val="auto"/>
          <w:sz w:val="24"/>
          <w:highlight w:val="none"/>
        </w:rPr>
        <w:t>法定代表人有效身份证扫描件</w:t>
      </w:r>
    </w:p>
    <w:p w14:paraId="49F300FA">
      <w:pPr>
        <w:keepNext w:val="0"/>
        <w:keepLines w:val="0"/>
        <w:pageBreakBefore w:val="0"/>
        <w:kinsoku/>
        <w:wordWrap/>
        <w:overflowPunct/>
        <w:topLinePunct w:val="0"/>
        <w:autoSpaceDE/>
        <w:autoSpaceDN/>
        <w:bidi w:val="0"/>
        <w:adjustRightInd/>
        <w:snapToGrid/>
        <w:spacing w:line="440" w:lineRule="exact"/>
        <w:ind w:firstLine="833" w:firstLineChars="397"/>
        <w:rPr>
          <w:color w:val="auto"/>
          <w:highlight w:val="none"/>
        </w:rPr>
      </w:pPr>
    </w:p>
    <w:p w14:paraId="0A0F0529">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 xml:space="preserve"> 投标人（签章）：</w:t>
      </w:r>
    </w:p>
    <w:p w14:paraId="529F7847">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法定代表人（身份证号码）：    （签章）</w:t>
      </w:r>
    </w:p>
    <w:p w14:paraId="746C8EAD">
      <w:pPr>
        <w:keepNext w:val="0"/>
        <w:keepLines w:val="0"/>
        <w:pageBreakBefore w:val="0"/>
        <w:kinsoku/>
        <w:wordWrap/>
        <w:overflowPunct/>
        <w:topLinePunct w:val="0"/>
        <w:autoSpaceDE/>
        <w:autoSpaceDN/>
        <w:bidi w:val="0"/>
        <w:adjustRightInd/>
        <w:snapToGrid/>
        <w:spacing w:line="440" w:lineRule="exact"/>
        <w:ind w:firstLine="5640" w:firstLineChars="235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联系电话：</w:t>
      </w:r>
    </w:p>
    <w:p w14:paraId="2F3A48B6">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 xml:space="preserve">委托代理人（身份证号码）：    </w:t>
      </w:r>
    </w:p>
    <w:p w14:paraId="10F0CCF9">
      <w:pPr>
        <w:keepNext w:val="0"/>
        <w:keepLines w:val="0"/>
        <w:pageBreakBefore w:val="0"/>
        <w:kinsoku/>
        <w:wordWrap/>
        <w:overflowPunct/>
        <w:topLinePunct w:val="0"/>
        <w:autoSpaceDE/>
        <w:autoSpaceDN/>
        <w:bidi w:val="0"/>
        <w:adjustRightInd/>
        <w:snapToGrid/>
        <w:spacing w:line="440" w:lineRule="exact"/>
        <w:ind w:firstLine="5040" w:firstLineChars="2100"/>
        <w:rPr>
          <w:rFonts w:ascii="宋体"/>
          <w:color w:val="auto"/>
          <w:sz w:val="24"/>
          <w:highlight w:val="none"/>
        </w:rPr>
      </w:pP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 xml:space="preserve"> 联系电话：</w:t>
      </w:r>
    </w:p>
    <w:p w14:paraId="03404D0F">
      <w:pPr>
        <w:keepNext w:val="0"/>
        <w:keepLines w:val="0"/>
        <w:pageBreakBefore w:val="0"/>
        <w:kinsoku/>
        <w:wordWrap/>
        <w:overflowPunct/>
        <w:topLinePunct w:val="0"/>
        <w:autoSpaceDE/>
        <w:autoSpaceDN/>
        <w:bidi w:val="0"/>
        <w:adjustRightInd/>
        <w:snapToGrid/>
        <w:spacing w:line="440" w:lineRule="exact"/>
        <w:ind w:firstLine="5700" w:firstLineChars="2375"/>
        <w:rPr>
          <w:rFonts w:hint="eastAsia"/>
          <w:b/>
          <w:color w:val="auto"/>
          <w:sz w:val="28"/>
          <w:szCs w:val="28"/>
          <w:highlight w:val="none"/>
        </w:rPr>
      </w:pPr>
      <w:r>
        <w:rPr>
          <w:rFonts w:hint="eastAsia" w:ascii="宋体"/>
          <w:color w:val="auto"/>
          <w:sz w:val="24"/>
          <w:highlight w:val="none"/>
        </w:rPr>
        <w:t>年    月    日</w:t>
      </w:r>
    </w:p>
    <w:p w14:paraId="73A9B913">
      <w:pPr>
        <w:rPr>
          <w:rFonts w:hint="eastAsia"/>
          <w:b/>
          <w:color w:val="auto"/>
          <w:sz w:val="28"/>
          <w:szCs w:val="28"/>
          <w:highlight w:val="none"/>
        </w:rPr>
      </w:pPr>
      <w:r>
        <w:rPr>
          <w:rFonts w:hint="eastAsia"/>
          <w:b/>
          <w:color w:val="auto"/>
          <w:sz w:val="28"/>
          <w:szCs w:val="28"/>
          <w:highlight w:val="none"/>
        </w:rPr>
        <w:br w:type="page"/>
      </w:r>
    </w:p>
    <w:p w14:paraId="0B41687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b/>
          <w:color w:val="auto"/>
          <w:sz w:val="28"/>
          <w:szCs w:val="28"/>
          <w:highlight w:val="none"/>
        </w:rPr>
      </w:pPr>
      <w:r>
        <w:rPr>
          <w:rFonts w:hint="eastAsia"/>
          <w:b/>
          <w:color w:val="auto"/>
          <w:sz w:val="28"/>
          <w:szCs w:val="28"/>
          <w:highlight w:val="none"/>
        </w:rPr>
        <w:t>（2）诚信投标承诺书</w:t>
      </w:r>
      <w:bookmarkEnd w:id="1064"/>
      <w:bookmarkEnd w:id="1065"/>
      <w:bookmarkEnd w:id="1066"/>
    </w:p>
    <w:p w14:paraId="0FB6971A">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olor w:val="auto"/>
          <w:szCs w:val="21"/>
          <w:highlight w:val="none"/>
        </w:rPr>
      </w:pPr>
      <w:r>
        <w:rPr>
          <w:rFonts w:hint="eastAsia" w:ascii="宋体" w:hAnsi="宋体"/>
          <w:color w:val="auto"/>
          <w:szCs w:val="21"/>
          <w:highlight w:val="none"/>
        </w:rPr>
        <w:t>本人以企业法定代表人的身份郑重承诺：</w:t>
      </w:r>
    </w:p>
    <w:p w14:paraId="5097DAE1">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一、将遵循公开、公正和诚实信用的原则自愿参加</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项目的投标；</w:t>
      </w:r>
    </w:p>
    <w:p w14:paraId="6869B6CB">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二、所提供的一切材料都是真实、有效、合法的；</w:t>
      </w:r>
    </w:p>
    <w:p w14:paraId="684EEE7D">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三、不出借、转让资质证书，不让他人挂靠投标，不以他人名义投标或者以其他方式弄虚作假，骗取中标；</w:t>
      </w:r>
    </w:p>
    <w:p w14:paraId="62FE9433">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四、不与其他投标人相互串通投标报价，不排挤其他投标人的公平竞争、损害招标人的合法权益；</w:t>
      </w:r>
    </w:p>
    <w:p w14:paraId="45DD65BC">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五、不与招标人、招标代理机构或其他投标人串通投标，损害国家利益、社会公共利益或者他人的合法权益；</w:t>
      </w:r>
    </w:p>
    <w:p w14:paraId="19AA2FF7">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color w:val="auto"/>
          <w:szCs w:val="21"/>
          <w:highlight w:val="none"/>
        </w:rPr>
      </w:pPr>
      <w:r>
        <w:rPr>
          <w:rFonts w:hint="eastAsia" w:ascii="宋体" w:hAnsi="宋体"/>
          <w:color w:val="auto"/>
          <w:szCs w:val="21"/>
          <w:highlight w:val="none"/>
        </w:rPr>
        <w:t>六、</w:t>
      </w:r>
      <w:r>
        <w:rPr>
          <w:rFonts w:hint="eastAsia" w:ascii="宋体" w:hAnsi="宋体"/>
          <w:color w:val="auto"/>
          <w:szCs w:val="21"/>
          <w:highlight w:val="none"/>
          <w:u w:val="single"/>
          <w:lang w:val="en-US" w:eastAsia="zh-CN"/>
        </w:rPr>
        <w:t>我公司</w:t>
      </w:r>
      <w:r>
        <w:rPr>
          <w:rFonts w:hint="eastAsia" w:ascii="宋体" w:hAnsi="宋体"/>
          <w:color w:val="auto"/>
          <w:szCs w:val="21"/>
          <w:highlight w:val="none"/>
        </w:rPr>
        <w:t>没有下列情形：1、被人民法院列入失信被执行人的；2、我公司及其法定代表人、拟任项目经理（建造师）前三年有行贿犯罪行为的；3、被市场监督管理部门列入经营异常名录或者严重违法企业名单的，且未被移除的；4、被税务部门列入重大税收违法案件当事人的；5、在“信用中国”网站上披露仍在公示期的严重失信行为的；6、被滁州市县两级各行业主管部门及公管部门取消在一定期限内的投标资格且在取消期限内的；7被人力资源社会保障主管部门列入拖欠农民工工资‘黑名单’或因拖欠农民工工资被县级及以上有关行政主管部门限制投标资格且在限制期限内的；8、被列入省级、市级农民工工资支付异常名录的施工企业，限制其参加全市范围内房建和市政工程建设项目投标；列入县级异常名录的施工企业，限制其参加本行政区域内房建和市政建设项目投标</w:t>
      </w:r>
      <w:r>
        <w:rPr>
          <w:rFonts w:hint="eastAsia"/>
          <w:color w:val="auto"/>
          <w:szCs w:val="21"/>
          <w:highlight w:val="none"/>
        </w:rPr>
        <w:t>。</w:t>
      </w:r>
    </w:p>
    <w:p w14:paraId="59AD6EC6">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七、严格遵守开标现场纪律，服从监管人员管理；</w:t>
      </w:r>
    </w:p>
    <w:p w14:paraId="59D9B16A">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八、保证中标后不转包及使用挂靠施工队伍，若有分包征得建设单位同意；</w:t>
      </w:r>
    </w:p>
    <w:p w14:paraId="05A7EA1F">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九、保证中标之后，按照投标文件承诺派驻管理人员及投入机械设备，如有违反，同意接受建设单位违约处罚；</w:t>
      </w:r>
    </w:p>
    <w:p w14:paraId="2C7B3DE7">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十、保证企业及所属相关人员在本次投标中无行贿等犯罪行为；</w:t>
      </w:r>
    </w:p>
    <w:p w14:paraId="072BFD90">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一、如我公司中标，保证中标的项目经理（建造师）无其他尚未完工（以竣工、交工、完工验收报告等手续为准）项目或在已中标项目（以发放中标通知书为准）中担任项目经理（建造师）情形。如有，项目在滁州市区域内的，接受中标无效、记入不良行为记录等处理；项目在滁州市区域外的，保证在中标候选人公示期第一日起开始计算7日内，提供经行政主管部门备案的变更证明材料，否则接受中标无效、记入不良行为记录等处理；</w:t>
      </w:r>
    </w:p>
    <w:p w14:paraId="1477582F">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二、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p>
    <w:p w14:paraId="26B7570B">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三、如我公司中标，按照国务院《关于全面治理拖欠农民工工资问题的意见》（国办发[2016]1号）及国家住建部和人社部关于《建筑工人实名制管理办法》（建市[2019]18号）的规定，总承包单位对所承建的工程项目的建筑工人实名制管理负总责，对建筑工人实行实名制管理；实行人工费用与其他工程款分账管理制度；建筑工程承包单位必须开设农民工工资专户；建设单位在支付工程款时，应将人工费部分按规定汇入建筑工程承包单位的农民工工资专户，由建筑工程承包单位按劳动合同约定，通过农民工工资专户按月足额将工资发放给建筑工人；</w:t>
      </w:r>
    </w:p>
    <w:p w14:paraId="01AE3888">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十四、我公司拟任项目经理（建造师）不是投标截止时间前六个月内在滁州市区域内办理过项目经理（建造师）变更备案手续的原项目经理（建造师）。</w:t>
      </w:r>
    </w:p>
    <w:p w14:paraId="33B4B94F">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以上内容我已仔细阅读，本公司若有违反承诺内容的行为，自愿接受取消投标或者中标资格、中标无效、记入不良行为记录等有关处理，愿意承担法律责任，给招标人造成损失的，依法承担赔偿责任。</w:t>
      </w:r>
    </w:p>
    <w:p w14:paraId="05100758">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p>
    <w:p w14:paraId="36A89FC0">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开户银行：                          基本账户：</w:t>
      </w:r>
    </w:p>
    <w:p w14:paraId="766F85C1">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 xml:space="preserve">投标人（签章）：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法定代表人（签章）：</w:t>
      </w:r>
    </w:p>
    <w:p w14:paraId="3B433894">
      <w:pPr>
        <w:keepNext w:val="0"/>
        <w:keepLines w:val="0"/>
        <w:pageBreakBefore w:val="0"/>
        <w:widowControl w:val="0"/>
        <w:kinsoku/>
        <w:wordWrap/>
        <w:overflowPunct/>
        <w:topLinePunct w:val="0"/>
        <w:autoSpaceDE/>
        <w:autoSpaceDN/>
        <w:bidi w:val="0"/>
        <w:adjustRightInd/>
        <w:snapToGrid/>
        <w:spacing w:line="560" w:lineRule="exact"/>
        <w:ind w:firstLine="5250" w:firstLineChars="2500"/>
        <w:textAlignment w:val="auto"/>
        <w:rPr>
          <w:rFonts w:hint="eastAsia" w:ascii="宋体" w:hAnsi="宋体"/>
          <w:color w:val="auto"/>
          <w:szCs w:val="21"/>
          <w:highlight w:val="none"/>
        </w:rPr>
      </w:pPr>
      <w:r>
        <w:rPr>
          <w:rFonts w:hint="eastAsia" w:ascii="宋体" w:hAnsi="宋体"/>
          <w:color w:val="auto"/>
          <w:szCs w:val="21"/>
          <w:highlight w:val="none"/>
        </w:rPr>
        <w:t>日期：    年   月   日</w:t>
      </w:r>
    </w:p>
    <w:p w14:paraId="2253E7E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lang w:eastAsia="zh-CN"/>
        </w:rPr>
      </w:pPr>
    </w:p>
    <w:p w14:paraId="61CA4779">
      <w:pPr>
        <w:rPr>
          <w:rFonts w:hint="eastAsia" w:ascii="宋体" w:hAnsi="宋体" w:eastAsia="宋体" w:cs="宋体"/>
          <w:b/>
          <w:bCs w:val="0"/>
          <w:color w:val="auto"/>
          <w:kern w:val="2"/>
          <w:sz w:val="28"/>
          <w:szCs w:val="28"/>
          <w:highlight w:val="none"/>
          <w:lang w:val="en-US" w:eastAsia="zh-CN" w:bidi="ar"/>
        </w:rPr>
      </w:pPr>
      <w:r>
        <w:rPr>
          <w:rFonts w:hint="eastAsia" w:ascii="宋体" w:hAnsi="宋体" w:eastAsia="宋体" w:cs="宋体"/>
          <w:b/>
          <w:bCs w:val="0"/>
          <w:color w:val="auto"/>
          <w:kern w:val="2"/>
          <w:sz w:val="28"/>
          <w:szCs w:val="28"/>
          <w:highlight w:val="none"/>
          <w:lang w:val="en-US" w:eastAsia="zh-CN" w:bidi="ar"/>
        </w:rPr>
        <w:br w:type="page"/>
      </w:r>
    </w:p>
    <w:p w14:paraId="11C2D0DB">
      <w:pPr>
        <w:keepNext w:val="0"/>
        <w:keepLines w:val="0"/>
        <w:widowControl w:val="0"/>
        <w:suppressLineNumbers w:val="0"/>
        <w:autoSpaceDE w:val="0"/>
        <w:autoSpaceDN/>
        <w:spacing w:before="0" w:beforeAutospacing="0" w:after="0" w:afterAutospacing="0" w:line="800" w:lineRule="exact"/>
        <w:ind w:left="0" w:right="0"/>
        <w:jc w:val="center"/>
        <w:rPr>
          <w:rFonts w:hint="eastAsia" w:ascii="Times New Roman" w:hAnsi="Times New Roman" w:eastAsia="宋体" w:cs="Times New Roman"/>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w:t>
      </w:r>
      <w:r>
        <w:rPr>
          <w:rFonts w:hint="default" w:ascii="Times New Roman" w:hAnsi="Times New Roman" w:eastAsia="宋体" w:cs="Times New Roman"/>
          <w:b/>
          <w:bCs w:val="0"/>
          <w:color w:val="auto"/>
          <w:kern w:val="2"/>
          <w:sz w:val="28"/>
          <w:szCs w:val="28"/>
          <w:highlight w:val="none"/>
          <w:lang w:val="en-US" w:eastAsia="zh-CN" w:bidi="ar"/>
        </w:rPr>
        <w:t>3</w:t>
      </w:r>
      <w:r>
        <w:rPr>
          <w:rFonts w:hint="eastAsia" w:ascii="宋体" w:hAnsi="宋体" w:eastAsia="宋体" w:cs="宋体"/>
          <w:b/>
          <w:bCs w:val="0"/>
          <w:color w:val="auto"/>
          <w:kern w:val="2"/>
          <w:sz w:val="28"/>
          <w:szCs w:val="28"/>
          <w:highlight w:val="none"/>
          <w:lang w:val="en-US" w:eastAsia="zh-CN" w:bidi="ar"/>
        </w:rPr>
        <w:t>）项目管理机构</w:t>
      </w:r>
    </w:p>
    <w:p w14:paraId="14ECEB01">
      <w:pPr>
        <w:keepNext/>
        <w:keepLines/>
        <w:widowControl w:val="0"/>
        <w:suppressLineNumbers w:val="0"/>
        <w:spacing w:before="280" w:beforeLines="0" w:beforeAutospacing="0" w:after="290" w:afterLines="0" w:afterAutospacing="0" w:line="372" w:lineRule="auto"/>
        <w:ind w:left="0" w:right="0"/>
        <w:jc w:val="center"/>
        <w:outlineLvl w:val="3"/>
        <w:rPr>
          <w:rFonts w:hint="default" w:ascii="Arial" w:hAnsi="Arial" w:eastAsia="黑体" w:cs="Times New Roman"/>
          <w:b/>
          <w:bCs/>
          <w:color w:val="auto"/>
          <w:kern w:val="2"/>
          <w:sz w:val="28"/>
          <w:szCs w:val="28"/>
          <w:highlight w:val="none"/>
        </w:rPr>
      </w:pPr>
      <w:r>
        <w:rPr>
          <w:rFonts w:hint="eastAsia" w:ascii="黑体" w:hAnsi="宋体" w:eastAsia="黑体" w:cs="黑体"/>
          <w:b/>
          <w:bCs/>
          <w:color w:val="auto"/>
          <w:kern w:val="2"/>
          <w:sz w:val="28"/>
          <w:szCs w:val="28"/>
          <w:highlight w:val="none"/>
          <w:lang w:val="en-US" w:eastAsia="zh-CN" w:bidi="ar"/>
        </w:rPr>
        <w:t>附表</w:t>
      </w:r>
      <w:r>
        <w:rPr>
          <w:rFonts w:hint="default" w:ascii="Arial" w:hAnsi="Arial" w:eastAsia="黑体" w:cs="Arial"/>
          <w:b/>
          <w:bCs/>
          <w:color w:val="auto"/>
          <w:kern w:val="2"/>
          <w:sz w:val="28"/>
          <w:szCs w:val="28"/>
          <w:highlight w:val="none"/>
          <w:lang w:val="en-US" w:eastAsia="zh-CN" w:bidi="ar"/>
        </w:rPr>
        <w:t>1</w:t>
      </w:r>
      <w:r>
        <w:rPr>
          <w:rFonts w:hint="eastAsia" w:ascii="黑体" w:hAnsi="宋体" w:eastAsia="黑体" w:cs="黑体"/>
          <w:b/>
          <w:bCs/>
          <w:color w:val="auto"/>
          <w:kern w:val="2"/>
          <w:sz w:val="28"/>
          <w:szCs w:val="28"/>
          <w:highlight w:val="none"/>
          <w:lang w:val="en-US" w:eastAsia="zh-CN" w:bidi="ar"/>
        </w:rPr>
        <w:t>：项目管理机构主要人员组成表</w:t>
      </w:r>
    </w:p>
    <w:tbl>
      <w:tblPr>
        <w:tblStyle w:val="46"/>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0"/>
        <w:gridCol w:w="814"/>
        <w:gridCol w:w="812"/>
        <w:gridCol w:w="1220"/>
        <w:gridCol w:w="812"/>
        <w:gridCol w:w="814"/>
        <w:gridCol w:w="811"/>
        <w:gridCol w:w="2848"/>
        <w:gridCol w:w="759"/>
      </w:tblGrid>
      <w:tr w14:paraId="29BFF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7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D2A787">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职务</w:t>
            </w:r>
          </w:p>
        </w:tc>
        <w:tc>
          <w:tcPr>
            <w:tcW w:w="814" w:type="dxa"/>
            <w:vMerge w:val="restart"/>
            <w:tcBorders>
              <w:top w:val="single" w:color="auto" w:sz="4" w:space="0"/>
              <w:left w:val="nil"/>
              <w:bottom w:val="single" w:color="auto" w:sz="4" w:space="0"/>
              <w:right w:val="single" w:color="auto" w:sz="4" w:space="0"/>
            </w:tcBorders>
            <w:shd w:val="clear" w:color="auto" w:fill="auto"/>
            <w:vAlign w:val="center"/>
          </w:tcPr>
          <w:p w14:paraId="01F27D61">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姓名</w:t>
            </w:r>
          </w:p>
        </w:tc>
        <w:tc>
          <w:tcPr>
            <w:tcW w:w="812" w:type="dxa"/>
            <w:vMerge w:val="restart"/>
            <w:tcBorders>
              <w:top w:val="single" w:color="auto" w:sz="4" w:space="0"/>
              <w:left w:val="nil"/>
              <w:bottom w:val="single" w:color="auto" w:sz="4" w:space="0"/>
              <w:right w:val="single" w:color="auto" w:sz="4" w:space="0"/>
            </w:tcBorders>
            <w:shd w:val="clear" w:color="auto" w:fill="auto"/>
            <w:vAlign w:val="center"/>
          </w:tcPr>
          <w:p w14:paraId="1A7B09E9">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职称</w:t>
            </w:r>
          </w:p>
        </w:tc>
        <w:tc>
          <w:tcPr>
            <w:tcW w:w="6505" w:type="dxa"/>
            <w:gridSpan w:val="5"/>
            <w:tcBorders>
              <w:top w:val="single" w:color="auto" w:sz="4" w:space="0"/>
              <w:left w:val="nil"/>
              <w:bottom w:val="single" w:color="auto" w:sz="4" w:space="0"/>
              <w:right w:val="single" w:color="auto" w:sz="4" w:space="0"/>
            </w:tcBorders>
            <w:shd w:val="clear" w:color="auto" w:fill="auto"/>
            <w:vAlign w:val="center"/>
          </w:tcPr>
          <w:p w14:paraId="0CEF5EE4">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执业或职业资格证明</w:t>
            </w:r>
          </w:p>
        </w:tc>
        <w:tc>
          <w:tcPr>
            <w:tcW w:w="759" w:type="dxa"/>
            <w:tcBorders>
              <w:top w:val="single" w:color="auto" w:sz="4" w:space="0"/>
              <w:left w:val="nil"/>
              <w:bottom w:val="single" w:color="auto" w:sz="4" w:space="0"/>
              <w:right w:val="single" w:color="auto" w:sz="4" w:space="0"/>
            </w:tcBorders>
            <w:shd w:val="clear" w:color="auto" w:fill="auto"/>
            <w:vAlign w:val="center"/>
          </w:tcPr>
          <w:p w14:paraId="497CDB7F">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备注</w:t>
            </w:r>
          </w:p>
        </w:tc>
      </w:tr>
      <w:tr w14:paraId="2FF83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86" w:hRule="atLeast"/>
          <w:jc w:val="center"/>
        </w:trPr>
        <w:tc>
          <w:tcPr>
            <w:tcW w:w="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F486B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814" w:type="dxa"/>
            <w:vMerge w:val="continue"/>
            <w:tcBorders>
              <w:top w:val="single" w:color="auto" w:sz="4" w:space="0"/>
              <w:left w:val="nil"/>
              <w:bottom w:val="single" w:color="auto" w:sz="4" w:space="0"/>
              <w:right w:val="single" w:color="auto" w:sz="4" w:space="0"/>
            </w:tcBorders>
            <w:shd w:val="clear" w:color="auto" w:fill="auto"/>
            <w:vAlign w:val="center"/>
          </w:tcPr>
          <w:p w14:paraId="257FEC8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812" w:type="dxa"/>
            <w:vMerge w:val="continue"/>
            <w:tcBorders>
              <w:top w:val="single" w:color="auto" w:sz="4" w:space="0"/>
              <w:left w:val="nil"/>
              <w:bottom w:val="single" w:color="auto" w:sz="4" w:space="0"/>
              <w:right w:val="single" w:color="auto" w:sz="4" w:space="0"/>
            </w:tcBorders>
            <w:shd w:val="clear" w:color="auto" w:fill="auto"/>
            <w:vAlign w:val="center"/>
          </w:tcPr>
          <w:p w14:paraId="118F988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20" w:type="dxa"/>
            <w:tcBorders>
              <w:top w:val="single" w:color="auto" w:sz="4" w:space="0"/>
              <w:left w:val="nil"/>
              <w:bottom w:val="single" w:color="auto" w:sz="4" w:space="0"/>
              <w:right w:val="single" w:color="auto" w:sz="4" w:space="0"/>
            </w:tcBorders>
            <w:shd w:val="clear" w:color="auto" w:fill="auto"/>
            <w:vAlign w:val="center"/>
          </w:tcPr>
          <w:p w14:paraId="17497852">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证书名称</w:t>
            </w:r>
          </w:p>
        </w:tc>
        <w:tc>
          <w:tcPr>
            <w:tcW w:w="812" w:type="dxa"/>
            <w:tcBorders>
              <w:top w:val="single" w:color="auto" w:sz="4" w:space="0"/>
              <w:left w:val="nil"/>
              <w:bottom w:val="single" w:color="auto" w:sz="4" w:space="0"/>
              <w:right w:val="single" w:color="auto" w:sz="4" w:space="0"/>
            </w:tcBorders>
            <w:shd w:val="clear" w:color="auto" w:fill="auto"/>
            <w:vAlign w:val="center"/>
          </w:tcPr>
          <w:p w14:paraId="4DA25886">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级别</w:t>
            </w:r>
          </w:p>
        </w:tc>
        <w:tc>
          <w:tcPr>
            <w:tcW w:w="814" w:type="dxa"/>
            <w:tcBorders>
              <w:top w:val="single" w:color="auto" w:sz="4" w:space="0"/>
              <w:left w:val="nil"/>
              <w:bottom w:val="single" w:color="auto" w:sz="4" w:space="0"/>
              <w:right w:val="single" w:color="auto" w:sz="4" w:space="0"/>
            </w:tcBorders>
            <w:shd w:val="clear" w:color="auto" w:fill="auto"/>
            <w:vAlign w:val="center"/>
          </w:tcPr>
          <w:p w14:paraId="3AA7A62E">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证号</w:t>
            </w:r>
          </w:p>
        </w:tc>
        <w:tc>
          <w:tcPr>
            <w:tcW w:w="811" w:type="dxa"/>
            <w:tcBorders>
              <w:top w:val="single" w:color="auto" w:sz="4" w:space="0"/>
              <w:left w:val="nil"/>
              <w:bottom w:val="single" w:color="auto" w:sz="4" w:space="0"/>
              <w:right w:val="single" w:color="auto" w:sz="4" w:space="0"/>
            </w:tcBorders>
            <w:shd w:val="clear" w:color="auto" w:fill="auto"/>
            <w:vAlign w:val="center"/>
          </w:tcPr>
          <w:p w14:paraId="735C803B">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专业</w:t>
            </w:r>
          </w:p>
        </w:tc>
        <w:tc>
          <w:tcPr>
            <w:tcW w:w="2848" w:type="dxa"/>
            <w:tcBorders>
              <w:top w:val="single" w:color="auto" w:sz="4" w:space="0"/>
              <w:left w:val="nil"/>
              <w:bottom w:val="single" w:color="auto" w:sz="4" w:space="0"/>
              <w:right w:val="single" w:color="auto" w:sz="4" w:space="0"/>
            </w:tcBorders>
            <w:shd w:val="clear" w:color="auto" w:fill="auto"/>
            <w:vAlign w:val="center"/>
          </w:tcPr>
          <w:p w14:paraId="39E61134">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养老保险</w:t>
            </w:r>
          </w:p>
        </w:tc>
        <w:tc>
          <w:tcPr>
            <w:tcW w:w="759" w:type="dxa"/>
            <w:tcBorders>
              <w:top w:val="single" w:color="auto" w:sz="4" w:space="0"/>
              <w:left w:val="nil"/>
              <w:bottom w:val="single" w:color="auto" w:sz="4" w:space="0"/>
              <w:right w:val="single" w:color="auto" w:sz="4" w:space="0"/>
            </w:tcBorders>
            <w:shd w:val="clear" w:color="auto" w:fill="auto"/>
            <w:vAlign w:val="center"/>
          </w:tcPr>
          <w:p w14:paraId="20C70E9A">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r>
      <w:tr w14:paraId="4F19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6" w:hRule="atLeast"/>
          <w:jc w:val="center"/>
        </w:trPr>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41DD72E2">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项目经理（建造师）</w:t>
            </w:r>
          </w:p>
        </w:tc>
        <w:tc>
          <w:tcPr>
            <w:tcW w:w="814" w:type="dxa"/>
            <w:tcBorders>
              <w:top w:val="single" w:color="auto" w:sz="4" w:space="0"/>
              <w:left w:val="nil"/>
              <w:bottom w:val="single" w:color="auto" w:sz="4" w:space="0"/>
              <w:right w:val="single" w:color="auto" w:sz="4" w:space="0"/>
            </w:tcBorders>
            <w:shd w:val="clear" w:color="auto" w:fill="auto"/>
            <w:vAlign w:val="center"/>
          </w:tcPr>
          <w:p w14:paraId="5C547AE2">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2" w:type="dxa"/>
            <w:tcBorders>
              <w:top w:val="single" w:color="auto" w:sz="4" w:space="0"/>
              <w:left w:val="nil"/>
              <w:bottom w:val="single" w:color="auto" w:sz="4" w:space="0"/>
              <w:right w:val="single" w:color="auto" w:sz="4" w:space="0"/>
            </w:tcBorders>
            <w:shd w:val="clear" w:color="auto" w:fill="auto"/>
            <w:vAlign w:val="center"/>
          </w:tcPr>
          <w:p w14:paraId="68D64405">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1220" w:type="dxa"/>
            <w:tcBorders>
              <w:top w:val="single" w:color="auto" w:sz="4" w:space="0"/>
              <w:left w:val="nil"/>
              <w:bottom w:val="single" w:color="auto" w:sz="4" w:space="0"/>
              <w:right w:val="single" w:color="auto" w:sz="4" w:space="0"/>
            </w:tcBorders>
            <w:shd w:val="clear" w:color="auto" w:fill="auto"/>
            <w:vAlign w:val="center"/>
          </w:tcPr>
          <w:p w14:paraId="2028B315">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2" w:type="dxa"/>
            <w:tcBorders>
              <w:top w:val="single" w:color="auto" w:sz="4" w:space="0"/>
              <w:left w:val="nil"/>
              <w:bottom w:val="single" w:color="auto" w:sz="4" w:space="0"/>
              <w:right w:val="single" w:color="auto" w:sz="4" w:space="0"/>
            </w:tcBorders>
            <w:shd w:val="clear" w:color="auto" w:fill="auto"/>
            <w:vAlign w:val="center"/>
          </w:tcPr>
          <w:p w14:paraId="5FD0D945">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4" w:type="dxa"/>
            <w:tcBorders>
              <w:top w:val="single" w:color="auto" w:sz="4" w:space="0"/>
              <w:left w:val="nil"/>
              <w:bottom w:val="single" w:color="auto" w:sz="4" w:space="0"/>
              <w:right w:val="single" w:color="auto" w:sz="4" w:space="0"/>
            </w:tcBorders>
            <w:shd w:val="clear" w:color="auto" w:fill="auto"/>
            <w:vAlign w:val="center"/>
          </w:tcPr>
          <w:p w14:paraId="13D4D57B">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1" w:type="dxa"/>
            <w:tcBorders>
              <w:top w:val="single" w:color="auto" w:sz="4" w:space="0"/>
              <w:left w:val="nil"/>
              <w:bottom w:val="single" w:color="auto" w:sz="4" w:space="0"/>
              <w:right w:val="single" w:color="auto" w:sz="4" w:space="0"/>
            </w:tcBorders>
            <w:shd w:val="clear" w:color="auto" w:fill="auto"/>
            <w:vAlign w:val="center"/>
          </w:tcPr>
          <w:p w14:paraId="4D86B806">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2848" w:type="dxa"/>
            <w:tcBorders>
              <w:top w:val="single" w:color="auto" w:sz="4" w:space="0"/>
              <w:left w:val="nil"/>
              <w:bottom w:val="single" w:color="auto" w:sz="4" w:space="0"/>
              <w:right w:val="single" w:color="auto" w:sz="4" w:space="0"/>
            </w:tcBorders>
            <w:shd w:val="clear" w:color="auto" w:fill="auto"/>
            <w:vAlign w:val="center"/>
          </w:tcPr>
          <w:p w14:paraId="41D5FB53">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759" w:type="dxa"/>
            <w:tcBorders>
              <w:top w:val="single" w:color="auto" w:sz="4" w:space="0"/>
              <w:left w:val="nil"/>
              <w:bottom w:val="single" w:color="auto" w:sz="4" w:space="0"/>
              <w:right w:val="single" w:color="auto" w:sz="4" w:space="0"/>
            </w:tcBorders>
            <w:shd w:val="clear" w:color="auto" w:fill="auto"/>
            <w:vAlign w:val="center"/>
          </w:tcPr>
          <w:p w14:paraId="02C765A1">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r>
      <w:tr w14:paraId="2DD84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6" w:hRule="atLeast"/>
          <w:jc w:val="center"/>
        </w:trPr>
        <w:tc>
          <w:tcPr>
            <w:tcW w:w="730" w:type="dxa"/>
            <w:tcBorders>
              <w:top w:val="single" w:color="auto" w:sz="4" w:space="0"/>
              <w:left w:val="single" w:color="auto" w:sz="4" w:space="0"/>
              <w:bottom w:val="single" w:color="auto" w:sz="4" w:space="0"/>
              <w:right w:val="single" w:color="auto" w:sz="4" w:space="0"/>
            </w:tcBorders>
            <w:shd w:val="clear" w:color="auto" w:fill="auto"/>
            <w:vAlign w:val="top"/>
          </w:tcPr>
          <w:p w14:paraId="08867C1E">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技术负责人</w:t>
            </w:r>
          </w:p>
        </w:tc>
        <w:tc>
          <w:tcPr>
            <w:tcW w:w="814" w:type="dxa"/>
            <w:tcBorders>
              <w:top w:val="single" w:color="auto" w:sz="4" w:space="0"/>
              <w:left w:val="nil"/>
              <w:bottom w:val="single" w:color="auto" w:sz="4" w:space="0"/>
              <w:right w:val="single" w:color="auto" w:sz="4" w:space="0"/>
            </w:tcBorders>
            <w:shd w:val="clear" w:color="auto" w:fill="auto"/>
            <w:vAlign w:val="top"/>
          </w:tcPr>
          <w:p w14:paraId="1E4A063D">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2" w:type="dxa"/>
            <w:tcBorders>
              <w:top w:val="single" w:color="auto" w:sz="4" w:space="0"/>
              <w:left w:val="nil"/>
              <w:bottom w:val="single" w:color="auto" w:sz="4" w:space="0"/>
              <w:right w:val="single" w:color="auto" w:sz="4" w:space="0"/>
            </w:tcBorders>
            <w:shd w:val="clear" w:color="auto" w:fill="auto"/>
            <w:vAlign w:val="top"/>
          </w:tcPr>
          <w:p w14:paraId="1E4F6DE3">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1220" w:type="dxa"/>
            <w:tcBorders>
              <w:top w:val="single" w:color="auto" w:sz="4" w:space="0"/>
              <w:left w:val="nil"/>
              <w:bottom w:val="single" w:color="auto" w:sz="4" w:space="0"/>
              <w:right w:val="single" w:color="auto" w:sz="4" w:space="0"/>
            </w:tcBorders>
            <w:shd w:val="clear" w:color="auto" w:fill="auto"/>
            <w:vAlign w:val="top"/>
          </w:tcPr>
          <w:p w14:paraId="36214A4C">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2" w:type="dxa"/>
            <w:tcBorders>
              <w:top w:val="single" w:color="auto" w:sz="4" w:space="0"/>
              <w:left w:val="nil"/>
              <w:bottom w:val="single" w:color="auto" w:sz="4" w:space="0"/>
              <w:right w:val="single" w:color="auto" w:sz="4" w:space="0"/>
            </w:tcBorders>
            <w:shd w:val="clear" w:color="auto" w:fill="auto"/>
            <w:vAlign w:val="top"/>
          </w:tcPr>
          <w:p w14:paraId="627364F5">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4" w:type="dxa"/>
            <w:tcBorders>
              <w:top w:val="single" w:color="auto" w:sz="4" w:space="0"/>
              <w:left w:val="nil"/>
              <w:bottom w:val="single" w:color="auto" w:sz="4" w:space="0"/>
              <w:right w:val="single" w:color="auto" w:sz="4" w:space="0"/>
            </w:tcBorders>
            <w:shd w:val="clear" w:color="auto" w:fill="auto"/>
            <w:vAlign w:val="top"/>
          </w:tcPr>
          <w:p w14:paraId="335F756B">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1" w:type="dxa"/>
            <w:tcBorders>
              <w:top w:val="single" w:color="auto" w:sz="4" w:space="0"/>
              <w:left w:val="nil"/>
              <w:bottom w:val="single" w:color="auto" w:sz="4" w:space="0"/>
              <w:right w:val="single" w:color="auto" w:sz="4" w:space="0"/>
            </w:tcBorders>
            <w:shd w:val="clear" w:color="auto" w:fill="auto"/>
            <w:vAlign w:val="top"/>
          </w:tcPr>
          <w:p w14:paraId="07B6A9F9">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2848" w:type="dxa"/>
            <w:tcBorders>
              <w:top w:val="single" w:color="auto" w:sz="4" w:space="0"/>
              <w:left w:val="nil"/>
              <w:bottom w:val="single" w:color="auto" w:sz="4" w:space="0"/>
              <w:right w:val="single" w:color="auto" w:sz="4" w:space="0"/>
            </w:tcBorders>
            <w:shd w:val="clear" w:color="auto" w:fill="auto"/>
            <w:vAlign w:val="top"/>
          </w:tcPr>
          <w:p w14:paraId="37F9698A">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759" w:type="dxa"/>
            <w:tcBorders>
              <w:top w:val="single" w:color="auto" w:sz="4" w:space="0"/>
              <w:left w:val="nil"/>
              <w:bottom w:val="single" w:color="auto" w:sz="4" w:space="0"/>
              <w:right w:val="single" w:color="auto" w:sz="4" w:space="0"/>
            </w:tcBorders>
            <w:shd w:val="clear" w:color="auto" w:fill="auto"/>
            <w:vAlign w:val="top"/>
          </w:tcPr>
          <w:p w14:paraId="7CAA4768">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r>
      <w:tr w14:paraId="7485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30" w:type="dxa"/>
            <w:tcBorders>
              <w:top w:val="single" w:color="auto" w:sz="4" w:space="0"/>
              <w:left w:val="single" w:color="auto" w:sz="4" w:space="0"/>
              <w:bottom w:val="single" w:color="auto" w:sz="4" w:space="0"/>
              <w:right w:val="single" w:color="auto" w:sz="4" w:space="0"/>
            </w:tcBorders>
            <w:shd w:val="clear" w:color="auto" w:fill="auto"/>
            <w:vAlign w:val="top"/>
          </w:tcPr>
          <w:p w14:paraId="760FDFC3">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4" w:type="dxa"/>
            <w:tcBorders>
              <w:top w:val="single" w:color="auto" w:sz="4" w:space="0"/>
              <w:left w:val="nil"/>
              <w:bottom w:val="single" w:color="auto" w:sz="4" w:space="0"/>
              <w:right w:val="single" w:color="auto" w:sz="4" w:space="0"/>
            </w:tcBorders>
            <w:shd w:val="clear" w:color="auto" w:fill="auto"/>
            <w:vAlign w:val="top"/>
          </w:tcPr>
          <w:p w14:paraId="7432931A">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2" w:type="dxa"/>
            <w:tcBorders>
              <w:top w:val="single" w:color="auto" w:sz="4" w:space="0"/>
              <w:left w:val="nil"/>
              <w:bottom w:val="single" w:color="auto" w:sz="4" w:space="0"/>
              <w:right w:val="single" w:color="auto" w:sz="4" w:space="0"/>
            </w:tcBorders>
            <w:shd w:val="clear" w:color="auto" w:fill="auto"/>
            <w:vAlign w:val="top"/>
          </w:tcPr>
          <w:p w14:paraId="63074696">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1220" w:type="dxa"/>
            <w:tcBorders>
              <w:top w:val="single" w:color="auto" w:sz="4" w:space="0"/>
              <w:left w:val="nil"/>
              <w:bottom w:val="single" w:color="auto" w:sz="4" w:space="0"/>
              <w:right w:val="single" w:color="auto" w:sz="4" w:space="0"/>
            </w:tcBorders>
            <w:shd w:val="clear" w:color="auto" w:fill="auto"/>
            <w:vAlign w:val="top"/>
          </w:tcPr>
          <w:p w14:paraId="33BDEEBD">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2" w:type="dxa"/>
            <w:tcBorders>
              <w:top w:val="single" w:color="auto" w:sz="4" w:space="0"/>
              <w:left w:val="nil"/>
              <w:bottom w:val="single" w:color="auto" w:sz="4" w:space="0"/>
              <w:right w:val="single" w:color="auto" w:sz="4" w:space="0"/>
            </w:tcBorders>
            <w:shd w:val="clear" w:color="auto" w:fill="auto"/>
            <w:vAlign w:val="top"/>
          </w:tcPr>
          <w:p w14:paraId="63E7FDE5">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4" w:type="dxa"/>
            <w:tcBorders>
              <w:top w:val="single" w:color="auto" w:sz="4" w:space="0"/>
              <w:left w:val="nil"/>
              <w:bottom w:val="single" w:color="auto" w:sz="4" w:space="0"/>
              <w:right w:val="single" w:color="auto" w:sz="4" w:space="0"/>
            </w:tcBorders>
            <w:shd w:val="clear" w:color="auto" w:fill="auto"/>
            <w:vAlign w:val="top"/>
          </w:tcPr>
          <w:p w14:paraId="2189A929">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1" w:type="dxa"/>
            <w:tcBorders>
              <w:top w:val="single" w:color="auto" w:sz="4" w:space="0"/>
              <w:left w:val="nil"/>
              <w:bottom w:val="single" w:color="auto" w:sz="4" w:space="0"/>
              <w:right w:val="single" w:color="auto" w:sz="4" w:space="0"/>
            </w:tcBorders>
            <w:shd w:val="clear" w:color="auto" w:fill="auto"/>
            <w:vAlign w:val="top"/>
          </w:tcPr>
          <w:p w14:paraId="139B81AA">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2848" w:type="dxa"/>
            <w:tcBorders>
              <w:top w:val="single" w:color="auto" w:sz="4" w:space="0"/>
              <w:left w:val="nil"/>
              <w:bottom w:val="single" w:color="auto" w:sz="4" w:space="0"/>
              <w:right w:val="single" w:color="auto" w:sz="4" w:space="0"/>
            </w:tcBorders>
            <w:shd w:val="clear" w:color="auto" w:fill="auto"/>
            <w:vAlign w:val="top"/>
          </w:tcPr>
          <w:p w14:paraId="3B35B85A">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759" w:type="dxa"/>
            <w:tcBorders>
              <w:top w:val="single" w:color="auto" w:sz="4" w:space="0"/>
              <w:left w:val="nil"/>
              <w:bottom w:val="single" w:color="auto" w:sz="4" w:space="0"/>
              <w:right w:val="single" w:color="auto" w:sz="4" w:space="0"/>
            </w:tcBorders>
            <w:shd w:val="clear" w:color="auto" w:fill="auto"/>
            <w:vAlign w:val="top"/>
          </w:tcPr>
          <w:p w14:paraId="3C9A4943">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r>
      <w:tr w14:paraId="5B85F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6" w:hRule="atLeast"/>
          <w:jc w:val="center"/>
        </w:trPr>
        <w:tc>
          <w:tcPr>
            <w:tcW w:w="730" w:type="dxa"/>
            <w:tcBorders>
              <w:top w:val="single" w:color="auto" w:sz="4" w:space="0"/>
              <w:left w:val="single" w:color="auto" w:sz="4" w:space="0"/>
              <w:bottom w:val="single" w:color="auto" w:sz="4" w:space="0"/>
              <w:right w:val="single" w:color="auto" w:sz="4" w:space="0"/>
            </w:tcBorders>
            <w:shd w:val="clear" w:color="auto" w:fill="auto"/>
            <w:vAlign w:val="top"/>
          </w:tcPr>
          <w:p w14:paraId="6ACC5DA1">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4" w:type="dxa"/>
            <w:tcBorders>
              <w:top w:val="single" w:color="auto" w:sz="4" w:space="0"/>
              <w:left w:val="nil"/>
              <w:bottom w:val="single" w:color="auto" w:sz="4" w:space="0"/>
              <w:right w:val="single" w:color="auto" w:sz="4" w:space="0"/>
            </w:tcBorders>
            <w:shd w:val="clear" w:color="auto" w:fill="auto"/>
            <w:vAlign w:val="top"/>
          </w:tcPr>
          <w:p w14:paraId="5D949D5B">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2" w:type="dxa"/>
            <w:tcBorders>
              <w:top w:val="single" w:color="auto" w:sz="4" w:space="0"/>
              <w:left w:val="nil"/>
              <w:bottom w:val="single" w:color="auto" w:sz="4" w:space="0"/>
              <w:right w:val="single" w:color="auto" w:sz="4" w:space="0"/>
            </w:tcBorders>
            <w:shd w:val="clear" w:color="auto" w:fill="auto"/>
            <w:vAlign w:val="top"/>
          </w:tcPr>
          <w:p w14:paraId="0EA46A74">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1220" w:type="dxa"/>
            <w:tcBorders>
              <w:top w:val="single" w:color="auto" w:sz="4" w:space="0"/>
              <w:left w:val="nil"/>
              <w:bottom w:val="single" w:color="auto" w:sz="4" w:space="0"/>
              <w:right w:val="single" w:color="auto" w:sz="4" w:space="0"/>
            </w:tcBorders>
            <w:shd w:val="clear" w:color="auto" w:fill="auto"/>
            <w:vAlign w:val="top"/>
          </w:tcPr>
          <w:p w14:paraId="53D8E421">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2" w:type="dxa"/>
            <w:tcBorders>
              <w:top w:val="single" w:color="auto" w:sz="4" w:space="0"/>
              <w:left w:val="nil"/>
              <w:bottom w:val="single" w:color="auto" w:sz="4" w:space="0"/>
              <w:right w:val="single" w:color="auto" w:sz="4" w:space="0"/>
            </w:tcBorders>
            <w:shd w:val="clear" w:color="auto" w:fill="auto"/>
            <w:vAlign w:val="top"/>
          </w:tcPr>
          <w:p w14:paraId="66C7B1A9">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4" w:type="dxa"/>
            <w:tcBorders>
              <w:top w:val="single" w:color="auto" w:sz="4" w:space="0"/>
              <w:left w:val="nil"/>
              <w:bottom w:val="single" w:color="auto" w:sz="4" w:space="0"/>
              <w:right w:val="single" w:color="auto" w:sz="4" w:space="0"/>
            </w:tcBorders>
            <w:shd w:val="clear" w:color="auto" w:fill="auto"/>
            <w:vAlign w:val="top"/>
          </w:tcPr>
          <w:p w14:paraId="0CD7F75E">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1" w:type="dxa"/>
            <w:tcBorders>
              <w:top w:val="single" w:color="auto" w:sz="4" w:space="0"/>
              <w:left w:val="nil"/>
              <w:bottom w:val="single" w:color="auto" w:sz="4" w:space="0"/>
              <w:right w:val="single" w:color="auto" w:sz="4" w:space="0"/>
            </w:tcBorders>
            <w:shd w:val="clear" w:color="auto" w:fill="auto"/>
            <w:vAlign w:val="top"/>
          </w:tcPr>
          <w:p w14:paraId="38AE0F8D">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2848" w:type="dxa"/>
            <w:tcBorders>
              <w:top w:val="single" w:color="auto" w:sz="4" w:space="0"/>
              <w:left w:val="nil"/>
              <w:bottom w:val="single" w:color="auto" w:sz="4" w:space="0"/>
              <w:right w:val="single" w:color="auto" w:sz="4" w:space="0"/>
            </w:tcBorders>
            <w:shd w:val="clear" w:color="auto" w:fill="auto"/>
            <w:vAlign w:val="top"/>
          </w:tcPr>
          <w:p w14:paraId="5A5B8074">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759" w:type="dxa"/>
            <w:tcBorders>
              <w:top w:val="single" w:color="auto" w:sz="4" w:space="0"/>
              <w:left w:val="nil"/>
              <w:bottom w:val="single" w:color="auto" w:sz="4" w:space="0"/>
              <w:right w:val="single" w:color="auto" w:sz="4" w:space="0"/>
            </w:tcBorders>
            <w:shd w:val="clear" w:color="auto" w:fill="auto"/>
            <w:vAlign w:val="top"/>
          </w:tcPr>
          <w:p w14:paraId="205292B3">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r>
      <w:tr w14:paraId="5F47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6" w:hRule="atLeast"/>
          <w:jc w:val="center"/>
        </w:trPr>
        <w:tc>
          <w:tcPr>
            <w:tcW w:w="730" w:type="dxa"/>
            <w:tcBorders>
              <w:top w:val="single" w:color="auto" w:sz="4" w:space="0"/>
              <w:left w:val="single" w:color="auto" w:sz="4" w:space="0"/>
              <w:bottom w:val="single" w:color="auto" w:sz="4" w:space="0"/>
              <w:right w:val="single" w:color="auto" w:sz="4" w:space="0"/>
            </w:tcBorders>
            <w:shd w:val="clear" w:color="auto" w:fill="auto"/>
            <w:vAlign w:val="top"/>
          </w:tcPr>
          <w:p w14:paraId="11EDF848">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4" w:type="dxa"/>
            <w:tcBorders>
              <w:top w:val="single" w:color="auto" w:sz="4" w:space="0"/>
              <w:left w:val="nil"/>
              <w:bottom w:val="single" w:color="auto" w:sz="4" w:space="0"/>
              <w:right w:val="single" w:color="auto" w:sz="4" w:space="0"/>
            </w:tcBorders>
            <w:shd w:val="clear" w:color="auto" w:fill="auto"/>
            <w:vAlign w:val="top"/>
          </w:tcPr>
          <w:p w14:paraId="2F696608">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2" w:type="dxa"/>
            <w:tcBorders>
              <w:top w:val="single" w:color="auto" w:sz="4" w:space="0"/>
              <w:left w:val="nil"/>
              <w:bottom w:val="single" w:color="auto" w:sz="4" w:space="0"/>
              <w:right w:val="single" w:color="auto" w:sz="4" w:space="0"/>
            </w:tcBorders>
            <w:shd w:val="clear" w:color="auto" w:fill="auto"/>
            <w:vAlign w:val="top"/>
          </w:tcPr>
          <w:p w14:paraId="481D445A">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1220" w:type="dxa"/>
            <w:tcBorders>
              <w:top w:val="single" w:color="auto" w:sz="4" w:space="0"/>
              <w:left w:val="nil"/>
              <w:bottom w:val="single" w:color="auto" w:sz="4" w:space="0"/>
              <w:right w:val="single" w:color="auto" w:sz="4" w:space="0"/>
            </w:tcBorders>
            <w:shd w:val="clear" w:color="auto" w:fill="auto"/>
            <w:vAlign w:val="top"/>
          </w:tcPr>
          <w:p w14:paraId="53083B99">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2" w:type="dxa"/>
            <w:tcBorders>
              <w:top w:val="single" w:color="auto" w:sz="4" w:space="0"/>
              <w:left w:val="nil"/>
              <w:bottom w:val="single" w:color="auto" w:sz="4" w:space="0"/>
              <w:right w:val="single" w:color="auto" w:sz="4" w:space="0"/>
            </w:tcBorders>
            <w:shd w:val="clear" w:color="auto" w:fill="auto"/>
            <w:vAlign w:val="top"/>
          </w:tcPr>
          <w:p w14:paraId="7235E855">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4" w:type="dxa"/>
            <w:tcBorders>
              <w:top w:val="single" w:color="auto" w:sz="4" w:space="0"/>
              <w:left w:val="nil"/>
              <w:bottom w:val="single" w:color="auto" w:sz="4" w:space="0"/>
              <w:right w:val="single" w:color="auto" w:sz="4" w:space="0"/>
            </w:tcBorders>
            <w:shd w:val="clear" w:color="auto" w:fill="auto"/>
            <w:vAlign w:val="top"/>
          </w:tcPr>
          <w:p w14:paraId="0BF8A5F7">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1" w:type="dxa"/>
            <w:tcBorders>
              <w:top w:val="single" w:color="auto" w:sz="4" w:space="0"/>
              <w:left w:val="nil"/>
              <w:bottom w:val="single" w:color="auto" w:sz="4" w:space="0"/>
              <w:right w:val="single" w:color="auto" w:sz="4" w:space="0"/>
            </w:tcBorders>
            <w:shd w:val="clear" w:color="auto" w:fill="auto"/>
            <w:vAlign w:val="top"/>
          </w:tcPr>
          <w:p w14:paraId="719C7BBD">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2848" w:type="dxa"/>
            <w:tcBorders>
              <w:top w:val="single" w:color="auto" w:sz="4" w:space="0"/>
              <w:left w:val="nil"/>
              <w:bottom w:val="single" w:color="auto" w:sz="4" w:space="0"/>
              <w:right w:val="single" w:color="auto" w:sz="4" w:space="0"/>
            </w:tcBorders>
            <w:shd w:val="clear" w:color="auto" w:fill="auto"/>
            <w:vAlign w:val="top"/>
          </w:tcPr>
          <w:p w14:paraId="126213FD">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759" w:type="dxa"/>
            <w:tcBorders>
              <w:top w:val="single" w:color="auto" w:sz="4" w:space="0"/>
              <w:left w:val="nil"/>
              <w:bottom w:val="single" w:color="auto" w:sz="4" w:space="0"/>
              <w:right w:val="single" w:color="auto" w:sz="4" w:space="0"/>
            </w:tcBorders>
            <w:shd w:val="clear" w:color="auto" w:fill="auto"/>
            <w:vAlign w:val="top"/>
          </w:tcPr>
          <w:p w14:paraId="7C3ACD90">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r>
      <w:tr w14:paraId="781D2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6" w:hRule="atLeast"/>
          <w:jc w:val="center"/>
        </w:trPr>
        <w:tc>
          <w:tcPr>
            <w:tcW w:w="730" w:type="dxa"/>
            <w:tcBorders>
              <w:top w:val="single" w:color="auto" w:sz="4" w:space="0"/>
              <w:left w:val="single" w:color="auto" w:sz="4" w:space="0"/>
              <w:bottom w:val="single" w:color="auto" w:sz="4" w:space="0"/>
              <w:right w:val="single" w:color="auto" w:sz="4" w:space="0"/>
            </w:tcBorders>
            <w:shd w:val="clear" w:color="auto" w:fill="auto"/>
            <w:vAlign w:val="top"/>
          </w:tcPr>
          <w:p w14:paraId="4718B397">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4" w:type="dxa"/>
            <w:tcBorders>
              <w:top w:val="single" w:color="auto" w:sz="4" w:space="0"/>
              <w:left w:val="nil"/>
              <w:bottom w:val="single" w:color="auto" w:sz="4" w:space="0"/>
              <w:right w:val="single" w:color="auto" w:sz="4" w:space="0"/>
            </w:tcBorders>
            <w:shd w:val="clear" w:color="auto" w:fill="auto"/>
            <w:vAlign w:val="top"/>
          </w:tcPr>
          <w:p w14:paraId="1ABF56D2">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2" w:type="dxa"/>
            <w:tcBorders>
              <w:top w:val="single" w:color="auto" w:sz="4" w:space="0"/>
              <w:left w:val="nil"/>
              <w:bottom w:val="single" w:color="auto" w:sz="4" w:space="0"/>
              <w:right w:val="single" w:color="auto" w:sz="4" w:space="0"/>
            </w:tcBorders>
            <w:shd w:val="clear" w:color="auto" w:fill="auto"/>
            <w:vAlign w:val="top"/>
          </w:tcPr>
          <w:p w14:paraId="73FA1776">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1220" w:type="dxa"/>
            <w:tcBorders>
              <w:top w:val="single" w:color="auto" w:sz="4" w:space="0"/>
              <w:left w:val="nil"/>
              <w:bottom w:val="single" w:color="auto" w:sz="4" w:space="0"/>
              <w:right w:val="single" w:color="auto" w:sz="4" w:space="0"/>
            </w:tcBorders>
            <w:shd w:val="clear" w:color="auto" w:fill="auto"/>
            <w:vAlign w:val="top"/>
          </w:tcPr>
          <w:p w14:paraId="37594343">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2" w:type="dxa"/>
            <w:tcBorders>
              <w:top w:val="single" w:color="auto" w:sz="4" w:space="0"/>
              <w:left w:val="nil"/>
              <w:bottom w:val="single" w:color="auto" w:sz="4" w:space="0"/>
              <w:right w:val="single" w:color="auto" w:sz="4" w:space="0"/>
            </w:tcBorders>
            <w:shd w:val="clear" w:color="auto" w:fill="auto"/>
            <w:vAlign w:val="top"/>
          </w:tcPr>
          <w:p w14:paraId="56081B27">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4" w:type="dxa"/>
            <w:tcBorders>
              <w:top w:val="single" w:color="auto" w:sz="4" w:space="0"/>
              <w:left w:val="nil"/>
              <w:bottom w:val="single" w:color="auto" w:sz="4" w:space="0"/>
              <w:right w:val="single" w:color="auto" w:sz="4" w:space="0"/>
            </w:tcBorders>
            <w:shd w:val="clear" w:color="auto" w:fill="auto"/>
            <w:vAlign w:val="top"/>
          </w:tcPr>
          <w:p w14:paraId="3EB6B7AA">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1" w:type="dxa"/>
            <w:tcBorders>
              <w:top w:val="single" w:color="auto" w:sz="4" w:space="0"/>
              <w:left w:val="nil"/>
              <w:bottom w:val="single" w:color="auto" w:sz="4" w:space="0"/>
              <w:right w:val="single" w:color="auto" w:sz="4" w:space="0"/>
            </w:tcBorders>
            <w:shd w:val="clear" w:color="auto" w:fill="auto"/>
            <w:vAlign w:val="top"/>
          </w:tcPr>
          <w:p w14:paraId="383FBE36">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2848" w:type="dxa"/>
            <w:tcBorders>
              <w:top w:val="single" w:color="auto" w:sz="4" w:space="0"/>
              <w:left w:val="nil"/>
              <w:bottom w:val="single" w:color="auto" w:sz="4" w:space="0"/>
              <w:right w:val="single" w:color="auto" w:sz="4" w:space="0"/>
            </w:tcBorders>
            <w:shd w:val="clear" w:color="auto" w:fill="auto"/>
            <w:vAlign w:val="top"/>
          </w:tcPr>
          <w:p w14:paraId="6735EF85">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759" w:type="dxa"/>
            <w:tcBorders>
              <w:top w:val="single" w:color="auto" w:sz="4" w:space="0"/>
              <w:left w:val="nil"/>
              <w:bottom w:val="single" w:color="auto" w:sz="4" w:space="0"/>
              <w:right w:val="single" w:color="auto" w:sz="4" w:space="0"/>
            </w:tcBorders>
            <w:shd w:val="clear" w:color="auto" w:fill="auto"/>
            <w:vAlign w:val="top"/>
          </w:tcPr>
          <w:p w14:paraId="5AC33347">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r>
    </w:tbl>
    <w:p w14:paraId="373BA01F">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Times New Roman" w:hAnsi="Times New Roman" w:eastAsia="宋体" w:cs="Times New Roman"/>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备注：</w:t>
      </w:r>
      <w:r>
        <w:rPr>
          <w:rFonts w:hint="eastAsia" w:ascii="宋体" w:hAnsi="宋体" w:eastAsia="宋体" w:cs="宋体"/>
          <w:color w:val="auto"/>
          <w:kern w:val="2"/>
          <w:sz w:val="21"/>
          <w:szCs w:val="21"/>
          <w:highlight w:val="none"/>
          <w:lang w:val="en-US" w:eastAsia="zh-CN" w:bidi="ar"/>
        </w:rPr>
        <w:t>根据安徽省住房和城乡建设厅《关于调整招标投标活动中有关住房城乡建设领域现场专业人员证书要求的通知》（建市函〔</w:t>
      </w:r>
      <w:r>
        <w:rPr>
          <w:rFonts w:hint="default" w:ascii="Times New Roman" w:hAnsi="Times New Roman" w:eastAsia="宋体" w:cs="Times New Roman"/>
          <w:color w:val="auto"/>
          <w:kern w:val="2"/>
          <w:sz w:val="21"/>
          <w:szCs w:val="21"/>
          <w:highlight w:val="none"/>
          <w:lang w:val="en-US" w:eastAsia="zh-CN" w:bidi="ar"/>
        </w:rPr>
        <w:t>2019</w:t>
      </w:r>
      <w:r>
        <w:rPr>
          <w:rFonts w:hint="eastAsia" w:ascii="宋体" w:hAnsi="宋体"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 xml:space="preserve">1112 </w:t>
      </w:r>
      <w:r>
        <w:rPr>
          <w:rFonts w:hint="eastAsia" w:ascii="宋体" w:hAnsi="宋体" w:eastAsia="宋体" w:cs="宋体"/>
          <w:color w:val="auto"/>
          <w:kern w:val="2"/>
          <w:sz w:val="21"/>
          <w:szCs w:val="21"/>
          <w:highlight w:val="none"/>
          <w:lang w:val="en-US" w:eastAsia="zh-CN" w:bidi="ar"/>
        </w:rPr>
        <w:t>号）要求，不再将住房城乡建设领域现场专业技术人员（包括施工员、质量员、安全员、资料员、材料员、劳务员、机械员、标准员）及取样员持证情况列入招标投标文件，招标人或招标代理机构需按照住房和城乡建设部及安徽省相关标准规定 明确投标人需要配备其他主要管理人员和技术人员数量的最低要求。中标人和招标人在签订合同时应按照不低于上述人员配置的要求填写承包人主要施工管理人员表，并作为合同的附件之一。</w:t>
      </w:r>
    </w:p>
    <w:p w14:paraId="113BE032">
      <w:pPr>
        <w:keepNext w:val="0"/>
        <w:keepLines w:val="0"/>
        <w:widowControl w:val="0"/>
        <w:suppressLineNumbers w:val="0"/>
        <w:spacing w:before="0" w:beforeAutospacing="0" w:after="0" w:afterAutospacing="0" w:line="560" w:lineRule="exact"/>
        <w:ind w:left="0" w:right="0"/>
        <w:jc w:val="both"/>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lang w:val="en-US" w:eastAsia="zh-CN" w:bidi="ar"/>
        </w:rPr>
        <w:t xml:space="preserve"> </w:t>
      </w:r>
    </w:p>
    <w:p w14:paraId="5C8B5433">
      <w:pPr>
        <w:keepNext/>
        <w:keepLines/>
        <w:widowControl w:val="0"/>
        <w:suppressLineNumbers w:val="0"/>
        <w:spacing w:before="280" w:beforeLines="0" w:beforeAutospacing="0" w:after="290" w:afterLines="0" w:afterAutospacing="0" w:line="372" w:lineRule="auto"/>
        <w:ind w:left="0" w:right="0"/>
        <w:jc w:val="center"/>
        <w:outlineLvl w:val="3"/>
        <w:rPr>
          <w:rFonts w:hint="default" w:ascii="Arial" w:hAnsi="Arial" w:eastAsia="黑体" w:cs="Times New Roman"/>
          <w:b/>
          <w:bCs/>
          <w:color w:val="auto"/>
          <w:kern w:val="2"/>
          <w:sz w:val="23"/>
          <w:szCs w:val="23"/>
          <w:highlight w:val="none"/>
        </w:rPr>
      </w:pPr>
      <w:r>
        <w:rPr>
          <w:rFonts w:hint="eastAsia" w:ascii="黑体" w:hAnsi="宋体" w:eastAsia="黑体" w:cs="黑体"/>
          <w:b/>
          <w:bCs/>
          <w:color w:val="auto"/>
          <w:kern w:val="2"/>
          <w:sz w:val="28"/>
          <w:szCs w:val="28"/>
          <w:highlight w:val="none"/>
          <w:lang w:val="en-US" w:eastAsia="zh-CN" w:bidi="ar"/>
        </w:rPr>
        <w:t>附表</w:t>
      </w:r>
      <w:r>
        <w:rPr>
          <w:rFonts w:hint="default" w:ascii="Arial" w:hAnsi="Arial" w:eastAsia="黑体" w:cs="Arial"/>
          <w:b/>
          <w:bCs/>
          <w:color w:val="auto"/>
          <w:kern w:val="2"/>
          <w:sz w:val="28"/>
          <w:szCs w:val="28"/>
          <w:highlight w:val="none"/>
          <w:lang w:val="en-US" w:eastAsia="zh-CN" w:bidi="ar"/>
        </w:rPr>
        <w:t>2</w:t>
      </w:r>
      <w:r>
        <w:rPr>
          <w:rFonts w:hint="eastAsia" w:ascii="黑体" w:hAnsi="宋体" w:eastAsia="黑体" w:cs="黑体"/>
          <w:b/>
          <w:bCs/>
          <w:color w:val="auto"/>
          <w:kern w:val="2"/>
          <w:sz w:val="28"/>
          <w:szCs w:val="28"/>
          <w:highlight w:val="none"/>
          <w:lang w:val="en-US" w:eastAsia="zh-CN" w:bidi="ar"/>
        </w:rPr>
        <w:t>：拟任项目经理（建造师）简历表</w:t>
      </w:r>
    </w:p>
    <w:tbl>
      <w:tblPr>
        <w:tblStyle w:val="4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03"/>
        <w:gridCol w:w="394"/>
        <w:gridCol w:w="791"/>
        <w:gridCol w:w="1018"/>
        <w:gridCol w:w="1170"/>
        <w:gridCol w:w="777"/>
        <w:gridCol w:w="1385"/>
        <w:gridCol w:w="177"/>
        <w:gridCol w:w="2345"/>
      </w:tblGrid>
      <w:tr w14:paraId="15FB6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5" w:hRule="atLeast"/>
          <w:jc w:val="center"/>
        </w:trPr>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14:paraId="3B93CB27">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姓  名</w:t>
            </w:r>
          </w:p>
        </w:tc>
        <w:tc>
          <w:tcPr>
            <w:tcW w:w="1185" w:type="dxa"/>
            <w:gridSpan w:val="2"/>
            <w:tcBorders>
              <w:top w:val="single" w:color="auto" w:sz="4" w:space="0"/>
              <w:left w:val="nil"/>
              <w:bottom w:val="single" w:color="auto" w:sz="4" w:space="0"/>
              <w:right w:val="single" w:color="auto" w:sz="4" w:space="0"/>
            </w:tcBorders>
            <w:shd w:val="clear" w:color="auto" w:fill="auto"/>
            <w:vAlign w:val="center"/>
          </w:tcPr>
          <w:p w14:paraId="00C5FA5A">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p>
        </w:tc>
        <w:tc>
          <w:tcPr>
            <w:tcW w:w="1018" w:type="dxa"/>
            <w:tcBorders>
              <w:top w:val="single" w:color="auto" w:sz="4" w:space="0"/>
              <w:left w:val="nil"/>
              <w:bottom w:val="single" w:color="auto" w:sz="4" w:space="0"/>
              <w:right w:val="single" w:color="auto" w:sz="4" w:space="0"/>
            </w:tcBorders>
            <w:shd w:val="clear" w:color="auto" w:fill="auto"/>
            <w:vAlign w:val="center"/>
          </w:tcPr>
          <w:p w14:paraId="7A43880E">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年 龄</w:t>
            </w:r>
          </w:p>
        </w:tc>
        <w:tc>
          <w:tcPr>
            <w:tcW w:w="1170" w:type="dxa"/>
            <w:tcBorders>
              <w:top w:val="single" w:color="auto" w:sz="4" w:space="0"/>
              <w:left w:val="nil"/>
              <w:bottom w:val="single" w:color="auto" w:sz="4" w:space="0"/>
              <w:right w:val="single" w:color="auto" w:sz="4" w:space="0"/>
            </w:tcBorders>
            <w:shd w:val="clear" w:color="auto" w:fill="auto"/>
            <w:vAlign w:val="center"/>
          </w:tcPr>
          <w:p w14:paraId="0548D459">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p>
        </w:tc>
        <w:tc>
          <w:tcPr>
            <w:tcW w:w="2339" w:type="dxa"/>
            <w:gridSpan w:val="3"/>
            <w:tcBorders>
              <w:top w:val="single" w:color="auto" w:sz="4" w:space="0"/>
              <w:left w:val="nil"/>
              <w:bottom w:val="single" w:color="auto" w:sz="4" w:space="0"/>
              <w:right w:val="single" w:color="auto" w:sz="4" w:space="0"/>
            </w:tcBorders>
            <w:shd w:val="clear" w:color="auto" w:fill="auto"/>
            <w:vAlign w:val="center"/>
          </w:tcPr>
          <w:p w14:paraId="7656C296">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学历</w:t>
            </w:r>
          </w:p>
        </w:tc>
        <w:tc>
          <w:tcPr>
            <w:tcW w:w="2345" w:type="dxa"/>
            <w:tcBorders>
              <w:top w:val="single" w:color="auto" w:sz="4" w:space="0"/>
              <w:left w:val="nil"/>
              <w:bottom w:val="single" w:color="auto" w:sz="4" w:space="0"/>
              <w:right w:val="single" w:color="auto" w:sz="4" w:space="0"/>
            </w:tcBorders>
            <w:shd w:val="clear" w:color="auto" w:fill="auto"/>
            <w:vAlign w:val="center"/>
          </w:tcPr>
          <w:p w14:paraId="5DC3A01E">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p>
        </w:tc>
      </w:tr>
      <w:tr w14:paraId="30930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5" w:hRule="atLeast"/>
          <w:jc w:val="center"/>
        </w:trPr>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14:paraId="03663C24">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职  称</w:t>
            </w:r>
          </w:p>
        </w:tc>
        <w:tc>
          <w:tcPr>
            <w:tcW w:w="1185" w:type="dxa"/>
            <w:gridSpan w:val="2"/>
            <w:tcBorders>
              <w:top w:val="single" w:color="auto" w:sz="4" w:space="0"/>
              <w:left w:val="nil"/>
              <w:bottom w:val="single" w:color="auto" w:sz="4" w:space="0"/>
              <w:right w:val="single" w:color="auto" w:sz="4" w:space="0"/>
            </w:tcBorders>
            <w:shd w:val="clear" w:color="auto" w:fill="auto"/>
            <w:vAlign w:val="center"/>
          </w:tcPr>
          <w:p w14:paraId="404C1F43">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p>
        </w:tc>
        <w:tc>
          <w:tcPr>
            <w:tcW w:w="1018" w:type="dxa"/>
            <w:tcBorders>
              <w:top w:val="single" w:color="auto" w:sz="4" w:space="0"/>
              <w:left w:val="nil"/>
              <w:bottom w:val="single" w:color="auto" w:sz="4" w:space="0"/>
              <w:right w:val="single" w:color="auto" w:sz="4" w:space="0"/>
            </w:tcBorders>
            <w:shd w:val="clear" w:color="auto" w:fill="auto"/>
            <w:vAlign w:val="center"/>
          </w:tcPr>
          <w:p w14:paraId="18F27009">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职 务</w:t>
            </w:r>
          </w:p>
        </w:tc>
        <w:tc>
          <w:tcPr>
            <w:tcW w:w="1170" w:type="dxa"/>
            <w:tcBorders>
              <w:top w:val="single" w:color="auto" w:sz="4" w:space="0"/>
              <w:left w:val="nil"/>
              <w:bottom w:val="single" w:color="auto" w:sz="4" w:space="0"/>
              <w:right w:val="single" w:color="auto" w:sz="4" w:space="0"/>
            </w:tcBorders>
            <w:shd w:val="clear" w:color="auto" w:fill="auto"/>
            <w:vAlign w:val="center"/>
          </w:tcPr>
          <w:p w14:paraId="1ED68B5B">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p>
        </w:tc>
        <w:tc>
          <w:tcPr>
            <w:tcW w:w="2339" w:type="dxa"/>
            <w:gridSpan w:val="3"/>
            <w:tcBorders>
              <w:top w:val="single" w:color="auto" w:sz="4" w:space="0"/>
              <w:left w:val="nil"/>
              <w:bottom w:val="single" w:color="auto" w:sz="4" w:space="0"/>
              <w:right w:val="single" w:color="auto" w:sz="4" w:space="0"/>
            </w:tcBorders>
            <w:shd w:val="clear" w:color="auto" w:fill="auto"/>
            <w:vAlign w:val="center"/>
          </w:tcPr>
          <w:p w14:paraId="0B988785">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拟在本合同任职</w:t>
            </w:r>
          </w:p>
        </w:tc>
        <w:tc>
          <w:tcPr>
            <w:tcW w:w="2345" w:type="dxa"/>
            <w:tcBorders>
              <w:top w:val="single" w:color="auto" w:sz="4" w:space="0"/>
              <w:left w:val="nil"/>
              <w:bottom w:val="single" w:color="auto" w:sz="4" w:space="0"/>
              <w:right w:val="single" w:color="auto" w:sz="4" w:space="0"/>
            </w:tcBorders>
            <w:shd w:val="clear" w:color="auto" w:fill="auto"/>
            <w:vAlign w:val="center"/>
          </w:tcPr>
          <w:p w14:paraId="2F31B5AA">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p>
        </w:tc>
      </w:tr>
      <w:tr w14:paraId="7EA4E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5" w:hRule="atLeast"/>
          <w:jc w:val="center"/>
        </w:trPr>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14:paraId="1B7836EE">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毕业学校</w:t>
            </w:r>
          </w:p>
        </w:tc>
        <w:tc>
          <w:tcPr>
            <w:tcW w:w="8057" w:type="dxa"/>
            <w:gridSpan w:val="8"/>
            <w:tcBorders>
              <w:top w:val="single" w:color="auto" w:sz="4" w:space="0"/>
              <w:left w:val="nil"/>
              <w:bottom w:val="single" w:color="auto" w:sz="4" w:space="0"/>
              <w:right w:val="single" w:color="auto" w:sz="4" w:space="0"/>
            </w:tcBorders>
            <w:shd w:val="clear" w:color="auto" w:fill="auto"/>
            <w:vAlign w:val="top"/>
          </w:tcPr>
          <w:p w14:paraId="503F6E8B">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年毕业于            学校        专业</w:t>
            </w:r>
          </w:p>
        </w:tc>
      </w:tr>
      <w:tr w14:paraId="362AB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5" w:hRule="atLeast"/>
          <w:jc w:val="center"/>
        </w:trPr>
        <w:tc>
          <w:tcPr>
            <w:tcW w:w="936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45AAFBD4">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主要工作经历</w:t>
            </w:r>
          </w:p>
        </w:tc>
      </w:tr>
      <w:tr w14:paraId="0CE7C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5" w:hRule="atLeast"/>
          <w:jc w:val="center"/>
        </w:trPr>
        <w:tc>
          <w:tcPr>
            <w:tcW w:w="16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00CEF7E">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时  间</w:t>
            </w:r>
          </w:p>
        </w:tc>
        <w:tc>
          <w:tcPr>
            <w:tcW w:w="3756" w:type="dxa"/>
            <w:gridSpan w:val="4"/>
            <w:tcBorders>
              <w:top w:val="single" w:color="auto" w:sz="4" w:space="0"/>
              <w:left w:val="nil"/>
              <w:bottom w:val="single" w:color="auto" w:sz="4" w:space="0"/>
              <w:right w:val="single" w:color="auto" w:sz="4" w:space="0"/>
            </w:tcBorders>
            <w:shd w:val="clear" w:color="auto" w:fill="auto"/>
            <w:vAlign w:val="center"/>
          </w:tcPr>
          <w:p w14:paraId="58EB893B">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参加过的类似项目</w:t>
            </w:r>
          </w:p>
        </w:tc>
        <w:tc>
          <w:tcPr>
            <w:tcW w:w="1385" w:type="dxa"/>
            <w:tcBorders>
              <w:top w:val="single" w:color="auto" w:sz="4" w:space="0"/>
              <w:left w:val="nil"/>
              <w:bottom w:val="single" w:color="auto" w:sz="4" w:space="0"/>
              <w:right w:val="single" w:color="auto" w:sz="4" w:space="0"/>
            </w:tcBorders>
            <w:shd w:val="clear" w:color="auto" w:fill="auto"/>
            <w:vAlign w:val="center"/>
          </w:tcPr>
          <w:p w14:paraId="3505BDC7">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担任职务</w:t>
            </w:r>
          </w:p>
        </w:tc>
        <w:tc>
          <w:tcPr>
            <w:tcW w:w="2522" w:type="dxa"/>
            <w:gridSpan w:val="2"/>
            <w:tcBorders>
              <w:top w:val="single" w:color="auto" w:sz="4" w:space="0"/>
              <w:left w:val="nil"/>
              <w:bottom w:val="single" w:color="auto" w:sz="4" w:space="0"/>
              <w:right w:val="single" w:color="auto" w:sz="4" w:space="0"/>
            </w:tcBorders>
            <w:shd w:val="clear" w:color="auto" w:fill="auto"/>
            <w:vAlign w:val="center"/>
          </w:tcPr>
          <w:p w14:paraId="7B002162">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发包人及联系电话</w:t>
            </w:r>
          </w:p>
        </w:tc>
      </w:tr>
      <w:tr w14:paraId="3BA9F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9" w:hRule="atLeast"/>
          <w:jc w:val="center"/>
        </w:trPr>
        <w:tc>
          <w:tcPr>
            <w:tcW w:w="1697"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5574CC3">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56" w:type="dxa"/>
            <w:gridSpan w:val="4"/>
            <w:tcBorders>
              <w:top w:val="single" w:color="auto" w:sz="4" w:space="0"/>
              <w:left w:val="nil"/>
              <w:bottom w:val="single" w:color="auto" w:sz="4" w:space="0"/>
              <w:right w:val="single" w:color="auto" w:sz="4" w:space="0"/>
            </w:tcBorders>
            <w:shd w:val="clear" w:color="auto" w:fill="auto"/>
            <w:vAlign w:val="top"/>
          </w:tcPr>
          <w:p w14:paraId="190BD508">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85" w:type="dxa"/>
            <w:tcBorders>
              <w:top w:val="single" w:color="auto" w:sz="4" w:space="0"/>
              <w:left w:val="nil"/>
              <w:bottom w:val="single" w:color="auto" w:sz="4" w:space="0"/>
              <w:right w:val="single" w:color="auto" w:sz="4" w:space="0"/>
            </w:tcBorders>
            <w:shd w:val="clear" w:color="auto" w:fill="auto"/>
            <w:vAlign w:val="top"/>
          </w:tcPr>
          <w:p w14:paraId="5EE6DE89">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22" w:type="dxa"/>
            <w:gridSpan w:val="2"/>
            <w:tcBorders>
              <w:top w:val="single" w:color="auto" w:sz="4" w:space="0"/>
              <w:left w:val="nil"/>
              <w:bottom w:val="single" w:color="auto" w:sz="4" w:space="0"/>
              <w:right w:val="single" w:color="auto" w:sz="4" w:space="0"/>
            </w:tcBorders>
            <w:shd w:val="clear" w:color="auto" w:fill="auto"/>
            <w:vAlign w:val="top"/>
          </w:tcPr>
          <w:p w14:paraId="19E9A941">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5653B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9" w:hRule="atLeast"/>
          <w:jc w:val="center"/>
        </w:trPr>
        <w:tc>
          <w:tcPr>
            <w:tcW w:w="1697"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654DC4D">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56" w:type="dxa"/>
            <w:gridSpan w:val="4"/>
            <w:tcBorders>
              <w:top w:val="single" w:color="auto" w:sz="4" w:space="0"/>
              <w:left w:val="nil"/>
              <w:bottom w:val="single" w:color="auto" w:sz="4" w:space="0"/>
              <w:right w:val="single" w:color="auto" w:sz="4" w:space="0"/>
            </w:tcBorders>
            <w:shd w:val="clear" w:color="auto" w:fill="auto"/>
            <w:vAlign w:val="top"/>
          </w:tcPr>
          <w:p w14:paraId="2422B875">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85" w:type="dxa"/>
            <w:tcBorders>
              <w:top w:val="single" w:color="auto" w:sz="4" w:space="0"/>
              <w:left w:val="nil"/>
              <w:bottom w:val="single" w:color="auto" w:sz="4" w:space="0"/>
              <w:right w:val="single" w:color="auto" w:sz="4" w:space="0"/>
            </w:tcBorders>
            <w:shd w:val="clear" w:color="auto" w:fill="auto"/>
            <w:vAlign w:val="top"/>
          </w:tcPr>
          <w:p w14:paraId="14D0DEEF">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22" w:type="dxa"/>
            <w:gridSpan w:val="2"/>
            <w:tcBorders>
              <w:top w:val="single" w:color="auto" w:sz="4" w:space="0"/>
              <w:left w:val="nil"/>
              <w:bottom w:val="single" w:color="auto" w:sz="4" w:space="0"/>
              <w:right w:val="single" w:color="auto" w:sz="4" w:space="0"/>
            </w:tcBorders>
            <w:shd w:val="clear" w:color="auto" w:fill="auto"/>
            <w:vAlign w:val="top"/>
          </w:tcPr>
          <w:p w14:paraId="461E4EDA">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2150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9" w:hRule="atLeast"/>
          <w:jc w:val="center"/>
        </w:trPr>
        <w:tc>
          <w:tcPr>
            <w:tcW w:w="1697"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92D40CC">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56" w:type="dxa"/>
            <w:gridSpan w:val="4"/>
            <w:tcBorders>
              <w:top w:val="single" w:color="auto" w:sz="4" w:space="0"/>
              <w:left w:val="nil"/>
              <w:bottom w:val="single" w:color="auto" w:sz="4" w:space="0"/>
              <w:right w:val="single" w:color="auto" w:sz="4" w:space="0"/>
            </w:tcBorders>
            <w:shd w:val="clear" w:color="auto" w:fill="auto"/>
            <w:vAlign w:val="top"/>
          </w:tcPr>
          <w:p w14:paraId="1F6E4F12">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85" w:type="dxa"/>
            <w:tcBorders>
              <w:top w:val="single" w:color="auto" w:sz="4" w:space="0"/>
              <w:left w:val="nil"/>
              <w:bottom w:val="single" w:color="auto" w:sz="4" w:space="0"/>
              <w:right w:val="single" w:color="auto" w:sz="4" w:space="0"/>
            </w:tcBorders>
            <w:shd w:val="clear" w:color="auto" w:fill="auto"/>
            <w:vAlign w:val="top"/>
          </w:tcPr>
          <w:p w14:paraId="19A5AEE7">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22" w:type="dxa"/>
            <w:gridSpan w:val="2"/>
            <w:tcBorders>
              <w:top w:val="single" w:color="auto" w:sz="4" w:space="0"/>
              <w:left w:val="nil"/>
              <w:bottom w:val="single" w:color="auto" w:sz="4" w:space="0"/>
              <w:right w:val="single" w:color="auto" w:sz="4" w:space="0"/>
            </w:tcBorders>
            <w:shd w:val="clear" w:color="auto" w:fill="auto"/>
            <w:vAlign w:val="top"/>
          </w:tcPr>
          <w:p w14:paraId="34F9C0E4">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16F91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9" w:hRule="atLeast"/>
          <w:jc w:val="center"/>
        </w:trPr>
        <w:tc>
          <w:tcPr>
            <w:tcW w:w="1697"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552B1CDF">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56" w:type="dxa"/>
            <w:gridSpan w:val="4"/>
            <w:tcBorders>
              <w:top w:val="single" w:color="auto" w:sz="4" w:space="0"/>
              <w:left w:val="nil"/>
              <w:bottom w:val="single" w:color="auto" w:sz="4" w:space="0"/>
              <w:right w:val="single" w:color="auto" w:sz="4" w:space="0"/>
            </w:tcBorders>
            <w:shd w:val="clear" w:color="auto" w:fill="auto"/>
            <w:vAlign w:val="top"/>
          </w:tcPr>
          <w:p w14:paraId="3E86ABFB">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85" w:type="dxa"/>
            <w:tcBorders>
              <w:top w:val="single" w:color="auto" w:sz="4" w:space="0"/>
              <w:left w:val="nil"/>
              <w:bottom w:val="single" w:color="auto" w:sz="4" w:space="0"/>
              <w:right w:val="single" w:color="auto" w:sz="4" w:space="0"/>
            </w:tcBorders>
            <w:shd w:val="clear" w:color="auto" w:fill="auto"/>
            <w:vAlign w:val="top"/>
          </w:tcPr>
          <w:p w14:paraId="0B69F3BA">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22" w:type="dxa"/>
            <w:gridSpan w:val="2"/>
            <w:tcBorders>
              <w:top w:val="single" w:color="auto" w:sz="4" w:space="0"/>
              <w:left w:val="nil"/>
              <w:bottom w:val="single" w:color="auto" w:sz="4" w:space="0"/>
              <w:right w:val="single" w:color="auto" w:sz="4" w:space="0"/>
            </w:tcBorders>
            <w:shd w:val="clear" w:color="auto" w:fill="auto"/>
            <w:vAlign w:val="top"/>
          </w:tcPr>
          <w:p w14:paraId="4489D627">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75E88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9" w:hRule="atLeast"/>
          <w:jc w:val="center"/>
        </w:trPr>
        <w:tc>
          <w:tcPr>
            <w:tcW w:w="1697"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07356F41">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56" w:type="dxa"/>
            <w:gridSpan w:val="4"/>
            <w:tcBorders>
              <w:top w:val="single" w:color="auto" w:sz="4" w:space="0"/>
              <w:left w:val="nil"/>
              <w:bottom w:val="single" w:color="auto" w:sz="4" w:space="0"/>
              <w:right w:val="single" w:color="auto" w:sz="4" w:space="0"/>
            </w:tcBorders>
            <w:shd w:val="clear" w:color="auto" w:fill="auto"/>
            <w:vAlign w:val="top"/>
          </w:tcPr>
          <w:p w14:paraId="0AF01D34">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85" w:type="dxa"/>
            <w:tcBorders>
              <w:top w:val="single" w:color="auto" w:sz="4" w:space="0"/>
              <w:left w:val="nil"/>
              <w:bottom w:val="single" w:color="auto" w:sz="4" w:space="0"/>
              <w:right w:val="single" w:color="auto" w:sz="4" w:space="0"/>
            </w:tcBorders>
            <w:shd w:val="clear" w:color="auto" w:fill="auto"/>
            <w:vAlign w:val="top"/>
          </w:tcPr>
          <w:p w14:paraId="6260040E">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22" w:type="dxa"/>
            <w:gridSpan w:val="2"/>
            <w:tcBorders>
              <w:top w:val="single" w:color="auto" w:sz="4" w:space="0"/>
              <w:left w:val="nil"/>
              <w:bottom w:val="single" w:color="auto" w:sz="4" w:space="0"/>
              <w:right w:val="single" w:color="auto" w:sz="4" w:space="0"/>
            </w:tcBorders>
            <w:shd w:val="clear" w:color="auto" w:fill="auto"/>
            <w:vAlign w:val="top"/>
          </w:tcPr>
          <w:p w14:paraId="528A47EC">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76BF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9" w:hRule="atLeast"/>
          <w:jc w:val="center"/>
        </w:trPr>
        <w:tc>
          <w:tcPr>
            <w:tcW w:w="1697"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46A7C5B">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56" w:type="dxa"/>
            <w:gridSpan w:val="4"/>
            <w:tcBorders>
              <w:top w:val="single" w:color="auto" w:sz="4" w:space="0"/>
              <w:left w:val="nil"/>
              <w:bottom w:val="single" w:color="auto" w:sz="4" w:space="0"/>
              <w:right w:val="single" w:color="auto" w:sz="4" w:space="0"/>
            </w:tcBorders>
            <w:shd w:val="clear" w:color="auto" w:fill="auto"/>
            <w:vAlign w:val="top"/>
          </w:tcPr>
          <w:p w14:paraId="5557D7F2">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85" w:type="dxa"/>
            <w:tcBorders>
              <w:top w:val="single" w:color="auto" w:sz="4" w:space="0"/>
              <w:left w:val="nil"/>
              <w:bottom w:val="single" w:color="auto" w:sz="4" w:space="0"/>
              <w:right w:val="single" w:color="auto" w:sz="4" w:space="0"/>
            </w:tcBorders>
            <w:shd w:val="clear" w:color="auto" w:fill="auto"/>
            <w:vAlign w:val="top"/>
          </w:tcPr>
          <w:p w14:paraId="77077CFF">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22" w:type="dxa"/>
            <w:gridSpan w:val="2"/>
            <w:tcBorders>
              <w:top w:val="single" w:color="auto" w:sz="4" w:space="0"/>
              <w:left w:val="nil"/>
              <w:bottom w:val="single" w:color="auto" w:sz="4" w:space="0"/>
              <w:right w:val="single" w:color="auto" w:sz="4" w:space="0"/>
            </w:tcBorders>
            <w:shd w:val="clear" w:color="auto" w:fill="auto"/>
            <w:vAlign w:val="top"/>
          </w:tcPr>
          <w:p w14:paraId="1C2547BE">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2D639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9" w:hRule="atLeast"/>
          <w:jc w:val="center"/>
        </w:trPr>
        <w:tc>
          <w:tcPr>
            <w:tcW w:w="1697"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6F37D193">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56" w:type="dxa"/>
            <w:gridSpan w:val="4"/>
            <w:tcBorders>
              <w:top w:val="single" w:color="auto" w:sz="4" w:space="0"/>
              <w:left w:val="nil"/>
              <w:bottom w:val="single" w:color="auto" w:sz="4" w:space="0"/>
              <w:right w:val="single" w:color="auto" w:sz="4" w:space="0"/>
            </w:tcBorders>
            <w:shd w:val="clear" w:color="auto" w:fill="auto"/>
            <w:vAlign w:val="top"/>
          </w:tcPr>
          <w:p w14:paraId="6DA74E05">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85" w:type="dxa"/>
            <w:tcBorders>
              <w:top w:val="single" w:color="auto" w:sz="4" w:space="0"/>
              <w:left w:val="nil"/>
              <w:bottom w:val="single" w:color="auto" w:sz="4" w:space="0"/>
              <w:right w:val="single" w:color="auto" w:sz="4" w:space="0"/>
            </w:tcBorders>
            <w:shd w:val="clear" w:color="auto" w:fill="auto"/>
            <w:vAlign w:val="top"/>
          </w:tcPr>
          <w:p w14:paraId="7883214F">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22" w:type="dxa"/>
            <w:gridSpan w:val="2"/>
            <w:tcBorders>
              <w:top w:val="single" w:color="auto" w:sz="4" w:space="0"/>
              <w:left w:val="nil"/>
              <w:bottom w:val="single" w:color="auto" w:sz="4" w:space="0"/>
              <w:right w:val="single" w:color="auto" w:sz="4" w:space="0"/>
            </w:tcBorders>
            <w:shd w:val="clear" w:color="auto" w:fill="auto"/>
            <w:vAlign w:val="top"/>
          </w:tcPr>
          <w:p w14:paraId="6DB3FF83">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7B27C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1" w:hRule="atLeast"/>
          <w:jc w:val="center"/>
        </w:trPr>
        <w:tc>
          <w:tcPr>
            <w:tcW w:w="1697"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7808DD4">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56" w:type="dxa"/>
            <w:gridSpan w:val="4"/>
            <w:tcBorders>
              <w:top w:val="single" w:color="auto" w:sz="4" w:space="0"/>
              <w:left w:val="nil"/>
              <w:bottom w:val="single" w:color="auto" w:sz="4" w:space="0"/>
              <w:right w:val="single" w:color="auto" w:sz="4" w:space="0"/>
            </w:tcBorders>
            <w:shd w:val="clear" w:color="auto" w:fill="auto"/>
            <w:vAlign w:val="top"/>
          </w:tcPr>
          <w:p w14:paraId="62B066BA">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85" w:type="dxa"/>
            <w:tcBorders>
              <w:top w:val="single" w:color="auto" w:sz="4" w:space="0"/>
              <w:left w:val="nil"/>
              <w:bottom w:val="single" w:color="auto" w:sz="4" w:space="0"/>
              <w:right w:val="single" w:color="auto" w:sz="4" w:space="0"/>
            </w:tcBorders>
            <w:shd w:val="clear" w:color="auto" w:fill="auto"/>
            <w:vAlign w:val="top"/>
          </w:tcPr>
          <w:p w14:paraId="177309BE">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22" w:type="dxa"/>
            <w:gridSpan w:val="2"/>
            <w:tcBorders>
              <w:top w:val="single" w:color="auto" w:sz="4" w:space="0"/>
              <w:left w:val="nil"/>
              <w:bottom w:val="single" w:color="auto" w:sz="4" w:space="0"/>
              <w:right w:val="single" w:color="auto" w:sz="4" w:space="0"/>
            </w:tcBorders>
            <w:shd w:val="clear" w:color="auto" w:fill="auto"/>
            <w:vAlign w:val="top"/>
          </w:tcPr>
          <w:p w14:paraId="1C64E8A5">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1AC6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1" w:hRule="atLeast"/>
          <w:jc w:val="center"/>
        </w:trPr>
        <w:tc>
          <w:tcPr>
            <w:tcW w:w="1697"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734AA92A">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56" w:type="dxa"/>
            <w:gridSpan w:val="4"/>
            <w:tcBorders>
              <w:top w:val="single" w:color="auto" w:sz="4" w:space="0"/>
              <w:left w:val="nil"/>
              <w:bottom w:val="single" w:color="auto" w:sz="4" w:space="0"/>
              <w:right w:val="single" w:color="auto" w:sz="4" w:space="0"/>
            </w:tcBorders>
            <w:shd w:val="clear" w:color="auto" w:fill="auto"/>
            <w:vAlign w:val="top"/>
          </w:tcPr>
          <w:p w14:paraId="3FD60400">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85" w:type="dxa"/>
            <w:tcBorders>
              <w:top w:val="single" w:color="auto" w:sz="4" w:space="0"/>
              <w:left w:val="nil"/>
              <w:bottom w:val="single" w:color="auto" w:sz="4" w:space="0"/>
              <w:right w:val="single" w:color="auto" w:sz="4" w:space="0"/>
            </w:tcBorders>
            <w:shd w:val="clear" w:color="auto" w:fill="auto"/>
            <w:vAlign w:val="top"/>
          </w:tcPr>
          <w:p w14:paraId="1C6B4906">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22" w:type="dxa"/>
            <w:gridSpan w:val="2"/>
            <w:tcBorders>
              <w:top w:val="single" w:color="auto" w:sz="4" w:space="0"/>
              <w:left w:val="nil"/>
              <w:bottom w:val="single" w:color="auto" w:sz="4" w:space="0"/>
              <w:right w:val="single" w:color="auto" w:sz="4" w:space="0"/>
            </w:tcBorders>
            <w:shd w:val="clear" w:color="auto" w:fill="auto"/>
            <w:vAlign w:val="top"/>
          </w:tcPr>
          <w:p w14:paraId="231AB4A6">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bl>
    <w:p w14:paraId="5898F9DC">
      <w:pPr>
        <w:keepNext/>
        <w:keepLines/>
        <w:widowControl w:val="0"/>
        <w:suppressLineNumbers w:val="0"/>
        <w:spacing w:before="280" w:beforeLines="0" w:beforeAutospacing="0" w:after="290" w:afterLines="0" w:afterAutospacing="0" w:line="372" w:lineRule="auto"/>
        <w:ind w:left="0" w:right="0"/>
        <w:jc w:val="center"/>
        <w:outlineLvl w:val="3"/>
        <w:rPr>
          <w:rFonts w:hint="eastAsia" w:ascii="Arial" w:hAnsi="Arial" w:eastAsia="黑体" w:cs="Times New Roman"/>
          <w:b/>
          <w:bCs/>
          <w:color w:val="auto"/>
          <w:kern w:val="2"/>
          <w:sz w:val="28"/>
          <w:szCs w:val="28"/>
          <w:highlight w:val="none"/>
        </w:rPr>
      </w:pPr>
      <w:r>
        <w:rPr>
          <w:rFonts w:hint="eastAsia" w:ascii="Arial" w:hAnsi="Arial" w:eastAsia="黑体" w:cs="Times New Roman"/>
          <w:b/>
          <w:bCs/>
          <w:color w:val="auto"/>
          <w:kern w:val="2"/>
          <w:sz w:val="28"/>
          <w:szCs w:val="28"/>
          <w:highlight w:val="none"/>
          <w:lang w:val="en-US" w:eastAsia="zh-CN" w:bidi="ar"/>
        </w:rPr>
        <w:t xml:space="preserve"> </w:t>
      </w:r>
    </w:p>
    <w:p w14:paraId="65DCAA1C">
      <w:pPr>
        <w:keepNext/>
        <w:keepLines/>
        <w:widowControl w:val="0"/>
        <w:suppressLineNumbers w:val="0"/>
        <w:spacing w:before="280" w:beforeLines="0" w:beforeAutospacing="0" w:after="290" w:afterLines="0" w:afterAutospacing="0" w:line="372" w:lineRule="auto"/>
        <w:ind w:left="0" w:right="0"/>
        <w:jc w:val="center"/>
        <w:outlineLvl w:val="3"/>
        <w:rPr>
          <w:rFonts w:hint="default" w:ascii="Arial" w:hAnsi="Arial" w:eastAsia="黑体" w:cs="Times New Roman"/>
          <w:b/>
          <w:bCs/>
          <w:color w:val="auto"/>
          <w:kern w:val="2"/>
          <w:sz w:val="23"/>
          <w:szCs w:val="23"/>
          <w:highlight w:val="none"/>
        </w:rPr>
      </w:pPr>
      <w:r>
        <w:rPr>
          <w:rFonts w:hint="eastAsia" w:ascii="Arial" w:hAnsi="Arial" w:eastAsia="黑体" w:cs="Times New Roman"/>
          <w:b/>
          <w:bCs/>
          <w:color w:val="auto"/>
          <w:kern w:val="2"/>
          <w:sz w:val="28"/>
          <w:szCs w:val="28"/>
          <w:highlight w:val="none"/>
          <w:lang w:val="en-US" w:eastAsia="zh-CN" w:bidi="ar"/>
        </w:rPr>
        <w:br w:type="page"/>
      </w:r>
      <w:r>
        <w:rPr>
          <w:rFonts w:hint="eastAsia" w:ascii="黑体" w:hAnsi="宋体" w:eastAsia="黑体" w:cs="黑体"/>
          <w:b/>
          <w:bCs/>
          <w:color w:val="auto"/>
          <w:kern w:val="2"/>
          <w:sz w:val="28"/>
          <w:szCs w:val="28"/>
          <w:highlight w:val="none"/>
          <w:lang w:val="en-US" w:eastAsia="zh-CN" w:bidi="ar"/>
        </w:rPr>
        <w:t>附表</w:t>
      </w:r>
      <w:r>
        <w:rPr>
          <w:rFonts w:hint="default" w:ascii="Arial" w:hAnsi="Arial" w:eastAsia="黑体" w:cs="Arial"/>
          <w:b/>
          <w:bCs/>
          <w:color w:val="auto"/>
          <w:kern w:val="2"/>
          <w:sz w:val="28"/>
          <w:szCs w:val="28"/>
          <w:highlight w:val="none"/>
          <w:lang w:val="en-US" w:eastAsia="zh-CN" w:bidi="ar"/>
        </w:rPr>
        <w:t>3</w:t>
      </w:r>
      <w:r>
        <w:rPr>
          <w:rFonts w:hint="eastAsia" w:ascii="黑体" w:hAnsi="宋体" w:eastAsia="黑体" w:cs="黑体"/>
          <w:b/>
          <w:bCs/>
          <w:color w:val="auto"/>
          <w:kern w:val="2"/>
          <w:sz w:val="28"/>
          <w:szCs w:val="28"/>
          <w:highlight w:val="none"/>
          <w:lang w:val="en-US" w:eastAsia="zh-CN" w:bidi="ar"/>
        </w:rPr>
        <w:t>：拟任项目技术负责人简历表</w:t>
      </w:r>
    </w:p>
    <w:tbl>
      <w:tblPr>
        <w:tblStyle w:val="46"/>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08"/>
        <w:gridCol w:w="396"/>
        <w:gridCol w:w="794"/>
        <w:gridCol w:w="1023"/>
        <w:gridCol w:w="1175"/>
        <w:gridCol w:w="781"/>
        <w:gridCol w:w="1390"/>
        <w:gridCol w:w="178"/>
        <w:gridCol w:w="2355"/>
      </w:tblGrid>
      <w:tr w14:paraId="0BD5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4" w:hRule="atLeast"/>
          <w:jc w:val="center"/>
        </w:trPr>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14:paraId="27AB89BC">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姓  名</w:t>
            </w:r>
          </w:p>
        </w:tc>
        <w:tc>
          <w:tcPr>
            <w:tcW w:w="1190" w:type="dxa"/>
            <w:gridSpan w:val="2"/>
            <w:tcBorders>
              <w:top w:val="single" w:color="auto" w:sz="4" w:space="0"/>
              <w:left w:val="nil"/>
              <w:bottom w:val="single" w:color="auto" w:sz="4" w:space="0"/>
              <w:right w:val="single" w:color="auto" w:sz="4" w:space="0"/>
            </w:tcBorders>
            <w:shd w:val="clear" w:color="auto" w:fill="auto"/>
            <w:vAlign w:val="center"/>
          </w:tcPr>
          <w:p w14:paraId="39B3B0F4">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p>
        </w:tc>
        <w:tc>
          <w:tcPr>
            <w:tcW w:w="1023" w:type="dxa"/>
            <w:tcBorders>
              <w:top w:val="single" w:color="auto" w:sz="4" w:space="0"/>
              <w:left w:val="nil"/>
              <w:bottom w:val="single" w:color="auto" w:sz="4" w:space="0"/>
              <w:right w:val="single" w:color="auto" w:sz="4" w:space="0"/>
            </w:tcBorders>
            <w:shd w:val="clear" w:color="auto" w:fill="auto"/>
            <w:vAlign w:val="center"/>
          </w:tcPr>
          <w:p w14:paraId="7996ED71">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年 龄</w:t>
            </w:r>
          </w:p>
        </w:tc>
        <w:tc>
          <w:tcPr>
            <w:tcW w:w="1175" w:type="dxa"/>
            <w:tcBorders>
              <w:top w:val="single" w:color="auto" w:sz="4" w:space="0"/>
              <w:left w:val="nil"/>
              <w:bottom w:val="single" w:color="auto" w:sz="4" w:space="0"/>
              <w:right w:val="single" w:color="auto" w:sz="4" w:space="0"/>
            </w:tcBorders>
            <w:shd w:val="clear" w:color="auto" w:fill="auto"/>
            <w:vAlign w:val="center"/>
          </w:tcPr>
          <w:p w14:paraId="63B44D72">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p>
        </w:tc>
        <w:tc>
          <w:tcPr>
            <w:tcW w:w="2349" w:type="dxa"/>
            <w:gridSpan w:val="3"/>
            <w:tcBorders>
              <w:top w:val="single" w:color="auto" w:sz="4" w:space="0"/>
              <w:left w:val="nil"/>
              <w:bottom w:val="single" w:color="auto" w:sz="4" w:space="0"/>
              <w:right w:val="single" w:color="auto" w:sz="4" w:space="0"/>
            </w:tcBorders>
            <w:shd w:val="clear" w:color="auto" w:fill="auto"/>
            <w:vAlign w:val="center"/>
          </w:tcPr>
          <w:p w14:paraId="0DA07B72">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学历</w:t>
            </w:r>
          </w:p>
        </w:tc>
        <w:tc>
          <w:tcPr>
            <w:tcW w:w="2355" w:type="dxa"/>
            <w:tcBorders>
              <w:top w:val="single" w:color="auto" w:sz="4" w:space="0"/>
              <w:left w:val="nil"/>
              <w:bottom w:val="single" w:color="auto" w:sz="4" w:space="0"/>
              <w:right w:val="single" w:color="auto" w:sz="4" w:space="0"/>
            </w:tcBorders>
            <w:shd w:val="clear" w:color="auto" w:fill="auto"/>
            <w:vAlign w:val="center"/>
          </w:tcPr>
          <w:p w14:paraId="5AE85DFC">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p>
        </w:tc>
      </w:tr>
      <w:tr w14:paraId="1C1EA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4" w:hRule="atLeast"/>
          <w:jc w:val="center"/>
        </w:trPr>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14:paraId="30443C99">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职  称</w:t>
            </w:r>
          </w:p>
        </w:tc>
        <w:tc>
          <w:tcPr>
            <w:tcW w:w="1190" w:type="dxa"/>
            <w:gridSpan w:val="2"/>
            <w:tcBorders>
              <w:top w:val="single" w:color="auto" w:sz="4" w:space="0"/>
              <w:left w:val="nil"/>
              <w:bottom w:val="single" w:color="auto" w:sz="4" w:space="0"/>
              <w:right w:val="single" w:color="auto" w:sz="4" w:space="0"/>
            </w:tcBorders>
            <w:shd w:val="clear" w:color="auto" w:fill="auto"/>
            <w:vAlign w:val="center"/>
          </w:tcPr>
          <w:p w14:paraId="08A6F577">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p>
        </w:tc>
        <w:tc>
          <w:tcPr>
            <w:tcW w:w="1023" w:type="dxa"/>
            <w:tcBorders>
              <w:top w:val="single" w:color="auto" w:sz="4" w:space="0"/>
              <w:left w:val="nil"/>
              <w:bottom w:val="single" w:color="auto" w:sz="4" w:space="0"/>
              <w:right w:val="single" w:color="auto" w:sz="4" w:space="0"/>
            </w:tcBorders>
            <w:shd w:val="clear" w:color="auto" w:fill="auto"/>
            <w:vAlign w:val="center"/>
          </w:tcPr>
          <w:p w14:paraId="2F53802F">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职 务</w:t>
            </w:r>
          </w:p>
        </w:tc>
        <w:tc>
          <w:tcPr>
            <w:tcW w:w="1175" w:type="dxa"/>
            <w:tcBorders>
              <w:top w:val="single" w:color="auto" w:sz="4" w:space="0"/>
              <w:left w:val="nil"/>
              <w:bottom w:val="single" w:color="auto" w:sz="4" w:space="0"/>
              <w:right w:val="single" w:color="auto" w:sz="4" w:space="0"/>
            </w:tcBorders>
            <w:shd w:val="clear" w:color="auto" w:fill="auto"/>
            <w:vAlign w:val="center"/>
          </w:tcPr>
          <w:p w14:paraId="6566C71E">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p>
        </w:tc>
        <w:tc>
          <w:tcPr>
            <w:tcW w:w="2349" w:type="dxa"/>
            <w:gridSpan w:val="3"/>
            <w:tcBorders>
              <w:top w:val="single" w:color="auto" w:sz="4" w:space="0"/>
              <w:left w:val="nil"/>
              <w:bottom w:val="single" w:color="auto" w:sz="4" w:space="0"/>
              <w:right w:val="single" w:color="auto" w:sz="4" w:space="0"/>
            </w:tcBorders>
            <w:shd w:val="clear" w:color="auto" w:fill="auto"/>
            <w:vAlign w:val="center"/>
          </w:tcPr>
          <w:p w14:paraId="699513E1">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拟在本合同任职</w:t>
            </w:r>
          </w:p>
        </w:tc>
        <w:tc>
          <w:tcPr>
            <w:tcW w:w="2355" w:type="dxa"/>
            <w:tcBorders>
              <w:top w:val="single" w:color="auto" w:sz="4" w:space="0"/>
              <w:left w:val="nil"/>
              <w:bottom w:val="single" w:color="auto" w:sz="4" w:space="0"/>
              <w:right w:val="single" w:color="auto" w:sz="4" w:space="0"/>
            </w:tcBorders>
            <w:shd w:val="clear" w:color="auto" w:fill="auto"/>
            <w:vAlign w:val="center"/>
          </w:tcPr>
          <w:p w14:paraId="798830F4">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p>
        </w:tc>
      </w:tr>
      <w:tr w14:paraId="5995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14:paraId="7666B477">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毕业学校</w:t>
            </w:r>
          </w:p>
        </w:tc>
        <w:tc>
          <w:tcPr>
            <w:tcW w:w="8092" w:type="dxa"/>
            <w:gridSpan w:val="8"/>
            <w:tcBorders>
              <w:top w:val="single" w:color="auto" w:sz="4" w:space="0"/>
              <w:left w:val="nil"/>
              <w:bottom w:val="single" w:color="auto" w:sz="4" w:space="0"/>
              <w:right w:val="single" w:color="auto" w:sz="4" w:space="0"/>
            </w:tcBorders>
            <w:shd w:val="clear" w:color="auto" w:fill="auto"/>
            <w:vAlign w:val="top"/>
          </w:tcPr>
          <w:p w14:paraId="45236307">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年毕业于            学校        专业</w:t>
            </w:r>
          </w:p>
        </w:tc>
      </w:tr>
      <w:tr w14:paraId="74480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4" w:hRule="atLeast"/>
          <w:jc w:val="center"/>
        </w:trPr>
        <w:tc>
          <w:tcPr>
            <w:tcW w:w="940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7FD9220C">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主要工作经历</w:t>
            </w:r>
          </w:p>
        </w:tc>
      </w:tr>
      <w:tr w14:paraId="46401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4"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38ED1D">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时  间</w:t>
            </w:r>
          </w:p>
        </w:tc>
        <w:tc>
          <w:tcPr>
            <w:tcW w:w="3773" w:type="dxa"/>
            <w:gridSpan w:val="4"/>
            <w:tcBorders>
              <w:top w:val="single" w:color="auto" w:sz="4" w:space="0"/>
              <w:left w:val="nil"/>
              <w:bottom w:val="single" w:color="auto" w:sz="4" w:space="0"/>
              <w:right w:val="single" w:color="auto" w:sz="4" w:space="0"/>
            </w:tcBorders>
            <w:shd w:val="clear" w:color="auto" w:fill="auto"/>
            <w:vAlign w:val="center"/>
          </w:tcPr>
          <w:p w14:paraId="59D10B9E">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参加过的类似项目</w:t>
            </w:r>
          </w:p>
        </w:tc>
        <w:tc>
          <w:tcPr>
            <w:tcW w:w="1390" w:type="dxa"/>
            <w:tcBorders>
              <w:top w:val="single" w:color="auto" w:sz="4" w:space="0"/>
              <w:left w:val="nil"/>
              <w:bottom w:val="single" w:color="auto" w:sz="4" w:space="0"/>
              <w:right w:val="single" w:color="auto" w:sz="4" w:space="0"/>
            </w:tcBorders>
            <w:shd w:val="clear" w:color="auto" w:fill="auto"/>
            <w:vAlign w:val="center"/>
          </w:tcPr>
          <w:p w14:paraId="26845D31">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担任职务</w:t>
            </w:r>
          </w:p>
        </w:tc>
        <w:tc>
          <w:tcPr>
            <w:tcW w:w="2533" w:type="dxa"/>
            <w:gridSpan w:val="2"/>
            <w:tcBorders>
              <w:top w:val="single" w:color="auto" w:sz="4" w:space="0"/>
              <w:left w:val="nil"/>
              <w:bottom w:val="single" w:color="auto" w:sz="4" w:space="0"/>
              <w:right w:val="single" w:color="auto" w:sz="4" w:space="0"/>
            </w:tcBorders>
            <w:shd w:val="clear" w:color="auto" w:fill="auto"/>
            <w:vAlign w:val="center"/>
          </w:tcPr>
          <w:p w14:paraId="6F0E5FB1">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发包人及联系电话</w:t>
            </w:r>
          </w:p>
        </w:tc>
      </w:tr>
      <w:tr w14:paraId="5B34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42DBE0E">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73" w:type="dxa"/>
            <w:gridSpan w:val="4"/>
            <w:tcBorders>
              <w:top w:val="single" w:color="auto" w:sz="4" w:space="0"/>
              <w:left w:val="nil"/>
              <w:bottom w:val="single" w:color="auto" w:sz="4" w:space="0"/>
              <w:right w:val="single" w:color="auto" w:sz="4" w:space="0"/>
            </w:tcBorders>
            <w:shd w:val="clear" w:color="auto" w:fill="auto"/>
            <w:vAlign w:val="top"/>
          </w:tcPr>
          <w:p w14:paraId="2355B7F2">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90" w:type="dxa"/>
            <w:tcBorders>
              <w:top w:val="single" w:color="auto" w:sz="4" w:space="0"/>
              <w:left w:val="nil"/>
              <w:bottom w:val="single" w:color="auto" w:sz="4" w:space="0"/>
              <w:right w:val="single" w:color="auto" w:sz="4" w:space="0"/>
            </w:tcBorders>
            <w:shd w:val="clear" w:color="auto" w:fill="auto"/>
            <w:vAlign w:val="top"/>
          </w:tcPr>
          <w:p w14:paraId="2DD4CF9F">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33" w:type="dxa"/>
            <w:gridSpan w:val="2"/>
            <w:tcBorders>
              <w:top w:val="single" w:color="auto" w:sz="4" w:space="0"/>
              <w:left w:val="nil"/>
              <w:bottom w:val="single" w:color="auto" w:sz="4" w:space="0"/>
              <w:right w:val="single" w:color="auto" w:sz="4" w:space="0"/>
            </w:tcBorders>
            <w:shd w:val="clear" w:color="auto" w:fill="auto"/>
            <w:vAlign w:val="top"/>
          </w:tcPr>
          <w:p w14:paraId="5D2B5B1F">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5C8FF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834946E">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73" w:type="dxa"/>
            <w:gridSpan w:val="4"/>
            <w:tcBorders>
              <w:top w:val="single" w:color="auto" w:sz="4" w:space="0"/>
              <w:left w:val="nil"/>
              <w:bottom w:val="single" w:color="auto" w:sz="4" w:space="0"/>
              <w:right w:val="single" w:color="auto" w:sz="4" w:space="0"/>
            </w:tcBorders>
            <w:shd w:val="clear" w:color="auto" w:fill="auto"/>
            <w:vAlign w:val="top"/>
          </w:tcPr>
          <w:p w14:paraId="0924FC48">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90" w:type="dxa"/>
            <w:tcBorders>
              <w:top w:val="single" w:color="auto" w:sz="4" w:space="0"/>
              <w:left w:val="nil"/>
              <w:bottom w:val="single" w:color="auto" w:sz="4" w:space="0"/>
              <w:right w:val="single" w:color="auto" w:sz="4" w:space="0"/>
            </w:tcBorders>
            <w:shd w:val="clear" w:color="auto" w:fill="auto"/>
            <w:vAlign w:val="top"/>
          </w:tcPr>
          <w:p w14:paraId="7AD9000A">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33" w:type="dxa"/>
            <w:gridSpan w:val="2"/>
            <w:tcBorders>
              <w:top w:val="single" w:color="auto" w:sz="4" w:space="0"/>
              <w:left w:val="nil"/>
              <w:bottom w:val="single" w:color="auto" w:sz="4" w:space="0"/>
              <w:right w:val="single" w:color="auto" w:sz="4" w:space="0"/>
            </w:tcBorders>
            <w:shd w:val="clear" w:color="auto" w:fill="auto"/>
            <w:vAlign w:val="top"/>
          </w:tcPr>
          <w:p w14:paraId="19881A7F">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678BE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0A5A7767">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73" w:type="dxa"/>
            <w:gridSpan w:val="4"/>
            <w:tcBorders>
              <w:top w:val="single" w:color="auto" w:sz="4" w:space="0"/>
              <w:left w:val="nil"/>
              <w:bottom w:val="single" w:color="auto" w:sz="4" w:space="0"/>
              <w:right w:val="single" w:color="auto" w:sz="4" w:space="0"/>
            </w:tcBorders>
            <w:shd w:val="clear" w:color="auto" w:fill="auto"/>
            <w:vAlign w:val="top"/>
          </w:tcPr>
          <w:p w14:paraId="79A1DD4C">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90" w:type="dxa"/>
            <w:tcBorders>
              <w:top w:val="single" w:color="auto" w:sz="4" w:space="0"/>
              <w:left w:val="nil"/>
              <w:bottom w:val="single" w:color="auto" w:sz="4" w:space="0"/>
              <w:right w:val="single" w:color="auto" w:sz="4" w:space="0"/>
            </w:tcBorders>
            <w:shd w:val="clear" w:color="auto" w:fill="auto"/>
            <w:vAlign w:val="top"/>
          </w:tcPr>
          <w:p w14:paraId="7D18BFBE">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33" w:type="dxa"/>
            <w:gridSpan w:val="2"/>
            <w:tcBorders>
              <w:top w:val="single" w:color="auto" w:sz="4" w:space="0"/>
              <w:left w:val="nil"/>
              <w:bottom w:val="single" w:color="auto" w:sz="4" w:space="0"/>
              <w:right w:val="single" w:color="auto" w:sz="4" w:space="0"/>
            </w:tcBorders>
            <w:shd w:val="clear" w:color="auto" w:fill="auto"/>
            <w:vAlign w:val="top"/>
          </w:tcPr>
          <w:p w14:paraId="48261F3A">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10AC8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F79260A">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73" w:type="dxa"/>
            <w:gridSpan w:val="4"/>
            <w:tcBorders>
              <w:top w:val="single" w:color="auto" w:sz="4" w:space="0"/>
              <w:left w:val="nil"/>
              <w:bottom w:val="single" w:color="auto" w:sz="4" w:space="0"/>
              <w:right w:val="single" w:color="auto" w:sz="4" w:space="0"/>
            </w:tcBorders>
            <w:shd w:val="clear" w:color="auto" w:fill="auto"/>
            <w:vAlign w:val="top"/>
          </w:tcPr>
          <w:p w14:paraId="7462FB36">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90" w:type="dxa"/>
            <w:tcBorders>
              <w:top w:val="single" w:color="auto" w:sz="4" w:space="0"/>
              <w:left w:val="nil"/>
              <w:bottom w:val="single" w:color="auto" w:sz="4" w:space="0"/>
              <w:right w:val="single" w:color="auto" w:sz="4" w:space="0"/>
            </w:tcBorders>
            <w:shd w:val="clear" w:color="auto" w:fill="auto"/>
            <w:vAlign w:val="top"/>
          </w:tcPr>
          <w:p w14:paraId="108E0A35">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33" w:type="dxa"/>
            <w:gridSpan w:val="2"/>
            <w:tcBorders>
              <w:top w:val="single" w:color="auto" w:sz="4" w:space="0"/>
              <w:left w:val="nil"/>
              <w:bottom w:val="single" w:color="auto" w:sz="4" w:space="0"/>
              <w:right w:val="single" w:color="auto" w:sz="4" w:space="0"/>
            </w:tcBorders>
            <w:shd w:val="clear" w:color="auto" w:fill="auto"/>
            <w:vAlign w:val="top"/>
          </w:tcPr>
          <w:p w14:paraId="209BA4A3">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4363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747D1295">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73" w:type="dxa"/>
            <w:gridSpan w:val="4"/>
            <w:tcBorders>
              <w:top w:val="single" w:color="auto" w:sz="4" w:space="0"/>
              <w:left w:val="nil"/>
              <w:bottom w:val="single" w:color="auto" w:sz="4" w:space="0"/>
              <w:right w:val="single" w:color="auto" w:sz="4" w:space="0"/>
            </w:tcBorders>
            <w:shd w:val="clear" w:color="auto" w:fill="auto"/>
            <w:vAlign w:val="top"/>
          </w:tcPr>
          <w:p w14:paraId="15BBA0DC">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90" w:type="dxa"/>
            <w:tcBorders>
              <w:top w:val="single" w:color="auto" w:sz="4" w:space="0"/>
              <w:left w:val="nil"/>
              <w:bottom w:val="single" w:color="auto" w:sz="4" w:space="0"/>
              <w:right w:val="single" w:color="auto" w:sz="4" w:space="0"/>
            </w:tcBorders>
            <w:shd w:val="clear" w:color="auto" w:fill="auto"/>
            <w:vAlign w:val="top"/>
          </w:tcPr>
          <w:p w14:paraId="2163BF6E">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33" w:type="dxa"/>
            <w:gridSpan w:val="2"/>
            <w:tcBorders>
              <w:top w:val="single" w:color="auto" w:sz="4" w:space="0"/>
              <w:left w:val="nil"/>
              <w:bottom w:val="single" w:color="auto" w:sz="4" w:space="0"/>
              <w:right w:val="single" w:color="auto" w:sz="4" w:space="0"/>
            </w:tcBorders>
            <w:shd w:val="clear" w:color="auto" w:fill="auto"/>
            <w:vAlign w:val="top"/>
          </w:tcPr>
          <w:p w14:paraId="2386DFF1">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24C1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AE8B092">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73" w:type="dxa"/>
            <w:gridSpan w:val="4"/>
            <w:tcBorders>
              <w:top w:val="single" w:color="auto" w:sz="4" w:space="0"/>
              <w:left w:val="nil"/>
              <w:bottom w:val="single" w:color="auto" w:sz="4" w:space="0"/>
              <w:right w:val="single" w:color="auto" w:sz="4" w:space="0"/>
            </w:tcBorders>
            <w:shd w:val="clear" w:color="auto" w:fill="auto"/>
            <w:vAlign w:val="top"/>
          </w:tcPr>
          <w:p w14:paraId="7F1162CF">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90" w:type="dxa"/>
            <w:tcBorders>
              <w:top w:val="single" w:color="auto" w:sz="4" w:space="0"/>
              <w:left w:val="nil"/>
              <w:bottom w:val="single" w:color="auto" w:sz="4" w:space="0"/>
              <w:right w:val="single" w:color="auto" w:sz="4" w:space="0"/>
            </w:tcBorders>
            <w:shd w:val="clear" w:color="auto" w:fill="auto"/>
            <w:vAlign w:val="top"/>
          </w:tcPr>
          <w:p w14:paraId="12B4795F">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33" w:type="dxa"/>
            <w:gridSpan w:val="2"/>
            <w:tcBorders>
              <w:top w:val="single" w:color="auto" w:sz="4" w:space="0"/>
              <w:left w:val="nil"/>
              <w:bottom w:val="single" w:color="auto" w:sz="4" w:space="0"/>
              <w:right w:val="single" w:color="auto" w:sz="4" w:space="0"/>
            </w:tcBorders>
            <w:shd w:val="clear" w:color="auto" w:fill="auto"/>
            <w:vAlign w:val="top"/>
          </w:tcPr>
          <w:p w14:paraId="3A905253">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38C28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73A6D667">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73" w:type="dxa"/>
            <w:gridSpan w:val="4"/>
            <w:tcBorders>
              <w:top w:val="single" w:color="auto" w:sz="4" w:space="0"/>
              <w:left w:val="nil"/>
              <w:bottom w:val="single" w:color="auto" w:sz="4" w:space="0"/>
              <w:right w:val="single" w:color="auto" w:sz="4" w:space="0"/>
            </w:tcBorders>
            <w:shd w:val="clear" w:color="auto" w:fill="auto"/>
            <w:vAlign w:val="top"/>
          </w:tcPr>
          <w:p w14:paraId="3CFFC4FC">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90" w:type="dxa"/>
            <w:tcBorders>
              <w:top w:val="single" w:color="auto" w:sz="4" w:space="0"/>
              <w:left w:val="nil"/>
              <w:bottom w:val="single" w:color="auto" w:sz="4" w:space="0"/>
              <w:right w:val="single" w:color="auto" w:sz="4" w:space="0"/>
            </w:tcBorders>
            <w:shd w:val="clear" w:color="auto" w:fill="auto"/>
            <w:vAlign w:val="top"/>
          </w:tcPr>
          <w:p w14:paraId="3494F652">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33" w:type="dxa"/>
            <w:gridSpan w:val="2"/>
            <w:tcBorders>
              <w:top w:val="single" w:color="auto" w:sz="4" w:space="0"/>
              <w:left w:val="nil"/>
              <w:bottom w:val="single" w:color="auto" w:sz="4" w:space="0"/>
              <w:right w:val="single" w:color="auto" w:sz="4" w:space="0"/>
            </w:tcBorders>
            <w:shd w:val="clear" w:color="auto" w:fill="auto"/>
            <w:vAlign w:val="top"/>
          </w:tcPr>
          <w:p w14:paraId="3F1AF0AA">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1AF0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E5A56CB">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73" w:type="dxa"/>
            <w:gridSpan w:val="4"/>
            <w:tcBorders>
              <w:top w:val="single" w:color="auto" w:sz="4" w:space="0"/>
              <w:left w:val="nil"/>
              <w:bottom w:val="single" w:color="auto" w:sz="4" w:space="0"/>
              <w:right w:val="single" w:color="auto" w:sz="4" w:space="0"/>
            </w:tcBorders>
            <w:shd w:val="clear" w:color="auto" w:fill="auto"/>
            <w:vAlign w:val="top"/>
          </w:tcPr>
          <w:p w14:paraId="62392D81">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90" w:type="dxa"/>
            <w:tcBorders>
              <w:top w:val="single" w:color="auto" w:sz="4" w:space="0"/>
              <w:left w:val="nil"/>
              <w:bottom w:val="single" w:color="auto" w:sz="4" w:space="0"/>
              <w:right w:val="single" w:color="auto" w:sz="4" w:space="0"/>
            </w:tcBorders>
            <w:shd w:val="clear" w:color="auto" w:fill="auto"/>
            <w:vAlign w:val="top"/>
          </w:tcPr>
          <w:p w14:paraId="5E397F9B">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33" w:type="dxa"/>
            <w:gridSpan w:val="2"/>
            <w:tcBorders>
              <w:top w:val="single" w:color="auto" w:sz="4" w:space="0"/>
              <w:left w:val="nil"/>
              <w:bottom w:val="single" w:color="auto" w:sz="4" w:space="0"/>
              <w:right w:val="single" w:color="auto" w:sz="4" w:space="0"/>
            </w:tcBorders>
            <w:shd w:val="clear" w:color="auto" w:fill="auto"/>
            <w:vAlign w:val="top"/>
          </w:tcPr>
          <w:p w14:paraId="07C630F4">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6432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E9FE22D">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73" w:type="dxa"/>
            <w:gridSpan w:val="4"/>
            <w:tcBorders>
              <w:top w:val="single" w:color="auto" w:sz="4" w:space="0"/>
              <w:left w:val="nil"/>
              <w:bottom w:val="single" w:color="auto" w:sz="4" w:space="0"/>
              <w:right w:val="single" w:color="auto" w:sz="4" w:space="0"/>
            </w:tcBorders>
            <w:shd w:val="clear" w:color="auto" w:fill="auto"/>
            <w:vAlign w:val="top"/>
          </w:tcPr>
          <w:p w14:paraId="2D0FF340">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90" w:type="dxa"/>
            <w:tcBorders>
              <w:top w:val="single" w:color="auto" w:sz="4" w:space="0"/>
              <w:left w:val="nil"/>
              <w:bottom w:val="single" w:color="auto" w:sz="4" w:space="0"/>
              <w:right w:val="single" w:color="auto" w:sz="4" w:space="0"/>
            </w:tcBorders>
            <w:shd w:val="clear" w:color="auto" w:fill="auto"/>
            <w:vAlign w:val="top"/>
          </w:tcPr>
          <w:p w14:paraId="2ACE4A14">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33" w:type="dxa"/>
            <w:gridSpan w:val="2"/>
            <w:tcBorders>
              <w:top w:val="single" w:color="auto" w:sz="4" w:space="0"/>
              <w:left w:val="nil"/>
              <w:bottom w:val="single" w:color="auto" w:sz="4" w:space="0"/>
              <w:right w:val="single" w:color="auto" w:sz="4" w:space="0"/>
            </w:tcBorders>
            <w:shd w:val="clear" w:color="auto" w:fill="auto"/>
            <w:vAlign w:val="top"/>
          </w:tcPr>
          <w:p w14:paraId="6D4A4055">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27791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0A97F5F">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73" w:type="dxa"/>
            <w:gridSpan w:val="4"/>
            <w:tcBorders>
              <w:top w:val="single" w:color="auto" w:sz="4" w:space="0"/>
              <w:left w:val="nil"/>
              <w:bottom w:val="single" w:color="auto" w:sz="4" w:space="0"/>
              <w:right w:val="single" w:color="auto" w:sz="4" w:space="0"/>
            </w:tcBorders>
            <w:shd w:val="clear" w:color="auto" w:fill="auto"/>
            <w:vAlign w:val="top"/>
          </w:tcPr>
          <w:p w14:paraId="1BAC2FE4">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90" w:type="dxa"/>
            <w:tcBorders>
              <w:top w:val="single" w:color="auto" w:sz="4" w:space="0"/>
              <w:left w:val="nil"/>
              <w:bottom w:val="single" w:color="auto" w:sz="4" w:space="0"/>
              <w:right w:val="single" w:color="auto" w:sz="4" w:space="0"/>
            </w:tcBorders>
            <w:shd w:val="clear" w:color="auto" w:fill="auto"/>
            <w:vAlign w:val="top"/>
          </w:tcPr>
          <w:p w14:paraId="69468C28">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33" w:type="dxa"/>
            <w:gridSpan w:val="2"/>
            <w:tcBorders>
              <w:top w:val="single" w:color="auto" w:sz="4" w:space="0"/>
              <w:left w:val="nil"/>
              <w:bottom w:val="single" w:color="auto" w:sz="4" w:space="0"/>
              <w:right w:val="single" w:color="auto" w:sz="4" w:space="0"/>
            </w:tcBorders>
            <w:shd w:val="clear" w:color="auto" w:fill="auto"/>
            <w:vAlign w:val="top"/>
          </w:tcPr>
          <w:p w14:paraId="017806C9">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bl>
    <w:p w14:paraId="45C4C177">
      <w:pPr>
        <w:keepNext w:val="0"/>
        <w:keepLines w:val="0"/>
        <w:widowControl w:val="0"/>
        <w:suppressLineNumbers w:val="0"/>
        <w:autoSpaceDE w:val="0"/>
        <w:autoSpaceDN/>
        <w:spacing w:before="0" w:beforeAutospacing="0" w:after="0" w:afterAutospacing="0" w:line="360" w:lineRule="exact"/>
        <w:ind w:left="0" w:right="0"/>
        <w:jc w:val="both"/>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lang w:val="en-US" w:eastAsia="zh-CN" w:bidi="ar"/>
        </w:rPr>
        <w:t xml:space="preserve"> </w:t>
      </w:r>
    </w:p>
    <w:p w14:paraId="1E783D4B">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u w:val="single"/>
        </w:rPr>
      </w:pPr>
      <w:r>
        <w:rPr>
          <w:rFonts w:hint="eastAsia" w:ascii="宋体" w:hAnsi="宋体" w:eastAsia="宋体" w:cs="Times New Roman"/>
          <w:b/>
          <w:bCs w:val="0"/>
          <w:color w:val="auto"/>
          <w:kern w:val="2"/>
          <w:sz w:val="32"/>
          <w:szCs w:val="32"/>
          <w:highlight w:val="none"/>
          <w:lang w:val="en-US" w:eastAsia="zh-CN" w:bidi="ar"/>
        </w:rPr>
        <w:br w:type="page"/>
      </w:r>
    </w:p>
    <w:p w14:paraId="2527A4E2">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黑体" w:hAnsi="宋体" w:eastAsia="黑体" w:cs="黑体"/>
          <w:color w:val="auto"/>
          <w:kern w:val="2"/>
          <w:sz w:val="20"/>
          <w:szCs w:val="20"/>
          <w:highlight w:val="none"/>
        </w:rPr>
      </w:pPr>
      <w:r>
        <w:rPr>
          <w:rFonts w:hint="eastAsia" w:ascii="黑体" w:hAnsi="宋体" w:eastAsia="黑体" w:cs="黑体"/>
          <w:color w:val="auto"/>
          <w:kern w:val="2"/>
          <w:sz w:val="28"/>
          <w:szCs w:val="28"/>
          <w:highlight w:val="none"/>
          <w:u w:val="single"/>
          <w:lang w:val="en-US" w:eastAsia="zh-CN" w:bidi="ar"/>
        </w:rPr>
        <w:t xml:space="preserve">                </w:t>
      </w:r>
      <w:r>
        <w:rPr>
          <w:rFonts w:hint="eastAsia" w:ascii="黑体" w:hAnsi="宋体" w:eastAsia="黑体" w:cs="黑体"/>
          <w:color w:val="auto"/>
          <w:kern w:val="2"/>
          <w:sz w:val="28"/>
          <w:szCs w:val="28"/>
          <w:highlight w:val="none"/>
          <w:lang w:val="en-US" w:eastAsia="zh-CN" w:bidi="ar"/>
        </w:rPr>
        <w:t>（项目名称）</w:t>
      </w:r>
    </w:p>
    <w:p w14:paraId="36FF2E9E">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黑体" w:hAnsi="宋体" w:eastAsia="黑体" w:cs="黑体"/>
          <w:color w:val="auto"/>
          <w:kern w:val="2"/>
          <w:sz w:val="20"/>
          <w:szCs w:val="20"/>
          <w:highlight w:val="none"/>
        </w:rPr>
      </w:pPr>
      <w:r>
        <w:rPr>
          <w:rFonts w:hint="eastAsia" w:ascii="黑体" w:hAnsi="宋体" w:eastAsia="黑体" w:cs="黑体"/>
          <w:color w:val="auto"/>
          <w:kern w:val="2"/>
          <w:sz w:val="20"/>
          <w:szCs w:val="20"/>
          <w:highlight w:val="none"/>
          <w:lang w:val="en-US" w:eastAsia="zh-CN" w:bidi="ar"/>
        </w:rPr>
        <w:t xml:space="preserve"> </w:t>
      </w:r>
    </w:p>
    <w:p w14:paraId="5E480971">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黑体" w:hAnsi="宋体" w:eastAsia="黑体" w:cs="黑体"/>
          <w:color w:val="auto"/>
          <w:kern w:val="2"/>
          <w:sz w:val="20"/>
          <w:szCs w:val="20"/>
          <w:highlight w:val="none"/>
        </w:rPr>
      </w:pPr>
      <w:r>
        <w:rPr>
          <w:rFonts w:hint="eastAsia" w:ascii="黑体" w:hAnsi="宋体" w:eastAsia="黑体" w:cs="黑体"/>
          <w:color w:val="auto"/>
          <w:kern w:val="2"/>
          <w:sz w:val="20"/>
          <w:szCs w:val="20"/>
          <w:highlight w:val="none"/>
          <w:lang w:val="en-US" w:eastAsia="zh-CN" w:bidi="ar"/>
        </w:rPr>
        <w:t xml:space="preserve"> </w:t>
      </w:r>
    </w:p>
    <w:p w14:paraId="255AFC3A">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黑体" w:hAnsi="宋体" w:eastAsia="黑体" w:cs="黑体"/>
          <w:color w:val="auto"/>
          <w:kern w:val="2"/>
          <w:sz w:val="44"/>
          <w:szCs w:val="44"/>
          <w:highlight w:val="none"/>
        </w:rPr>
      </w:pPr>
      <w:r>
        <w:rPr>
          <w:rFonts w:hint="eastAsia" w:ascii="黑体" w:hAnsi="宋体" w:eastAsia="黑体" w:cs="黑体"/>
          <w:color w:val="auto"/>
          <w:kern w:val="2"/>
          <w:sz w:val="44"/>
          <w:szCs w:val="44"/>
          <w:highlight w:val="none"/>
          <w:lang w:val="en-US" w:eastAsia="zh-CN" w:bidi="ar"/>
        </w:rPr>
        <w:t>投</w:t>
      </w:r>
      <w:r>
        <w:rPr>
          <w:rFonts w:hint="default" w:ascii="Times New Roman" w:hAnsi="Times New Roman" w:eastAsia="黑体" w:cs="Times New Roman"/>
          <w:color w:val="auto"/>
          <w:kern w:val="2"/>
          <w:sz w:val="44"/>
          <w:szCs w:val="44"/>
          <w:highlight w:val="none"/>
          <w:lang w:val="en-US" w:eastAsia="zh-CN" w:bidi="ar"/>
        </w:rPr>
        <w:t xml:space="preserve">  </w:t>
      </w:r>
      <w:r>
        <w:rPr>
          <w:rFonts w:hint="eastAsia" w:ascii="黑体" w:hAnsi="宋体" w:eastAsia="黑体" w:cs="黑体"/>
          <w:color w:val="auto"/>
          <w:kern w:val="2"/>
          <w:sz w:val="44"/>
          <w:szCs w:val="44"/>
          <w:highlight w:val="none"/>
          <w:lang w:val="en-US" w:eastAsia="zh-CN" w:bidi="ar"/>
        </w:rPr>
        <w:t>标</w:t>
      </w:r>
      <w:r>
        <w:rPr>
          <w:rFonts w:hint="default" w:ascii="Times New Roman" w:hAnsi="Times New Roman" w:eastAsia="黑体" w:cs="Times New Roman"/>
          <w:color w:val="auto"/>
          <w:kern w:val="2"/>
          <w:sz w:val="44"/>
          <w:szCs w:val="44"/>
          <w:highlight w:val="none"/>
          <w:lang w:val="en-US" w:eastAsia="zh-CN" w:bidi="ar"/>
        </w:rPr>
        <w:t xml:space="preserve">  </w:t>
      </w:r>
      <w:r>
        <w:rPr>
          <w:rFonts w:hint="eastAsia" w:ascii="黑体" w:hAnsi="宋体" w:eastAsia="黑体" w:cs="黑体"/>
          <w:color w:val="auto"/>
          <w:kern w:val="2"/>
          <w:sz w:val="44"/>
          <w:szCs w:val="44"/>
          <w:highlight w:val="none"/>
          <w:lang w:val="en-US" w:eastAsia="zh-CN" w:bidi="ar"/>
        </w:rPr>
        <w:t>文</w:t>
      </w:r>
      <w:r>
        <w:rPr>
          <w:rFonts w:hint="default" w:ascii="Times New Roman" w:hAnsi="Times New Roman" w:eastAsia="黑体" w:cs="Times New Roman"/>
          <w:color w:val="auto"/>
          <w:kern w:val="2"/>
          <w:sz w:val="44"/>
          <w:szCs w:val="44"/>
          <w:highlight w:val="none"/>
          <w:lang w:val="en-US" w:eastAsia="zh-CN" w:bidi="ar"/>
        </w:rPr>
        <w:t xml:space="preserve">  </w:t>
      </w:r>
      <w:r>
        <w:rPr>
          <w:rFonts w:hint="eastAsia" w:ascii="黑体" w:hAnsi="宋体" w:eastAsia="黑体" w:cs="黑体"/>
          <w:color w:val="auto"/>
          <w:kern w:val="2"/>
          <w:sz w:val="44"/>
          <w:szCs w:val="44"/>
          <w:highlight w:val="none"/>
          <w:lang w:val="en-US" w:eastAsia="zh-CN" w:bidi="ar"/>
        </w:rPr>
        <w:t>件  二</w:t>
      </w:r>
    </w:p>
    <w:p w14:paraId="51539877">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黑体" w:hAnsi="宋体" w:eastAsia="黑体" w:cs="黑体"/>
          <w:color w:val="auto"/>
          <w:kern w:val="2"/>
          <w:sz w:val="44"/>
          <w:szCs w:val="44"/>
          <w:highlight w:val="none"/>
        </w:rPr>
      </w:pPr>
      <w:r>
        <w:rPr>
          <w:rFonts w:hint="eastAsia" w:ascii="黑体" w:hAnsi="宋体" w:eastAsia="黑体" w:cs="黑体"/>
          <w:color w:val="auto"/>
          <w:kern w:val="2"/>
          <w:sz w:val="44"/>
          <w:szCs w:val="44"/>
          <w:highlight w:val="none"/>
          <w:lang w:val="en-US" w:eastAsia="zh-CN" w:bidi="ar"/>
        </w:rPr>
        <w:t>（技术标文件）</w:t>
      </w:r>
    </w:p>
    <w:p w14:paraId="067C74EC">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1EBF8DC">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778D4B2">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74605D61">
      <w:pPr>
        <w:pStyle w:val="42"/>
        <w:keepNext w:val="0"/>
        <w:keepLines w:val="0"/>
        <w:widowControl w:val="0"/>
        <w:suppressLineNumbers w:val="0"/>
        <w:adjustRightInd w:val="0"/>
        <w:snapToGrid w:val="0"/>
        <w:spacing w:before="0" w:beforeAutospacing="1" w:after="0" w:afterLines="0" w:afterAutospacing="0" w:line="560" w:lineRule="exact"/>
        <w:ind w:left="0" w:right="0"/>
        <w:jc w:val="center"/>
        <w:rPr>
          <w:rFonts w:hint="default" w:ascii="Times New Roman" w:hAnsi="Times New Roman" w:eastAsia="黑体" w:cs="Times New Roman"/>
          <w:color w:val="auto"/>
          <w:kern w:val="2"/>
          <w:sz w:val="28"/>
          <w:szCs w:val="28"/>
          <w:highlight w:val="none"/>
        </w:rPr>
      </w:pPr>
      <w:r>
        <w:rPr>
          <w:rFonts w:hint="eastAsia" w:ascii="黑体" w:hAnsi="宋体" w:eastAsia="黑体" w:cs="黑体"/>
          <w:color w:val="auto"/>
          <w:kern w:val="2"/>
          <w:sz w:val="28"/>
          <w:szCs w:val="28"/>
          <w:highlight w:val="none"/>
          <w:lang w:val="en-US" w:eastAsia="zh-CN" w:bidi="ar"/>
        </w:rPr>
        <w:t>项目编号：</w:t>
      </w:r>
      <w:r>
        <w:rPr>
          <w:rFonts w:hint="eastAsia" w:ascii="Times New Roman" w:hAnsi="Times New Roman" w:eastAsia="黑体" w:cs="Times New Roman"/>
          <w:color w:val="auto"/>
          <w:kern w:val="2"/>
          <w:sz w:val="28"/>
          <w:szCs w:val="28"/>
          <w:highlight w:val="none"/>
          <w:u w:val="single"/>
          <w:lang w:val="en-US" w:eastAsia="zh-CN" w:bidi="ar"/>
        </w:rPr>
        <w:t xml:space="preserve">    </w:t>
      </w:r>
    </w:p>
    <w:p w14:paraId="70023427">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2BF9B5F">
      <w:pPr>
        <w:pStyle w:val="42"/>
        <w:keepNext w:val="0"/>
        <w:keepLines w:val="0"/>
        <w:widowControl w:val="0"/>
        <w:suppressLineNumbers w:val="0"/>
        <w:adjustRightInd w:val="0"/>
        <w:snapToGrid w:val="0"/>
        <w:spacing w:before="0" w:beforeAutospacing="1" w:after="0" w:afterLines="0" w:afterAutospacing="0" w:line="560" w:lineRule="exact"/>
        <w:ind w:left="0" w:leftChars="0" w:right="0" w:firstLine="0" w:firstLineChars="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40B446A">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C146CE8">
      <w:pPr>
        <w:pStyle w:val="42"/>
        <w:keepNext w:val="0"/>
        <w:keepLines w:val="0"/>
        <w:widowControl w:val="0"/>
        <w:suppressLineNumbers w:val="0"/>
        <w:adjustRightInd w:val="0"/>
        <w:snapToGrid w:val="0"/>
        <w:spacing w:before="0" w:beforeAutospacing="1" w:after="0" w:afterLines="0" w:afterAutospacing="0" w:line="560" w:lineRule="exact"/>
        <w:ind w:left="0" w:leftChars="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4F6D2A2">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BDDF41E">
      <w:pPr>
        <w:pStyle w:val="42"/>
        <w:keepNext w:val="0"/>
        <w:keepLines w:val="0"/>
        <w:widowControl w:val="0"/>
        <w:suppressLineNumbers w:val="0"/>
        <w:adjustRightInd w:val="0"/>
        <w:snapToGrid w:val="0"/>
        <w:spacing w:before="0" w:beforeAutospacing="1" w:after="0" w:afterLines="0" w:afterAutospacing="0" w:line="560" w:lineRule="exact"/>
        <w:ind w:left="0" w:leftChars="0" w:right="0" w:firstLine="420" w:firstLineChars="200"/>
        <w:jc w:val="both"/>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 xml:space="preserve"> </w:t>
      </w:r>
    </w:p>
    <w:p w14:paraId="4C83AFB5">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8DC820C">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730B2F9F">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16E1DE01">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黑体" w:cs="Times New Roman"/>
          <w:color w:val="auto"/>
          <w:kern w:val="2"/>
          <w:sz w:val="28"/>
          <w:szCs w:val="28"/>
          <w:highlight w:val="none"/>
          <w:u w:val="single"/>
        </w:rPr>
      </w:pPr>
      <w:r>
        <w:rPr>
          <w:rFonts w:hint="eastAsia" w:ascii="黑体" w:hAnsi="宋体" w:eastAsia="黑体" w:cs="黑体"/>
          <w:color w:val="auto"/>
          <w:kern w:val="2"/>
          <w:sz w:val="28"/>
          <w:szCs w:val="28"/>
          <w:highlight w:val="none"/>
          <w:lang w:val="en-US" w:eastAsia="zh-CN" w:bidi="ar"/>
        </w:rPr>
        <w:t>投标人：</w:t>
      </w:r>
      <w:r>
        <w:rPr>
          <w:rFonts w:hint="default" w:ascii="Times New Roman" w:hAnsi="Times New Roman" w:eastAsia="黑体" w:cs="Times New Roman"/>
          <w:color w:val="auto"/>
          <w:kern w:val="2"/>
          <w:sz w:val="28"/>
          <w:szCs w:val="28"/>
          <w:highlight w:val="none"/>
          <w:u w:val="single"/>
          <w:lang w:val="en-US" w:eastAsia="zh-CN" w:bidi="ar"/>
        </w:rPr>
        <w:t xml:space="preserve">            </w:t>
      </w:r>
      <w:r>
        <w:rPr>
          <w:rFonts w:hint="eastAsia" w:ascii="黑体" w:hAnsi="宋体" w:eastAsia="黑体" w:cs="黑体"/>
          <w:color w:val="auto"/>
          <w:kern w:val="2"/>
          <w:sz w:val="28"/>
          <w:szCs w:val="28"/>
          <w:highlight w:val="none"/>
          <w:u w:val="single"/>
          <w:lang w:val="en-US" w:eastAsia="zh-CN" w:bidi="ar"/>
        </w:rPr>
        <w:t xml:space="preserve">        </w:t>
      </w:r>
      <w:r>
        <w:rPr>
          <w:rFonts w:hint="default" w:ascii="Times New Roman" w:hAnsi="Times New Roman" w:eastAsia="黑体" w:cs="Times New Roman"/>
          <w:color w:val="auto"/>
          <w:kern w:val="2"/>
          <w:sz w:val="28"/>
          <w:szCs w:val="28"/>
          <w:highlight w:val="none"/>
          <w:u w:val="single"/>
          <w:lang w:val="en-US" w:eastAsia="zh-CN" w:bidi="ar"/>
        </w:rPr>
        <w:t xml:space="preserve">   </w:t>
      </w:r>
      <w:r>
        <w:rPr>
          <w:rFonts w:hint="eastAsia" w:ascii="黑体" w:hAnsi="宋体" w:eastAsia="黑体" w:cs="黑体"/>
          <w:color w:val="auto"/>
          <w:kern w:val="2"/>
          <w:sz w:val="28"/>
          <w:szCs w:val="28"/>
          <w:highlight w:val="none"/>
          <w:u w:val="single"/>
          <w:lang w:val="en-US" w:eastAsia="zh-CN" w:bidi="ar"/>
        </w:rPr>
        <w:t xml:space="preserve">       </w:t>
      </w:r>
      <w:r>
        <w:rPr>
          <w:rFonts w:hint="eastAsia" w:ascii="黑体" w:hAnsi="宋体" w:eastAsia="黑体" w:cs="黑体"/>
          <w:color w:val="auto"/>
          <w:kern w:val="2"/>
          <w:sz w:val="28"/>
          <w:szCs w:val="28"/>
          <w:highlight w:val="none"/>
          <w:lang w:val="en-US" w:eastAsia="zh-CN" w:bidi="ar"/>
        </w:rPr>
        <w:t>（签章）</w:t>
      </w:r>
    </w:p>
    <w:p w14:paraId="176758C9">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黑体" w:cs="Times New Roman"/>
          <w:color w:val="auto"/>
          <w:kern w:val="2"/>
          <w:sz w:val="28"/>
          <w:szCs w:val="28"/>
          <w:highlight w:val="none"/>
        </w:rPr>
      </w:pPr>
      <w:r>
        <w:rPr>
          <w:rFonts w:hint="eastAsia" w:ascii="黑体" w:hAnsi="宋体" w:eastAsia="黑体" w:cs="黑体"/>
          <w:color w:val="auto"/>
          <w:kern w:val="2"/>
          <w:sz w:val="28"/>
          <w:szCs w:val="28"/>
          <w:highlight w:val="none"/>
          <w:lang w:val="en-US" w:eastAsia="zh-CN" w:bidi="ar"/>
        </w:rPr>
        <w:t>法定代表人或授权委托人：</w:t>
      </w:r>
      <w:r>
        <w:rPr>
          <w:rFonts w:hint="default" w:ascii="Times New Roman" w:hAnsi="Times New Roman" w:eastAsia="黑体" w:cs="Times New Roman"/>
          <w:color w:val="auto"/>
          <w:kern w:val="2"/>
          <w:sz w:val="28"/>
          <w:szCs w:val="28"/>
          <w:highlight w:val="none"/>
          <w:u w:val="single"/>
          <w:lang w:val="en-US" w:eastAsia="zh-CN" w:bidi="ar"/>
        </w:rPr>
        <w:t xml:space="preserve">   </w:t>
      </w:r>
      <w:r>
        <w:rPr>
          <w:rFonts w:hint="eastAsia" w:ascii="黑体" w:hAnsi="宋体" w:eastAsia="黑体" w:cs="黑体"/>
          <w:color w:val="auto"/>
          <w:kern w:val="2"/>
          <w:sz w:val="28"/>
          <w:szCs w:val="28"/>
          <w:highlight w:val="none"/>
          <w:u w:val="single"/>
          <w:lang w:val="en-US" w:eastAsia="zh-CN" w:bidi="ar"/>
        </w:rPr>
        <w:t xml:space="preserve">               </w:t>
      </w:r>
      <w:r>
        <w:rPr>
          <w:rFonts w:hint="eastAsia" w:ascii="黑体" w:hAnsi="宋体" w:eastAsia="黑体" w:cs="黑体"/>
          <w:color w:val="auto"/>
          <w:kern w:val="2"/>
          <w:sz w:val="28"/>
          <w:szCs w:val="28"/>
          <w:highlight w:val="none"/>
          <w:lang w:val="en-US" w:eastAsia="zh-CN" w:bidi="ar"/>
        </w:rPr>
        <w:t>（签章）</w:t>
      </w:r>
    </w:p>
    <w:p w14:paraId="7BC1A8F4">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default" w:ascii="Times New Roman" w:hAnsi="Times New Roman" w:eastAsia="黑体" w:cs="Times New Roman"/>
          <w:color w:val="auto"/>
          <w:kern w:val="2"/>
          <w:sz w:val="28"/>
          <w:szCs w:val="28"/>
          <w:highlight w:val="none"/>
          <w:u w:val="single"/>
          <w:lang w:val="en-US" w:eastAsia="zh-CN" w:bidi="ar"/>
        </w:rPr>
        <w:t xml:space="preserve">        </w:t>
      </w:r>
      <w:r>
        <w:rPr>
          <w:rFonts w:hint="eastAsia" w:ascii="黑体" w:hAnsi="宋体" w:eastAsia="黑体" w:cs="黑体"/>
          <w:color w:val="auto"/>
          <w:kern w:val="2"/>
          <w:sz w:val="28"/>
          <w:szCs w:val="28"/>
          <w:highlight w:val="none"/>
          <w:lang w:val="en-US" w:eastAsia="zh-CN" w:bidi="ar"/>
        </w:rPr>
        <w:t>年</w:t>
      </w:r>
      <w:r>
        <w:rPr>
          <w:rFonts w:hint="default" w:ascii="Times New Roman" w:hAnsi="Times New Roman" w:eastAsia="黑体" w:cs="Times New Roman"/>
          <w:color w:val="auto"/>
          <w:kern w:val="2"/>
          <w:sz w:val="28"/>
          <w:szCs w:val="28"/>
          <w:highlight w:val="none"/>
          <w:u w:val="single"/>
          <w:lang w:val="en-US" w:eastAsia="zh-CN" w:bidi="ar"/>
        </w:rPr>
        <w:t xml:space="preserve">        </w:t>
      </w:r>
      <w:r>
        <w:rPr>
          <w:rFonts w:hint="eastAsia" w:ascii="黑体" w:hAnsi="宋体" w:eastAsia="黑体" w:cs="黑体"/>
          <w:color w:val="auto"/>
          <w:kern w:val="2"/>
          <w:sz w:val="28"/>
          <w:szCs w:val="28"/>
          <w:highlight w:val="none"/>
          <w:lang w:val="en-US" w:eastAsia="zh-CN" w:bidi="ar"/>
        </w:rPr>
        <w:t>月</w:t>
      </w:r>
      <w:r>
        <w:rPr>
          <w:rFonts w:hint="default" w:ascii="Times New Roman" w:hAnsi="Times New Roman" w:eastAsia="黑体" w:cs="Times New Roman"/>
          <w:color w:val="auto"/>
          <w:kern w:val="2"/>
          <w:sz w:val="28"/>
          <w:szCs w:val="28"/>
          <w:highlight w:val="none"/>
          <w:u w:val="single"/>
          <w:lang w:val="en-US" w:eastAsia="zh-CN" w:bidi="ar"/>
        </w:rPr>
        <w:t xml:space="preserve">        </w:t>
      </w:r>
      <w:r>
        <w:rPr>
          <w:rFonts w:hint="eastAsia" w:ascii="黑体" w:hAnsi="宋体" w:eastAsia="黑体" w:cs="黑体"/>
          <w:color w:val="auto"/>
          <w:kern w:val="2"/>
          <w:sz w:val="28"/>
          <w:szCs w:val="28"/>
          <w:highlight w:val="none"/>
          <w:lang w:val="en-US" w:eastAsia="zh-CN" w:bidi="ar"/>
        </w:rPr>
        <w:t>日</w:t>
      </w:r>
    </w:p>
    <w:p w14:paraId="7AFC87AF">
      <w:pPr>
        <w:pStyle w:val="42"/>
        <w:keepNext w:val="0"/>
        <w:keepLines w:val="0"/>
        <w:widowControl w:val="0"/>
        <w:suppressLineNumbers w:val="0"/>
        <w:spacing w:before="0" w:beforeAutospacing="1" w:after="120" w:afterLines="0" w:afterAutospacing="0"/>
        <w:ind w:left="4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06642625">
      <w:pPr>
        <w:rPr>
          <w:rFonts w:hint="eastAsia" w:ascii="黑体" w:hAnsi="宋体" w:eastAsia="黑体" w:cs="黑体"/>
          <w:b/>
          <w:bCs/>
          <w:color w:val="auto"/>
          <w:kern w:val="2"/>
          <w:sz w:val="32"/>
          <w:szCs w:val="32"/>
          <w:highlight w:val="none"/>
        </w:rPr>
      </w:pPr>
      <w:r>
        <w:rPr>
          <w:rFonts w:hint="eastAsia" w:ascii="黑体" w:hAnsi="宋体" w:eastAsia="黑体" w:cs="黑体"/>
          <w:b/>
          <w:bCs/>
          <w:color w:val="auto"/>
          <w:kern w:val="2"/>
          <w:sz w:val="32"/>
          <w:szCs w:val="32"/>
          <w:highlight w:val="none"/>
        </w:rPr>
        <w:br w:type="page"/>
      </w:r>
    </w:p>
    <w:p w14:paraId="4ED21ACD">
      <w:pPr>
        <w:pStyle w:val="7"/>
        <w:keepNext w:val="0"/>
        <w:keepLines w:val="0"/>
        <w:widowControl/>
        <w:suppressLineNumbers w:val="0"/>
        <w:rPr>
          <w:rFonts w:hint="eastAsia" w:ascii="Arial" w:hAnsi="Arial" w:eastAsia="黑体" w:cs="黑体"/>
          <w:b/>
          <w:bCs/>
          <w:color w:val="auto"/>
          <w:kern w:val="2"/>
          <w:sz w:val="32"/>
          <w:szCs w:val="32"/>
          <w:highlight w:val="none"/>
        </w:rPr>
      </w:pPr>
      <w:r>
        <w:rPr>
          <w:rFonts w:hint="eastAsia" w:ascii="黑体" w:hAnsi="宋体" w:eastAsia="黑体" w:cs="黑体"/>
          <w:b/>
          <w:bCs/>
          <w:color w:val="auto"/>
          <w:kern w:val="2"/>
          <w:sz w:val="32"/>
          <w:szCs w:val="32"/>
          <w:highlight w:val="none"/>
        </w:rPr>
        <w:t>投标文件二：技术标目录</w:t>
      </w:r>
    </w:p>
    <w:p w14:paraId="1DF19B54">
      <w:pPr>
        <w:keepNext w:val="0"/>
        <w:keepLines w:val="0"/>
        <w:widowControl w:val="0"/>
        <w:suppressLineNumbers w:val="0"/>
        <w:adjustRightInd w:val="0"/>
        <w:snapToGrid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（1）技术实施方案；</w:t>
      </w:r>
    </w:p>
    <w:p w14:paraId="48956084">
      <w:pPr>
        <w:keepNext w:val="0"/>
        <w:keepLines w:val="0"/>
        <w:widowControl w:val="0"/>
        <w:suppressLineNumbers w:val="0"/>
        <w:adjustRightInd w:val="0"/>
        <w:snapToGrid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（2）其他技术标评审所需资料。</w:t>
      </w:r>
    </w:p>
    <w:p w14:paraId="381CA6CF">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3E8C5008">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_GB2312" w:hAnsi="Times New Roman" w:eastAsia="仿宋_GB2312" w:cs="仿宋_GB2312"/>
          <w:color w:val="auto"/>
          <w:kern w:val="2"/>
          <w:sz w:val="21"/>
          <w:szCs w:val="21"/>
          <w:highlight w:val="none"/>
        </w:rPr>
      </w:pPr>
      <w:r>
        <w:rPr>
          <w:rFonts w:hint="eastAsia" w:ascii="仿宋_GB2312" w:hAnsi="Times New Roman" w:eastAsia="仿宋_GB2312" w:cs="仿宋_GB2312"/>
          <w:color w:val="auto"/>
          <w:kern w:val="2"/>
          <w:sz w:val="21"/>
          <w:szCs w:val="21"/>
          <w:highlight w:val="none"/>
          <w:lang w:val="en-US" w:eastAsia="zh-CN" w:bidi="ar"/>
        </w:rPr>
        <w:t xml:space="preserve"> </w:t>
      </w:r>
    </w:p>
    <w:p w14:paraId="028B3705">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黑体" w:hAnsi="宋体" w:eastAsia="黑体" w:cs="黑体"/>
          <w:color w:val="auto"/>
          <w:kern w:val="2"/>
          <w:sz w:val="20"/>
          <w:szCs w:val="20"/>
          <w:highlight w:val="none"/>
          <w:lang w:val="en-US" w:eastAsia="zh-CN" w:bidi="ar"/>
        </w:rPr>
        <w:t xml:space="preserve"> </w:t>
      </w:r>
    </w:p>
    <w:p w14:paraId="236822B4">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1E567A57">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3438163D">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0052723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lang w:eastAsia="zh-CN"/>
        </w:rPr>
      </w:pPr>
    </w:p>
    <w:p w14:paraId="2332822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lang w:eastAsia="zh-CN"/>
        </w:rPr>
      </w:pPr>
    </w:p>
    <w:p w14:paraId="0C0D8413">
      <w:pPr>
        <w:rPr>
          <w:rFonts w:hint="eastAsia" w:ascii="Times New Roman" w:hAnsi="Times New Roman" w:eastAsia="宋体" w:cs="Times New Roman"/>
          <w:b/>
          <w:color w:val="auto"/>
          <w:sz w:val="28"/>
          <w:szCs w:val="28"/>
          <w:highlight w:val="none"/>
          <w:lang w:eastAsia="zh-CN"/>
        </w:rPr>
      </w:pPr>
      <w:r>
        <w:rPr>
          <w:rFonts w:hint="eastAsia" w:ascii="Times New Roman" w:hAnsi="Times New Roman" w:eastAsia="宋体" w:cs="Times New Roman"/>
          <w:b/>
          <w:color w:val="auto"/>
          <w:sz w:val="28"/>
          <w:szCs w:val="28"/>
          <w:highlight w:val="none"/>
          <w:lang w:eastAsia="zh-CN"/>
        </w:rPr>
        <w:br w:type="page"/>
      </w:r>
    </w:p>
    <w:p w14:paraId="2AB368F8">
      <w:pPr>
        <w:pStyle w:val="2"/>
        <w:rPr>
          <w:color w:val="auto"/>
          <w:highlight w:val="none"/>
        </w:rPr>
      </w:pPr>
    </w:p>
    <w:p w14:paraId="564C96EF">
      <w:pPr>
        <w:jc w:val="center"/>
        <w:rPr>
          <w:rFonts w:eastAsia="黑体"/>
          <w:color w:val="auto"/>
          <w:sz w:val="20"/>
          <w:szCs w:val="20"/>
          <w:highlight w:val="none"/>
        </w:rPr>
      </w:pPr>
      <w:r>
        <w:rPr>
          <w:rFonts w:eastAsia="黑体"/>
          <w:color w:val="auto"/>
          <w:sz w:val="28"/>
          <w:szCs w:val="28"/>
          <w:highlight w:val="none"/>
        </w:rPr>
        <w:t>（项目名称）</w:t>
      </w:r>
    </w:p>
    <w:p w14:paraId="22EC766D">
      <w:pPr>
        <w:jc w:val="center"/>
        <w:rPr>
          <w:rFonts w:eastAsia="黑体"/>
          <w:color w:val="auto"/>
          <w:sz w:val="20"/>
          <w:szCs w:val="20"/>
          <w:highlight w:val="none"/>
        </w:rPr>
      </w:pPr>
    </w:p>
    <w:p w14:paraId="57900F6E">
      <w:pPr>
        <w:rPr>
          <w:rFonts w:eastAsia="黑体"/>
          <w:color w:val="auto"/>
          <w:sz w:val="20"/>
          <w:szCs w:val="20"/>
          <w:highlight w:val="none"/>
        </w:rPr>
      </w:pPr>
    </w:p>
    <w:p w14:paraId="149665AF">
      <w:pPr>
        <w:jc w:val="center"/>
        <w:rPr>
          <w:rFonts w:hint="eastAsia" w:eastAsia="黑体"/>
          <w:color w:val="auto"/>
          <w:sz w:val="44"/>
          <w:szCs w:val="44"/>
          <w:highlight w:val="none"/>
          <w:lang w:eastAsia="zh-CN"/>
        </w:rPr>
      </w:pPr>
      <w:r>
        <w:rPr>
          <w:rFonts w:eastAsia="黑体"/>
          <w:color w:val="auto"/>
          <w:sz w:val="44"/>
          <w:szCs w:val="44"/>
          <w:highlight w:val="none"/>
        </w:rPr>
        <w:t>投  标  文  件</w:t>
      </w:r>
      <w:r>
        <w:rPr>
          <w:rFonts w:hint="eastAsia" w:eastAsia="黑体"/>
          <w:color w:val="auto"/>
          <w:sz w:val="44"/>
          <w:szCs w:val="44"/>
          <w:highlight w:val="none"/>
        </w:rPr>
        <w:t xml:space="preserve">  </w:t>
      </w:r>
      <w:r>
        <w:rPr>
          <w:rFonts w:hint="eastAsia" w:eastAsia="黑体"/>
          <w:color w:val="auto"/>
          <w:sz w:val="44"/>
          <w:szCs w:val="44"/>
          <w:highlight w:val="none"/>
          <w:lang w:val="en-US" w:eastAsia="zh-CN"/>
        </w:rPr>
        <w:t>三</w:t>
      </w:r>
    </w:p>
    <w:p w14:paraId="445D8028">
      <w:pPr>
        <w:jc w:val="center"/>
        <w:rPr>
          <w:rFonts w:eastAsia="黑体"/>
          <w:color w:val="auto"/>
          <w:sz w:val="44"/>
          <w:szCs w:val="44"/>
          <w:highlight w:val="none"/>
        </w:rPr>
      </w:pPr>
      <w:r>
        <w:rPr>
          <w:rFonts w:hint="eastAsia" w:eastAsia="黑体"/>
          <w:color w:val="auto"/>
          <w:sz w:val="44"/>
          <w:szCs w:val="44"/>
          <w:highlight w:val="none"/>
        </w:rPr>
        <w:t>（商务标文件）</w:t>
      </w:r>
    </w:p>
    <w:p w14:paraId="30CBC1F1">
      <w:pPr>
        <w:rPr>
          <w:rFonts w:eastAsia="黑体"/>
          <w:color w:val="auto"/>
          <w:sz w:val="28"/>
          <w:szCs w:val="28"/>
          <w:highlight w:val="none"/>
        </w:rPr>
      </w:pPr>
    </w:p>
    <w:p w14:paraId="35F52FCF">
      <w:pPr>
        <w:rPr>
          <w:rFonts w:eastAsia="黑体"/>
          <w:color w:val="auto"/>
          <w:sz w:val="28"/>
          <w:szCs w:val="28"/>
          <w:highlight w:val="none"/>
        </w:rPr>
      </w:pPr>
    </w:p>
    <w:p w14:paraId="47AF6FD3">
      <w:pPr>
        <w:rPr>
          <w:rFonts w:eastAsia="黑体"/>
          <w:color w:val="auto"/>
          <w:sz w:val="28"/>
          <w:szCs w:val="28"/>
          <w:highlight w:val="none"/>
        </w:rPr>
      </w:pPr>
    </w:p>
    <w:p w14:paraId="70523D80">
      <w:pPr>
        <w:rPr>
          <w:rFonts w:eastAsia="黑体"/>
          <w:color w:val="auto"/>
          <w:sz w:val="28"/>
          <w:szCs w:val="28"/>
          <w:highlight w:val="none"/>
        </w:rPr>
      </w:pPr>
    </w:p>
    <w:p w14:paraId="585952F6">
      <w:pPr>
        <w:jc w:val="center"/>
        <w:rPr>
          <w:rFonts w:hint="default" w:eastAsia="黑体"/>
          <w:color w:val="auto"/>
          <w:sz w:val="28"/>
          <w:szCs w:val="28"/>
          <w:highlight w:val="none"/>
          <w:u w:val="single"/>
          <w:lang w:val="en-US" w:eastAsia="zh-CN"/>
        </w:rPr>
      </w:pPr>
      <w:r>
        <w:rPr>
          <w:rFonts w:hint="eastAsia" w:eastAsia="黑体"/>
          <w:color w:val="auto"/>
          <w:sz w:val="28"/>
          <w:szCs w:val="28"/>
          <w:highlight w:val="none"/>
        </w:rPr>
        <w:t>项目编号：</w:t>
      </w:r>
      <w:r>
        <w:rPr>
          <w:rFonts w:hint="eastAsia" w:eastAsia="黑体"/>
          <w:color w:val="auto"/>
          <w:sz w:val="28"/>
          <w:szCs w:val="28"/>
          <w:highlight w:val="none"/>
          <w:u w:val="single"/>
          <w:lang w:val="en-US" w:eastAsia="zh-CN"/>
        </w:rPr>
        <w:t xml:space="preserve">    </w:t>
      </w:r>
    </w:p>
    <w:p w14:paraId="6A527257">
      <w:pPr>
        <w:rPr>
          <w:rFonts w:eastAsia="黑体"/>
          <w:color w:val="auto"/>
          <w:sz w:val="28"/>
          <w:szCs w:val="28"/>
          <w:highlight w:val="none"/>
        </w:rPr>
      </w:pPr>
    </w:p>
    <w:p w14:paraId="39902399">
      <w:pPr>
        <w:rPr>
          <w:rFonts w:eastAsia="黑体"/>
          <w:color w:val="auto"/>
          <w:sz w:val="28"/>
          <w:szCs w:val="28"/>
          <w:highlight w:val="none"/>
        </w:rPr>
      </w:pPr>
    </w:p>
    <w:p w14:paraId="69BE83A3">
      <w:pPr>
        <w:rPr>
          <w:rFonts w:eastAsia="黑体"/>
          <w:color w:val="auto"/>
          <w:sz w:val="28"/>
          <w:szCs w:val="28"/>
          <w:highlight w:val="none"/>
        </w:rPr>
      </w:pPr>
    </w:p>
    <w:p w14:paraId="5616E6F9">
      <w:pPr>
        <w:rPr>
          <w:rFonts w:eastAsia="黑体"/>
          <w:color w:val="auto"/>
          <w:sz w:val="28"/>
          <w:szCs w:val="28"/>
          <w:highlight w:val="none"/>
        </w:rPr>
      </w:pPr>
    </w:p>
    <w:p w14:paraId="343F2D06">
      <w:pPr>
        <w:rPr>
          <w:rFonts w:eastAsia="黑体"/>
          <w:color w:val="auto"/>
          <w:sz w:val="28"/>
          <w:szCs w:val="28"/>
          <w:highlight w:val="none"/>
        </w:rPr>
      </w:pPr>
    </w:p>
    <w:p w14:paraId="3E07C68D">
      <w:pPr>
        <w:rPr>
          <w:rFonts w:eastAsia="黑体"/>
          <w:color w:val="auto"/>
          <w:sz w:val="28"/>
          <w:szCs w:val="28"/>
          <w:highlight w:val="none"/>
        </w:rPr>
      </w:pPr>
    </w:p>
    <w:p w14:paraId="44D66E16">
      <w:pPr>
        <w:jc w:val="center"/>
        <w:rPr>
          <w:rFonts w:eastAsia="黑体"/>
          <w:color w:val="auto"/>
          <w:sz w:val="28"/>
          <w:szCs w:val="28"/>
          <w:highlight w:val="none"/>
          <w:u w:val="single"/>
        </w:rPr>
      </w:pPr>
      <w:r>
        <w:rPr>
          <w:rFonts w:hint="eastAsia" w:eastAsia="黑体"/>
          <w:color w:val="auto"/>
          <w:sz w:val="28"/>
          <w:szCs w:val="28"/>
          <w:highlight w:val="none"/>
        </w:rPr>
        <w:t xml:space="preserve"> 投标人</w:t>
      </w:r>
      <w:r>
        <w:rPr>
          <w:rFonts w:eastAsia="黑体"/>
          <w:color w:val="auto"/>
          <w:sz w:val="28"/>
          <w:szCs w:val="28"/>
          <w:highlight w:val="none"/>
        </w:rPr>
        <w:t>：</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eastAsia="黑体"/>
          <w:color w:val="auto"/>
          <w:sz w:val="28"/>
          <w:szCs w:val="28"/>
          <w:highlight w:val="none"/>
        </w:rPr>
        <w:t>（</w:t>
      </w:r>
      <w:r>
        <w:rPr>
          <w:rFonts w:hint="eastAsia" w:eastAsia="黑体"/>
          <w:color w:val="auto"/>
          <w:sz w:val="28"/>
          <w:szCs w:val="28"/>
          <w:highlight w:val="none"/>
        </w:rPr>
        <w:t>签章</w:t>
      </w:r>
      <w:r>
        <w:rPr>
          <w:rFonts w:eastAsia="黑体"/>
          <w:color w:val="auto"/>
          <w:sz w:val="28"/>
          <w:szCs w:val="28"/>
          <w:highlight w:val="none"/>
        </w:rPr>
        <w:t>）</w:t>
      </w:r>
    </w:p>
    <w:p w14:paraId="2663CD77">
      <w:pPr>
        <w:jc w:val="center"/>
        <w:rPr>
          <w:rFonts w:eastAsia="黑体"/>
          <w:color w:val="auto"/>
          <w:sz w:val="28"/>
          <w:szCs w:val="28"/>
          <w:highlight w:val="none"/>
        </w:rPr>
      </w:pPr>
      <w:r>
        <w:rPr>
          <w:rFonts w:hint="eastAsia" w:eastAsia="黑体"/>
          <w:color w:val="auto"/>
          <w:sz w:val="28"/>
          <w:szCs w:val="28"/>
          <w:highlight w:val="none"/>
        </w:rPr>
        <w:t xml:space="preserve">   </w:t>
      </w:r>
      <w:r>
        <w:rPr>
          <w:rFonts w:eastAsia="黑体"/>
          <w:color w:val="auto"/>
          <w:sz w:val="28"/>
          <w:szCs w:val="28"/>
          <w:highlight w:val="none"/>
        </w:rPr>
        <w:t>法定代表人</w:t>
      </w:r>
      <w:r>
        <w:rPr>
          <w:rFonts w:hint="eastAsia" w:eastAsia="黑体"/>
          <w:color w:val="auto"/>
          <w:sz w:val="28"/>
          <w:szCs w:val="28"/>
          <w:highlight w:val="none"/>
          <w:lang w:val="en-US" w:eastAsia="zh-CN"/>
        </w:rPr>
        <w:t>或授权委托人</w:t>
      </w:r>
      <w:r>
        <w:rPr>
          <w:rFonts w:eastAsia="黑体"/>
          <w:color w:val="auto"/>
          <w:sz w:val="28"/>
          <w:szCs w:val="28"/>
          <w:highlight w:val="none"/>
        </w:rPr>
        <w:t>：</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eastAsia="黑体"/>
          <w:color w:val="auto"/>
          <w:sz w:val="28"/>
          <w:szCs w:val="28"/>
          <w:highlight w:val="none"/>
        </w:rPr>
        <w:t>（</w:t>
      </w:r>
      <w:r>
        <w:rPr>
          <w:rFonts w:hint="eastAsia" w:eastAsia="黑体"/>
          <w:color w:val="auto"/>
          <w:sz w:val="28"/>
          <w:szCs w:val="28"/>
          <w:highlight w:val="none"/>
        </w:rPr>
        <w:t>签章</w:t>
      </w:r>
      <w:r>
        <w:rPr>
          <w:rFonts w:eastAsia="黑体"/>
          <w:color w:val="auto"/>
          <w:sz w:val="28"/>
          <w:szCs w:val="28"/>
          <w:highlight w:val="none"/>
        </w:rPr>
        <w:t>）</w:t>
      </w:r>
    </w:p>
    <w:p w14:paraId="63A08AA1">
      <w:pPr>
        <w:jc w:val="center"/>
        <w:rPr>
          <w:rFonts w:eastAsia="黑体"/>
          <w:color w:val="auto"/>
          <w:sz w:val="28"/>
          <w:szCs w:val="28"/>
          <w:highlight w:val="none"/>
        </w:rPr>
      </w:pPr>
      <w:r>
        <w:rPr>
          <w:rFonts w:hint="eastAsia" w:eastAsia="黑体"/>
          <w:color w:val="auto"/>
          <w:sz w:val="28"/>
          <w:szCs w:val="28"/>
          <w:highlight w:val="none"/>
          <w:u w:val="single"/>
        </w:rPr>
        <w:t xml:space="preserve">      </w:t>
      </w:r>
      <w:r>
        <w:rPr>
          <w:rFonts w:eastAsia="黑体"/>
          <w:color w:val="auto"/>
          <w:sz w:val="28"/>
          <w:szCs w:val="28"/>
          <w:highlight w:val="none"/>
        </w:rPr>
        <w:t>年</w:t>
      </w:r>
      <w:r>
        <w:rPr>
          <w:rFonts w:hint="eastAsia" w:eastAsia="黑体"/>
          <w:color w:val="auto"/>
          <w:sz w:val="28"/>
          <w:szCs w:val="28"/>
          <w:highlight w:val="none"/>
          <w:u w:val="single"/>
        </w:rPr>
        <w:t xml:space="preserve">     </w:t>
      </w:r>
      <w:r>
        <w:rPr>
          <w:rFonts w:eastAsia="黑体"/>
          <w:color w:val="auto"/>
          <w:sz w:val="28"/>
          <w:szCs w:val="28"/>
          <w:highlight w:val="none"/>
        </w:rPr>
        <w:t>月</w:t>
      </w:r>
      <w:r>
        <w:rPr>
          <w:rFonts w:hint="eastAsia" w:eastAsia="黑体"/>
          <w:color w:val="auto"/>
          <w:sz w:val="28"/>
          <w:szCs w:val="28"/>
          <w:highlight w:val="none"/>
          <w:u w:val="single"/>
        </w:rPr>
        <w:t xml:space="preserve">     </w:t>
      </w:r>
      <w:r>
        <w:rPr>
          <w:rFonts w:eastAsia="黑体"/>
          <w:color w:val="auto"/>
          <w:sz w:val="28"/>
          <w:szCs w:val="28"/>
          <w:highlight w:val="none"/>
        </w:rPr>
        <w:t>日</w:t>
      </w:r>
    </w:p>
    <w:p w14:paraId="73943EF2">
      <w:pPr>
        <w:rPr>
          <w:color w:val="auto"/>
          <w:highlight w:val="none"/>
        </w:rPr>
      </w:pPr>
    </w:p>
    <w:p w14:paraId="06E7811B">
      <w:pPr>
        <w:pStyle w:val="2"/>
        <w:ind w:firstLine="420"/>
        <w:rPr>
          <w:color w:val="auto"/>
          <w:highlight w:val="none"/>
        </w:rPr>
      </w:pPr>
    </w:p>
    <w:p w14:paraId="1E7679BC">
      <w:pPr>
        <w:rPr>
          <w:color w:val="auto"/>
          <w:highlight w:val="none"/>
        </w:rPr>
      </w:pPr>
    </w:p>
    <w:p w14:paraId="772CCC6C">
      <w:pPr>
        <w:spacing w:beforeLines="50" w:afterLines="50" w:line="440" w:lineRule="exact"/>
        <w:ind w:firstLine="643" w:firstLineChars="200"/>
        <w:jc w:val="left"/>
        <w:rPr>
          <w:rStyle w:val="65"/>
          <w:rFonts w:ascii="宋体" w:hAnsi="宋体" w:cs="宋体"/>
          <w:color w:val="auto"/>
          <w:sz w:val="32"/>
          <w:highlight w:val="none"/>
        </w:rPr>
      </w:pPr>
      <w:bookmarkStart w:id="1067" w:name="_Toc19174"/>
      <w:bookmarkStart w:id="1068" w:name="_Toc35424973"/>
      <w:bookmarkStart w:id="1069" w:name="_Toc35425139"/>
      <w:bookmarkStart w:id="1070" w:name="_Toc78803401"/>
      <w:r>
        <w:rPr>
          <w:rStyle w:val="65"/>
          <w:rFonts w:hint="eastAsia" w:ascii="宋体" w:hAnsi="宋体" w:cs="宋体"/>
          <w:color w:val="auto"/>
          <w:sz w:val="32"/>
          <w:highlight w:val="none"/>
        </w:rPr>
        <w:br w:type="page"/>
      </w:r>
      <w:bookmarkStart w:id="1071" w:name="_Toc19057"/>
      <w:bookmarkStart w:id="1072" w:name="_Toc26670"/>
      <w:bookmarkStart w:id="1073" w:name="_Toc27877"/>
      <w:r>
        <w:rPr>
          <w:rStyle w:val="65"/>
          <w:rFonts w:hint="eastAsia" w:ascii="宋体" w:hAnsi="宋体" w:cs="宋体"/>
          <w:color w:val="auto"/>
          <w:sz w:val="32"/>
          <w:highlight w:val="none"/>
        </w:rPr>
        <w:t>投标文件</w:t>
      </w:r>
      <w:bookmarkEnd w:id="1067"/>
      <w:bookmarkEnd w:id="1068"/>
      <w:bookmarkEnd w:id="1069"/>
      <w:r>
        <w:rPr>
          <w:rStyle w:val="65"/>
          <w:rFonts w:hint="eastAsia" w:ascii="宋体" w:hAnsi="宋体" w:cs="宋体"/>
          <w:color w:val="auto"/>
          <w:sz w:val="32"/>
          <w:highlight w:val="none"/>
          <w:lang w:val="en-US"/>
        </w:rPr>
        <w:t>三</w:t>
      </w:r>
      <w:r>
        <w:rPr>
          <w:rStyle w:val="65"/>
          <w:rFonts w:hint="eastAsia" w:ascii="宋体" w:hAnsi="宋体" w:cs="宋体"/>
          <w:color w:val="auto"/>
          <w:sz w:val="32"/>
          <w:highlight w:val="none"/>
        </w:rPr>
        <w:t>：商务标目录</w:t>
      </w:r>
      <w:bookmarkEnd w:id="1070"/>
    </w:p>
    <w:bookmarkEnd w:id="1071"/>
    <w:bookmarkEnd w:id="1072"/>
    <w:bookmarkEnd w:id="1073"/>
    <w:p w14:paraId="6CDCB0DF">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（1）投标函；</w:t>
      </w:r>
    </w:p>
    <w:p w14:paraId="0F0235FB">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（2）工程量清单报价书；</w:t>
      </w:r>
    </w:p>
    <w:p w14:paraId="60548E60">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（3）推荐的材料品牌响应表（如有）；</w:t>
      </w:r>
    </w:p>
    <w:p w14:paraId="7A88175E">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（4）全国建筑市场监管公共服务平台(四库一平台)企业注册人员网页截图；</w:t>
      </w:r>
    </w:p>
    <w:p w14:paraId="0956BA6B">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（5）商务评审需要及投标人认为需要提供的其他材料。</w:t>
      </w:r>
    </w:p>
    <w:p w14:paraId="57215258">
      <w:pPr>
        <w:spacing w:line="540" w:lineRule="exact"/>
        <w:rPr>
          <w:rFonts w:eastAsia="黑体"/>
          <w:color w:val="auto"/>
          <w:sz w:val="20"/>
          <w:szCs w:val="20"/>
          <w:highlight w:val="none"/>
        </w:rPr>
      </w:pPr>
    </w:p>
    <w:p w14:paraId="45D4DCEE">
      <w:pPr>
        <w:spacing w:line="540" w:lineRule="exact"/>
        <w:rPr>
          <w:rFonts w:eastAsia="黑体"/>
          <w:color w:val="auto"/>
          <w:sz w:val="20"/>
          <w:szCs w:val="20"/>
          <w:highlight w:val="none"/>
        </w:rPr>
      </w:pPr>
    </w:p>
    <w:p w14:paraId="6A7BFB0E">
      <w:pPr>
        <w:spacing w:line="540" w:lineRule="exact"/>
        <w:rPr>
          <w:rFonts w:eastAsia="黑体"/>
          <w:color w:val="auto"/>
          <w:sz w:val="20"/>
          <w:szCs w:val="20"/>
          <w:highlight w:val="none"/>
        </w:rPr>
      </w:pPr>
    </w:p>
    <w:p w14:paraId="244F7969">
      <w:pPr>
        <w:spacing w:line="360" w:lineRule="auto"/>
        <w:ind w:firstLine="420" w:firstLineChars="200"/>
        <w:jc w:val="right"/>
        <w:rPr>
          <w:color w:val="auto"/>
          <w:szCs w:val="21"/>
          <w:highlight w:val="none"/>
          <w:u w:val="single"/>
        </w:rPr>
      </w:pPr>
    </w:p>
    <w:p w14:paraId="66667EC5">
      <w:pPr>
        <w:spacing w:line="360" w:lineRule="auto"/>
        <w:ind w:firstLine="420" w:firstLineChars="200"/>
        <w:jc w:val="right"/>
        <w:rPr>
          <w:color w:val="auto"/>
          <w:szCs w:val="21"/>
          <w:highlight w:val="none"/>
          <w:u w:val="single"/>
        </w:rPr>
      </w:pPr>
    </w:p>
    <w:p w14:paraId="1761B5FB">
      <w:pPr>
        <w:spacing w:line="360" w:lineRule="auto"/>
        <w:ind w:firstLine="420" w:firstLineChars="200"/>
        <w:jc w:val="right"/>
        <w:rPr>
          <w:color w:val="auto"/>
          <w:szCs w:val="21"/>
          <w:highlight w:val="none"/>
          <w:u w:val="single"/>
        </w:rPr>
      </w:pPr>
    </w:p>
    <w:p w14:paraId="4BBA9CFF">
      <w:pPr>
        <w:spacing w:line="360" w:lineRule="auto"/>
        <w:ind w:firstLine="420" w:firstLineChars="200"/>
        <w:jc w:val="right"/>
        <w:rPr>
          <w:color w:val="auto"/>
          <w:szCs w:val="21"/>
          <w:highlight w:val="none"/>
          <w:u w:val="single"/>
        </w:rPr>
      </w:pPr>
    </w:p>
    <w:p w14:paraId="1B352D4C">
      <w:pPr>
        <w:spacing w:line="360" w:lineRule="auto"/>
        <w:ind w:firstLine="420" w:firstLineChars="200"/>
        <w:jc w:val="right"/>
        <w:rPr>
          <w:color w:val="auto"/>
          <w:szCs w:val="21"/>
          <w:highlight w:val="none"/>
          <w:u w:val="single"/>
        </w:rPr>
      </w:pPr>
    </w:p>
    <w:p w14:paraId="646241FB">
      <w:pPr>
        <w:spacing w:line="360" w:lineRule="auto"/>
        <w:ind w:firstLine="420" w:firstLineChars="200"/>
        <w:jc w:val="right"/>
        <w:rPr>
          <w:color w:val="auto"/>
          <w:szCs w:val="21"/>
          <w:highlight w:val="none"/>
          <w:u w:val="single"/>
        </w:rPr>
      </w:pPr>
    </w:p>
    <w:p w14:paraId="321B8345">
      <w:pPr>
        <w:spacing w:line="360" w:lineRule="auto"/>
        <w:ind w:firstLine="420" w:firstLineChars="200"/>
        <w:jc w:val="right"/>
        <w:rPr>
          <w:color w:val="auto"/>
          <w:szCs w:val="21"/>
          <w:highlight w:val="none"/>
          <w:u w:val="single"/>
        </w:rPr>
      </w:pPr>
    </w:p>
    <w:p w14:paraId="415E36EA">
      <w:pPr>
        <w:spacing w:line="360" w:lineRule="auto"/>
        <w:ind w:firstLine="420" w:firstLineChars="200"/>
        <w:jc w:val="right"/>
        <w:rPr>
          <w:color w:val="auto"/>
          <w:szCs w:val="21"/>
          <w:highlight w:val="none"/>
          <w:u w:val="single"/>
        </w:rPr>
      </w:pPr>
    </w:p>
    <w:p w14:paraId="7411DAC2">
      <w:pPr>
        <w:jc w:val="center"/>
        <w:rPr>
          <w:b/>
          <w:color w:val="auto"/>
          <w:sz w:val="32"/>
          <w:szCs w:val="32"/>
          <w:highlight w:val="none"/>
        </w:rPr>
      </w:pPr>
    </w:p>
    <w:p w14:paraId="3603BAAB">
      <w:pPr>
        <w:jc w:val="center"/>
        <w:rPr>
          <w:b/>
          <w:color w:val="auto"/>
          <w:sz w:val="32"/>
          <w:szCs w:val="32"/>
          <w:highlight w:val="none"/>
        </w:rPr>
      </w:pPr>
    </w:p>
    <w:p w14:paraId="2A178D71">
      <w:pPr>
        <w:jc w:val="center"/>
        <w:rPr>
          <w:b/>
          <w:color w:val="auto"/>
          <w:sz w:val="32"/>
          <w:szCs w:val="32"/>
          <w:highlight w:val="none"/>
        </w:rPr>
      </w:pPr>
    </w:p>
    <w:p w14:paraId="135B4C78">
      <w:pPr>
        <w:jc w:val="center"/>
        <w:rPr>
          <w:b/>
          <w:color w:val="auto"/>
          <w:sz w:val="32"/>
          <w:szCs w:val="32"/>
          <w:highlight w:val="none"/>
        </w:rPr>
      </w:pPr>
    </w:p>
    <w:p w14:paraId="03E14D7E">
      <w:pPr>
        <w:jc w:val="center"/>
        <w:rPr>
          <w:b/>
          <w:color w:val="auto"/>
          <w:sz w:val="32"/>
          <w:szCs w:val="32"/>
          <w:highlight w:val="none"/>
        </w:rPr>
      </w:pPr>
    </w:p>
    <w:p w14:paraId="60BCBB70">
      <w:pPr>
        <w:jc w:val="center"/>
        <w:rPr>
          <w:b/>
          <w:color w:val="auto"/>
          <w:sz w:val="32"/>
          <w:szCs w:val="32"/>
          <w:highlight w:val="none"/>
        </w:rPr>
      </w:pPr>
    </w:p>
    <w:p w14:paraId="0841936B">
      <w:pPr>
        <w:jc w:val="center"/>
        <w:rPr>
          <w:b/>
          <w:color w:val="auto"/>
          <w:sz w:val="32"/>
          <w:szCs w:val="32"/>
          <w:highlight w:val="none"/>
        </w:rPr>
      </w:pPr>
    </w:p>
    <w:p w14:paraId="1C19EE91">
      <w:pPr>
        <w:spacing w:line="360" w:lineRule="auto"/>
        <w:rPr>
          <w:b/>
          <w:bCs/>
          <w:color w:val="auto"/>
          <w:sz w:val="32"/>
          <w:szCs w:val="32"/>
          <w:highlight w:val="none"/>
        </w:rPr>
      </w:pPr>
    </w:p>
    <w:p w14:paraId="485C1F31">
      <w:pPr>
        <w:jc w:val="center"/>
        <w:rPr>
          <w:rFonts w:ascii="宋体" w:hAnsi="宋体"/>
          <w:b/>
          <w:color w:val="auto"/>
          <w:sz w:val="32"/>
          <w:szCs w:val="32"/>
          <w:highlight w:val="none"/>
        </w:rPr>
      </w:pPr>
      <w:r>
        <w:rPr>
          <w:rFonts w:hint="eastAsia" w:ascii="宋体" w:hAnsi="宋体"/>
          <w:b/>
          <w:color w:val="auto"/>
          <w:sz w:val="32"/>
          <w:szCs w:val="32"/>
          <w:highlight w:val="none"/>
        </w:rPr>
        <w:br w:type="page"/>
      </w:r>
      <w:r>
        <w:rPr>
          <w:rFonts w:hint="eastAsia" w:ascii="宋体" w:hAnsi="宋体"/>
          <w:b/>
          <w:color w:val="auto"/>
          <w:sz w:val="32"/>
          <w:szCs w:val="32"/>
          <w:highlight w:val="none"/>
        </w:rPr>
        <w:t>（1）投 标 函</w:t>
      </w:r>
    </w:p>
    <w:p w14:paraId="77B9915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highlight w:val="none"/>
        </w:rPr>
      </w:pPr>
      <w:bookmarkStart w:id="1074" w:name="_Toc35425140"/>
      <w:bookmarkStart w:id="1075" w:name="_Toc506107366"/>
      <w:bookmarkStart w:id="1076" w:name="_Toc15058950"/>
      <w:bookmarkStart w:id="1077" w:name="_Toc35424974"/>
      <w:r>
        <w:rPr>
          <w:rFonts w:hint="eastAsia" w:ascii="宋体" w:hAnsi="宋体" w:eastAsia="宋体" w:cs="宋体"/>
          <w:b/>
          <w:bCs/>
          <w:color w:val="auto"/>
          <w:highlight w:val="none"/>
        </w:rPr>
        <w:t>致 ：</w:t>
      </w:r>
      <w:r>
        <w:rPr>
          <w:rFonts w:hint="eastAsia" w:ascii="宋体" w:hAnsi="宋体" w:eastAsia="宋体" w:cs="宋体"/>
          <w:b/>
          <w:bCs/>
          <w:color w:val="auto"/>
          <w:highlight w:val="none"/>
          <w:u w:val="single"/>
          <w:lang w:val="en-US" w:eastAsia="zh-CN"/>
        </w:rPr>
        <w:t xml:space="preserve">     </w:t>
      </w:r>
      <w:r>
        <w:rPr>
          <w:rFonts w:hint="eastAsia" w:ascii="宋体" w:hAnsi="宋体" w:cs="宋体"/>
          <w:b/>
          <w:bCs/>
          <w:color w:val="auto"/>
          <w:highlight w:val="none"/>
          <w:u w:val="single"/>
          <w:lang w:val="en-US" w:eastAsia="zh-CN"/>
        </w:rPr>
        <w:t xml:space="preserve">       </w:t>
      </w:r>
      <w:r>
        <w:rPr>
          <w:rFonts w:hint="eastAsia" w:ascii="宋体" w:hAnsi="宋体" w:eastAsia="宋体" w:cs="宋体"/>
          <w:b/>
          <w:bCs/>
          <w:color w:val="auto"/>
          <w:highlight w:val="none"/>
          <w:u w:val="single"/>
          <w:lang w:val="en-US" w:eastAsia="zh-CN"/>
        </w:rPr>
        <w:t xml:space="preserve">  （招标人） </w:t>
      </w:r>
      <w:r>
        <w:rPr>
          <w:rFonts w:hint="eastAsia" w:ascii="宋体" w:hAnsi="宋体" w:eastAsia="宋体" w:cs="宋体"/>
          <w:color w:val="auto"/>
          <w:highlight w:val="none"/>
        </w:rPr>
        <w:t xml:space="preserve">  </w:t>
      </w:r>
    </w:p>
    <w:p w14:paraId="185304FD">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1、根据你方招标项目编号为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的</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招标文件，遵照《中华人民共和国招标投标法》等有关规定，经踏勘项目现场和研究上述招标文件的投标须知、合同条件、技术规范、图纸、工程量清单和其他有关文件后，我方愿以</w:t>
      </w:r>
      <w:r>
        <w:rPr>
          <w:rFonts w:hint="eastAsia" w:ascii="宋体" w:hAnsi="宋体"/>
          <w:color w:val="auto"/>
          <w:szCs w:val="21"/>
          <w:highlight w:val="none"/>
          <w:u w:val="single"/>
          <w:lang w:val="en-US" w:eastAsia="zh-CN"/>
        </w:rPr>
        <w:t xml:space="preserve"> （币种、金额、单位）人民币（大写）        （小写）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元</w:t>
      </w:r>
      <w:r>
        <w:rPr>
          <w:rFonts w:hint="eastAsia" w:ascii="宋体" w:hAnsi="宋体"/>
          <w:color w:val="auto"/>
          <w:szCs w:val="21"/>
          <w:highlight w:val="none"/>
        </w:rPr>
        <w:t>的投标报价承包上述项目，并承担任何质量缺陷保修责任。</w:t>
      </w:r>
    </w:p>
    <w:p w14:paraId="3C73638A">
      <w:pPr>
        <w:numPr>
          <w:ilvl w:val="0"/>
          <w:numId w:val="5"/>
        </w:numPr>
        <w:spacing w:line="440" w:lineRule="exact"/>
        <w:ind w:left="0" w:firstLine="404" w:firstLineChars="200"/>
        <w:jc w:val="left"/>
        <w:rPr>
          <w:rFonts w:ascii="宋体" w:hAnsi="宋体"/>
          <w:color w:val="auto"/>
          <w:spacing w:val="-4"/>
          <w:szCs w:val="21"/>
          <w:highlight w:val="none"/>
        </w:rPr>
      </w:pPr>
      <w:r>
        <w:rPr>
          <w:rFonts w:hint="eastAsia" w:ascii="宋体" w:hAnsi="宋体"/>
          <w:color w:val="auto"/>
          <w:spacing w:val="-4"/>
          <w:szCs w:val="21"/>
          <w:highlight w:val="none"/>
        </w:rPr>
        <w:t>我方已详细审核全部招标文件及有关附件，承诺招标文件及有关附件中所有条款。</w:t>
      </w:r>
    </w:p>
    <w:p w14:paraId="437A755A">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3、一旦我方中标，我方将派出</w:t>
      </w:r>
      <w:r>
        <w:rPr>
          <w:rFonts w:hint="eastAsia" w:ascii="宋体" w:hAnsi="宋体"/>
          <w:color w:val="auto"/>
          <w:szCs w:val="21"/>
          <w:highlight w:val="none"/>
          <w:u w:val="single"/>
        </w:rPr>
        <w:t xml:space="preserve">      </w:t>
      </w:r>
      <w:r>
        <w:rPr>
          <w:rFonts w:hint="eastAsia" w:ascii="宋体" w:hAnsi="宋体"/>
          <w:color w:val="auto"/>
          <w:szCs w:val="21"/>
          <w:highlight w:val="none"/>
        </w:rPr>
        <w:t>建造师为本项目的项目</w:t>
      </w:r>
      <w:r>
        <w:rPr>
          <w:rFonts w:hint="eastAsia" w:ascii="宋体" w:hAnsi="宋体"/>
          <w:color w:val="auto"/>
          <w:szCs w:val="21"/>
          <w:highlight w:val="none"/>
          <w:lang w:val="en-US" w:eastAsia="zh-CN"/>
        </w:rPr>
        <w:t>经理</w:t>
      </w:r>
      <w:r>
        <w:rPr>
          <w:rFonts w:hint="eastAsia" w:ascii="宋体" w:hAnsi="宋体"/>
          <w:color w:val="auto"/>
          <w:szCs w:val="21"/>
          <w:highlight w:val="none"/>
        </w:rPr>
        <w:t>，保证按照招标人要求开始实施本项目，并</w:t>
      </w:r>
      <w:r>
        <w:rPr>
          <w:rFonts w:hint="eastAsia" w:ascii="宋体" w:hAnsi="宋体"/>
          <w:color w:val="auto"/>
          <w:szCs w:val="21"/>
          <w:highlight w:val="none"/>
          <w:lang w:val="en-US" w:eastAsia="zh-CN"/>
        </w:rPr>
        <w:t>自接到招标人通知之日起</w:t>
      </w:r>
      <w:r>
        <w:rPr>
          <w:rFonts w:hint="eastAsia" w:ascii="宋体" w:hAnsi="宋体"/>
          <w:color w:val="auto"/>
          <w:szCs w:val="21"/>
          <w:highlight w:val="none"/>
          <w:u w:val="single"/>
        </w:rPr>
        <w:t xml:space="preserve">      </w:t>
      </w:r>
      <w:r>
        <w:rPr>
          <w:rFonts w:hint="eastAsia" w:ascii="宋体" w:hAnsi="宋体"/>
          <w:color w:val="auto"/>
          <w:szCs w:val="21"/>
          <w:highlight w:val="none"/>
        </w:rPr>
        <w:t>个日历天（工期）内完成</w:t>
      </w:r>
      <w:r>
        <w:rPr>
          <w:rFonts w:hint="eastAsia" w:ascii="宋体" w:hAnsi="宋体"/>
          <w:color w:val="auto"/>
          <w:szCs w:val="21"/>
          <w:highlight w:val="none"/>
          <w:lang w:val="en-US" w:eastAsia="zh-CN"/>
        </w:rPr>
        <w:t>对应</w:t>
      </w:r>
      <w:r>
        <w:rPr>
          <w:rFonts w:hint="eastAsia" w:ascii="宋体" w:hAnsi="宋体"/>
          <w:color w:val="auto"/>
          <w:szCs w:val="21"/>
          <w:highlight w:val="none"/>
        </w:rPr>
        <w:t>的施工</w:t>
      </w:r>
      <w:r>
        <w:rPr>
          <w:rFonts w:hint="eastAsia" w:ascii="宋体" w:hAnsi="宋体"/>
          <w:color w:val="auto"/>
          <w:szCs w:val="21"/>
          <w:highlight w:val="none"/>
          <w:lang w:val="en-US" w:eastAsia="zh-CN"/>
        </w:rPr>
        <w:t>内容</w:t>
      </w:r>
      <w:r>
        <w:rPr>
          <w:rFonts w:hint="eastAsia" w:ascii="宋体" w:hAnsi="宋体"/>
          <w:color w:val="auto"/>
          <w:szCs w:val="21"/>
          <w:highlight w:val="none"/>
        </w:rPr>
        <w:t>，</w:t>
      </w:r>
      <w:r>
        <w:rPr>
          <w:rFonts w:hint="eastAsia" w:ascii="宋体" w:hAnsi="宋体"/>
          <w:color w:val="auto"/>
          <w:szCs w:val="21"/>
          <w:highlight w:val="none"/>
          <w:lang w:val="en-US" w:eastAsia="zh-CN"/>
        </w:rPr>
        <w:t>全部完工后</w:t>
      </w:r>
      <w:r>
        <w:rPr>
          <w:rFonts w:hint="eastAsia" w:ascii="宋体" w:hAnsi="宋体"/>
          <w:color w:val="auto"/>
          <w:szCs w:val="21"/>
          <w:highlight w:val="none"/>
        </w:rPr>
        <w:t>移交整个项目，项目质量达到</w:t>
      </w:r>
      <w:r>
        <w:rPr>
          <w:rFonts w:ascii="宋体" w:hAnsi="宋体"/>
          <w:color w:val="auto"/>
          <w:szCs w:val="21"/>
          <w:highlight w:val="none"/>
          <w:u w:val="single"/>
        </w:rPr>
        <w:t xml:space="preserve">   </w:t>
      </w:r>
      <w:r>
        <w:rPr>
          <w:rFonts w:hint="eastAsia" w:ascii="宋体" w:hAnsi="宋体"/>
          <w:color w:val="auto"/>
          <w:szCs w:val="21"/>
          <w:highlight w:val="none"/>
          <w:u w:val="single"/>
        </w:rPr>
        <w:t>合格</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标准。</w:t>
      </w:r>
    </w:p>
    <w:p w14:paraId="73111601">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4、随本投标书，我方同时按照招标文件的要求提交投标保证金。如果我方在本投标书有效期内撤回投标书，或在中标通知书下达后</w:t>
      </w:r>
      <w:r>
        <w:rPr>
          <w:rFonts w:ascii="宋体" w:hAnsi="宋体"/>
          <w:color w:val="auto"/>
          <w:szCs w:val="21"/>
          <w:highlight w:val="none"/>
          <w:u w:val="single"/>
        </w:rPr>
        <w:t xml:space="preserve">  </w:t>
      </w:r>
      <w:r>
        <w:rPr>
          <w:rFonts w:hint="eastAsia" w:ascii="宋体" w:hAnsi="宋体"/>
          <w:color w:val="auto"/>
          <w:szCs w:val="21"/>
          <w:highlight w:val="none"/>
          <w:u w:val="single"/>
        </w:rPr>
        <w:t>30</w:t>
      </w:r>
      <w:r>
        <w:rPr>
          <w:rFonts w:ascii="宋体" w:hAnsi="宋体"/>
          <w:color w:val="auto"/>
          <w:szCs w:val="21"/>
          <w:highlight w:val="none"/>
          <w:u w:val="single"/>
        </w:rPr>
        <w:t xml:space="preserve"> </w:t>
      </w:r>
      <w:r>
        <w:rPr>
          <w:rFonts w:hint="eastAsia" w:ascii="宋体" w:hAnsi="宋体"/>
          <w:color w:val="auto"/>
          <w:szCs w:val="21"/>
          <w:highlight w:val="none"/>
        </w:rPr>
        <w:t>天内未能或拒绝签订合同书，或自行转标，贵单位有权没收投标保证金，并另选中标单位。</w:t>
      </w:r>
    </w:p>
    <w:p w14:paraId="4FE3D8A8">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5、如果我方中标我方将按照招标文件的规定提交履约担保。项目验收合格后，方可退还。</w:t>
      </w:r>
    </w:p>
    <w:p w14:paraId="3ADCEB84">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6、投标有效期为</w:t>
      </w:r>
      <w:r>
        <w:rPr>
          <w:rFonts w:hint="eastAsia" w:ascii="宋体" w:hAnsi="宋体"/>
          <w:color w:val="auto"/>
          <w:szCs w:val="21"/>
          <w:highlight w:val="none"/>
          <w:u w:val="single"/>
        </w:rPr>
        <w:t xml:space="preserve"> 90</w:t>
      </w:r>
      <w:r>
        <w:rPr>
          <w:rFonts w:hint="eastAsia" w:ascii="宋体" w:hAnsi="宋体"/>
          <w:color w:val="auto"/>
          <w:szCs w:val="21"/>
          <w:highlight w:val="none"/>
        </w:rPr>
        <w:t>日历天（从投标截止之日算起）。</w:t>
      </w:r>
    </w:p>
    <w:p w14:paraId="515F61EA">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7、我单位提供如下通讯地址：</w:t>
      </w:r>
      <w:r>
        <w:rPr>
          <w:rFonts w:hint="eastAsia" w:ascii="宋体" w:hAnsi="宋体"/>
          <w:color w:val="auto"/>
          <w:szCs w:val="21"/>
          <w:highlight w:val="none"/>
          <w:u w:val="single"/>
        </w:rPr>
        <w:t xml:space="preserve">                </w:t>
      </w:r>
      <w:r>
        <w:rPr>
          <w:rFonts w:hint="eastAsia" w:ascii="宋体" w:hAnsi="宋体"/>
          <w:color w:val="auto"/>
          <w:szCs w:val="21"/>
          <w:highlight w:val="none"/>
        </w:rPr>
        <w:t>电子邮箱（地址），确认本项目相关法律文书均通过提供的以上地址送达，相关文书只要发送至以上电子邮箱（地址）即视为送达，投标人愿意承担一切法律后果。</w:t>
      </w:r>
    </w:p>
    <w:p w14:paraId="34DEE729">
      <w:pPr>
        <w:spacing w:line="600" w:lineRule="exact"/>
        <w:ind w:firstLine="420" w:firstLineChars="200"/>
        <w:jc w:val="left"/>
        <w:rPr>
          <w:rFonts w:hint="eastAsia" w:ascii="宋体" w:hAnsi="宋体"/>
          <w:color w:val="auto"/>
          <w:szCs w:val="21"/>
          <w:highlight w:val="none"/>
        </w:rPr>
      </w:pPr>
    </w:p>
    <w:p w14:paraId="6CDE313A">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p>
    <w:p w14:paraId="2EB69048">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盖</w:t>
      </w:r>
      <w:r>
        <w:rPr>
          <w:rFonts w:hint="eastAsia" w:ascii="宋体" w:hAnsi="宋体" w:eastAsia="宋体" w:cs="宋体"/>
          <w:color w:val="auto"/>
          <w:szCs w:val="21"/>
          <w:highlight w:val="none"/>
          <w:u w:val="single"/>
        </w:rPr>
        <w:t xml:space="preserve">章）   </w:t>
      </w:r>
    </w:p>
    <w:p w14:paraId="2E7655CB">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（签</w:t>
      </w:r>
      <w:r>
        <w:rPr>
          <w:rFonts w:hint="eastAsia" w:ascii="宋体" w:hAnsi="宋体" w:cs="宋体"/>
          <w:color w:val="auto"/>
          <w:szCs w:val="21"/>
          <w:highlight w:val="none"/>
          <w:u w:val="single"/>
          <w:lang w:val="en-US" w:eastAsia="zh-CN"/>
        </w:rPr>
        <w:t>字或盖</w:t>
      </w:r>
      <w:r>
        <w:rPr>
          <w:rFonts w:hint="eastAsia" w:ascii="宋体" w:hAnsi="宋体" w:eastAsia="宋体" w:cs="宋体"/>
          <w:color w:val="auto"/>
          <w:szCs w:val="21"/>
          <w:highlight w:val="none"/>
          <w:u w:val="single"/>
        </w:rPr>
        <w:t>章）</w:t>
      </w:r>
    </w:p>
    <w:p w14:paraId="1D3B5338">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r>
        <w:rPr>
          <w:rFonts w:hint="eastAsia" w:ascii="宋体" w:hAnsi="宋体" w:eastAsia="宋体" w:cs="宋体"/>
          <w:color w:val="auto"/>
          <w:szCs w:val="21"/>
          <w:highlight w:val="none"/>
          <w:u w:val="single"/>
        </w:rPr>
        <w:t xml:space="preserve">                                       </w:t>
      </w:r>
    </w:p>
    <w:p w14:paraId="1BF3A471">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p>
    <w:p w14:paraId="360B1957">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1E9E3BBC">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p>
    <w:p w14:paraId="789E987E">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p>
    <w:p w14:paraId="5EA5C610">
      <w:pP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br w:type="page"/>
      </w:r>
    </w:p>
    <w:p w14:paraId="63B95021">
      <w:pPr>
        <w:pStyle w:val="8"/>
        <w:widowControl/>
        <w:adjustRightInd w:val="0"/>
        <w:snapToGrid w:val="0"/>
        <w:spacing w:before="0" w:beforeAutospacing="0" w:after="0" w:afterAutospacing="0" w:line="560" w:lineRule="exact"/>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w:t>
      </w:r>
      <w:r>
        <w:rPr>
          <w:rFonts w:hint="default" w:ascii="Times New Roman" w:hAnsi="Times New Roman" w:eastAsia="宋体" w:cs="Times New Roman"/>
          <w:b/>
          <w:bCs/>
          <w:color w:val="auto"/>
          <w:kern w:val="0"/>
          <w:sz w:val="32"/>
          <w:szCs w:val="32"/>
          <w:highlight w:val="none"/>
        </w:rPr>
        <w:t>2</w:t>
      </w:r>
      <w:r>
        <w:rPr>
          <w:rFonts w:hint="eastAsia" w:ascii="宋体" w:hAnsi="宋体" w:eastAsia="宋体" w:cs="宋体"/>
          <w:b/>
          <w:bCs/>
          <w:color w:val="auto"/>
          <w:kern w:val="0"/>
          <w:sz w:val="32"/>
          <w:szCs w:val="32"/>
          <w:highlight w:val="none"/>
        </w:rPr>
        <w:t>）工程量清单报价书</w:t>
      </w:r>
    </w:p>
    <w:p w14:paraId="302A0ED9">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b/>
          <w:bCs/>
          <w:color w:val="auto"/>
          <w:kern w:val="2"/>
          <w:sz w:val="32"/>
          <w:szCs w:val="32"/>
          <w:highlight w:val="none"/>
          <w:u w:val="single"/>
        </w:rPr>
      </w:pPr>
    </w:p>
    <w:p w14:paraId="68DCDB94">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bCs/>
          <w:color w:val="auto"/>
          <w:kern w:val="2"/>
          <w:sz w:val="24"/>
          <w:szCs w:val="24"/>
          <w:highlight w:val="none"/>
          <w:u w:val="single"/>
        </w:rPr>
      </w:pPr>
      <w:r>
        <w:rPr>
          <w:rFonts w:hint="eastAsia" w:ascii="宋体" w:hAnsi="宋体" w:eastAsia="宋体" w:cs="宋体"/>
          <w:bCs/>
          <w:color w:val="auto"/>
          <w:kern w:val="2"/>
          <w:sz w:val="24"/>
          <w:szCs w:val="24"/>
          <w:highlight w:val="none"/>
          <w:u w:val="single"/>
          <w:lang w:val="en-US" w:eastAsia="zh-CN" w:bidi="ar"/>
        </w:rPr>
        <w:t>工程量清单报价书格式：见2018版“工程量清单计价文件”格式</w:t>
      </w:r>
    </w:p>
    <w:p w14:paraId="5FADC2FD">
      <w:pPr>
        <w:pStyle w:val="42"/>
        <w:keepNext w:val="0"/>
        <w:keepLines w:val="0"/>
        <w:widowControl w:val="0"/>
        <w:suppressLineNumbers w:val="0"/>
        <w:spacing w:before="0" w:beforeAutospacing="1" w:after="120" w:afterLines="0" w:afterAutospacing="0"/>
        <w:ind w:left="420" w:leftChars="200" w:right="0" w:firstLine="420" w:firstLineChars="200"/>
        <w:jc w:val="both"/>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lang w:val="en-US" w:eastAsia="zh-CN" w:bidi="ar"/>
        </w:rPr>
        <w:t xml:space="preserve"> </w:t>
      </w:r>
    </w:p>
    <w:p w14:paraId="4EA7FB3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r>
        <w:rPr>
          <w:rFonts w:hint="eastAsia" w:ascii="Times New Roman" w:hAnsi="Times New Roman" w:eastAsia="宋体" w:cs="Times New Roman"/>
          <w:color w:val="auto"/>
          <w:kern w:val="2"/>
          <w:sz w:val="21"/>
          <w:szCs w:val="21"/>
          <w:highlight w:val="none"/>
          <w:lang w:val="en-US" w:eastAsia="zh-CN" w:bidi="ar"/>
        </w:rPr>
        <w:t xml:space="preserve">  </w:t>
      </w:r>
    </w:p>
    <w:p w14:paraId="05D1C87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r>
        <w:rPr>
          <w:rFonts w:hint="eastAsia" w:ascii="Times New Roman" w:hAnsi="Times New Roman" w:eastAsia="宋体" w:cs="Times New Roman"/>
          <w:color w:val="auto"/>
          <w:kern w:val="2"/>
          <w:sz w:val="21"/>
          <w:szCs w:val="21"/>
          <w:highlight w:val="none"/>
          <w:lang w:val="en-US" w:eastAsia="zh-CN" w:bidi="ar"/>
        </w:rPr>
        <w:t xml:space="preserve"> </w:t>
      </w:r>
    </w:p>
    <w:p w14:paraId="1DA3F6DD">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2A30B572">
      <w:pPr>
        <w:pStyle w:val="42"/>
        <w:keepNext w:val="0"/>
        <w:keepLines w:val="0"/>
        <w:widowControl w:val="0"/>
        <w:suppressLineNumbers w:val="0"/>
        <w:spacing w:before="0" w:beforeAutospacing="1" w:after="120" w:afterLines="0" w:afterAutospacing="0"/>
        <w:ind w:left="420" w:leftChars="200" w:right="0" w:firstLine="420" w:firstLineChars="200"/>
        <w:jc w:val="both"/>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lang w:val="en-US" w:eastAsia="zh-CN" w:bidi="ar"/>
        </w:rPr>
        <w:t xml:space="preserve"> </w:t>
      </w:r>
    </w:p>
    <w:p w14:paraId="1F2C57A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73295D67">
      <w:pPr>
        <w:pStyle w:val="8"/>
        <w:keepNext w:val="0"/>
        <w:keepLines w:val="0"/>
        <w:pageBreakBefore/>
        <w:widowControl/>
        <w:suppressLineNumbers w:val="0"/>
        <w:adjustRightInd w:val="0"/>
        <w:snapToGrid w:val="0"/>
        <w:spacing w:before="0" w:beforeAutospacing="0" w:after="0" w:afterAutospacing="0" w:line="560" w:lineRule="exact"/>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w:t>
      </w:r>
      <w:r>
        <w:rPr>
          <w:rFonts w:hint="default" w:ascii="Times New Roman" w:hAnsi="Times New Roman" w:eastAsia="宋体" w:cs="Times New Roman"/>
          <w:b/>
          <w:bCs/>
          <w:color w:val="auto"/>
          <w:kern w:val="0"/>
          <w:sz w:val="32"/>
          <w:szCs w:val="32"/>
          <w:highlight w:val="none"/>
        </w:rPr>
        <w:t>3</w:t>
      </w:r>
      <w:r>
        <w:rPr>
          <w:rFonts w:hint="eastAsia" w:ascii="宋体" w:hAnsi="宋体" w:eastAsia="宋体" w:cs="宋体"/>
          <w:b/>
          <w:bCs/>
          <w:color w:val="auto"/>
          <w:kern w:val="0"/>
          <w:sz w:val="32"/>
          <w:szCs w:val="32"/>
          <w:highlight w:val="none"/>
        </w:rPr>
        <w:t>）推荐的材料品牌响应表</w:t>
      </w:r>
    </w:p>
    <w:p w14:paraId="3E990650">
      <w:pPr>
        <w:pStyle w:val="42"/>
        <w:keepNext w:val="0"/>
        <w:keepLines w:val="0"/>
        <w:widowControl w:val="0"/>
        <w:suppressLineNumbers w:val="0"/>
        <w:adjustRightInd w:val="0"/>
        <w:snapToGrid w:val="0"/>
        <w:spacing w:before="0" w:beforeAutospacing="1" w:after="0" w:afterLines="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w:t>
      </w:r>
      <w:r>
        <w:rPr>
          <w:rFonts w:hint="eastAsia" w:ascii="宋体" w:hAnsi="宋体" w:eastAsia="宋体" w:cs="宋体"/>
          <w:color w:val="auto"/>
          <w:spacing w:val="-3"/>
          <w:kern w:val="2"/>
          <w:sz w:val="21"/>
          <w:szCs w:val="21"/>
          <w:highlight w:val="none"/>
          <w:lang w:val="en-US" w:eastAsia="zh-CN" w:bidi="ar"/>
        </w:rPr>
        <w:t>名</w:t>
      </w:r>
      <w:r>
        <w:rPr>
          <w:rFonts w:hint="eastAsia" w:ascii="宋体" w:hAnsi="宋体" w:eastAsia="宋体" w:cs="宋体"/>
          <w:color w:val="auto"/>
          <w:kern w:val="2"/>
          <w:sz w:val="21"/>
          <w:szCs w:val="21"/>
          <w:highlight w:val="none"/>
          <w:lang w:val="en-US" w:eastAsia="zh-CN" w:bidi="ar"/>
        </w:rPr>
        <w:t xml:space="preserve">称：                              </w:t>
      </w:r>
      <w:r>
        <w:rPr>
          <w:rFonts w:hint="eastAsia" w:ascii="宋体" w:hAnsi="宋体" w:eastAsia="宋体" w:cs="宋体"/>
          <w:color w:val="auto"/>
          <w:kern w:val="2"/>
          <w:sz w:val="21"/>
          <w:szCs w:val="21"/>
          <w:highlight w:val="none"/>
          <w:lang w:val="en-US" w:eastAsia="zh-CN" w:bidi="ar"/>
        </w:rPr>
        <w:tab/>
      </w:r>
      <w:r>
        <w:rPr>
          <w:rFonts w:hint="eastAsia" w:ascii="宋体" w:hAnsi="宋体" w:eastAsia="宋体" w:cs="宋体"/>
          <w:color w:val="auto"/>
          <w:kern w:val="2"/>
          <w:sz w:val="21"/>
          <w:szCs w:val="21"/>
          <w:highlight w:val="none"/>
          <w:lang w:val="en-US" w:eastAsia="zh-CN" w:bidi="ar"/>
        </w:rPr>
        <w:t>第</w:t>
      </w:r>
      <w:r>
        <w:rPr>
          <w:rFonts w:hint="eastAsia" w:ascii="宋体" w:hAnsi="宋体" w:eastAsia="宋体" w:cs="宋体"/>
          <w:color w:val="auto"/>
          <w:kern w:val="2"/>
          <w:sz w:val="21"/>
          <w:szCs w:val="21"/>
          <w:highlight w:val="none"/>
          <w:lang w:val="en-US" w:eastAsia="zh-CN" w:bidi="ar"/>
        </w:rPr>
        <w:tab/>
      </w:r>
      <w:r>
        <w:rPr>
          <w:rFonts w:hint="eastAsia" w:ascii="宋体" w:hAnsi="宋体" w:eastAsia="宋体" w:cs="宋体"/>
          <w:color w:val="auto"/>
          <w:spacing w:val="-3"/>
          <w:kern w:val="2"/>
          <w:sz w:val="21"/>
          <w:szCs w:val="21"/>
          <w:highlight w:val="none"/>
          <w:lang w:val="en-US" w:eastAsia="zh-CN" w:bidi="ar"/>
        </w:rPr>
        <w:t>页</w:t>
      </w:r>
      <w:r>
        <w:rPr>
          <w:rFonts w:hint="eastAsia" w:ascii="宋体" w:hAnsi="宋体" w:eastAsia="宋体" w:cs="宋体"/>
          <w:color w:val="auto"/>
          <w:kern w:val="2"/>
          <w:sz w:val="21"/>
          <w:szCs w:val="21"/>
          <w:highlight w:val="none"/>
          <w:lang w:val="en-US" w:eastAsia="zh-CN" w:bidi="ar"/>
        </w:rPr>
        <w:t xml:space="preserve">共 </w:t>
      </w:r>
      <w:r>
        <w:rPr>
          <w:rFonts w:hint="eastAsia" w:ascii="宋体" w:hAnsi="宋体" w:eastAsia="宋体" w:cs="宋体"/>
          <w:color w:val="auto"/>
          <w:kern w:val="2"/>
          <w:sz w:val="21"/>
          <w:szCs w:val="21"/>
          <w:highlight w:val="none"/>
          <w:lang w:val="en-US" w:eastAsia="zh-CN" w:bidi="ar"/>
        </w:rPr>
        <w:tab/>
      </w:r>
      <w:r>
        <w:rPr>
          <w:rFonts w:hint="eastAsia" w:ascii="宋体" w:hAnsi="宋体" w:eastAsia="宋体" w:cs="宋体"/>
          <w:color w:val="auto"/>
          <w:kern w:val="2"/>
          <w:sz w:val="21"/>
          <w:szCs w:val="21"/>
          <w:highlight w:val="none"/>
          <w:lang w:val="en-US" w:eastAsia="zh-CN" w:bidi="ar"/>
        </w:rPr>
        <w:t xml:space="preserve">页 </w:t>
      </w:r>
    </w:p>
    <w:p w14:paraId="1D877CCB">
      <w:pPr>
        <w:pStyle w:val="42"/>
        <w:keepNext w:val="0"/>
        <w:keepLines w:val="0"/>
        <w:widowControl w:val="0"/>
        <w:suppressLineNumbers w:val="0"/>
        <w:adjustRightInd w:val="0"/>
        <w:snapToGrid w:val="0"/>
        <w:spacing w:before="0" w:beforeAutospacing="1" w:after="0" w:afterLines="0" w:afterAutospacing="0" w:line="560" w:lineRule="exact"/>
        <w:ind w:left="0" w:right="0"/>
        <w:jc w:val="center"/>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品牌推荐表（如要求）</w:t>
      </w:r>
    </w:p>
    <w:tbl>
      <w:tblPr>
        <w:tblStyle w:val="46"/>
        <w:tblW w:w="78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36"/>
        <w:gridCol w:w="1685"/>
        <w:gridCol w:w="794"/>
        <w:gridCol w:w="794"/>
        <w:gridCol w:w="794"/>
        <w:gridCol w:w="791"/>
        <w:gridCol w:w="635"/>
        <w:gridCol w:w="1687"/>
      </w:tblGrid>
      <w:tr w14:paraId="6BB48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0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top"/>
          </w:tcPr>
          <w:p w14:paraId="725D9F63">
            <w:pPr>
              <w:pStyle w:val="42"/>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序号</w:t>
            </w:r>
          </w:p>
        </w:tc>
        <w:tc>
          <w:tcPr>
            <w:tcW w:w="1685" w:type="dxa"/>
            <w:tcBorders>
              <w:top w:val="single" w:color="000000" w:sz="4" w:space="0"/>
              <w:left w:val="nil"/>
              <w:bottom w:val="single" w:color="000000" w:sz="4" w:space="0"/>
              <w:right w:val="single" w:color="000000" w:sz="4" w:space="0"/>
            </w:tcBorders>
            <w:shd w:val="clear" w:color="auto" w:fill="auto"/>
            <w:vAlign w:val="top"/>
          </w:tcPr>
          <w:p w14:paraId="0B460E2D">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材料、设备名称</w:t>
            </w:r>
          </w:p>
        </w:tc>
        <w:tc>
          <w:tcPr>
            <w:tcW w:w="794" w:type="dxa"/>
            <w:tcBorders>
              <w:top w:val="single" w:color="000000" w:sz="4" w:space="0"/>
              <w:left w:val="nil"/>
              <w:bottom w:val="single" w:color="000000" w:sz="4" w:space="0"/>
              <w:right w:val="single" w:color="000000" w:sz="4" w:space="0"/>
            </w:tcBorders>
            <w:shd w:val="clear" w:color="auto" w:fill="auto"/>
            <w:vAlign w:val="top"/>
          </w:tcPr>
          <w:p w14:paraId="49593744">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品牌 1</w:t>
            </w:r>
          </w:p>
        </w:tc>
        <w:tc>
          <w:tcPr>
            <w:tcW w:w="794" w:type="dxa"/>
            <w:tcBorders>
              <w:top w:val="single" w:color="000000" w:sz="4" w:space="0"/>
              <w:left w:val="nil"/>
              <w:bottom w:val="single" w:color="000000" w:sz="4" w:space="0"/>
              <w:right w:val="single" w:color="000000" w:sz="4" w:space="0"/>
            </w:tcBorders>
            <w:shd w:val="clear" w:color="auto" w:fill="auto"/>
            <w:vAlign w:val="top"/>
          </w:tcPr>
          <w:p w14:paraId="055E664A">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品牌 2</w:t>
            </w:r>
          </w:p>
        </w:tc>
        <w:tc>
          <w:tcPr>
            <w:tcW w:w="794" w:type="dxa"/>
            <w:tcBorders>
              <w:top w:val="single" w:color="000000" w:sz="4" w:space="0"/>
              <w:left w:val="nil"/>
              <w:bottom w:val="single" w:color="000000" w:sz="4" w:space="0"/>
              <w:right w:val="single" w:color="000000" w:sz="4" w:space="0"/>
            </w:tcBorders>
            <w:shd w:val="clear" w:color="auto" w:fill="auto"/>
            <w:vAlign w:val="top"/>
          </w:tcPr>
          <w:p w14:paraId="7F7ECA40">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品牌 3</w:t>
            </w:r>
          </w:p>
        </w:tc>
        <w:tc>
          <w:tcPr>
            <w:tcW w:w="791" w:type="dxa"/>
            <w:tcBorders>
              <w:top w:val="single" w:color="000000" w:sz="4" w:space="0"/>
              <w:left w:val="nil"/>
              <w:bottom w:val="single" w:color="000000" w:sz="4" w:space="0"/>
              <w:right w:val="single" w:color="000000" w:sz="4" w:space="0"/>
            </w:tcBorders>
            <w:shd w:val="clear" w:color="auto" w:fill="auto"/>
            <w:vAlign w:val="top"/>
          </w:tcPr>
          <w:p w14:paraId="36907BC2">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品牌 4</w:t>
            </w:r>
          </w:p>
        </w:tc>
        <w:tc>
          <w:tcPr>
            <w:tcW w:w="635" w:type="dxa"/>
            <w:tcBorders>
              <w:top w:val="single" w:color="000000" w:sz="4" w:space="0"/>
              <w:left w:val="nil"/>
              <w:bottom w:val="single" w:color="000000" w:sz="4" w:space="0"/>
              <w:right w:val="single" w:color="000000" w:sz="4" w:space="0"/>
            </w:tcBorders>
            <w:shd w:val="clear" w:color="auto" w:fill="auto"/>
            <w:vAlign w:val="top"/>
          </w:tcPr>
          <w:p w14:paraId="1F83F581">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备注</w:t>
            </w:r>
          </w:p>
        </w:tc>
        <w:tc>
          <w:tcPr>
            <w:tcW w:w="1687" w:type="dxa"/>
            <w:tcBorders>
              <w:top w:val="single" w:color="000000" w:sz="4" w:space="0"/>
              <w:left w:val="nil"/>
              <w:bottom w:val="single" w:color="000000" w:sz="4" w:space="0"/>
              <w:right w:val="single" w:color="000000" w:sz="4" w:space="0"/>
            </w:tcBorders>
            <w:shd w:val="clear" w:color="auto" w:fill="auto"/>
            <w:vAlign w:val="top"/>
          </w:tcPr>
          <w:p w14:paraId="3B0F8AC9">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投标人选定品牌</w:t>
            </w:r>
          </w:p>
        </w:tc>
      </w:tr>
      <w:tr w14:paraId="3E48C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top"/>
          </w:tcPr>
          <w:p w14:paraId="0979E471">
            <w:pPr>
              <w:pStyle w:val="42"/>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1685" w:type="dxa"/>
            <w:tcBorders>
              <w:top w:val="single" w:color="000000" w:sz="4" w:space="0"/>
              <w:left w:val="nil"/>
              <w:bottom w:val="single" w:color="000000" w:sz="4" w:space="0"/>
              <w:right w:val="single" w:color="000000" w:sz="4" w:space="0"/>
            </w:tcBorders>
            <w:shd w:val="clear" w:color="auto" w:fill="auto"/>
            <w:vAlign w:val="top"/>
          </w:tcPr>
          <w:p w14:paraId="5A5F4024">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nil"/>
              <w:bottom w:val="single" w:color="000000" w:sz="4" w:space="0"/>
              <w:right w:val="single" w:color="000000" w:sz="4" w:space="0"/>
            </w:tcBorders>
            <w:shd w:val="clear" w:color="auto" w:fill="auto"/>
            <w:vAlign w:val="top"/>
          </w:tcPr>
          <w:p w14:paraId="66069731">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nil"/>
              <w:bottom w:val="single" w:color="000000" w:sz="4" w:space="0"/>
              <w:right w:val="single" w:color="000000" w:sz="4" w:space="0"/>
            </w:tcBorders>
            <w:shd w:val="clear" w:color="auto" w:fill="auto"/>
            <w:vAlign w:val="top"/>
          </w:tcPr>
          <w:p w14:paraId="35B0E1D1">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nil"/>
              <w:bottom w:val="single" w:color="000000" w:sz="4" w:space="0"/>
              <w:right w:val="single" w:color="000000" w:sz="4" w:space="0"/>
            </w:tcBorders>
            <w:shd w:val="clear" w:color="auto" w:fill="auto"/>
            <w:vAlign w:val="top"/>
          </w:tcPr>
          <w:p w14:paraId="5D4F742A">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1" w:type="dxa"/>
            <w:tcBorders>
              <w:top w:val="single" w:color="000000" w:sz="4" w:space="0"/>
              <w:left w:val="nil"/>
              <w:bottom w:val="single" w:color="000000" w:sz="4" w:space="0"/>
              <w:right w:val="single" w:color="000000" w:sz="4" w:space="0"/>
            </w:tcBorders>
            <w:shd w:val="clear" w:color="auto" w:fill="auto"/>
            <w:vAlign w:val="top"/>
          </w:tcPr>
          <w:p w14:paraId="494E84AF">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635" w:type="dxa"/>
            <w:tcBorders>
              <w:top w:val="single" w:color="000000" w:sz="4" w:space="0"/>
              <w:left w:val="nil"/>
              <w:bottom w:val="single" w:color="000000" w:sz="4" w:space="0"/>
              <w:right w:val="single" w:color="000000" w:sz="4" w:space="0"/>
            </w:tcBorders>
            <w:shd w:val="clear" w:color="auto" w:fill="auto"/>
            <w:vAlign w:val="top"/>
          </w:tcPr>
          <w:p w14:paraId="55C94244">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1687" w:type="dxa"/>
            <w:tcBorders>
              <w:top w:val="single" w:color="000000" w:sz="4" w:space="0"/>
              <w:left w:val="nil"/>
              <w:bottom w:val="single" w:color="000000" w:sz="4" w:space="0"/>
              <w:right w:val="single" w:color="000000" w:sz="4" w:space="0"/>
            </w:tcBorders>
            <w:shd w:val="clear" w:color="auto" w:fill="auto"/>
            <w:vAlign w:val="top"/>
          </w:tcPr>
          <w:p w14:paraId="03094CEB">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r>
      <w:tr w14:paraId="38129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top"/>
          </w:tcPr>
          <w:p w14:paraId="72BB6027">
            <w:pPr>
              <w:pStyle w:val="42"/>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1685" w:type="dxa"/>
            <w:tcBorders>
              <w:top w:val="single" w:color="000000" w:sz="4" w:space="0"/>
              <w:left w:val="nil"/>
              <w:bottom w:val="single" w:color="000000" w:sz="4" w:space="0"/>
              <w:right w:val="single" w:color="000000" w:sz="4" w:space="0"/>
            </w:tcBorders>
            <w:shd w:val="clear" w:color="auto" w:fill="auto"/>
            <w:vAlign w:val="top"/>
          </w:tcPr>
          <w:p w14:paraId="78898101">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nil"/>
              <w:bottom w:val="single" w:color="000000" w:sz="4" w:space="0"/>
              <w:right w:val="single" w:color="000000" w:sz="4" w:space="0"/>
            </w:tcBorders>
            <w:shd w:val="clear" w:color="auto" w:fill="auto"/>
            <w:vAlign w:val="top"/>
          </w:tcPr>
          <w:p w14:paraId="55EBF190">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nil"/>
              <w:bottom w:val="single" w:color="000000" w:sz="4" w:space="0"/>
              <w:right w:val="single" w:color="000000" w:sz="4" w:space="0"/>
            </w:tcBorders>
            <w:shd w:val="clear" w:color="auto" w:fill="auto"/>
            <w:vAlign w:val="top"/>
          </w:tcPr>
          <w:p w14:paraId="460A1FDF">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nil"/>
              <w:bottom w:val="single" w:color="000000" w:sz="4" w:space="0"/>
              <w:right w:val="single" w:color="000000" w:sz="4" w:space="0"/>
            </w:tcBorders>
            <w:shd w:val="clear" w:color="auto" w:fill="auto"/>
            <w:vAlign w:val="top"/>
          </w:tcPr>
          <w:p w14:paraId="04295829">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1" w:type="dxa"/>
            <w:tcBorders>
              <w:top w:val="single" w:color="000000" w:sz="4" w:space="0"/>
              <w:left w:val="nil"/>
              <w:bottom w:val="single" w:color="000000" w:sz="4" w:space="0"/>
              <w:right w:val="single" w:color="000000" w:sz="4" w:space="0"/>
            </w:tcBorders>
            <w:shd w:val="clear" w:color="auto" w:fill="auto"/>
            <w:vAlign w:val="top"/>
          </w:tcPr>
          <w:p w14:paraId="1D20020E">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635" w:type="dxa"/>
            <w:tcBorders>
              <w:top w:val="single" w:color="000000" w:sz="4" w:space="0"/>
              <w:left w:val="nil"/>
              <w:bottom w:val="single" w:color="000000" w:sz="4" w:space="0"/>
              <w:right w:val="single" w:color="000000" w:sz="4" w:space="0"/>
            </w:tcBorders>
            <w:shd w:val="clear" w:color="auto" w:fill="auto"/>
            <w:vAlign w:val="top"/>
          </w:tcPr>
          <w:p w14:paraId="59D69510">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1687" w:type="dxa"/>
            <w:tcBorders>
              <w:top w:val="single" w:color="000000" w:sz="4" w:space="0"/>
              <w:left w:val="nil"/>
              <w:bottom w:val="single" w:color="000000" w:sz="4" w:space="0"/>
              <w:right w:val="single" w:color="000000" w:sz="4" w:space="0"/>
            </w:tcBorders>
            <w:shd w:val="clear" w:color="auto" w:fill="auto"/>
            <w:vAlign w:val="top"/>
          </w:tcPr>
          <w:p w14:paraId="6B0E2927">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r>
      <w:tr w14:paraId="16B6C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4" w:hRule="atLeast"/>
          <w:jc w:val="center"/>
        </w:trPr>
        <w:tc>
          <w:tcPr>
            <w:tcW w:w="636" w:type="dxa"/>
            <w:tcBorders>
              <w:top w:val="single" w:color="000000" w:sz="4" w:space="0"/>
              <w:left w:val="single" w:color="000000" w:sz="4" w:space="0"/>
              <w:bottom w:val="single" w:color="000000" w:sz="6" w:space="0"/>
              <w:right w:val="single" w:color="000000" w:sz="4" w:space="0"/>
            </w:tcBorders>
            <w:shd w:val="clear" w:color="auto" w:fill="auto"/>
            <w:vAlign w:val="top"/>
          </w:tcPr>
          <w:p w14:paraId="0C9B176F">
            <w:pPr>
              <w:pStyle w:val="42"/>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p>
        </w:tc>
        <w:tc>
          <w:tcPr>
            <w:tcW w:w="1685" w:type="dxa"/>
            <w:tcBorders>
              <w:top w:val="single" w:color="000000" w:sz="4" w:space="0"/>
              <w:left w:val="nil"/>
              <w:bottom w:val="single" w:color="000000" w:sz="6" w:space="0"/>
              <w:right w:val="single" w:color="000000" w:sz="4" w:space="0"/>
            </w:tcBorders>
            <w:shd w:val="clear" w:color="auto" w:fill="auto"/>
            <w:vAlign w:val="top"/>
          </w:tcPr>
          <w:p w14:paraId="2F218E60">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nil"/>
              <w:bottom w:val="single" w:color="000000" w:sz="6" w:space="0"/>
              <w:right w:val="single" w:color="000000" w:sz="4" w:space="0"/>
            </w:tcBorders>
            <w:shd w:val="clear" w:color="auto" w:fill="auto"/>
            <w:vAlign w:val="top"/>
          </w:tcPr>
          <w:p w14:paraId="4A02F4E4">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nil"/>
              <w:bottom w:val="single" w:color="000000" w:sz="6" w:space="0"/>
              <w:right w:val="single" w:color="000000" w:sz="4" w:space="0"/>
            </w:tcBorders>
            <w:shd w:val="clear" w:color="auto" w:fill="auto"/>
            <w:vAlign w:val="top"/>
          </w:tcPr>
          <w:p w14:paraId="0E3A8F0F">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nil"/>
              <w:bottom w:val="single" w:color="000000" w:sz="6" w:space="0"/>
              <w:right w:val="single" w:color="000000" w:sz="4" w:space="0"/>
            </w:tcBorders>
            <w:shd w:val="clear" w:color="auto" w:fill="auto"/>
            <w:vAlign w:val="top"/>
          </w:tcPr>
          <w:p w14:paraId="177011B0">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1" w:type="dxa"/>
            <w:tcBorders>
              <w:top w:val="single" w:color="000000" w:sz="4" w:space="0"/>
              <w:left w:val="nil"/>
              <w:bottom w:val="single" w:color="000000" w:sz="6" w:space="0"/>
              <w:right w:val="single" w:color="000000" w:sz="4" w:space="0"/>
            </w:tcBorders>
            <w:shd w:val="clear" w:color="auto" w:fill="auto"/>
            <w:vAlign w:val="top"/>
          </w:tcPr>
          <w:p w14:paraId="1AC2F3C4">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635" w:type="dxa"/>
            <w:tcBorders>
              <w:top w:val="single" w:color="000000" w:sz="4" w:space="0"/>
              <w:left w:val="nil"/>
              <w:bottom w:val="single" w:color="000000" w:sz="6" w:space="0"/>
              <w:right w:val="single" w:color="000000" w:sz="4" w:space="0"/>
            </w:tcBorders>
            <w:shd w:val="clear" w:color="auto" w:fill="auto"/>
            <w:vAlign w:val="top"/>
          </w:tcPr>
          <w:p w14:paraId="7E415CAA">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1687" w:type="dxa"/>
            <w:tcBorders>
              <w:top w:val="single" w:color="000000" w:sz="4" w:space="0"/>
              <w:left w:val="nil"/>
              <w:bottom w:val="single" w:color="000000" w:sz="6" w:space="0"/>
              <w:right w:val="single" w:color="000000" w:sz="4" w:space="0"/>
            </w:tcBorders>
            <w:shd w:val="clear" w:color="auto" w:fill="auto"/>
            <w:vAlign w:val="top"/>
          </w:tcPr>
          <w:p w14:paraId="22DDA605">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r>
      <w:tr w14:paraId="7487D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4" w:hRule="atLeast"/>
          <w:jc w:val="center"/>
        </w:trPr>
        <w:tc>
          <w:tcPr>
            <w:tcW w:w="636" w:type="dxa"/>
            <w:tcBorders>
              <w:top w:val="single" w:color="000000" w:sz="6" w:space="0"/>
              <w:left w:val="single" w:color="000000" w:sz="4" w:space="0"/>
              <w:bottom w:val="single" w:color="000000" w:sz="4" w:space="0"/>
              <w:right w:val="single" w:color="000000" w:sz="4" w:space="0"/>
            </w:tcBorders>
            <w:shd w:val="clear" w:color="auto" w:fill="auto"/>
            <w:vAlign w:val="top"/>
          </w:tcPr>
          <w:p w14:paraId="3D48E362">
            <w:pPr>
              <w:pStyle w:val="42"/>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w:t>
            </w:r>
          </w:p>
        </w:tc>
        <w:tc>
          <w:tcPr>
            <w:tcW w:w="1685" w:type="dxa"/>
            <w:tcBorders>
              <w:top w:val="single" w:color="000000" w:sz="6" w:space="0"/>
              <w:left w:val="nil"/>
              <w:bottom w:val="single" w:color="000000" w:sz="4" w:space="0"/>
              <w:right w:val="single" w:color="000000" w:sz="4" w:space="0"/>
            </w:tcBorders>
            <w:shd w:val="clear" w:color="auto" w:fill="auto"/>
            <w:vAlign w:val="top"/>
          </w:tcPr>
          <w:p w14:paraId="09FB2C69">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6" w:space="0"/>
              <w:left w:val="nil"/>
              <w:bottom w:val="single" w:color="000000" w:sz="4" w:space="0"/>
              <w:right w:val="single" w:color="000000" w:sz="4" w:space="0"/>
            </w:tcBorders>
            <w:shd w:val="clear" w:color="auto" w:fill="auto"/>
            <w:vAlign w:val="top"/>
          </w:tcPr>
          <w:p w14:paraId="7C374BDB">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6" w:space="0"/>
              <w:left w:val="nil"/>
              <w:bottom w:val="single" w:color="000000" w:sz="4" w:space="0"/>
              <w:right w:val="single" w:color="000000" w:sz="4" w:space="0"/>
            </w:tcBorders>
            <w:shd w:val="clear" w:color="auto" w:fill="auto"/>
            <w:vAlign w:val="top"/>
          </w:tcPr>
          <w:p w14:paraId="6AF07729">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6" w:space="0"/>
              <w:left w:val="nil"/>
              <w:bottom w:val="single" w:color="000000" w:sz="4" w:space="0"/>
              <w:right w:val="single" w:color="000000" w:sz="4" w:space="0"/>
            </w:tcBorders>
            <w:shd w:val="clear" w:color="auto" w:fill="auto"/>
            <w:vAlign w:val="top"/>
          </w:tcPr>
          <w:p w14:paraId="48E1E53D">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1" w:type="dxa"/>
            <w:tcBorders>
              <w:top w:val="single" w:color="000000" w:sz="6" w:space="0"/>
              <w:left w:val="nil"/>
              <w:bottom w:val="single" w:color="000000" w:sz="4" w:space="0"/>
              <w:right w:val="single" w:color="000000" w:sz="4" w:space="0"/>
            </w:tcBorders>
            <w:shd w:val="clear" w:color="auto" w:fill="auto"/>
            <w:vAlign w:val="top"/>
          </w:tcPr>
          <w:p w14:paraId="37405897">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635" w:type="dxa"/>
            <w:tcBorders>
              <w:top w:val="single" w:color="000000" w:sz="6" w:space="0"/>
              <w:left w:val="nil"/>
              <w:bottom w:val="single" w:color="000000" w:sz="4" w:space="0"/>
              <w:right w:val="single" w:color="000000" w:sz="4" w:space="0"/>
            </w:tcBorders>
            <w:shd w:val="clear" w:color="auto" w:fill="auto"/>
            <w:vAlign w:val="top"/>
          </w:tcPr>
          <w:p w14:paraId="7A07E8E3">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1687" w:type="dxa"/>
            <w:tcBorders>
              <w:top w:val="single" w:color="000000" w:sz="6" w:space="0"/>
              <w:left w:val="nil"/>
              <w:bottom w:val="single" w:color="000000" w:sz="4" w:space="0"/>
              <w:right w:val="single" w:color="000000" w:sz="4" w:space="0"/>
            </w:tcBorders>
            <w:shd w:val="clear" w:color="auto" w:fill="auto"/>
            <w:vAlign w:val="top"/>
          </w:tcPr>
          <w:p w14:paraId="3CAA3C2D">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r>
      <w:tr w14:paraId="04BE3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top"/>
          </w:tcPr>
          <w:p w14:paraId="781B4595">
            <w:pPr>
              <w:pStyle w:val="42"/>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w:t>
            </w:r>
          </w:p>
        </w:tc>
        <w:tc>
          <w:tcPr>
            <w:tcW w:w="1685" w:type="dxa"/>
            <w:tcBorders>
              <w:top w:val="single" w:color="000000" w:sz="4" w:space="0"/>
              <w:left w:val="nil"/>
              <w:bottom w:val="single" w:color="000000" w:sz="4" w:space="0"/>
              <w:right w:val="single" w:color="000000" w:sz="4" w:space="0"/>
            </w:tcBorders>
            <w:shd w:val="clear" w:color="auto" w:fill="auto"/>
            <w:vAlign w:val="top"/>
          </w:tcPr>
          <w:p w14:paraId="708C75D1">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nil"/>
              <w:bottom w:val="single" w:color="000000" w:sz="4" w:space="0"/>
              <w:right w:val="single" w:color="000000" w:sz="4" w:space="0"/>
            </w:tcBorders>
            <w:shd w:val="clear" w:color="auto" w:fill="auto"/>
            <w:vAlign w:val="top"/>
          </w:tcPr>
          <w:p w14:paraId="5D460302">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nil"/>
              <w:bottom w:val="single" w:color="000000" w:sz="4" w:space="0"/>
              <w:right w:val="single" w:color="000000" w:sz="4" w:space="0"/>
            </w:tcBorders>
            <w:shd w:val="clear" w:color="auto" w:fill="auto"/>
            <w:vAlign w:val="top"/>
          </w:tcPr>
          <w:p w14:paraId="7BAAB3B5">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nil"/>
              <w:bottom w:val="single" w:color="000000" w:sz="4" w:space="0"/>
              <w:right w:val="single" w:color="000000" w:sz="4" w:space="0"/>
            </w:tcBorders>
            <w:shd w:val="clear" w:color="auto" w:fill="auto"/>
            <w:vAlign w:val="top"/>
          </w:tcPr>
          <w:p w14:paraId="1C0EBA05">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1" w:type="dxa"/>
            <w:tcBorders>
              <w:top w:val="single" w:color="000000" w:sz="4" w:space="0"/>
              <w:left w:val="nil"/>
              <w:bottom w:val="single" w:color="000000" w:sz="4" w:space="0"/>
              <w:right w:val="single" w:color="000000" w:sz="4" w:space="0"/>
            </w:tcBorders>
            <w:shd w:val="clear" w:color="auto" w:fill="auto"/>
            <w:vAlign w:val="top"/>
          </w:tcPr>
          <w:p w14:paraId="56B38660">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635" w:type="dxa"/>
            <w:tcBorders>
              <w:top w:val="single" w:color="000000" w:sz="4" w:space="0"/>
              <w:left w:val="nil"/>
              <w:bottom w:val="single" w:color="000000" w:sz="4" w:space="0"/>
              <w:right w:val="single" w:color="000000" w:sz="4" w:space="0"/>
            </w:tcBorders>
            <w:shd w:val="clear" w:color="auto" w:fill="auto"/>
            <w:vAlign w:val="top"/>
          </w:tcPr>
          <w:p w14:paraId="336324D0">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1687" w:type="dxa"/>
            <w:tcBorders>
              <w:top w:val="single" w:color="000000" w:sz="4" w:space="0"/>
              <w:left w:val="nil"/>
              <w:bottom w:val="single" w:color="000000" w:sz="4" w:space="0"/>
              <w:right w:val="single" w:color="000000" w:sz="4" w:space="0"/>
            </w:tcBorders>
            <w:shd w:val="clear" w:color="auto" w:fill="auto"/>
            <w:vAlign w:val="top"/>
          </w:tcPr>
          <w:p w14:paraId="3307CCD6">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r>
      <w:tr w14:paraId="04901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top"/>
          </w:tcPr>
          <w:p w14:paraId="7A441BF3">
            <w:pPr>
              <w:pStyle w:val="42"/>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w:t>
            </w:r>
          </w:p>
        </w:tc>
        <w:tc>
          <w:tcPr>
            <w:tcW w:w="1685" w:type="dxa"/>
            <w:tcBorders>
              <w:top w:val="single" w:color="000000" w:sz="4" w:space="0"/>
              <w:left w:val="nil"/>
              <w:bottom w:val="single" w:color="000000" w:sz="4" w:space="0"/>
              <w:right w:val="single" w:color="000000" w:sz="4" w:space="0"/>
            </w:tcBorders>
            <w:shd w:val="clear" w:color="auto" w:fill="auto"/>
            <w:vAlign w:val="top"/>
          </w:tcPr>
          <w:p w14:paraId="6466E8C5">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nil"/>
              <w:bottom w:val="single" w:color="000000" w:sz="4" w:space="0"/>
              <w:right w:val="single" w:color="000000" w:sz="4" w:space="0"/>
            </w:tcBorders>
            <w:shd w:val="clear" w:color="auto" w:fill="auto"/>
            <w:vAlign w:val="top"/>
          </w:tcPr>
          <w:p w14:paraId="657FCBA7">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nil"/>
              <w:bottom w:val="single" w:color="000000" w:sz="4" w:space="0"/>
              <w:right w:val="single" w:color="000000" w:sz="4" w:space="0"/>
            </w:tcBorders>
            <w:shd w:val="clear" w:color="auto" w:fill="auto"/>
            <w:vAlign w:val="top"/>
          </w:tcPr>
          <w:p w14:paraId="6847AD7A">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nil"/>
              <w:bottom w:val="single" w:color="000000" w:sz="4" w:space="0"/>
              <w:right w:val="single" w:color="000000" w:sz="4" w:space="0"/>
            </w:tcBorders>
            <w:shd w:val="clear" w:color="auto" w:fill="auto"/>
            <w:vAlign w:val="top"/>
          </w:tcPr>
          <w:p w14:paraId="7D7E29A4">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1" w:type="dxa"/>
            <w:tcBorders>
              <w:top w:val="single" w:color="000000" w:sz="4" w:space="0"/>
              <w:left w:val="nil"/>
              <w:bottom w:val="single" w:color="000000" w:sz="4" w:space="0"/>
              <w:right w:val="single" w:color="000000" w:sz="4" w:space="0"/>
            </w:tcBorders>
            <w:shd w:val="clear" w:color="auto" w:fill="auto"/>
            <w:vAlign w:val="top"/>
          </w:tcPr>
          <w:p w14:paraId="200FB6BF">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635" w:type="dxa"/>
            <w:tcBorders>
              <w:top w:val="single" w:color="000000" w:sz="4" w:space="0"/>
              <w:left w:val="nil"/>
              <w:bottom w:val="single" w:color="000000" w:sz="4" w:space="0"/>
              <w:right w:val="single" w:color="000000" w:sz="4" w:space="0"/>
            </w:tcBorders>
            <w:shd w:val="clear" w:color="auto" w:fill="auto"/>
            <w:vAlign w:val="top"/>
          </w:tcPr>
          <w:p w14:paraId="7FB22555">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1687" w:type="dxa"/>
            <w:tcBorders>
              <w:top w:val="single" w:color="000000" w:sz="4" w:space="0"/>
              <w:left w:val="nil"/>
              <w:bottom w:val="single" w:color="000000" w:sz="4" w:space="0"/>
              <w:right w:val="single" w:color="000000" w:sz="4" w:space="0"/>
            </w:tcBorders>
            <w:shd w:val="clear" w:color="auto" w:fill="auto"/>
            <w:vAlign w:val="top"/>
          </w:tcPr>
          <w:p w14:paraId="6F363E85">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r>
      <w:tr w14:paraId="08520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top"/>
          </w:tcPr>
          <w:p w14:paraId="46FE7636">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1685" w:type="dxa"/>
            <w:tcBorders>
              <w:top w:val="single" w:color="000000" w:sz="4" w:space="0"/>
              <w:left w:val="nil"/>
              <w:bottom w:val="single" w:color="000000" w:sz="4" w:space="0"/>
              <w:right w:val="single" w:color="000000" w:sz="4" w:space="0"/>
            </w:tcBorders>
            <w:shd w:val="clear" w:color="auto" w:fill="auto"/>
            <w:vAlign w:val="top"/>
          </w:tcPr>
          <w:p w14:paraId="6636813F">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nil"/>
              <w:bottom w:val="single" w:color="000000" w:sz="4" w:space="0"/>
              <w:right w:val="single" w:color="000000" w:sz="4" w:space="0"/>
            </w:tcBorders>
            <w:shd w:val="clear" w:color="auto" w:fill="auto"/>
            <w:vAlign w:val="top"/>
          </w:tcPr>
          <w:p w14:paraId="3F743BD3">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nil"/>
              <w:bottom w:val="single" w:color="000000" w:sz="4" w:space="0"/>
              <w:right w:val="single" w:color="000000" w:sz="4" w:space="0"/>
            </w:tcBorders>
            <w:shd w:val="clear" w:color="auto" w:fill="auto"/>
            <w:vAlign w:val="top"/>
          </w:tcPr>
          <w:p w14:paraId="398C9E48">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nil"/>
              <w:bottom w:val="single" w:color="000000" w:sz="4" w:space="0"/>
              <w:right w:val="single" w:color="000000" w:sz="4" w:space="0"/>
            </w:tcBorders>
            <w:shd w:val="clear" w:color="auto" w:fill="auto"/>
            <w:vAlign w:val="top"/>
          </w:tcPr>
          <w:p w14:paraId="7A417F47">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1" w:type="dxa"/>
            <w:tcBorders>
              <w:top w:val="single" w:color="000000" w:sz="4" w:space="0"/>
              <w:left w:val="nil"/>
              <w:bottom w:val="single" w:color="000000" w:sz="4" w:space="0"/>
              <w:right w:val="single" w:color="000000" w:sz="4" w:space="0"/>
            </w:tcBorders>
            <w:shd w:val="clear" w:color="auto" w:fill="auto"/>
            <w:vAlign w:val="top"/>
          </w:tcPr>
          <w:p w14:paraId="12708C5C">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635" w:type="dxa"/>
            <w:tcBorders>
              <w:top w:val="single" w:color="000000" w:sz="4" w:space="0"/>
              <w:left w:val="nil"/>
              <w:bottom w:val="single" w:color="000000" w:sz="4" w:space="0"/>
              <w:right w:val="single" w:color="000000" w:sz="4" w:space="0"/>
            </w:tcBorders>
            <w:shd w:val="clear" w:color="auto" w:fill="auto"/>
            <w:vAlign w:val="top"/>
          </w:tcPr>
          <w:p w14:paraId="7F2E3850">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1687" w:type="dxa"/>
            <w:tcBorders>
              <w:top w:val="single" w:color="000000" w:sz="4" w:space="0"/>
              <w:left w:val="nil"/>
              <w:bottom w:val="single" w:color="000000" w:sz="4" w:space="0"/>
              <w:right w:val="single" w:color="000000" w:sz="4" w:space="0"/>
            </w:tcBorders>
            <w:shd w:val="clear" w:color="auto" w:fill="auto"/>
            <w:vAlign w:val="top"/>
          </w:tcPr>
          <w:p w14:paraId="4B437EA9">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r>
    </w:tbl>
    <w:p w14:paraId="4EB0B9E4">
      <w:pPr>
        <w:pStyle w:val="42"/>
        <w:keepNext w:val="0"/>
        <w:keepLines w:val="0"/>
        <w:widowControl w:val="0"/>
        <w:suppressLineNumbers w:val="0"/>
        <w:autoSpaceDE w:val="0"/>
        <w:autoSpaceDN/>
        <w:adjustRightInd w:val="0"/>
        <w:snapToGrid w:val="0"/>
        <w:spacing w:before="0" w:beforeAutospacing="0" w:after="0" w:afterLines="0" w:afterAutospacing="0" w:line="560" w:lineRule="exact"/>
        <w:ind w:left="0" w:right="0"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注：1、本表仅针对不采用发包人推荐品牌，采用其他品牌的相应单位填写，并注明并提供相关技术参数、业绩等供评审委员会评审，未在上表中注明且未提供相关技术参数、业绩，或经评审委员会评审未通过的，成交后只能从项目单位推荐品牌中进行选择，价格不予调整。</w:t>
      </w:r>
    </w:p>
    <w:p w14:paraId="6F53AD39">
      <w:pPr>
        <w:pStyle w:val="42"/>
        <w:keepNext w:val="0"/>
        <w:keepLines w:val="0"/>
        <w:widowControl w:val="0"/>
        <w:suppressLineNumbers w:val="0"/>
        <w:autoSpaceDE w:val="0"/>
        <w:autoSpaceDN/>
        <w:adjustRightInd w:val="0"/>
        <w:snapToGrid w:val="0"/>
        <w:spacing w:before="0" w:beforeAutospacing="0" w:after="0" w:afterLines="0" w:afterAutospacing="0" w:line="560" w:lineRule="exact"/>
        <w:ind w:left="0" w:right="0"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2、对于发包人推荐品牌的材料、设备等，投标单位如认为发包人推荐的品牌有限定性、唯一性、明显不在同一档次等级的或者其他疑问的，应在本项目澄清提出的截止时间前提出异议。</w:t>
      </w:r>
    </w:p>
    <w:p w14:paraId="23D446D5">
      <w:pPr>
        <w:pStyle w:val="42"/>
        <w:keepNext w:val="0"/>
        <w:keepLines w:val="0"/>
        <w:widowControl w:val="0"/>
        <w:suppressLineNumbers w:val="0"/>
        <w:autoSpaceDE w:val="0"/>
        <w:autoSpaceDN/>
        <w:adjustRightInd w:val="0"/>
        <w:snapToGrid w:val="0"/>
        <w:spacing w:before="0" w:beforeAutospacing="0" w:after="0" w:afterLines="0" w:afterAutospacing="0" w:line="560" w:lineRule="exact"/>
        <w:ind w:left="0" w:right="0"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0B81C47B">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 xml:space="preserve"> </w:t>
      </w:r>
    </w:p>
    <w:p w14:paraId="35DBF144">
      <w:pPr>
        <w:pStyle w:val="8"/>
        <w:keepNext w:val="0"/>
        <w:keepLines w:val="0"/>
        <w:widowControl/>
        <w:suppressLineNumbers w:val="0"/>
        <w:adjustRightInd w:val="0"/>
        <w:snapToGrid w:val="0"/>
        <w:spacing w:before="0" w:beforeAutospacing="0" w:after="0" w:afterAutospacing="0" w:line="560" w:lineRule="exact"/>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（4）全国建筑市场监管公共服务平台(四库一平台)企业注册人员网页截图；</w:t>
      </w:r>
    </w:p>
    <w:p w14:paraId="0440CE5C">
      <w:pPr>
        <w:pStyle w:val="8"/>
        <w:keepNext w:val="0"/>
        <w:keepLines w:val="0"/>
        <w:widowControl/>
        <w:suppressLineNumbers w:val="0"/>
        <w:adjustRightInd w:val="0"/>
        <w:snapToGrid w:val="0"/>
        <w:spacing w:before="0" w:beforeAutospacing="0" w:after="0" w:afterAutospacing="0" w:line="560" w:lineRule="exact"/>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 xml:space="preserve"> </w:t>
      </w:r>
    </w:p>
    <w:p w14:paraId="545CC467">
      <w:pPr>
        <w:pStyle w:val="8"/>
        <w:keepNext w:val="0"/>
        <w:keepLines w:val="0"/>
        <w:widowControl/>
        <w:suppressLineNumbers w:val="0"/>
        <w:adjustRightInd w:val="0"/>
        <w:snapToGrid w:val="0"/>
        <w:spacing w:before="0" w:beforeAutospacing="0" w:after="0" w:afterAutospacing="0" w:line="560" w:lineRule="exact"/>
        <w:jc w:val="center"/>
        <w:rPr>
          <w:rFonts w:hint="eastAsia" w:ascii="宋体" w:hAnsi="宋体" w:eastAsia="宋体" w:cs="宋体"/>
          <w:color w:val="auto"/>
          <w:szCs w:val="21"/>
          <w:highlight w:val="none"/>
          <w:lang w:eastAsia="zh-CN"/>
        </w:rPr>
      </w:pPr>
      <w:r>
        <w:rPr>
          <w:rFonts w:hint="eastAsia" w:ascii="宋体" w:hAnsi="宋体" w:eastAsia="宋体" w:cs="宋体"/>
          <w:b/>
          <w:bCs/>
          <w:color w:val="auto"/>
          <w:kern w:val="0"/>
          <w:sz w:val="32"/>
          <w:szCs w:val="32"/>
          <w:highlight w:val="none"/>
          <w:lang w:val="en-US" w:eastAsia="zh-CN" w:bidi="ar"/>
        </w:rPr>
        <w:t>（5）</w:t>
      </w:r>
      <w:r>
        <w:rPr>
          <w:rFonts w:hint="eastAsia" w:ascii="宋体" w:hAnsi="宋体" w:eastAsia="宋体" w:cs="宋体"/>
          <w:b/>
          <w:bCs/>
          <w:color w:val="auto"/>
          <w:kern w:val="0"/>
          <w:sz w:val="32"/>
          <w:szCs w:val="32"/>
          <w:highlight w:val="none"/>
        </w:rPr>
        <w:t>详细评审所需其他材料（如有）</w:t>
      </w:r>
    </w:p>
    <w:p w14:paraId="5A98529D">
      <w:pPr>
        <w:pStyle w:val="43"/>
        <w:spacing w:beforeLines="50" w:afterLines="50" w:line="440" w:lineRule="exact"/>
        <w:rPr>
          <w:rFonts w:hint="eastAsia" w:ascii="仿宋_GB2312" w:hAnsi="宋体" w:eastAsia="仿宋_GB2312"/>
          <w:b/>
          <w:color w:val="auto"/>
          <w:sz w:val="32"/>
          <w:szCs w:val="32"/>
          <w:highlight w:val="none"/>
        </w:rPr>
      </w:pPr>
      <w:r>
        <w:rPr>
          <w:rFonts w:hint="eastAsia"/>
          <w:color w:val="auto"/>
          <w:sz w:val="32"/>
          <w:szCs w:val="32"/>
          <w:highlight w:val="none"/>
        </w:rPr>
        <w:br w:type="page"/>
      </w:r>
      <w:bookmarkEnd w:id="7"/>
      <w:bookmarkEnd w:id="8"/>
      <w:bookmarkEnd w:id="9"/>
      <w:bookmarkEnd w:id="10"/>
      <w:bookmarkEnd w:id="11"/>
      <w:bookmarkEnd w:id="1074"/>
      <w:bookmarkEnd w:id="1075"/>
      <w:bookmarkEnd w:id="1076"/>
      <w:bookmarkEnd w:id="1077"/>
      <w:bookmarkStart w:id="1078" w:name="_Toc78803402"/>
    </w:p>
    <w:p w14:paraId="489D056E">
      <w:pPr>
        <w:pStyle w:val="43"/>
        <w:spacing w:beforeLines="50" w:afterLines="50" w:line="440" w:lineRule="exact"/>
        <w:rPr>
          <w:bCs/>
          <w:color w:val="auto"/>
          <w:szCs w:val="32"/>
          <w:highlight w:val="none"/>
        </w:rPr>
      </w:pPr>
      <w:bookmarkStart w:id="1079" w:name="_Toc29114"/>
      <w:bookmarkStart w:id="1080" w:name="_Toc15593"/>
      <w:bookmarkStart w:id="1081" w:name="_Toc8955"/>
      <w:r>
        <w:rPr>
          <w:rFonts w:hint="eastAsia"/>
          <w:bCs/>
          <w:color w:val="auto"/>
          <w:szCs w:val="32"/>
          <w:highlight w:val="none"/>
        </w:rPr>
        <w:t>第</w:t>
      </w:r>
      <w:r>
        <w:rPr>
          <w:rFonts w:hint="eastAsia"/>
          <w:bCs/>
          <w:color w:val="auto"/>
          <w:szCs w:val="32"/>
          <w:highlight w:val="none"/>
          <w:lang w:val="en-US" w:eastAsia="zh-CN"/>
        </w:rPr>
        <w:t>九</w:t>
      </w:r>
      <w:r>
        <w:rPr>
          <w:rFonts w:hint="eastAsia"/>
          <w:bCs/>
          <w:color w:val="auto"/>
          <w:szCs w:val="32"/>
          <w:highlight w:val="none"/>
        </w:rPr>
        <w:t>章  招标单位、招标代理机构对本招标文件的确认</w:t>
      </w:r>
      <w:bookmarkEnd w:id="1078"/>
      <w:bookmarkEnd w:id="1079"/>
      <w:bookmarkEnd w:id="1080"/>
      <w:bookmarkEnd w:id="1081"/>
    </w:p>
    <w:p w14:paraId="62B128CB">
      <w:pPr>
        <w:pStyle w:val="20"/>
        <w:rPr>
          <w:color w:val="auto"/>
          <w:highlight w:val="none"/>
        </w:rPr>
      </w:pPr>
    </w:p>
    <w:tbl>
      <w:tblPr>
        <w:tblStyle w:val="46"/>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0"/>
      </w:tblGrid>
      <w:tr w14:paraId="394AE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9" w:hRule="atLeast"/>
          <w:jc w:val="center"/>
        </w:trPr>
        <w:tc>
          <w:tcPr>
            <w:tcW w:w="9580" w:type="dxa"/>
            <w:noWrap/>
          </w:tcPr>
          <w:p w14:paraId="61AAF3FD">
            <w:pPr>
              <w:keepNext w:val="0"/>
              <w:keepLines w:val="0"/>
              <w:suppressLineNumbers w:val="0"/>
              <w:wordWrap w:val="0"/>
              <w:adjustRightInd w:val="0"/>
              <w:snapToGrid w:val="0"/>
              <w:spacing w:before="0" w:beforeAutospacing="0" w:after="0" w:afterAutospacing="0" w:line="560" w:lineRule="exact"/>
              <w:ind w:left="0" w:right="0"/>
              <w:rPr>
                <w:rFonts w:hint="default"/>
                <w:color w:val="auto"/>
                <w:sz w:val="30"/>
                <w:highlight w:val="none"/>
              </w:rPr>
            </w:pPr>
          </w:p>
          <w:p w14:paraId="53CE57BC">
            <w:pPr>
              <w:keepNext w:val="0"/>
              <w:keepLines w:val="0"/>
              <w:suppressLineNumbers w:val="0"/>
              <w:spacing w:before="0" w:beforeAutospacing="0" w:after="0" w:afterAutospacing="0" w:line="560" w:lineRule="exact"/>
              <w:ind w:left="0" w:right="0" w:firstLine="560" w:firstLineChars="200"/>
              <w:rPr>
                <w:rFonts w:hint="default"/>
                <w:color w:val="auto"/>
                <w:sz w:val="28"/>
                <w:szCs w:val="28"/>
                <w:highlight w:val="none"/>
              </w:rPr>
            </w:pPr>
            <w:r>
              <w:rPr>
                <w:rFonts w:hint="eastAsia"/>
                <w:color w:val="auto"/>
                <w:sz w:val="28"/>
                <w:szCs w:val="28"/>
                <w:highlight w:val="none"/>
              </w:rPr>
              <w:t>我单位对</w:t>
            </w:r>
            <w:r>
              <w:rPr>
                <w:rFonts w:hint="eastAsia"/>
                <w:color w:val="auto"/>
                <w:sz w:val="28"/>
                <w:szCs w:val="28"/>
                <w:highlight w:val="none"/>
                <w:u w:val="single"/>
              </w:rPr>
              <w:t xml:space="preserve"> </w:t>
            </w:r>
            <w:r>
              <w:rPr>
                <w:rFonts w:hint="eastAsia"/>
                <w:color w:val="auto"/>
                <w:sz w:val="28"/>
                <w:szCs w:val="28"/>
                <w:highlight w:val="none"/>
                <w:u w:val="single"/>
                <w:lang w:eastAsia="zh-CN"/>
              </w:rPr>
              <w:t>兴天矿业室外雾炮基础建设项目</w:t>
            </w:r>
            <w:r>
              <w:rPr>
                <w:rFonts w:hint="eastAsia"/>
                <w:color w:val="auto"/>
                <w:sz w:val="28"/>
                <w:szCs w:val="28"/>
                <w:highlight w:val="none"/>
                <w:u w:val="single"/>
              </w:rPr>
              <w:t xml:space="preserve"> </w:t>
            </w:r>
            <w:r>
              <w:rPr>
                <w:rFonts w:hint="eastAsia"/>
                <w:color w:val="auto"/>
                <w:sz w:val="28"/>
                <w:szCs w:val="28"/>
                <w:highlight w:val="none"/>
              </w:rPr>
              <w:t>的招标文件进行确认。</w:t>
            </w:r>
          </w:p>
          <w:p w14:paraId="3E40857E">
            <w:pPr>
              <w:keepNext w:val="0"/>
              <w:keepLines w:val="0"/>
              <w:suppressLineNumbers w:val="0"/>
              <w:spacing w:before="0" w:beforeAutospacing="0" w:after="0" w:afterAutospacing="0" w:line="560" w:lineRule="exact"/>
              <w:ind w:left="0" w:right="0"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val="en-US" w:eastAsia="zh-CN"/>
              </w:rPr>
              <w:t>招标人</w:t>
            </w:r>
            <w:r>
              <w:rPr>
                <w:rFonts w:hint="eastAsia" w:ascii="宋体" w:hAnsi="宋体"/>
                <w:color w:val="auto"/>
                <w:sz w:val="28"/>
                <w:szCs w:val="28"/>
                <w:highlight w:val="none"/>
              </w:rPr>
              <w:t>：</w:t>
            </w:r>
            <w:r>
              <w:rPr>
                <w:rFonts w:hint="eastAsia" w:ascii="宋体" w:hAnsi="宋体"/>
                <w:color w:val="auto"/>
                <w:sz w:val="28"/>
                <w:szCs w:val="28"/>
                <w:highlight w:val="none"/>
                <w:lang w:eastAsia="zh-CN"/>
              </w:rPr>
              <w:t>滁州市兴天矿业有限公司</w:t>
            </w:r>
            <w:r>
              <w:rPr>
                <w:rFonts w:hint="eastAsia" w:ascii="宋体" w:hAnsi="宋体"/>
                <w:color w:val="auto"/>
                <w:sz w:val="28"/>
                <w:szCs w:val="28"/>
                <w:highlight w:val="none"/>
              </w:rPr>
              <w:t xml:space="preserve">  </w:t>
            </w:r>
          </w:p>
          <w:p w14:paraId="49373CFB">
            <w:pPr>
              <w:keepNext w:val="0"/>
              <w:keepLines w:val="0"/>
              <w:suppressLineNumbers w:val="0"/>
              <w:spacing w:before="0" w:beforeAutospacing="0" w:after="0" w:afterAutospacing="0" w:line="560" w:lineRule="exact"/>
              <w:ind w:left="0" w:right="0"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联 系 人：</w:t>
            </w:r>
            <w:r>
              <w:rPr>
                <w:rFonts w:hint="eastAsia" w:ascii="宋体" w:hAnsi="宋体" w:cs="Times New Roman"/>
                <w:color w:val="auto"/>
                <w:sz w:val="28"/>
                <w:szCs w:val="28"/>
                <w:highlight w:val="none"/>
                <w:lang w:val="en-US" w:eastAsia="zh-CN"/>
              </w:rPr>
              <w:t>李超</w:t>
            </w:r>
            <w:r>
              <w:rPr>
                <w:rFonts w:hint="eastAsia" w:ascii="宋体" w:hAnsi="宋体" w:eastAsia="宋体" w:cs="Times New Roman"/>
                <w:color w:val="auto"/>
                <w:sz w:val="28"/>
                <w:szCs w:val="28"/>
                <w:highlight w:val="none"/>
              </w:rPr>
              <w:t xml:space="preserve"> </w:t>
            </w:r>
          </w:p>
          <w:p w14:paraId="79F3CBE5">
            <w:pPr>
              <w:keepNext w:val="0"/>
              <w:keepLines w:val="0"/>
              <w:suppressLineNumbers w:val="0"/>
              <w:spacing w:before="0" w:beforeAutospacing="0" w:after="0" w:afterAutospacing="0" w:line="560" w:lineRule="exact"/>
              <w:ind w:left="0" w:right="0" w:firstLine="560" w:firstLineChars="2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rPr>
              <w:t>联系电话：</w:t>
            </w:r>
            <w:r>
              <w:rPr>
                <w:rFonts w:hint="eastAsia" w:ascii="宋体" w:hAnsi="宋体" w:cs="Times New Roman"/>
                <w:color w:val="auto"/>
                <w:sz w:val="28"/>
                <w:szCs w:val="28"/>
                <w:highlight w:val="none"/>
                <w:lang w:val="en-US" w:eastAsia="zh-CN"/>
              </w:rPr>
              <w:t>15056501345</w:t>
            </w:r>
          </w:p>
          <w:p w14:paraId="18674481">
            <w:pPr>
              <w:keepNext w:val="0"/>
              <w:keepLines w:val="0"/>
              <w:suppressLineNumbers w:val="0"/>
              <w:wordWrap w:val="0"/>
              <w:spacing w:before="0" w:beforeAutospacing="0" w:after="0" w:afterAutospacing="0" w:line="560" w:lineRule="exact"/>
              <w:ind w:left="0" w:right="0" w:firstLine="560" w:firstLineChars="200"/>
              <w:rPr>
                <w:rFonts w:hint="default" w:ascii="宋体" w:hAnsi="宋体"/>
                <w:color w:val="auto"/>
                <w:sz w:val="28"/>
                <w:szCs w:val="28"/>
                <w:highlight w:val="none"/>
              </w:rPr>
            </w:pPr>
            <w:r>
              <w:rPr>
                <w:rFonts w:hint="eastAsia" w:ascii="宋体" w:hAnsi="宋体"/>
                <w:color w:val="auto"/>
                <w:sz w:val="28"/>
                <w:szCs w:val="28"/>
                <w:highlight w:val="none"/>
              </w:rPr>
              <w:t xml:space="preserve">    </w:t>
            </w:r>
            <w:r>
              <w:rPr>
                <w:rFonts w:hint="eastAsia" w:ascii="宋体" w:hAnsi="宋体"/>
                <w:color w:val="auto"/>
                <w:sz w:val="28"/>
                <w:szCs w:val="28"/>
                <w:highlight w:val="none"/>
                <w:lang w:val="en-US" w:eastAsia="zh-CN"/>
              </w:rPr>
              <w:t xml:space="preserve">    </w:t>
            </w:r>
          </w:p>
          <w:p w14:paraId="6BED97E9">
            <w:pPr>
              <w:keepNext w:val="0"/>
              <w:keepLines w:val="0"/>
              <w:suppressLineNumbers w:val="0"/>
              <w:wordWrap w:val="0"/>
              <w:spacing w:before="0" w:beforeAutospacing="0" w:after="0" w:afterAutospacing="0" w:line="560" w:lineRule="exact"/>
              <w:ind w:left="0" w:right="0" w:firstLine="560" w:firstLineChars="200"/>
              <w:rPr>
                <w:rFonts w:hint="default" w:ascii="宋体" w:hAnsi="宋体"/>
                <w:color w:val="auto"/>
                <w:sz w:val="28"/>
                <w:szCs w:val="28"/>
                <w:highlight w:val="none"/>
              </w:rPr>
            </w:pPr>
          </w:p>
          <w:p w14:paraId="46C7F6D4">
            <w:pPr>
              <w:keepNext w:val="0"/>
              <w:keepLines w:val="0"/>
              <w:suppressLineNumbers w:val="0"/>
              <w:wordWrap w:val="0"/>
              <w:spacing w:before="0" w:beforeAutospacing="0" w:after="0" w:afterAutospacing="0" w:line="560" w:lineRule="exact"/>
              <w:ind w:left="0" w:right="0" w:firstLine="560" w:firstLineChars="200"/>
              <w:rPr>
                <w:rFonts w:hint="default" w:ascii="宋体" w:hAnsi="宋体"/>
                <w:color w:val="auto"/>
                <w:sz w:val="28"/>
                <w:szCs w:val="28"/>
                <w:highlight w:val="none"/>
              </w:rPr>
            </w:pPr>
          </w:p>
          <w:p w14:paraId="4481DE6B">
            <w:pPr>
              <w:keepNext w:val="0"/>
              <w:keepLines w:val="0"/>
              <w:suppressLineNumbers w:val="0"/>
              <w:wordWrap w:val="0"/>
              <w:spacing w:before="0" w:beforeAutospacing="0" w:after="0" w:afterAutospacing="0" w:line="560" w:lineRule="exact"/>
              <w:ind w:left="0" w:right="0" w:firstLine="5740" w:firstLineChars="2050"/>
              <w:rPr>
                <w:rFonts w:hint="default" w:ascii="宋体" w:hAnsi="宋体"/>
                <w:color w:val="auto"/>
                <w:sz w:val="28"/>
                <w:szCs w:val="28"/>
                <w:highlight w:val="none"/>
              </w:rPr>
            </w:pPr>
            <w:r>
              <w:rPr>
                <w:rFonts w:hint="eastAsia" w:ascii="宋体" w:hAnsi="宋体"/>
                <w:color w:val="auto"/>
                <w:sz w:val="28"/>
                <w:szCs w:val="28"/>
                <w:highlight w:val="none"/>
              </w:rPr>
              <w:t>（单位盖章）</w:t>
            </w:r>
          </w:p>
          <w:p w14:paraId="4467D6B4">
            <w:pPr>
              <w:keepNext w:val="0"/>
              <w:keepLines w:val="0"/>
              <w:suppressLineNumbers w:val="0"/>
              <w:spacing w:before="0" w:beforeAutospacing="0" w:after="0" w:afterAutospacing="0" w:line="560" w:lineRule="exact"/>
              <w:ind w:left="0" w:right="0" w:firstLine="5880" w:firstLineChars="2100"/>
              <w:rPr>
                <w:rFonts w:hint="default" w:ascii="宋体" w:hAnsi="宋体"/>
                <w:color w:val="auto"/>
                <w:sz w:val="28"/>
                <w:szCs w:val="28"/>
                <w:highlight w:val="none"/>
              </w:rPr>
            </w:pPr>
            <w:r>
              <w:rPr>
                <w:rFonts w:hint="eastAsia" w:ascii="宋体" w:hAnsi="宋体"/>
                <w:color w:val="auto"/>
                <w:sz w:val="28"/>
                <w:szCs w:val="28"/>
                <w:highlight w:val="none"/>
              </w:rPr>
              <w:t>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9</w:t>
            </w:r>
            <w:r>
              <w:rPr>
                <w:rFonts w:hint="eastAsia" w:ascii="宋体" w:hAnsi="宋体"/>
                <w:color w:val="auto"/>
                <w:sz w:val="28"/>
                <w:szCs w:val="28"/>
                <w:highlight w:val="none"/>
              </w:rPr>
              <w:t>月</w:t>
            </w:r>
          </w:p>
          <w:p w14:paraId="6A97483B">
            <w:pPr>
              <w:pStyle w:val="2"/>
              <w:keepNext w:val="0"/>
              <w:keepLines w:val="0"/>
              <w:suppressLineNumbers w:val="0"/>
              <w:spacing w:before="0" w:beforeAutospacing="0" w:after="0" w:afterAutospacing="0"/>
              <w:ind w:right="0" w:firstLine="420"/>
              <w:rPr>
                <w:rFonts w:hint="default"/>
                <w:color w:val="auto"/>
                <w:highlight w:val="none"/>
              </w:rPr>
            </w:pPr>
          </w:p>
        </w:tc>
      </w:tr>
      <w:tr w14:paraId="2AD76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6" w:hRule="atLeast"/>
          <w:jc w:val="center"/>
        </w:trPr>
        <w:tc>
          <w:tcPr>
            <w:tcW w:w="9580" w:type="dxa"/>
            <w:noWrap/>
          </w:tcPr>
          <w:p w14:paraId="4A640610">
            <w:pPr>
              <w:keepNext w:val="0"/>
              <w:keepLines w:val="0"/>
              <w:suppressLineNumbers w:val="0"/>
              <w:spacing w:before="0" w:beforeAutospacing="0" w:after="0" w:afterAutospacing="0" w:line="560" w:lineRule="exact"/>
              <w:ind w:left="0" w:right="0" w:firstLine="560" w:firstLineChars="200"/>
              <w:rPr>
                <w:rFonts w:hint="default" w:ascii="宋体" w:hAnsi="宋体" w:cs="宋体"/>
                <w:color w:val="auto"/>
                <w:sz w:val="28"/>
                <w:szCs w:val="28"/>
                <w:highlight w:val="none"/>
              </w:rPr>
            </w:pPr>
          </w:p>
          <w:p w14:paraId="2F5FFA30">
            <w:pPr>
              <w:keepNext w:val="0"/>
              <w:keepLines w:val="0"/>
              <w:suppressLineNumbers w:val="0"/>
              <w:spacing w:before="0" w:beforeAutospacing="0" w:after="0" w:afterAutospacing="0" w:line="560" w:lineRule="exact"/>
              <w:ind w:left="0" w:right="0" w:firstLine="560" w:firstLineChars="200"/>
              <w:rPr>
                <w:rFonts w:hint="default" w:ascii="宋体" w:hAnsi="宋体" w:cs="宋体"/>
                <w:color w:val="auto"/>
                <w:sz w:val="28"/>
                <w:szCs w:val="28"/>
                <w:highlight w:val="none"/>
                <w:u w:val="single"/>
              </w:rPr>
            </w:pPr>
            <w:r>
              <w:rPr>
                <w:rFonts w:hint="eastAsia" w:ascii="宋体" w:hAnsi="宋体" w:cs="宋体"/>
                <w:color w:val="auto"/>
                <w:sz w:val="28"/>
                <w:szCs w:val="28"/>
                <w:highlight w:val="none"/>
              </w:rPr>
              <w:t>招标代理机构：</w:t>
            </w:r>
            <w:r>
              <w:rPr>
                <w:rFonts w:hint="eastAsia"/>
                <w:color w:val="auto"/>
                <w:sz w:val="28"/>
                <w:szCs w:val="28"/>
                <w:highlight w:val="none"/>
              </w:rPr>
              <w:t>滁州市城投工程咨询管理有限公司</w:t>
            </w:r>
          </w:p>
          <w:p w14:paraId="7A0413BB">
            <w:pPr>
              <w:keepNext w:val="0"/>
              <w:keepLines w:val="0"/>
              <w:suppressLineNumbers w:val="0"/>
              <w:spacing w:before="0" w:beforeAutospacing="0" w:after="0" w:afterAutospacing="0" w:line="560" w:lineRule="exact"/>
              <w:ind w:left="0" w:right="0"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联 系 人：胡国庆</w:t>
            </w:r>
          </w:p>
          <w:p w14:paraId="2E0C6C55">
            <w:pPr>
              <w:keepNext w:val="0"/>
              <w:keepLines w:val="0"/>
              <w:suppressLineNumbers w:val="0"/>
              <w:spacing w:before="0" w:beforeAutospacing="0" w:after="0" w:afterAutospacing="0" w:line="560" w:lineRule="exact"/>
              <w:ind w:left="0" w:right="0"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联系方式：0550-3519517、18005500950</w:t>
            </w:r>
          </w:p>
          <w:p w14:paraId="6B2CA8E7">
            <w:pPr>
              <w:keepNext w:val="0"/>
              <w:keepLines w:val="0"/>
              <w:suppressLineNumbers w:val="0"/>
              <w:spacing w:before="0" w:beforeAutospacing="0" w:after="0" w:afterAutospacing="0" w:line="560" w:lineRule="exact"/>
              <w:ind w:left="0" w:right="0" w:firstLine="5040" w:firstLineChars="1800"/>
              <w:rPr>
                <w:rFonts w:hint="default" w:ascii="宋体" w:hAnsi="宋体" w:cs="宋体"/>
                <w:color w:val="auto"/>
                <w:sz w:val="28"/>
                <w:szCs w:val="28"/>
                <w:highlight w:val="none"/>
              </w:rPr>
            </w:pPr>
          </w:p>
          <w:p w14:paraId="3C3B215A">
            <w:pPr>
              <w:keepNext w:val="0"/>
              <w:keepLines w:val="0"/>
              <w:suppressLineNumbers w:val="0"/>
              <w:spacing w:before="0" w:beforeAutospacing="0" w:after="0" w:afterAutospacing="0" w:line="560" w:lineRule="exact"/>
              <w:ind w:left="0" w:right="0" w:firstLine="5460" w:firstLineChars="1950"/>
              <w:rPr>
                <w:rFonts w:hint="default" w:ascii="宋体" w:hAnsi="宋体" w:cs="宋体"/>
                <w:color w:val="auto"/>
                <w:sz w:val="28"/>
                <w:szCs w:val="28"/>
                <w:highlight w:val="none"/>
              </w:rPr>
            </w:pPr>
          </w:p>
          <w:p w14:paraId="21405049">
            <w:pPr>
              <w:keepNext w:val="0"/>
              <w:keepLines w:val="0"/>
              <w:suppressLineNumbers w:val="0"/>
              <w:spacing w:before="0" w:beforeAutospacing="0" w:after="0" w:afterAutospacing="0" w:line="560" w:lineRule="exact"/>
              <w:ind w:left="0" w:right="0" w:firstLine="5880" w:firstLineChars="2100"/>
              <w:rPr>
                <w:rFonts w:hint="default" w:ascii="宋体" w:hAnsi="宋体" w:cs="宋体"/>
                <w:color w:val="auto"/>
                <w:sz w:val="28"/>
                <w:szCs w:val="28"/>
                <w:highlight w:val="none"/>
              </w:rPr>
            </w:pPr>
            <w:r>
              <w:rPr>
                <w:rFonts w:hint="eastAsia" w:ascii="宋体" w:hAnsi="宋体" w:cs="宋体"/>
                <w:color w:val="auto"/>
                <w:sz w:val="28"/>
                <w:szCs w:val="28"/>
                <w:highlight w:val="none"/>
              </w:rPr>
              <w:t>（单位盖章）</w:t>
            </w:r>
          </w:p>
          <w:p w14:paraId="6ADFB5E1">
            <w:pPr>
              <w:keepNext w:val="0"/>
              <w:keepLines w:val="0"/>
              <w:suppressLineNumbers w:val="0"/>
              <w:spacing w:before="0" w:beforeAutospacing="0" w:after="0" w:afterAutospacing="0" w:line="560" w:lineRule="exact"/>
              <w:ind w:left="0" w:right="0" w:firstLine="6020" w:firstLineChars="2150"/>
              <w:rPr>
                <w:rFonts w:hint="default" w:ascii="宋体" w:hAnsi="宋体"/>
                <w:color w:val="auto"/>
                <w:sz w:val="28"/>
                <w:szCs w:val="28"/>
                <w:highlight w:val="none"/>
              </w:rPr>
            </w:pPr>
            <w:r>
              <w:rPr>
                <w:rFonts w:hint="eastAsia" w:ascii="宋体" w:hAnsi="宋体"/>
                <w:color w:val="auto"/>
                <w:sz w:val="28"/>
                <w:szCs w:val="28"/>
                <w:highlight w:val="none"/>
              </w:rPr>
              <w:t>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9</w:t>
            </w:r>
            <w:r>
              <w:rPr>
                <w:rFonts w:hint="eastAsia" w:ascii="宋体" w:hAnsi="宋体"/>
                <w:color w:val="auto"/>
                <w:sz w:val="28"/>
                <w:szCs w:val="28"/>
                <w:highlight w:val="none"/>
              </w:rPr>
              <w:t>月</w:t>
            </w:r>
          </w:p>
          <w:p w14:paraId="0B913135">
            <w:pPr>
              <w:pStyle w:val="2"/>
              <w:keepNext w:val="0"/>
              <w:keepLines w:val="0"/>
              <w:suppressLineNumbers w:val="0"/>
              <w:spacing w:before="0" w:beforeAutospacing="0" w:after="0" w:afterAutospacing="0"/>
              <w:ind w:right="0" w:firstLine="420"/>
              <w:rPr>
                <w:rFonts w:hint="default"/>
                <w:color w:val="auto"/>
                <w:highlight w:val="none"/>
              </w:rPr>
            </w:pPr>
          </w:p>
        </w:tc>
      </w:tr>
    </w:tbl>
    <w:p w14:paraId="330A1917">
      <w:pPr>
        <w:rPr>
          <w:color w:val="auto"/>
          <w:highlight w:val="none"/>
        </w:rPr>
      </w:pPr>
    </w:p>
    <w:sectPr>
      <w:headerReference r:id="rId7" w:type="default"/>
      <w:footerReference r:id="rId8" w:type="default"/>
      <w:pgSz w:w="11906" w:h="16838"/>
      <w:pgMar w:top="1134" w:right="1417" w:bottom="1134"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B4F8C">
    <w:pPr>
      <w:pStyle w:val="30"/>
      <w:rPr>
        <w:rStyle w:val="50"/>
      </w:rPr>
    </w:pPr>
  </w:p>
  <w:p w14:paraId="0A7A2AB7">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7BA16">
    <w:pPr>
      <w:pStyle w:val="30"/>
      <w:rPr>
        <w:rStyle w:val="50"/>
      </w:rPr>
    </w:pPr>
  </w:p>
  <w:p w14:paraId="1189A1CD">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8FDF7">
    <w:pPr>
      <w:pStyle w:val="30"/>
      <w:rPr>
        <w:rStyle w:val="50"/>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1E0061">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E1E0061">
                    <w:pPr>
                      <w:pStyle w:val="30"/>
                    </w:pPr>
                    <w:r>
                      <w:fldChar w:fldCharType="begin"/>
                    </w:r>
                    <w:r>
                      <w:instrText xml:space="preserve"> PAGE  \* MERGEFORMAT </w:instrText>
                    </w:r>
                    <w:r>
                      <w:fldChar w:fldCharType="separate"/>
                    </w:r>
                    <w:r>
                      <w:t>1</w:t>
                    </w:r>
                    <w:r>
                      <w:fldChar w:fldCharType="end"/>
                    </w:r>
                  </w:p>
                </w:txbxContent>
              </v:textbox>
            </v:shape>
          </w:pict>
        </mc:Fallback>
      </mc:AlternateContent>
    </w:r>
  </w:p>
  <w:p w14:paraId="76FD89A1">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53A14">
    <w:pPr>
      <w:pStyle w:val="30"/>
      <w:rPr>
        <w:rStyle w:val="50"/>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C3423">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F1C3423">
                    <w:pPr>
                      <w:pStyle w:val="30"/>
                    </w:pPr>
                    <w:r>
                      <w:fldChar w:fldCharType="begin"/>
                    </w:r>
                    <w:r>
                      <w:instrText xml:space="preserve"> PAGE  \* MERGEFORMAT </w:instrText>
                    </w:r>
                    <w:r>
                      <w:fldChar w:fldCharType="separate"/>
                    </w:r>
                    <w:r>
                      <w:t>1</w:t>
                    </w:r>
                    <w:r>
                      <w:fldChar w:fldCharType="end"/>
                    </w:r>
                  </w:p>
                </w:txbxContent>
              </v:textbox>
            </v:shape>
          </w:pict>
        </mc:Fallback>
      </mc:AlternateContent>
    </w:r>
  </w:p>
  <w:p w14:paraId="2A8F1A23">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43C81">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45526">
    <w:pPr>
      <w:pStyle w:val="3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0B1C5"/>
    <w:multiLevelType w:val="singleLevel"/>
    <w:tmpl w:val="84E0B1C5"/>
    <w:lvl w:ilvl="0" w:tentative="0">
      <w:start w:val="1"/>
      <w:numFmt w:val="decimal"/>
      <w:suff w:val="space"/>
      <w:lvlText w:val="（%1）"/>
      <w:lvlJc w:val="left"/>
    </w:lvl>
  </w:abstractNum>
  <w:abstractNum w:abstractNumId="1">
    <w:nsid w:val="BFD0D545"/>
    <w:multiLevelType w:val="singleLevel"/>
    <w:tmpl w:val="BFD0D545"/>
    <w:lvl w:ilvl="0" w:tentative="0">
      <w:start w:val="3"/>
      <w:numFmt w:val="decimal"/>
      <w:suff w:val="nothing"/>
      <w:lvlText w:val="（%1）"/>
      <w:lvlJc w:val="left"/>
    </w:lvl>
  </w:abstractNum>
  <w:abstractNum w:abstractNumId="2">
    <w:nsid w:val="00000005"/>
    <w:multiLevelType w:val="multilevel"/>
    <w:tmpl w:val="00000005"/>
    <w:lvl w:ilvl="0" w:tentative="0">
      <w:start w:val="2"/>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1E80E6C8"/>
    <w:multiLevelType w:val="singleLevel"/>
    <w:tmpl w:val="1E80E6C8"/>
    <w:lvl w:ilvl="0" w:tentative="0">
      <w:start w:val="3"/>
      <w:numFmt w:val="chineseCounting"/>
      <w:suff w:val="space"/>
      <w:lvlText w:val="第%1章"/>
      <w:lvlJc w:val="left"/>
      <w:rPr>
        <w:rFonts w:hint="eastAsia"/>
      </w:rPr>
    </w:lvl>
  </w:abstractNum>
  <w:abstractNum w:abstractNumId="4">
    <w:nsid w:val="45A1E0C6"/>
    <w:multiLevelType w:val="singleLevel"/>
    <w:tmpl w:val="45A1E0C6"/>
    <w:lvl w:ilvl="0" w:tentative="0">
      <w:start w:val="10"/>
      <w:numFmt w:val="decimal"/>
      <w:suff w:val="nothing"/>
      <w:lvlText w:val="（%1）"/>
      <w:lvlJc w:val="left"/>
      <w:pPr>
        <w:tabs>
          <w:tab w:val="left" w:pos="0"/>
        </w:tabs>
        <w:ind w:left="0" w:firstLine="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5ZDY5ZDNjMmE2ZDcxYTFkMDY0Zjg5Mjg3YTE0YTgifQ=="/>
  </w:docVars>
  <w:rsids>
    <w:rsidRoot w:val="00172A27"/>
    <w:rsid w:val="0000197A"/>
    <w:rsid w:val="00002E1B"/>
    <w:rsid w:val="000046EA"/>
    <w:rsid w:val="00004E34"/>
    <w:rsid w:val="00005CD8"/>
    <w:rsid w:val="00006123"/>
    <w:rsid w:val="000070B7"/>
    <w:rsid w:val="0000758B"/>
    <w:rsid w:val="00010F4B"/>
    <w:rsid w:val="0001111D"/>
    <w:rsid w:val="00011A14"/>
    <w:rsid w:val="00012844"/>
    <w:rsid w:val="00012D1D"/>
    <w:rsid w:val="00017114"/>
    <w:rsid w:val="00017EFA"/>
    <w:rsid w:val="00020FE0"/>
    <w:rsid w:val="00021BDB"/>
    <w:rsid w:val="000225E0"/>
    <w:rsid w:val="00022A89"/>
    <w:rsid w:val="00023D05"/>
    <w:rsid w:val="00026E12"/>
    <w:rsid w:val="000273CC"/>
    <w:rsid w:val="000330C1"/>
    <w:rsid w:val="000335C0"/>
    <w:rsid w:val="00034C73"/>
    <w:rsid w:val="0003719A"/>
    <w:rsid w:val="00037B93"/>
    <w:rsid w:val="00040224"/>
    <w:rsid w:val="0004332D"/>
    <w:rsid w:val="00044907"/>
    <w:rsid w:val="0004695D"/>
    <w:rsid w:val="00046C34"/>
    <w:rsid w:val="00057DBF"/>
    <w:rsid w:val="000617FE"/>
    <w:rsid w:val="0006411D"/>
    <w:rsid w:val="000642AF"/>
    <w:rsid w:val="00066792"/>
    <w:rsid w:val="00072090"/>
    <w:rsid w:val="00076B75"/>
    <w:rsid w:val="00076F1D"/>
    <w:rsid w:val="00077234"/>
    <w:rsid w:val="000837EF"/>
    <w:rsid w:val="00083ADA"/>
    <w:rsid w:val="0008659F"/>
    <w:rsid w:val="00086C18"/>
    <w:rsid w:val="00090A07"/>
    <w:rsid w:val="00090F90"/>
    <w:rsid w:val="00093100"/>
    <w:rsid w:val="000939B1"/>
    <w:rsid w:val="00094E9D"/>
    <w:rsid w:val="000A078C"/>
    <w:rsid w:val="000A11AD"/>
    <w:rsid w:val="000A2C9F"/>
    <w:rsid w:val="000A475B"/>
    <w:rsid w:val="000A65EE"/>
    <w:rsid w:val="000B0DC9"/>
    <w:rsid w:val="000B3A75"/>
    <w:rsid w:val="000B4B76"/>
    <w:rsid w:val="000B547D"/>
    <w:rsid w:val="000B7A7E"/>
    <w:rsid w:val="000B7EE6"/>
    <w:rsid w:val="000C10AA"/>
    <w:rsid w:val="000C26FD"/>
    <w:rsid w:val="000D08DE"/>
    <w:rsid w:val="000D203E"/>
    <w:rsid w:val="000D2C3D"/>
    <w:rsid w:val="000D2ECE"/>
    <w:rsid w:val="000D4E9E"/>
    <w:rsid w:val="000D7F9C"/>
    <w:rsid w:val="000E0020"/>
    <w:rsid w:val="000E1F7F"/>
    <w:rsid w:val="000E227E"/>
    <w:rsid w:val="000E24EC"/>
    <w:rsid w:val="000E3D3D"/>
    <w:rsid w:val="000F7312"/>
    <w:rsid w:val="000F740E"/>
    <w:rsid w:val="00104E44"/>
    <w:rsid w:val="001063CB"/>
    <w:rsid w:val="0011140E"/>
    <w:rsid w:val="00114707"/>
    <w:rsid w:val="00115943"/>
    <w:rsid w:val="00116988"/>
    <w:rsid w:val="00120E5D"/>
    <w:rsid w:val="00125553"/>
    <w:rsid w:val="0012738D"/>
    <w:rsid w:val="00130FBA"/>
    <w:rsid w:val="00131494"/>
    <w:rsid w:val="00132E3D"/>
    <w:rsid w:val="0014049F"/>
    <w:rsid w:val="00140BFD"/>
    <w:rsid w:val="00142868"/>
    <w:rsid w:val="00146B5E"/>
    <w:rsid w:val="0015292B"/>
    <w:rsid w:val="0015363F"/>
    <w:rsid w:val="00154C59"/>
    <w:rsid w:val="00155F6F"/>
    <w:rsid w:val="001564C3"/>
    <w:rsid w:val="001620D9"/>
    <w:rsid w:val="0016514F"/>
    <w:rsid w:val="00165414"/>
    <w:rsid w:val="00165F97"/>
    <w:rsid w:val="00167090"/>
    <w:rsid w:val="00167507"/>
    <w:rsid w:val="00172A27"/>
    <w:rsid w:val="00173108"/>
    <w:rsid w:val="00173D37"/>
    <w:rsid w:val="00174E43"/>
    <w:rsid w:val="0018238C"/>
    <w:rsid w:val="00182D4C"/>
    <w:rsid w:val="001834BA"/>
    <w:rsid w:val="001843D3"/>
    <w:rsid w:val="00184866"/>
    <w:rsid w:val="00185DBC"/>
    <w:rsid w:val="001867E2"/>
    <w:rsid w:val="001919D1"/>
    <w:rsid w:val="00191DD8"/>
    <w:rsid w:val="00193AE6"/>
    <w:rsid w:val="00194AEF"/>
    <w:rsid w:val="001963BD"/>
    <w:rsid w:val="001A120B"/>
    <w:rsid w:val="001A184C"/>
    <w:rsid w:val="001A274E"/>
    <w:rsid w:val="001A2C88"/>
    <w:rsid w:val="001A37E0"/>
    <w:rsid w:val="001A3EC9"/>
    <w:rsid w:val="001A50F2"/>
    <w:rsid w:val="001A6EF7"/>
    <w:rsid w:val="001B1DF0"/>
    <w:rsid w:val="001B21A5"/>
    <w:rsid w:val="001B45D5"/>
    <w:rsid w:val="001B4675"/>
    <w:rsid w:val="001B4BDE"/>
    <w:rsid w:val="001B59E9"/>
    <w:rsid w:val="001B62B0"/>
    <w:rsid w:val="001B6A78"/>
    <w:rsid w:val="001C1FC2"/>
    <w:rsid w:val="001C4E01"/>
    <w:rsid w:val="001C7AB4"/>
    <w:rsid w:val="001D0C94"/>
    <w:rsid w:val="001D3498"/>
    <w:rsid w:val="001E1380"/>
    <w:rsid w:val="001E5247"/>
    <w:rsid w:val="001F23AB"/>
    <w:rsid w:val="001F32ED"/>
    <w:rsid w:val="001F4F95"/>
    <w:rsid w:val="001F7E70"/>
    <w:rsid w:val="00200459"/>
    <w:rsid w:val="00202DB7"/>
    <w:rsid w:val="00207065"/>
    <w:rsid w:val="00207999"/>
    <w:rsid w:val="00212D04"/>
    <w:rsid w:val="00213FCA"/>
    <w:rsid w:val="00214988"/>
    <w:rsid w:val="00214B43"/>
    <w:rsid w:val="00214F76"/>
    <w:rsid w:val="002202CE"/>
    <w:rsid w:val="0022219A"/>
    <w:rsid w:val="00222521"/>
    <w:rsid w:val="00227461"/>
    <w:rsid w:val="0022783F"/>
    <w:rsid w:val="00230392"/>
    <w:rsid w:val="00230583"/>
    <w:rsid w:val="00230A2B"/>
    <w:rsid w:val="00231547"/>
    <w:rsid w:val="002334EC"/>
    <w:rsid w:val="00235B32"/>
    <w:rsid w:val="00236AD7"/>
    <w:rsid w:val="00237688"/>
    <w:rsid w:val="00240423"/>
    <w:rsid w:val="00243B18"/>
    <w:rsid w:val="00246AD7"/>
    <w:rsid w:val="00246B91"/>
    <w:rsid w:val="00247A64"/>
    <w:rsid w:val="00250013"/>
    <w:rsid w:val="00250BCF"/>
    <w:rsid w:val="00253591"/>
    <w:rsid w:val="00255670"/>
    <w:rsid w:val="00256780"/>
    <w:rsid w:val="00262ABE"/>
    <w:rsid w:val="002657EE"/>
    <w:rsid w:val="00276F57"/>
    <w:rsid w:val="00277D06"/>
    <w:rsid w:val="002816D4"/>
    <w:rsid w:val="00286980"/>
    <w:rsid w:val="002928CE"/>
    <w:rsid w:val="00292C87"/>
    <w:rsid w:val="0029757E"/>
    <w:rsid w:val="002A1A66"/>
    <w:rsid w:val="002A39EF"/>
    <w:rsid w:val="002A599F"/>
    <w:rsid w:val="002A6E04"/>
    <w:rsid w:val="002B4BA8"/>
    <w:rsid w:val="002B7071"/>
    <w:rsid w:val="002B7117"/>
    <w:rsid w:val="002B714A"/>
    <w:rsid w:val="002B718A"/>
    <w:rsid w:val="002B7621"/>
    <w:rsid w:val="002C2E22"/>
    <w:rsid w:val="002C4A57"/>
    <w:rsid w:val="002C528E"/>
    <w:rsid w:val="002C5643"/>
    <w:rsid w:val="002E13EC"/>
    <w:rsid w:val="002E41CC"/>
    <w:rsid w:val="002F05E9"/>
    <w:rsid w:val="002F2C99"/>
    <w:rsid w:val="002F3D6A"/>
    <w:rsid w:val="002F794D"/>
    <w:rsid w:val="003029B3"/>
    <w:rsid w:val="00303019"/>
    <w:rsid w:val="00306787"/>
    <w:rsid w:val="00306966"/>
    <w:rsid w:val="0031113D"/>
    <w:rsid w:val="00311AAC"/>
    <w:rsid w:val="00313CA4"/>
    <w:rsid w:val="00314E82"/>
    <w:rsid w:val="003150CE"/>
    <w:rsid w:val="00315FF9"/>
    <w:rsid w:val="00316270"/>
    <w:rsid w:val="00321598"/>
    <w:rsid w:val="00321FDB"/>
    <w:rsid w:val="00323870"/>
    <w:rsid w:val="00323FFD"/>
    <w:rsid w:val="00324847"/>
    <w:rsid w:val="00324A5E"/>
    <w:rsid w:val="00325624"/>
    <w:rsid w:val="0032611D"/>
    <w:rsid w:val="003264EB"/>
    <w:rsid w:val="00326940"/>
    <w:rsid w:val="00330CCD"/>
    <w:rsid w:val="00332891"/>
    <w:rsid w:val="00332BBD"/>
    <w:rsid w:val="00333810"/>
    <w:rsid w:val="003343C0"/>
    <w:rsid w:val="00337586"/>
    <w:rsid w:val="00340804"/>
    <w:rsid w:val="00342D97"/>
    <w:rsid w:val="00343375"/>
    <w:rsid w:val="003448C2"/>
    <w:rsid w:val="00344CD6"/>
    <w:rsid w:val="0034662F"/>
    <w:rsid w:val="003510D2"/>
    <w:rsid w:val="00351A8E"/>
    <w:rsid w:val="0035447B"/>
    <w:rsid w:val="00356B27"/>
    <w:rsid w:val="00356B90"/>
    <w:rsid w:val="003577A2"/>
    <w:rsid w:val="00357C8A"/>
    <w:rsid w:val="00360C29"/>
    <w:rsid w:val="0036101B"/>
    <w:rsid w:val="003613C6"/>
    <w:rsid w:val="00361CBA"/>
    <w:rsid w:val="00362EE3"/>
    <w:rsid w:val="0036593D"/>
    <w:rsid w:val="00366951"/>
    <w:rsid w:val="00370107"/>
    <w:rsid w:val="003720A1"/>
    <w:rsid w:val="003745F9"/>
    <w:rsid w:val="00376808"/>
    <w:rsid w:val="0037767C"/>
    <w:rsid w:val="003817E6"/>
    <w:rsid w:val="00381E22"/>
    <w:rsid w:val="0038244A"/>
    <w:rsid w:val="00382545"/>
    <w:rsid w:val="00383221"/>
    <w:rsid w:val="00384090"/>
    <w:rsid w:val="003844ED"/>
    <w:rsid w:val="00386132"/>
    <w:rsid w:val="003871B4"/>
    <w:rsid w:val="00393016"/>
    <w:rsid w:val="00394BA5"/>
    <w:rsid w:val="00394D82"/>
    <w:rsid w:val="003A70F7"/>
    <w:rsid w:val="003B39C6"/>
    <w:rsid w:val="003B4CDE"/>
    <w:rsid w:val="003B5919"/>
    <w:rsid w:val="003B7075"/>
    <w:rsid w:val="003B7983"/>
    <w:rsid w:val="003C24F4"/>
    <w:rsid w:val="003C4452"/>
    <w:rsid w:val="003C4CBD"/>
    <w:rsid w:val="003C7646"/>
    <w:rsid w:val="003D0BFC"/>
    <w:rsid w:val="003D206A"/>
    <w:rsid w:val="003D27B4"/>
    <w:rsid w:val="003D34ED"/>
    <w:rsid w:val="003D60ED"/>
    <w:rsid w:val="003D7852"/>
    <w:rsid w:val="003E0F27"/>
    <w:rsid w:val="003E15AB"/>
    <w:rsid w:val="003E3274"/>
    <w:rsid w:val="003E3700"/>
    <w:rsid w:val="003E441B"/>
    <w:rsid w:val="003E528B"/>
    <w:rsid w:val="003E62C9"/>
    <w:rsid w:val="003E64A4"/>
    <w:rsid w:val="003F1184"/>
    <w:rsid w:val="003F19CD"/>
    <w:rsid w:val="003F34D1"/>
    <w:rsid w:val="003F5214"/>
    <w:rsid w:val="003F56BE"/>
    <w:rsid w:val="003F72A7"/>
    <w:rsid w:val="00403578"/>
    <w:rsid w:val="0040419B"/>
    <w:rsid w:val="00404AFD"/>
    <w:rsid w:val="0041061A"/>
    <w:rsid w:val="00411B9C"/>
    <w:rsid w:val="004139CC"/>
    <w:rsid w:val="00416BD0"/>
    <w:rsid w:val="004179E4"/>
    <w:rsid w:val="00422908"/>
    <w:rsid w:val="0042416B"/>
    <w:rsid w:val="004249BA"/>
    <w:rsid w:val="0042531B"/>
    <w:rsid w:val="004306D8"/>
    <w:rsid w:val="00430F18"/>
    <w:rsid w:val="00432BC1"/>
    <w:rsid w:val="00433924"/>
    <w:rsid w:val="00434AAC"/>
    <w:rsid w:val="0043512B"/>
    <w:rsid w:val="00435537"/>
    <w:rsid w:val="004355FE"/>
    <w:rsid w:val="00441E58"/>
    <w:rsid w:val="00445715"/>
    <w:rsid w:val="00445E0F"/>
    <w:rsid w:val="00446179"/>
    <w:rsid w:val="004506F7"/>
    <w:rsid w:val="0045199B"/>
    <w:rsid w:val="00451F70"/>
    <w:rsid w:val="00454C0F"/>
    <w:rsid w:val="00454F95"/>
    <w:rsid w:val="004571AF"/>
    <w:rsid w:val="00462043"/>
    <w:rsid w:val="0046380E"/>
    <w:rsid w:val="00466093"/>
    <w:rsid w:val="004712B0"/>
    <w:rsid w:val="00471B5C"/>
    <w:rsid w:val="00473006"/>
    <w:rsid w:val="00473509"/>
    <w:rsid w:val="00473BA0"/>
    <w:rsid w:val="00474B17"/>
    <w:rsid w:val="0047678B"/>
    <w:rsid w:val="00477FF4"/>
    <w:rsid w:val="00482303"/>
    <w:rsid w:val="00487C57"/>
    <w:rsid w:val="00494CD7"/>
    <w:rsid w:val="004A3117"/>
    <w:rsid w:val="004A394F"/>
    <w:rsid w:val="004A7299"/>
    <w:rsid w:val="004B15C6"/>
    <w:rsid w:val="004C0130"/>
    <w:rsid w:val="004C1E7E"/>
    <w:rsid w:val="004C2BF2"/>
    <w:rsid w:val="004C4C36"/>
    <w:rsid w:val="004C791A"/>
    <w:rsid w:val="004D0871"/>
    <w:rsid w:val="004D31D7"/>
    <w:rsid w:val="004D6B92"/>
    <w:rsid w:val="004E085C"/>
    <w:rsid w:val="004E0F8D"/>
    <w:rsid w:val="004F0E30"/>
    <w:rsid w:val="004F1D3D"/>
    <w:rsid w:val="004F3C9D"/>
    <w:rsid w:val="004F5CF2"/>
    <w:rsid w:val="004F77A5"/>
    <w:rsid w:val="00504F99"/>
    <w:rsid w:val="00505F69"/>
    <w:rsid w:val="005078D7"/>
    <w:rsid w:val="00510F89"/>
    <w:rsid w:val="00512B81"/>
    <w:rsid w:val="00513D1E"/>
    <w:rsid w:val="0052022B"/>
    <w:rsid w:val="005212B3"/>
    <w:rsid w:val="00525D5C"/>
    <w:rsid w:val="00526B90"/>
    <w:rsid w:val="00527D18"/>
    <w:rsid w:val="005324F1"/>
    <w:rsid w:val="005345CF"/>
    <w:rsid w:val="00534798"/>
    <w:rsid w:val="00534AB4"/>
    <w:rsid w:val="005362C3"/>
    <w:rsid w:val="00536BAD"/>
    <w:rsid w:val="00537141"/>
    <w:rsid w:val="005408F8"/>
    <w:rsid w:val="00543A1A"/>
    <w:rsid w:val="00543D1A"/>
    <w:rsid w:val="00545A63"/>
    <w:rsid w:val="00550A8B"/>
    <w:rsid w:val="00551ABE"/>
    <w:rsid w:val="00551F3F"/>
    <w:rsid w:val="00553C28"/>
    <w:rsid w:val="00555711"/>
    <w:rsid w:val="0055655B"/>
    <w:rsid w:val="005575EF"/>
    <w:rsid w:val="00557CAA"/>
    <w:rsid w:val="005610A7"/>
    <w:rsid w:val="00562097"/>
    <w:rsid w:val="00562642"/>
    <w:rsid w:val="00562653"/>
    <w:rsid w:val="00563B31"/>
    <w:rsid w:val="00564616"/>
    <w:rsid w:val="00565E25"/>
    <w:rsid w:val="00566512"/>
    <w:rsid w:val="005677A2"/>
    <w:rsid w:val="00571668"/>
    <w:rsid w:val="00573193"/>
    <w:rsid w:val="005736B2"/>
    <w:rsid w:val="0057643A"/>
    <w:rsid w:val="00580342"/>
    <w:rsid w:val="00582213"/>
    <w:rsid w:val="005901E1"/>
    <w:rsid w:val="005915F5"/>
    <w:rsid w:val="00591F58"/>
    <w:rsid w:val="00592834"/>
    <w:rsid w:val="00594FBF"/>
    <w:rsid w:val="0059693D"/>
    <w:rsid w:val="00597823"/>
    <w:rsid w:val="005A3405"/>
    <w:rsid w:val="005A5E6E"/>
    <w:rsid w:val="005A65D3"/>
    <w:rsid w:val="005A71BD"/>
    <w:rsid w:val="005A7C75"/>
    <w:rsid w:val="005B3CFB"/>
    <w:rsid w:val="005B4AA4"/>
    <w:rsid w:val="005B5C42"/>
    <w:rsid w:val="005B682A"/>
    <w:rsid w:val="005B705D"/>
    <w:rsid w:val="005C0054"/>
    <w:rsid w:val="005D0BCF"/>
    <w:rsid w:val="005D1D33"/>
    <w:rsid w:val="005D1E1A"/>
    <w:rsid w:val="005D2808"/>
    <w:rsid w:val="005D49DC"/>
    <w:rsid w:val="005D6EDB"/>
    <w:rsid w:val="005E4BD5"/>
    <w:rsid w:val="005E6D8D"/>
    <w:rsid w:val="005E7874"/>
    <w:rsid w:val="005F2C58"/>
    <w:rsid w:val="005F3CD8"/>
    <w:rsid w:val="005F6D4E"/>
    <w:rsid w:val="00601231"/>
    <w:rsid w:val="006015AA"/>
    <w:rsid w:val="006053A4"/>
    <w:rsid w:val="00610D91"/>
    <w:rsid w:val="0061143B"/>
    <w:rsid w:val="006173D9"/>
    <w:rsid w:val="006174D0"/>
    <w:rsid w:val="00617B19"/>
    <w:rsid w:val="00620E0C"/>
    <w:rsid w:val="0062507F"/>
    <w:rsid w:val="00626412"/>
    <w:rsid w:val="00627097"/>
    <w:rsid w:val="00627F07"/>
    <w:rsid w:val="00630701"/>
    <w:rsid w:val="00630A52"/>
    <w:rsid w:val="006314EC"/>
    <w:rsid w:val="006317D9"/>
    <w:rsid w:val="006319A4"/>
    <w:rsid w:val="006320EC"/>
    <w:rsid w:val="00632505"/>
    <w:rsid w:val="0063261C"/>
    <w:rsid w:val="00634E49"/>
    <w:rsid w:val="006404B8"/>
    <w:rsid w:val="00640732"/>
    <w:rsid w:val="00640CD1"/>
    <w:rsid w:val="006411FA"/>
    <w:rsid w:val="006468C4"/>
    <w:rsid w:val="00656322"/>
    <w:rsid w:val="0065656C"/>
    <w:rsid w:val="00662C9C"/>
    <w:rsid w:val="00664CCB"/>
    <w:rsid w:val="0066501C"/>
    <w:rsid w:val="00667847"/>
    <w:rsid w:val="00667E21"/>
    <w:rsid w:val="00672253"/>
    <w:rsid w:val="00672477"/>
    <w:rsid w:val="006803F2"/>
    <w:rsid w:val="00680EED"/>
    <w:rsid w:val="00683A32"/>
    <w:rsid w:val="00686C3A"/>
    <w:rsid w:val="0069751D"/>
    <w:rsid w:val="00697E3A"/>
    <w:rsid w:val="006A5A61"/>
    <w:rsid w:val="006A6C9D"/>
    <w:rsid w:val="006B06AF"/>
    <w:rsid w:val="006B3780"/>
    <w:rsid w:val="006B3913"/>
    <w:rsid w:val="006B5F0A"/>
    <w:rsid w:val="006B7B67"/>
    <w:rsid w:val="006C004B"/>
    <w:rsid w:val="006C09E3"/>
    <w:rsid w:val="006C12A2"/>
    <w:rsid w:val="006C1EAD"/>
    <w:rsid w:val="006C3056"/>
    <w:rsid w:val="006C3E9D"/>
    <w:rsid w:val="006C4608"/>
    <w:rsid w:val="006E29E7"/>
    <w:rsid w:val="006E3C5D"/>
    <w:rsid w:val="006E4C81"/>
    <w:rsid w:val="006F3D17"/>
    <w:rsid w:val="007010A6"/>
    <w:rsid w:val="007010E6"/>
    <w:rsid w:val="007013D6"/>
    <w:rsid w:val="00704877"/>
    <w:rsid w:val="007056DC"/>
    <w:rsid w:val="00707B0D"/>
    <w:rsid w:val="00707F33"/>
    <w:rsid w:val="00707FB8"/>
    <w:rsid w:val="00710E91"/>
    <w:rsid w:val="00712094"/>
    <w:rsid w:val="00712899"/>
    <w:rsid w:val="00716F04"/>
    <w:rsid w:val="007220FC"/>
    <w:rsid w:val="007224C8"/>
    <w:rsid w:val="00731F87"/>
    <w:rsid w:val="00734057"/>
    <w:rsid w:val="007347A9"/>
    <w:rsid w:val="00734A59"/>
    <w:rsid w:val="00737389"/>
    <w:rsid w:val="00740EA7"/>
    <w:rsid w:val="00741E7A"/>
    <w:rsid w:val="00743A79"/>
    <w:rsid w:val="00746374"/>
    <w:rsid w:val="0074694C"/>
    <w:rsid w:val="00750DC6"/>
    <w:rsid w:val="00751F36"/>
    <w:rsid w:val="00752ABA"/>
    <w:rsid w:val="007544B3"/>
    <w:rsid w:val="00754953"/>
    <w:rsid w:val="00755F4B"/>
    <w:rsid w:val="007569BF"/>
    <w:rsid w:val="00764F21"/>
    <w:rsid w:val="007650EA"/>
    <w:rsid w:val="00771225"/>
    <w:rsid w:val="007716E8"/>
    <w:rsid w:val="00771EE2"/>
    <w:rsid w:val="00772F61"/>
    <w:rsid w:val="007735D0"/>
    <w:rsid w:val="00776CE6"/>
    <w:rsid w:val="0077709D"/>
    <w:rsid w:val="0077725B"/>
    <w:rsid w:val="0078232E"/>
    <w:rsid w:val="007825BB"/>
    <w:rsid w:val="0078387C"/>
    <w:rsid w:val="007846BD"/>
    <w:rsid w:val="007852C4"/>
    <w:rsid w:val="00785C7C"/>
    <w:rsid w:val="00791072"/>
    <w:rsid w:val="00791620"/>
    <w:rsid w:val="00792C93"/>
    <w:rsid w:val="0079603B"/>
    <w:rsid w:val="00796119"/>
    <w:rsid w:val="00797F29"/>
    <w:rsid w:val="00797F99"/>
    <w:rsid w:val="007A3AD3"/>
    <w:rsid w:val="007A5486"/>
    <w:rsid w:val="007A59DE"/>
    <w:rsid w:val="007B10BC"/>
    <w:rsid w:val="007B2FBF"/>
    <w:rsid w:val="007B6549"/>
    <w:rsid w:val="007B7D18"/>
    <w:rsid w:val="007C065A"/>
    <w:rsid w:val="007C313C"/>
    <w:rsid w:val="007C5C10"/>
    <w:rsid w:val="007C5C4D"/>
    <w:rsid w:val="007D2547"/>
    <w:rsid w:val="007D3552"/>
    <w:rsid w:val="007D5303"/>
    <w:rsid w:val="007D6C61"/>
    <w:rsid w:val="007D7027"/>
    <w:rsid w:val="007E1D6E"/>
    <w:rsid w:val="007E60BB"/>
    <w:rsid w:val="007E66F0"/>
    <w:rsid w:val="007E6E71"/>
    <w:rsid w:val="007F0879"/>
    <w:rsid w:val="007F2072"/>
    <w:rsid w:val="007F7CC1"/>
    <w:rsid w:val="00801530"/>
    <w:rsid w:val="00803277"/>
    <w:rsid w:val="00803BC6"/>
    <w:rsid w:val="008044D7"/>
    <w:rsid w:val="00811BC8"/>
    <w:rsid w:val="00812181"/>
    <w:rsid w:val="0081385B"/>
    <w:rsid w:val="00816600"/>
    <w:rsid w:val="00821645"/>
    <w:rsid w:val="00822D2E"/>
    <w:rsid w:val="00827EA0"/>
    <w:rsid w:val="0083345E"/>
    <w:rsid w:val="00834EAE"/>
    <w:rsid w:val="00841403"/>
    <w:rsid w:val="0084190B"/>
    <w:rsid w:val="0084411B"/>
    <w:rsid w:val="00844951"/>
    <w:rsid w:val="00844D6E"/>
    <w:rsid w:val="00845A5D"/>
    <w:rsid w:val="008462FB"/>
    <w:rsid w:val="008465CD"/>
    <w:rsid w:val="0084663D"/>
    <w:rsid w:val="008515C0"/>
    <w:rsid w:val="00854873"/>
    <w:rsid w:val="00855E83"/>
    <w:rsid w:val="00856515"/>
    <w:rsid w:val="0086292A"/>
    <w:rsid w:val="00864FC6"/>
    <w:rsid w:val="00865B48"/>
    <w:rsid w:val="00872E7D"/>
    <w:rsid w:val="00874549"/>
    <w:rsid w:val="008756B7"/>
    <w:rsid w:val="008757B7"/>
    <w:rsid w:val="00880472"/>
    <w:rsid w:val="008813F9"/>
    <w:rsid w:val="0088144C"/>
    <w:rsid w:val="00881587"/>
    <w:rsid w:val="0088218C"/>
    <w:rsid w:val="00884060"/>
    <w:rsid w:val="00890796"/>
    <w:rsid w:val="0089321E"/>
    <w:rsid w:val="008933DF"/>
    <w:rsid w:val="00894C08"/>
    <w:rsid w:val="00895001"/>
    <w:rsid w:val="0089560E"/>
    <w:rsid w:val="008A0CBD"/>
    <w:rsid w:val="008A0D2A"/>
    <w:rsid w:val="008A1DEE"/>
    <w:rsid w:val="008A3970"/>
    <w:rsid w:val="008A5701"/>
    <w:rsid w:val="008B3DFF"/>
    <w:rsid w:val="008B3F28"/>
    <w:rsid w:val="008C49D3"/>
    <w:rsid w:val="008C5947"/>
    <w:rsid w:val="008C6DA1"/>
    <w:rsid w:val="008C72A6"/>
    <w:rsid w:val="008C7854"/>
    <w:rsid w:val="008D3D94"/>
    <w:rsid w:val="008D618A"/>
    <w:rsid w:val="008E1DC0"/>
    <w:rsid w:val="008E30BF"/>
    <w:rsid w:val="008E35A0"/>
    <w:rsid w:val="008E3A25"/>
    <w:rsid w:val="008E5038"/>
    <w:rsid w:val="008F031C"/>
    <w:rsid w:val="008F1463"/>
    <w:rsid w:val="008F1F11"/>
    <w:rsid w:val="008F31C7"/>
    <w:rsid w:val="008F7358"/>
    <w:rsid w:val="008F7394"/>
    <w:rsid w:val="008F79D7"/>
    <w:rsid w:val="009006DF"/>
    <w:rsid w:val="00910153"/>
    <w:rsid w:val="00910A19"/>
    <w:rsid w:val="00910BDC"/>
    <w:rsid w:val="00910F4E"/>
    <w:rsid w:val="00911695"/>
    <w:rsid w:val="00911E55"/>
    <w:rsid w:val="00913F05"/>
    <w:rsid w:val="0091562C"/>
    <w:rsid w:val="009177B6"/>
    <w:rsid w:val="00917A27"/>
    <w:rsid w:val="00923CD3"/>
    <w:rsid w:val="00924202"/>
    <w:rsid w:val="00924E50"/>
    <w:rsid w:val="00925CC6"/>
    <w:rsid w:val="00926ABF"/>
    <w:rsid w:val="00927A26"/>
    <w:rsid w:val="00927D00"/>
    <w:rsid w:val="00930969"/>
    <w:rsid w:val="0093269F"/>
    <w:rsid w:val="00936433"/>
    <w:rsid w:val="009412CD"/>
    <w:rsid w:val="0095349A"/>
    <w:rsid w:val="00955204"/>
    <w:rsid w:val="00960CAB"/>
    <w:rsid w:val="00960CCB"/>
    <w:rsid w:val="00961359"/>
    <w:rsid w:val="00962A0B"/>
    <w:rsid w:val="00962C4D"/>
    <w:rsid w:val="00964D34"/>
    <w:rsid w:val="00966F72"/>
    <w:rsid w:val="0096757C"/>
    <w:rsid w:val="00967A23"/>
    <w:rsid w:val="00972946"/>
    <w:rsid w:val="00972E84"/>
    <w:rsid w:val="00974691"/>
    <w:rsid w:val="00976022"/>
    <w:rsid w:val="00976169"/>
    <w:rsid w:val="00976580"/>
    <w:rsid w:val="00977C3F"/>
    <w:rsid w:val="00977CC3"/>
    <w:rsid w:val="00980102"/>
    <w:rsid w:val="0098316D"/>
    <w:rsid w:val="00984D59"/>
    <w:rsid w:val="0098502F"/>
    <w:rsid w:val="00986D16"/>
    <w:rsid w:val="009910B5"/>
    <w:rsid w:val="009920AD"/>
    <w:rsid w:val="0099244A"/>
    <w:rsid w:val="009938B8"/>
    <w:rsid w:val="00994EB2"/>
    <w:rsid w:val="00995053"/>
    <w:rsid w:val="009A0735"/>
    <w:rsid w:val="009A25E2"/>
    <w:rsid w:val="009A37CD"/>
    <w:rsid w:val="009A4C36"/>
    <w:rsid w:val="009B1FF8"/>
    <w:rsid w:val="009B42EF"/>
    <w:rsid w:val="009B4E7E"/>
    <w:rsid w:val="009B5EED"/>
    <w:rsid w:val="009C20D3"/>
    <w:rsid w:val="009C37BF"/>
    <w:rsid w:val="009C6EE6"/>
    <w:rsid w:val="009C7333"/>
    <w:rsid w:val="009C7979"/>
    <w:rsid w:val="009D0966"/>
    <w:rsid w:val="009D0B0C"/>
    <w:rsid w:val="009D22E5"/>
    <w:rsid w:val="009D4B7E"/>
    <w:rsid w:val="009D5E13"/>
    <w:rsid w:val="009D71F1"/>
    <w:rsid w:val="009E015C"/>
    <w:rsid w:val="009E0909"/>
    <w:rsid w:val="009E37B1"/>
    <w:rsid w:val="009E3E05"/>
    <w:rsid w:val="009E5780"/>
    <w:rsid w:val="009E5D72"/>
    <w:rsid w:val="009E6EC4"/>
    <w:rsid w:val="009F01E1"/>
    <w:rsid w:val="009F2F5E"/>
    <w:rsid w:val="009F3B2F"/>
    <w:rsid w:val="009F42ED"/>
    <w:rsid w:val="009F60D9"/>
    <w:rsid w:val="00A01456"/>
    <w:rsid w:val="00A01B5E"/>
    <w:rsid w:val="00A02A20"/>
    <w:rsid w:val="00A03301"/>
    <w:rsid w:val="00A05E3C"/>
    <w:rsid w:val="00A0769D"/>
    <w:rsid w:val="00A07925"/>
    <w:rsid w:val="00A101E8"/>
    <w:rsid w:val="00A10455"/>
    <w:rsid w:val="00A1132C"/>
    <w:rsid w:val="00A1168E"/>
    <w:rsid w:val="00A11DCF"/>
    <w:rsid w:val="00A11EE6"/>
    <w:rsid w:val="00A1213C"/>
    <w:rsid w:val="00A14C01"/>
    <w:rsid w:val="00A1556E"/>
    <w:rsid w:val="00A169DC"/>
    <w:rsid w:val="00A20C10"/>
    <w:rsid w:val="00A22308"/>
    <w:rsid w:val="00A22EC9"/>
    <w:rsid w:val="00A25ED3"/>
    <w:rsid w:val="00A264B5"/>
    <w:rsid w:val="00A26E1A"/>
    <w:rsid w:val="00A27D67"/>
    <w:rsid w:val="00A317E0"/>
    <w:rsid w:val="00A37208"/>
    <w:rsid w:val="00A373FE"/>
    <w:rsid w:val="00A37744"/>
    <w:rsid w:val="00A4126B"/>
    <w:rsid w:val="00A431C8"/>
    <w:rsid w:val="00A47E8E"/>
    <w:rsid w:val="00A50183"/>
    <w:rsid w:val="00A50E52"/>
    <w:rsid w:val="00A512D9"/>
    <w:rsid w:val="00A52488"/>
    <w:rsid w:val="00A52EF8"/>
    <w:rsid w:val="00A52F87"/>
    <w:rsid w:val="00A550F0"/>
    <w:rsid w:val="00A55F4D"/>
    <w:rsid w:val="00A56DFC"/>
    <w:rsid w:val="00A607D6"/>
    <w:rsid w:val="00A65ACF"/>
    <w:rsid w:val="00A71725"/>
    <w:rsid w:val="00A730D4"/>
    <w:rsid w:val="00A75160"/>
    <w:rsid w:val="00A80107"/>
    <w:rsid w:val="00A80270"/>
    <w:rsid w:val="00A81E1C"/>
    <w:rsid w:val="00A82C07"/>
    <w:rsid w:val="00A8654F"/>
    <w:rsid w:val="00A921C2"/>
    <w:rsid w:val="00A93040"/>
    <w:rsid w:val="00A9331E"/>
    <w:rsid w:val="00A96C90"/>
    <w:rsid w:val="00AA1C5D"/>
    <w:rsid w:val="00AA207A"/>
    <w:rsid w:val="00AA672A"/>
    <w:rsid w:val="00AA7717"/>
    <w:rsid w:val="00AA7A7D"/>
    <w:rsid w:val="00AA7BA4"/>
    <w:rsid w:val="00AB24DF"/>
    <w:rsid w:val="00AB2639"/>
    <w:rsid w:val="00AB41F5"/>
    <w:rsid w:val="00AB534D"/>
    <w:rsid w:val="00AB6C48"/>
    <w:rsid w:val="00AB7F2E"/>
    <w:rsid w:val="00AC00B4"/>
    <w:rsid w:val="00AC26EA"/>
    <w:rsid w:val="00AC2702"/>
    <w:rsid w:val="00AC5E52"/>
    <w:rsid w:val="00AC75F2"/>
    <w:rsid w:val="00AD0D0C"/>
    <w:rsid w:val="00AD28A1"/>
    <w:rsid w:val="00AD39D3"/>
    <w:rsid w:val="00AD6CA7"/>
    <w:rsid w:val="00AF04EA"/>
    <w:rsid w:val="00AF1B9D"/>
    <w:rsid w:val="00AF2D9F"/>
    <w:rsid w:val="00AF4146"/>
    <w:rsid w:val="00B01E1E"/>
    <w:rsid w:val="00B04E52"/>
    <w:rsid w:val="00B064E0"/>
    <w:rsid w:val="00B0681C"/>
    <w:rsid w:val="00B06DF0"/>
    <w:rsid w:val="00B125E7"/>
    <w:rsid w:val="00B17733"/>
    <w:rsid w:val="00B17A2D"/>
    <w:rsid w:val="00B238A2"/>
    <w:rsid w:val="00B24199"/>
    <w:rsid w:val="00B2684F"/>
    <w:rsid w:val="00B30708"/>
    <w:rsid w:val="00B30B1C"/>
    <w:rsid w:val="00B32557"/>
    <w:rsid w:val="00B40A36"/>
    <w:rsid w:val="00B421B9"/>
    <w:rsid w:val="00B43070"/>
    <w:rsid w:val="00B43FAA"/>
    <w:rsid w:val="00B46946"/>
    <w:rsid w:val="00B52319"/>
    <w:rsid w:val="00B5524B"/>
    <w:rsid w:val="00B60374"/>
    <w:rsid w:val="00B624DE"/>
    <w:rsid w:val="00B631C4"/>
    <w:rsid w:val="00B648B6"/>
    <w:rsid w:val="00B65453"/>
    <w:rsid w:val="00B669BA"/>
    <w:rsid w:val="00B67E11"/>
    <w:rsid w:val="00B75280"/>
    <w:rsid w:val="00B81D39"/>
    <w:rsid w:val="00B82D37"/>
    <w:rsid w:val="00B879EB"/>
    <w:rsid w:val="00B87A14"/>
    <w:rsid w:val="00B87A48"/>
    <w:rsid w:val="00B91A45"/>
    <w:rsid w:val="00BA398E"/>
    <w:rsid w:val="00BA58F0"/>
    <w:rsid w:val="00BA6D3B"/>
    <w:rsid w:val="00BA7453"/>
    <w:rsid w:val="00BB0336"/>
    <w:rsid w:val="00BB0FA2"/>
    <w:rsid w:val="00BB2223"/>
    <w:rsid w:val="00BB2B7B"/>
    <w:rsid w:val="00BB2E6B"/>
    <w:rsid w:val="00BC0C20"/>
    <w:rsid w:val="00BC508C"/>
    <w:rsid w:val="00BC79D7"/>
    <w:rsid w:val="00BD1389"/>
    <w:rsid w:val="00BD41E9"/>
    <w:rsid w:val="00BD51C6"/>
    <w:rsid w:val="00BD7908"/>
    <w:rsid w:val="00BE057A"/>
    <w:rsid w:val="00BE2D96"/>
    <w:rsid w:val="00BE520A"/>
    <w:rsid w:val="00BE5A23"/>
    <w:rsid w:val="00BE6705"/>
    <w:rsid w:val="00BE7FAD"/>
    <w:rsid w:val="00BF03C1"/>
    <w:rsid w:val="00BF0DAF"/>
    <w:rsid w:val="00BF0E76"/>
    <w:rsid w:val="00BF1E08"/>
    <w:rsid w:val="00BF2EB6"/>
    <w:rsid w:val="00BF7A0C"/>
    <w:rsid w:val="00C063C0"/>
    <w:rsid w:val="00C06DB4"/>
    <w:rsid w:val="00C0756A"/>
    <w:rsid w:val="00C12BE9"/>
    <w:rsid w:val="00C13786"/>
    <w:rsid w:val="00C14FCB"/>
    <w:rsid w:val="00C15A0C"/>
    <w:rsid w:val="00C15FE3"/>
    <w:rsid w:val="00C2443D"/>
    <w:rsid w:val="00C24999"/>
    <w:rsid w:val="00C25A3F"/>
    <w:rsid w:val="00C2616B"/>
    <w:rsid w:val="00C26E45"/>
    <w:rsid w:val="00C318C2"/>
    <w:rsid w:val="00C35769"/>
    <w:rsid w:val="00C405C9"/>
    <w:rsid w:val="00C40FE1"/>
    <w:rsid w:val="00C434BA"/>
    <w:rsid w:val="00C44BCE"/>
    <w:rsid w:val="00C46EAD"/>
    <w:rsid w:val="00C51140"/>
    <w:rsid w:val="00C536A9"/>
    <w:rsid w:val="00C56A2B"/>
    <w:rsid w:val="00C57A7D"/>
    <w:rsid w:val="00C57DD2"/>
    <w:rsid w:val="00C6039F"/>
    <w:rsid w:val="00C61FE7"/>
    <w:rsid w:val="00C64B7C"/>
    <w:rsid w:val="00C673DF"/>
    <w:rsid w:val="00C75A94"/>
    <w:rsid w:val="00C77A24"/>
    <w:rsid w:val="00C77AA8"/>
    <w:rsid w:val="00C804FA"/>
    <w:rsid w:val="00C82D91"/>
    <w:rsid w:val="00C82E68"/>
    <w:rsid w:val="00C862B3"/>
    <w:rsid w:val="00C87690"/>
    <w:rsid w:val="00C87B3D"/>
    <w:rsid w:val="00C92F00"/>
    <w:rsid w:val="00C936E3"/>
    <w:rsid w:val="00C93DA5"/>
    <w:rsid w:val="00C9452A"/>
    <w:rsid w:val="00C94FA3"/>
    <w:rsid w:val="00C9774D"/>
    <w:rsid w:val="00CA00CA"/>
    <w:rsid w:val="00CA0334"/>
    <w:rsid w:val="00CA2884"/>
    <w:rsid w:val="00CA2953"/>
    <w:rsid w:val="00CA3206"/>
    <w:rsid w:val="00CA348C"/>
    <w:rsid w:val="00CA4CD5"/>
    <w:rsid w:val="00CA68AA"/>
    <w:rsid w:val="00CB12D2"/>
    <w:rsid w:val="00CB3280"/>
    <w:rsid w:val="00CB3F09"/>
    <w:rsid w:val="00CB4283"/>
    <w:rsid w:val="00CB4873"/>
    <w:rsid w:val="00CB57BD"/>
    <w:rsid w:val="00CB618B"/>
    <w:rsid w:val="00CC1A9F"/>
    <w:rsid w:val="00CC1C9A"/>
    <w:rsid w:val="00CC252A"/>
    <w:rsid w:val="00CC4493"/>
    <w:rsid w:val="00CC44BA"/>
    <w:rsid w:val="00CC47DB"/>
    <w:rsid w:val="00CC5D81"/>
    <w:rsid w:val="00CC7B84"/>
    <w:rsid w:val="00CD275C"/>
    <w:rsid w:val="00CD4231"/>
    <w:rsid w:val="00CD4AF0"/>
    <w:rsid w:val="00CD7B4A"/>
    <w:rsid w:val="00CE3A30"/>
    <w:rsid w:val="00CE4050"/>
    <w:rsid w:val="00CE4F1D"/>
    <w:rsid w:val="00CE602D"/>
    <w:rsid w:val="00CE65F8"/>
    <w:rsid w:val="00CE792C"/>
    <w:rsid w:val="00CE7DD4"/>
    <w:rsid w:val="00CF59F8"/>
    <w:rsid w:val="00CF615A"/>
    <w:rsid w:val="00CF745F"/>
    <w:rsid w:val="00D0047C"/>
    <w:rsid w:val="00D01366"/>
    <w:rsid w:val="00D0265F"/>
    <w:rsid w:val="00D03403"/>
    <w:rsid w:val="00D046B8"/>
    <w:rsid w:val="00D12693"/>
    <w:rsid w:val="00D1359A"/>
    <w:rsid w:val="00D22FAB"/>
    <w:rsid w:val="00D258FD"/>
    <w:rsid w:val="00D26687"/>
    <w:rsid w:val="00D2689C"/>
    <w:rsid w:val="00D26B80"/>
    <w:rsid w:val="00D30EE3"/>
    <w:rsid w:val="00D329C5"/>
    <w:rsid w:val="00D3321C"/>
    <w:rsid w:val="00D337F6"/>
    <w:rsid w:val="00D35580"/>
    <w:rsid w:val="00D356EA"/>
    <w:rsid w:val="00D401A6"/>
    <w:rsid w:val="00D409EF"/>
    <w:rsid w:val="00D40B26"/>
    <w:rsid w:val="00D453E0"/>
    <w:rsid w:val="00D5328E"/>
    <w:rsid w:val="00D54F1A"/>
    <w:rsid w:val="00D565F5"/>
    <w:rsid w:val="00D567DA"/>
    <w:rsid w:val="00D577DB"/>
    <w:rsid w:val="00D57E1A"/>
    <w:rsid w:val="00D608B9"/>
    <w:rsid w:val="00D61861"/>
    <w:rsid w:val="00D622CD"/>
    <w:rsid w:val="00D62567"/>
    <w:rsid w:val="00D66575"/>
    <w:rsid w:val="00D70550"/>
    <w:rsid w:val="00D80FD3"/>
    <w:rsid w:val="00D82784"/>
    <w:rsid w:val="00D8528C"/>
    <w:rsid w:val="00D87357"/>
    <w:rsid w:val="00D93C90"/>
    <w:rsid w:val="00D97E72"/>
    <w:rsid w:val="00DA0B4C"/>
    <w:rsid w:val="00DA116F"/>
    <w:rsid w:val="00DA25E7"/>
    <w:rsid w:val="00DA56E9"/>
    <w:rsid w:val="00DA71CC"/>
    <w:rsid w:val="00DB0579"/>
    <w:rsid w:val="00DB697C"/>
    <w:rsid w:val="00DB727B"/>
    <w:rsid w:val="00DB7622"/>
    <w:rsid w:val="00DB7E9D"/>
    <w:rsid w:val="00DC26C6"/>
    <w:rsid w:val="00DC277E"/>
    <w:rsid w:val="00DC3027"/>
    <w:rsid w:val="00DC383B"/>
    <w:rsid w:val="00DC3D1F"/>
    <w:rsid w:val="00DD13E3"/>
    <w:rsid w:val="00DD2ED9"/>
    <w:rsid w:val="00DD33A6"/>
    <w:rsid w:val="00DD4A45"/>
    <w:rsid w:val="00DD63D1"/>
    <w:rsid w:val="00DE0362"/>
    <w:rsid w:val="00DE222A"/>
    <w:rsid w:val="00DE34C7"/>
    <w:rsid w:val="00DE3DF8"/>
    <w:rsid w:val="00DE5E9E"/>
    <w:rsid w:val="00DE7D44"/>
    <w:rsid w:val="00DF0E81"/>
    <w:rsid w:val="00DF1196"/>
    <w:rsid w:val="00DF73D5"/>
    <w:rsid w:val="00E006A4"/>
    <w:rsid w:val="00E01733"/>
    <w:rsid w:val="00E041AA"/>
    <w:rsid w:val="00E0726C"/>
    <w:rsid w:val="00E12C8B"/>
    <w:rsid w:val="00E13696"/>
    <w:rsid w:val="00E15607"/>
    <w:rsid w:val="00E15BD9"/>
    <w:rsid w:val="00E20153"/>
    <w:rsid w:val="00E213C3"/>
    <w:rsid w:val="00E24AF7"/>
    <w:rsid w:val="00E2637A"/>
    <w:rsid w:val="00E31555"/>
    <w:rsid w:val="00E31DCB"/>
    <w:rsid w:val="00E3267B"/>
    <w:rsid w:val="00E350B1"/>
    <w:rsid w:val="00E355CF"/>
    <w:rsid w:val="00E355D3"/>
    <w:rsid w:val="00E37A69"/>
    <w:rsid w:val="00E40E68"/>
    <w:rsid w:val="00E420DA"/>
    <w:rsid w:val="00E432BC"/>
    <w:rsid w:val="00E452FF"/>
    <w:rsid w:val="00E46A23"/>
    <w:rsid w:val="00E471B1"/>
    <w:rsid w:val="00E47253"/>
    <w:rsid w:val="00E52FB0"/>
    <w:rsid w:val="00E5543F"/>
    <w:rsid w:val="00E61183"/>
    <w:rsid w:val="00E61800"/>
    <w:rsid w:val="00E62303"/>
    <w:rsid w:val="00E658A8"/>
    <w:rsid w:val="00E668DA"/>
    <w:rsid w:val="00E676D9"/>
    <w:rsid w:val="00E71800"/>
    <w:rsid w:val="00E73BE6"/>
    <w:rsid w:val="00E73BEC"/>
    <w:rsid w:val="00E73D9E"/>
    <w:rsid w:val="00E73E25"/>
    <w:rsid w:val="00E74949"/>
    <w:rsid w:val="00E74A8E"/>
    <w:rsid w:val="00E76AD5"/>
    <w:rsid w:val="00E82224"/>
    <w:rsid w:val="00E87A83"/>
    <w:rsid w:val="00E96C97"/>
    <w:rsid w:val="00EA09A8"/>
    <w:rsid w:val="00EA3E32"/>
    <w:rsid w:val="00EA6D61"/>
    <w:rsid w:val="00EA704E"/>
    <w:rsid w:val="00EA7F7C"/>
    <w:rsid w:val="00EB2913"/>
    <w:rsid w:val="00EB42BD"/>
    <w:rsid w:val="00EB642C"/>
    <w:rsid w:val="00EC2475"/>
    <w:rsid w:val="00EC4E86"/>
    <w:rsid w:val="00EC5566"/>
    <w:rsid w:val="00EC69E9"/>
    <w:rsid w:val="00ED12A0"/>
    <w:rsid w:val="00ED2D4B"/>
    <w:rsid w:val="00ED4F9C"/>
    <w:rsid w:val="00ED55F8"/>
    <w:rsid w:val="00ED5689"/>
    <w:rsid w:val="00ED697B"/>
    <w:rsid w:val="00ED70F4"/>
    <w:rsid w:val="00EE0B69"/>
    <w:rsid w:val="00EE0F9A"/>
    <w:rsid w:val="00EE1A69"/>
    <w:rsid w:val="00EE5547"/>
    <w:rsid w:val="00EE7CE2"/>
    <w:rsid w:val="00EF6DB6"/>
    <w:rsid w:val="00EF6EF4"/>
    <w:rsid w:val="00F00091"/>
    <w:rsid w:val="00F005E7"/>
    <w:rsid w:val="00F01476"/>
    <w:rsid w:val="00F0190B"/>
    <w:rsid w:val="00F0202B"/>
    <w:rsid w:val="00F02302"/>
    <w:rsid w:val="00F03454"/>
    <w:rsid w:val="00F0494D"/>
    <w:rsid w:val="00F04A09"/>
    <w:rsid w:val="00F05D9E"/>
    <w:rsid w:val="00F06492"/>
    <w:rsid w:val="00F07ED0"/>
    <w:rsid w:val="00F10121"/>
    <w:rsid w:val="00F1264F"/>
    <w:rsid w:val="00F12882"/>
    <w:rsid w:val="00F1424F"/>
    <w:rsid w:val="00F1577A"/>
    <w:rsid w:val="00F21581"/>
    <w:rsid w:val="00F22362"/>
    <w:rsid w:val="00F24C6B"/>
    <w:rsid w:val="00F26850"/>
    <w:rsid w:val="00F274AF"/>
    <w:rsid w:val="00F308B0"/>
    <w:rsid w:val="00F3163A"/>
    <w:rsid w:val="00F3402B"/>
    <w:rsid w:val="00F365E1"/>
    <w:rsid w:val="00F3673E"/>
    <w:rsid w:val="00F400D9"/>
    <w:rsid w:val="00F40471"/>
    <w:rsid w:val="00F43778"/>
    <w:rsid w:val="00F43A25"/>
    <w:rsid w:val="00F44207"/>
    <w:rsid w:val="00F442EF"/>
    <w:rsid w:val="00F44932"/>
    <w:rsid w:val="00F471C7"/>
    <w:rsid w:val="00F509D2"/>
    <w:rsid w:val="00F53E92"/>
    <w:rsid w:val="00F554B2"/>
    <w:rsid w:val="00F579EE"/>
    <w:rsid w:val="00F57BC9"/>
    <w:rsid w:val="00F60225"/>
    <w:rsid w:val="00F61A0A"/>
    <w:rsid w:val="00F61AD6"/>
    <w:rsid w:val="00F641D8"/>
    <w:rsid w:val="00F64532"/>
    <w:rsid w:val="00F66627"/>
    <w:rsid w:val="00F711EC"/>
    <w:rsid w:val="00F71E61"/>
    <w:rsid w:val="00F75713"/>
    <w:rsid w:val="00F75AB0"/>
    <w:rsid w:val="00F75C73"/>
    <w:rsid w:val="00F81536"/>
    <w:rsid w:val="00F85169"/>
    <w:rsid w:val="00F85239"/>
    <w:rsid w:val="00F8527D"/>
    <w:rsid w:val="00F8540D"/>
    <w:rsid w:val="00F90548"/>
    <w:rsid w:val="00F922EF"/>
    <w:rsid w:val="00F937BD"/>
    <w:rsid w:val="00F962DC"/>
    <w:rsid w:val="00FA07CF"/>
    <w:rsid w:val="00FA2F0E"/>
    <w:rsid w:val="00FA4ABC"/>
    <w:rsid w:val="00FA51C6"/>
    <w:rsid w:val="00FA5D2F"/>
    <w:rsid w:val="00FB11E7"/>
    <w:rsid w:val="00FB7C96"/>
    <w:rsid w:val="00FC1F97"/>
    <w:rsid w:val="00FC460B"/>
    <w:rsid w:val="00FC56B8"/>
    <w:rsid w:val="00FC5F20"/>
    <w:rsid w:val="00FC69AF"/>
    <w:rsid w:val="00FC7B5E"/>
    <w:rsid w:val="00FD079E"/>
    <w:rsid w:val="00FD0B41"/>
    <w:rsid w:val="00FD20A0"/>
    <w:rsid w:val="00FD4991"/>
    <w:rsid w:val="00FE0113"/>
    <w:rsid w:val="00FE0A00"/>
    <w:rsid w:val="00FE0D2A"/>
    <w:rsid w:val="00FE417B"/>
    <w:rsid w:val="00FE6AF1"/>
    <w:rsid w:val="00FE7A2E"/>
    <w:rsid w:val="00FF1392"/>
    <w:rsid w:val="00FF2D63"/>
    <w:rsid w:val="00FF403E"/>
    <w:rsid w:val="00FF6ACF"/>
    <w:rsid w:val="00FF7157"/>
    <w:rsid w:val="01066A48"/>
    <w:rsid w:val="01086012"/>
    <w:rsid w:val="012F23D2"/>
    <w:rsid w:val="01353E46"/>
    <w:rsid w:val="013D20EF"/>
    <w:rsid w:val="013D4C8F"/>
    <w:rsid w:val="0141555F"/>
    <w:rsid w:val="01542AFA"/>
    <w:rsid w:val="015460A2"/>
    <w:rsid w:val="015E6630"/>
    <w:rsid w:val="016453D0"/>
    <w:rsid w:val="016C75C7"/>
    <w:rsid w:val="018D524F"/>
    <w:rsid w:val="019036D8"/>
    <w:rsid w:val="019D55FE"/>
    <w:rsid w:val="01A01767"/>
    <w:rsid w:val="01A66FAC"/>
    <w:rsid w:val="01BD4FDC"/>
    <w:rsid w:val="01C42B8B"/>
    <w:rsid w:val="01CE3A0A"/>
    <w:rsid w:val="01CF7782"/>
    <w:rsid w:val="01E941AE"/>
    <w:rsid w:val="01ED256A"/>
    <w:rsid w:val="01FE504C"/>
    <w:rsid w:val="021A6C4F"/>
    <w:rsid w:val="02201D8C"/>
    <w:rsid w:val="0221105C"/>
    <w:rsid w:val="02240E71"/>
    <w:rsid w:val="022F6268"/>
    <w:rsid w:val="0230144B"/>
    <w:rsid w:val="023E2A8F"/>
    <w:rsid w:val="023F01AC"/>
    <w:rsid w:val="02497F02"/>
    <w:rsid w:val="025C7268"/>
    <w:rsid w:val="025D37A6"/>
    <w:rsid w:val="02630A21"/>
    <w:rsid w:val="027520D7"/>
    <w:rsid w:val="028265A2"/>
    <w:rsid w:val="02910656"/>
    <w:rsid w:val="029452C8"/>
    <w:rsid w:val="0299330C"/>
    <w:rsid w:val="029C2053"/>
    <w:rsid w:val="029E3E12"/>
    <w:rsid w:val="02AE2F1E"/>
    <w:rsid w:val="02B07476"/>
    <w:rsid w:val="02B12263"/>
    <w:rsid w:val="02B34262"/>
    <w:rsid w:val="02BA6D6B"/>
    <w:rsid w:val="02BC6761"/>
    <w:rsid w:val="02C30781"/>
    <w:rsid w:val="02C32A89"/>
    <w:rsid w:val="02EB23C8"/>
    <w:rsid w:val="02ED4254"/>
    <w:rsid w:val="02F54A67"/>
    <w:rsid w:val="02FB586B"/>
    <w:rsid w:val="032764F6"/>
    <w:rsid w:val="032C124E"/>
    <w:rsid w:val="03355FAD"/>
    <w:rsid w:val="03357A15"/>
    <w:rsid w:val="033F6615"/>
    <w:rsid w:val="034A4B76"/>
    <w:rsid w:val="03604B36"/>
    <w:rsid w:val="03646BB0"/>
    <w:rsid w:val="036A455B"/>
    <w:rsid w:val="03700AD7"/>
    <w:rsid w:val="03881BEB"/>
    <w:rsid w:val="038B058F"/>
    <w:rsid w:val="038D75F5"/>
    <w:rsid w:val="03936A9A"/>
    <w:rsid w:val="03B07722"/>
    <w:rsid w:val="03B94246"/>
    <w:rsid w:val="03C9092D"/>
    <w:rsid w:val="03C947DD"/>
    <w:rsid w:val="03CD0376"/>
    <w:rsid w:val="03E73921"/>
    <w:rsid w:val="03E868D9"/>
    <w:rsid w:val="03EB0F95"/>
    <w:rsid w:val="03F1290E"/>
    <w:rsid w:val="04002E0B"/>
    <w:rsid w:val="040F03FA"/>
    <w:rsid w:val="0412438A"/>
    <w:rsid w:val="04136717"/>
    <w:rsid w:val="041D2A27"/>
    <w:rsid w:val="04332546"/>
    <w:rsid w:val="0450326E"/>
    <w:rsid w:val="04533461"/>
    <w:rsid w:val="045E0D7F"/>
    <w:rsid w:val="046E6DDE"/>
    <w:rsid w:val="047015B8"/>
    <w:rsid w:val="048D54DF"/>
    <w:rsid w:val="04B51F1A"/>
    <w:rsid w:val="04BD0338"/>
    <w:rsid w:val="04C56D31"/>
    <w:rsid w:val="04CD0D24"/>
    <w:rsid w:val="04CF0F22"/>
    <w:rsid w:val="04D71637"/>
    <w:rsid w:val="04D7542D"/>
    <w:rsid w:val="04DD163F"/>
    <w:rsid w:val="04E452F2"/>
    <w:rsid w:val="04E82F5F"/>
    <w:rsid w:val="05084E1A"/>
    <w:rsid w:val="0536624A"/>
    <w:rsid w:val="05476ED2"/>
    <w:rsid w:val="05507187"/>
    <w:rsid w:val="05547F50"/>
    <w:rsid w:val="05586D81"/>
    <w:rsid w:val="055909BC"/>
    <w:rsid w:val="056326BB"/>
    <w:rsid w:val="056775E0"/>
    <w:rsid w:val="05812096"/>
    <w:rsid w:val="05962A91"/>
    <w:rsid w:val="05A174D0"/>
    <w:rsid w:val="05A31C11"/>
    <w:rsid w:val="05A54A82"/>
    <w:rsid w:val="05B15E1B"/>
    <w:rsid w:val="05B6570E"/>
    <w:rsid w:val="05B719DB"/>
    <w:rsid w:val="05C018BB"/>
    <w:rsid w:val="05C8568A"/>
    <w:rsid w:val="05D411B5"/>
    <w:rsid w:val="05DC03BC"/>
    <w:rsid w:val="05E03755"/>
    <w:rsid w:val="05E05D39"/>
    <w:rsid w:val="05EE025B"/>
    <w:rsid w:val="05F81055"/>
    <w:rsid w:val="05FB2E46"/>
    <w:rsid w:val="06274DE9"/>
    <w:rsid w:val="0643158D"/>
    <w:rsid w:val="0652465D"/>
    <w:rsid w:val="06606ACF"/>
    <w:rsid w:val="06632C8A"/>
    <w:rsid w:val="066C44D0"/>
    <w:rsid w:val="066F0F20"/>
    <w:rsid w:val="06780BE4"/>
    <w:rsid w:val="067D77AC"/>
    <w:rsid w:val="0688298E"/>
    <w:rsid w:val="06A978A6"/>
    <w:rsid w:val="06B55198"/>
    <w:rsid w:val="06BA577F"/>
    <w:rsid w:val="06C373A0"/>
    <w:rsid w:val="06CA61EA"/>
    <w:rsid w:val="06CE3AAD"/>
    <w:rsid w:val="06D3256B"/>
    <w:rsid w:val="06E93094"/>
    <w:rsid w:val="07142FC9"/>
    <w:rsid w:val="0716354A"/>
    <w:rsid w:val="071A113A"/>
    <w:rsid w:val="071A5532"/>
    <w:rsid w:val="07391925"/>
    <w:rsid w:val="073F7F68"/>
    <w:rsid w:val="07433326"/>
    <w:rsid w:val="074D1200"/>
    <w:rsid w:val="075410AD"/>
    <w:rsid w:val="07701435"/>
    <w:rsid w:val="07716F4D"/>
    <w:rsid w:val="078057A6"/>
    <w:rsid w:val="0791006E"/>
    <w:rsid w:val="07A93817"/>
    <w:rsid w:val="07AA51F7"/>
    <w:rsid w:val="07C16E32"/>
    <w:rsid w:val="07C956F1"/>
    <w:rsid w:val="07DE071F"/>
    <w:rsid w:val="07E724F1"/>
    <w:rsid w:val="07F54B10"/>
    <w:rsid w:val="080D2DB2"/>
    <w:rsid w:val="08236132"/>
    <w:rsid w:val="0824157E"/>
    <w:rsid w:val="082A5712"/>
    <w:rsid w:val="08365D8B"/>
    <w:rsid w:val="083932FD"/>
    <w:rsid w:val="083C1D74"/>
    <w:rsid w:val="08442529"/>
    <w:rsid w:val="08664D5B"/>
    <w:rsid w:val="087338E5"/>
    <w:rsid w:val="087E552F"/>
    <w:rsid w:val="08935065"/>
    <w:rsid w:val="08994E2C"/>
    <w:rsid w:val="089E0248"/>
    <w:rsid w:val="08AA7F40"/>
    <w:rsid w:val="08AC09F8"/>
    <w:rsid w:val="08AF1C74"/>
    <w:rsid w:val="08B76FB8"/>
    <w:rsid w:val="08BB3B09"/>
    <w:rsid w:val="08EC3C9C"/>
    <w:rsid w:val="08EF4818"/>
    <w:rsid w:val="08F26284"/>
    <w:rsid w:val="08F57B11"/>
    <w:rsid w:val="08F617F2"/>
    <w:rsid w:val="08F64252"/>
    <w:rsid w:val="08F94C8C"/>
    <w:rsid w:val="08FD0C7A"/>
    <w:rsid w:val="09027DBF"/>
    <w:rsid w:val="090F109A"/>
    <w:rsid w:val="09151314"/>
    <w:rsid w:val="09263609"/>
    <w:rsid w:val="092E2FE0"/>
    <w:rsid w:val="093E5BC8"/>
    <w:rsid w:val="0953633D"/>
    <w:rsid w:val="095867F9"/>
    <w:rsid w:val="096659B3"/>
    <w:rsid w:val="09697733"/>
    <w:rsid w:val="097D56DC"/>
    <w:rsid w:val="09953804"/>
    <w:rsid w:val="099A0675"/>
    <w:rsid w:val="099C034D"/>
    <w:rsid w:val="09A71810"/>
    <w:rsid w:val="09AF52BC"/>
    <w:rsid w:val="09C556F2"/>
    <w:rsid w:val="09C9680A"/>
    <w:rsid w:val="09DA5625"/>
    <w:rsid w:val="09E33DCA"/>
    <w:rsid w:val="09EA33AB"/>
    <w:rsid w:val="09EA6668"/>
    <w:rsid w:val="0A0501E5"/>
    <w:rsid w:val="0A075D0B"/>
    <w:rsid w:val="0A0A57FB"/>
    <w:rsid w:val="0A193C90"/>
    <w:rsid w:val="0A1A77A1"/>
    <w:rsid w:val="0A3E3D26"/>
    <w:rsid w:val="0A4834F8"/>
    <w:rsid w:val="0A6173D2"/>
    <w:rsid w:val="0A682231"/>
    <w:rsid w:val="0A6825A9"/>
    <w:rsid w:val="0A781198"/>
    <w:rsid w:val="0A7F039E"/>
    <w:rsid w:val="0AAC10E4"/>
    <w:rsid w:val="0AB07E4A"/>
    <w:rsid w:val="0AC93B72"/>
    <w:rsid w:val="0ACA6D38"/>
    <w:rsid w:val="0AD53C26"/>
    <w:rsid w:val="0ADD3B4A"/>
    <w:rsid w:val="0AEE775A"/>
    <w:rsid w:val="0AFF5154"/>
    <w:rsid w:val="0B0260FA"/>
    <w:rsid w:val="0B127FA5"/>
    <w:rsid w:val="0B187C06"/>
    <w:rsid w:val="0B462863"/>
    <w:rsid w:val="0B4B3360"/>
    <w:rsid w:val="0B6153F6"/>
    <w:rsid w:val="0B6C4BE2"/>
    <w:rsid w:val="0B745622"/>
    <w:rsid w:val="0B832C7E"/>
    <w:rsid w:val="0B895D1E"/>
    <w:rsid w:val="0B903157"/>
    <w:rsid w:val="0B9335CE"/>
    <w:rsid w:val="0BA653BF"/>
    <w:rsid w:val="0BAC6F99"/>
    <w:rsid w:val="0BB73761"/>
    <w:rsid w:val="0BCD1EAC"/>
    <w:rsid w:val="0BCF142C"/>
    <w:rsid w:val="0BDC319A"/>
    <w:rsid w:val="0BE669AA"/>
    <w:rsid w:val="0BFB783E"/>
    <w:rsid w:val="0BFD5373"/>
    <w:rsid w:val="0BFD6481"/>
    <w:rsid w:val="0BFE68ED"/>
    <w:rsid w:val="0C0F0CD9"/>
    <w:rsid w:val="0C230DF6"/>
    <w:rsid w:val="0C631998"/>
    <w:rsid w:val="0C6821F6"/>
    <w:rsid w:val="0C757885"/>
    <w:rsid w:val="0C9870EE"/>
    <w:rsid w:val="0C990787"/>
    <w:rsid w:val="0C992D4F"/>
    <w:rsid w:val="0CAE3A50"/>
    <w:rsid w:val="0CBF15FF"/>
    <w:rsid w:val="0CC20F4F"/>
    <w:rsid w:val="0CD90540"/>
    <w:rsid w:val="0CD91857"/>
    <w:rsid w:val="0CDA4E4E"/>
    <w:rsid w:val="0CF258A4"/>
    <w:rsid w:val="0CF462EF"/>
    <w:rsid w:val="0D212A41"/>
    <w:rsid w:val="0D214045"/>
    <w:rsid w:val="0D215F2C"/>
    <w:rsid w:val="0D314FE6"/>
    <w:rsid w:val="0D330BC5"/>
    <w:rsid w:val="0D540C02"/>
    <w:rsid w:val="0D571C0F"/>
    <w:rsid w:val="0D5F19BA"/>
    <w:rsid w:val="0D637F0E"/>
    <w:rsid w:val="0D645222"/>
    <w:rsid w:val="0D6A5410"/>
    <w:rsid w:val="0D794CB6"/>
    <w:rsid w:val="0D8324ED"/>
    <w:rsid w:val="0D8F059D"/>
    <w:rsid w:val="0D8F5855"/>
    <w:rsid w:val="0D936D15"/>
    <w:rsid w:val="0D9827E5"/>
    <w:rsid w:val="0DAF3D29"/>
    <w:rsid w:val="0DBC0BBA"/>
    <w:rsid w:val="0DC466B9"/>
    <w:rsid w:val="0DC54945"/>
    <w:rsid w:val="0DF25BA4"/>
    <w:rsid w:val="0DFD573A"/>
    <w:rsid w:val="0DFE1012"/>
    <w:rsid w:val="0E0B029F"/>
    <w:rsid w:val="0E230373"/>
    <w:rsid w:val="0E236E8B"/>
    <w:rsid w:val="0E252C04"/>
    <w:rsid w:val="0E2A41ED"/>
    <w:rsid w:val="0E30302E"/>
    <w:rsid w:val="0E351EED"/>
    <w:rsid w:val="0E397874"/>
    <w:rsid w:val="0E43752E"/>
    <w:rsid w:val="0E461B92"/>
    <w:rsid w:val="0E6059EA"/>
    <w:rsid w:val="0E632208"/>
    <w:rsid w:val="0E6574A4"/>
    <w:rsid w:val="0E844468"/>
    <w:rsid w:val="0E910299"/>
    <w:rsid w:val="0E9E135B"/>
    <w:rsid w:val="0EA44F43"/>
    <w:rsid w:val="0EA62844"/>
    <w:rsid w:val="0EC2669E"/>
    <w:rsid w:val="0ED75315"/>
    <w:rsid w:val="0ED756CF"/>
    <w:rsid w:val="0EE34A0A"/>
    <w:rsid w:val="0EEF23A4"/>
    <w:rsid w:val="0F1E7653"/>
    <w:rsid w:val="0F2500FF"/>
    <w:rsid w:val="0F2A7DB7"/>
    <w:rsid w:val="0F2D61D9"/>
    <w:rsid w:val="0F43254D"/>
    <w:rsid w:val="0F45451E"/>
    <w:rsid w:val="0F5372FC"/>
    <w:rsid w:val="0F543C48"/>
    <w:rsid w:val="0F54568B"/>
    <w:rsid w:val="0F6801CF"/>
    <w:rsid w:val="0F7F71A8"/>
    <w:rsid w:val="0F851480"/>
    <w:rsid w:val="0F9B0554"/>
    <w:rsid w:val="0FAF5422"/>
    <w:rsid w:val="0FAF5990"/>
    <w:rsid w:val="0FB271E8"/>
    <w:rsid w:val="0FB3423F"/>
    <w:rsid w:val="0FB73D2F"/>
    <w:rsid w:val="0FBF1392"/>
    <w:rsid w:val="0FC41BDA"/>
    <w:rsid w:val="0FD84D52"/>
    <w:rsid w:val="0FD93801"/>
    <w:rsid w:val="0FDC41E3"/>
    <w:rsid w:val="0FE95EB3"/>
    <w:rsid w:val="100C40A0"/>
    <w:rsid w:val="10131FB5"/>
    <w:rsid w:val="10176676"/>
    <w:rsid w:val="1031732E"/>
    <w:rsid w:val="10327E3A"/>
    <w:rsid w:val="103356D2"/>
    <w:rsid w:val="10374301"/>
    <w:rsid w:val="10394E9C"/>
    <w:rsid w:val="103A764D"/>
    <w:rsid w:val="103B6EC4"/>
    <w:rsid w:val="10457DEF"/>
    <w:rsid w:val="10482BD9"/>
    <w:rsid w:val="104A6951"/>
    <w:rsid w:val="105628E7"/>
    <w:rsid w:val="105A27E6"/>
    <w:rsid w:val="105C0FEB"/>
    <w:rsid w:val="108120DC"/>
    <w:rsid w:val="1089408D"/>
    <w:rsid w:val="108950E7"/>
    <w:rsid w:val="109135C4"/>
    <w:rsid w:val="10A4426E"/>
    <w:rsid w:val="10B656D8"/>
    <w:rsid w:val="10BB6F68"/>
    <w:rsid w:val="10C37A22"/>
    <w:rsid w:val="10C556C7"/>
    <w:rsid w:val="10C55FD8"/>
    <w:rsid w:val="10CF4C25"/>
    <w:rsid w:val="10F772EF"/>
    <w:rsid w:val="11017A58"/>
    <w:rsid w:val="11023D17"/>
    <w:rsid w:val="110F34C8"/>
    <w:rsid w:val="111016B8"/>
    <w:rsid w:val="114415F3"/>
    <w:rsid w:val="11491151"/>
    <w:rsid w:val="1159543F"/>
    <w:rsid w:val="116230D1"/>
    <w:rsid w:val="116A7E05"/>
    <w:rsid w:val="11722460"/>
    <w:rsid w:val="117A4F14"/>
    <w:rsid w:val="119D6F55"/>
    <w:rsid w:val="11CB1987"/>
    <w:rsid w:val="11D529F0"/>
    <w:rsid w:val="11DC5FC8"/>
    <w:rsid w:val="11E71072"/>
    <w:rsid w:val="11F55D84"/>
    <w:rsid w:val="11F95233"/>
    <w:rsid w:val="11FE73E1"/>
    <w:rsid w:val="1206271C"/>
    <w:rsid w:val="120E39AF"/>
    <w:rsid w:val="12114BE2"/>
    <w:rsid w:val="121911ED"/>
    <w:rsid w:val="12261816"/>
    <w:rsid w:val="122816CA"/>
    <w:rsid w:val="1231523F"/>
    <w:rsid w:val="12392AE3"/>
    <w:rsid w:val="12404237"/>
    <w:rsid w:val="12421044"/>
    <w:rsid w:val="124C39CE"/>
    <w:rsid w:val="12505070"/>
    <w:rsid w:val="127A5380"/>
    <w:rsid w:val="12957C2C"/>
    <w:rsid w:val="1298079E"/>
    <w:rsid w:val="1299424E"/>
    <w:rsid w:val="12AD5EBA"/>
    <w:rsid w:val="12AE0032"/>
    <w:rsid w:val="12B10442"/>
    <w:rsid w:val="12C319F0"/>
    <w:rsid w:val="12CB7F7B"/>
    <w:rsid w:val="12D57B5A"/>
    <w:rsid w:val="12D60970"/>
    <w:rsid w:val="12DA74FD"/>
    <w:rsid w:val="12EE12AA"/>
    <w:rsid w:val="130354DD"/>
    <w:rsid w:val="13160E95"/>
    <w:rsid w:val="131D4A08"/>
    <w:rsid w:val="132A077A"/>
    <w:rsid w:val="132B4874"/>
    <w:rsid w:val="13365D96"/>
    <w:rsid w:val="133833D9"/>
    <w:rsid w:val="13401CF4"/>
    <w:rsid w:val="13474541"/>
    <w:rsid w:val="13477178"/>
    <w:rsid w:val="13597FDE"/>
    <w:rsid w:val="135C5234"/>
    <w:rsid w:val="13610A7C"/>
    <w:rsid w:val="1370511E"/>
    <w:rsid w:val="13806169"/>
    <w:rsid w:val="138A2CF3"/>
    <w:rsid w:val="139600FA"/>
    <w:rsid w:val="139B1B3C"/>
    <w:rsid w:val="13AC7923"/>
    <w:rsid w:val="13AF642C"/>
    <w:rsid w:val="13BB36C2"/>
    <w:rsid w:val="13C163E4"/>
    <w:rsid w:val="13C24A51"/>
    <w:rsid w:val="13C407C9"/>
    <w:rsid w:val="13CF69C3"/>
    <w:rsid w:val="13E63AA6"/>
    <w:rsid w:val="13EB21F9"/>
    <w:rsid w:val="13F175F7"/>
    <w:rsid w:val="13F85DC5"/>
    <w:rsid w:val="13FC3073"/>
    <w:rsid w:val="14002DA6"/>
    <w:rsid w:val="141601C0"/>
    <w:rsid w:val="14183270"/>
    <w:rsid w:val="141D447E"/>
    <w:rsid w:val="141D6B0B"/>
    <w:rsid w:val="142D6F89"/>
    <w:rsid w:val="144554E0"/>
    <w:rsid w:val="144C2ACB"/>
    <w:rsid w:val="145908CD"/>
    <w:rsid w:val="1461426A"/>
    <w:rsid w:val="146975C2"/>
    <w:rsid w:val="148617D9"/>
    <w:rsid w:val="149258A7"/>
    <w:rsid w:val="149321EC"/>
    <w:rsid w:val="14A979BF"/>
    <w:rsid w:val="14AA6C47"/>
    <w:rsid w:val="14AD74AF"/>
    <w:rsid w:val="14B81325"/>
    <w:rsid w:val="14BB5770"/>
    <w:rsid w:val="14CA4494"/>
    <w:rsid w:val="14DD13B5"/>
    <w:rsid w:val="14DF1102"/>
    <w:rsid w:val="14E74E80"/>
    <w:rsid w:val="14F30E2B"/>
    <w:rsid w:val="14FB05D3"/>
    <w:rsid w:val="14FB1DB1"/>
    <w:rsid w:val="1507775C"/>
    <w:rsid w:val="15082EFA"/>
    <w:rsid w:val="15107A3E"/>
    <w:rsid w:val="15214D63"/>
    <w:rsid w:val="153E6FE7"/>
    <w:rsid w:val="15535F3F"/>
    <w:rsid w:val="155C3CBE"/>
    <w:rsid w:val="15697093"/>
    <w:rsid w:val="15760076"/>
    <w:rsid w:val="157E5DA4"/>
    <w:rsid w:val="159F6FD6"/>
    <w:rsid w:val="15A5462A"/>
    <w:rsid w:val="15B01BBF"/>
    <w:rsid w:val="15EC3B3E"/>
    <w:rsid w:val="15F1786F"/>
    <w:rsid w:val="15F24B15"/>
    <w:rsid w:val="15F46C2A"/>
    <w:rsid w:val="160202FE"/>
    <w:rsid w:val="16121567"/>
    <w:rsid w:val="16175528"/>
    <w:rsid w:val="16236B8C"/>
    <w:rsid w:val="16257519"/>
    <w:rsid w:val="162D4D4B"/>
    <w:rsid w:val="16343F81"/>
    <w:rsid w:val="163634D4"/>
    <w:rsid w:val="163948ED"/>
    <w:rsid w:val="164275F4"/>
    <w:rsid w:val="164717FA"/>
    <w:rsid w:val="1654148B"/>
    <w:rsid w:val="165710DF"/>
    <w:rsid w:val="16573B76"/>
    <w:rsid w:val="165B71D5"/>
    <w:rsid w:val="166869FF"/>
    <w:rsid w:val="166D535E"/>
    <w:rsid w:val="16700A7A"/>
    <w:rsid w:val="16734728"/>
    <w:rsid w:val="167D1103"/>
    <w:rsid w:val="1683572D"/>
    <w:rsid w:val="169E0BEA"/>
    <w:rsid w:val="16A3744A"/>
    <w:rsid w:val="16AF7EFC"/>
    <w:rsid w:val="16D00899"/>
    <w:rsid w:val="16DD2BAC"/>
    <w:rsid w:val="16F70EB5"/>
    <w:rsid w:val="17197085"/>
    <w:rsid w:val="172460AC"/>
    <w:rsid w:val="172B1987"/>
    <w:rsid w:val="173054B2"/>
    <w:rsid w:val="17424EAD"/>
    <w:rsid w:val="174C1699"/>
    <w:rsid w:val="17544559"/>
    <w:rsid w:val="175E7E76"/>
    <w:rsid w:val="1763479D"/>
    <w:rsid w:val="178667F0"/>
    <w:rsid w:val="178A4C4F"/>
    <w:rsid w:val="17942AA9"/>
    <w:rsid w:val="17987255"/>
    <w:rsid w:val="179928AA"/>
    <w:rsid w:val="17A739C7"/>
    <w:rsid w:val="17C212EB"/>
    <w:rsid w:val="17C42121"/>
    <w:rsid w:val="17D66D1D"/>
    <w:rsid w:val="17D82A95"/>
    <w:rsid w:val="17D86805"/>
    <w:rsid w:val="17DD00AB"/>
    <w:rsid w:val="17FB6C91"/>
    <w:rsid w:val="18053F1E"/>
    <w:rsid w:val="18085749"/>
    <w:rsid w:val="180B6D06"/>
    <w:rsid w:val="181A3262"/>
    <w:rsid w:val="181C3FF8"/>
    <w:rsid w:val="18365CFA"/>
    <w:rsid w:val="184114A1"/>
    <w:rsid w:val="18425C49"/>
    <w:rsid w:val="18550EF6"/>
    <w:rsid w:val="186969E3"/>
    <w:rsid w:val="18883A30"/>
    <w:rsid w:val="188C7694"/>
    <w:rsid w:val="18A31822"/>
    <w:rsid w:val="18AE37F5"/>
    <w:rsid w:val="18BE3F0D"/>
    <w:rsid w:val="18C140E3"/>
    <w:rsid w:val="18CD6371"/>
    <w:rsid w:val="18DA0A8E"/>
    <w:rsid w:val="18DA68F2"/>
    <w:rsid w:val="18DC03A2"/>
    <w:rsid w:val="18E11EA5"/>
    <w:rsid w:val="18FA4C8D"/>
    <w:rsid w:val="19054750"/>
    <w:rsid w:val="19083037"/>
    <w:rsid w:val="19092828"/>
    <w:rsid w:val="19103908"/>
    <w:rsid w:val="1933462F"/>
    <w:rsid w:val="19390D64"/>
    <w:rsid w:val="19554C37"/>
    <w:rsid w:val="19566DB3"/>
    <w:rsid w:val="196279A1"/>
    <w:rsid w:val="198040A4"/>
    <w:rsid w:val="198C37FE"/>
    <w:rsid w:val="199649B5"/>
    <w:rsid w:val="19A941C1"/>
    <w:rsid w:val="19AE5ACF"/>
    <w:rsid w:val="19AF5A77"/>
    <w:rsid w:val="19B3071D"/>
    <w:rsid w:val="19B675DA"/>
    <w:rsid w:val="19C57049"/>
    <w:rsid w:val="19C637E5"/>
    <w:rsid w:val="19C721FB"/>
    <w:rsid w:val="19CE5CD8"/>
    <w:rsid w:val="19F02EFF"/>
    <w:rsid w:val="1A052165"/>
    <w:rsid w:val="1A063EF5"/>
    <w:rsid w:val="1A0F3AD5"/>
    <w:rsid w:val="1A0F6516"/>
    <w:rsid w:val="1A0F7374"/>
    <w:rsid w:val="1A142D27"/>
    <w:rsid w:val="1A1816AF"/>
    <w:rsid w:val="1A302494"/>
    <w:rsid w:val="1A330E88"/>
    <w:rsid w:val="1A407304"/>
    <w:rsid w:val="1A60672B"/>
    <w:rsid w:val="1A630F50"/>
    <w:rsid w:val="1A6732FB"/>
    <w:rsid w:val="1A7871D0"/>
    <w:rsid w:val="1A7929A3"/>
    <w:rsid w:val="1A7B4669"/>
    <w:rsid w:val="1A870B38"/>
    <w:rsid w:val="1A8C5DB8"/>
    <w:rsid w:val="1A8C6CF6"/>
    <w:rsid w:val="1A9417D9"/>
    <w:rsid w:val="1AA572B8"/>
    <w:rsid w:val="1AA70EB7"/>
    <w:rsid w:val="1AAA4949"/>
    <w:rsid w:val="1AB31D2F"/>
    <w:rsid w:val="1AC00AAF"/>
    <w:rsid w:val="1ACE55DA"/>
    <w:rsid w:val="1ACE6054"/>
    <w:rsid w:val="1ACE6D27"/>
    <w:rsid w:val="1AD734D7"/>
    <w:rsid w:val="1ADE1DAD"/>
    <w:rsid w:val="1AE0038B"/>
    <w:rsid w:val="1AE34AB0"/>
    <w:rsid w:val="1AEF625F"/>
    <w:rsid w:val="1B403FA5"/>
    <w:rsid w:val="1B450A9E"/>
    <w:rsid w:val="1B481CDF"/>
    <w:rsid w:val="1B4B17D0"/>
    <w:rsid w:val="1B524326"/>
    <w:rsid w:val="1B55168B"/>
    <w:rsid w:val="1B561283"/>
    <w:rsid w:val="1B63458F"/>
    <w:rsid w:val="1B645069"/>
    <w:rsid w:val="1B7D1BE7"/>
    <w:rsid w:val="1B7D1D15"/>
    <w:rsid w:val="1B8637EA"/>
    <w:rsid w:val="1B966EEF"/>
    <w:rsid w:val="1BDD1B28"/>
    <w:rsid w:val="1BE57F51"/>
    <w:rsid w:val="1C022610"/>
    <w:rsid w:val="1C037CCC"/>
    <w:rsid w:val="1C085913"/>
    <w:rsid w:val="1C0876C1"/>
    <w:rsid w:val="1C2F4A48"/>
    <w:rsid w:val="1C37598E"/>
    <w:rsid w:val="1C400DCC"/>
    <w:rsid w:val="1C4A3D51"/>
    <w:rsid w:val="1C550B58"/>
    <w:rsid w:val="1C6062B5"/>
    <w:rsid w:val="1C656B00"/>
    <w:rsid w:val="1C657709"/>
    <w:rsid w:val="1C6D522B"/>
    <w:rsid w:val="1C703A01"/>
    <w:rsid w:val="1C762201"/>
    <w:rsid w:val="1C87757C"/>
    <w:rsid w:val="1C911F05"/>
    <w:rsid w:val="1C9232F2"/>
    <w:rsid w:val="1C943E77"/>
    <w:rsid w:val="1C993860"/>
    <w:rsid w:val="1CA06DAD"/>
    <w:rsid w:val="1CB517E1"/>
    <w:rsid w:val="1CBF5FD1"/>
    <w:rsid w:val="1CC07FCD"/>
    <w:rsid w:val="1CCD060E"/>
    <w:rsid w:val="1CD4109A"/>
    <w:rsid w:val="1CDE3631"/>
    <w:rsid w:val="1CE814D1"/>
    <w:rsid w:val="1CFE11B3"/>
    <w:rsid w:val="1D00167E"/>
    <w:rsid w:val="1D01132A"/>
    <w:rsid w:val="1D022EEB"/>
    <w:rsid w:val="1D2C5B34"/>
    <w:rsid w:val="1D3444B7"/>
    <w:rsid w:val="1D3A1AFC"/>
    <w:rsid w:val="1D3F2887"/>
    <w:rsid w:val="1D413DD6"/>
    <w:rsid w:val="1D442082"/>
    <w:rsid w:val="1D494085"/>
    <w:rsid w:val="1D6104E9"/>
    <w:rsid w:val="1D6D5E73"/>
    <w:rsid w:val="1D6E2EA0"/>
    <w:rsid w:val="1D7C0366"/>
    <w:rsid w:val="1D8C44DA"/>
    <w:rsid w:val="1D90430C"/>
    <w:rsid w:val="1DA228F6"/>
    <w:rsid w:val="1DA26C67"/>
    <w:rsid w:val="1DB571C9"/>
    <w:rsid w:val="1DB624A5"/>
    <w:rsid w:val="1DBF6F58"/>
    <w:rsid w:val="1DFB74DD"/>
    <w:rsid w:val="1DFC5003"/>
    <w:rsid w:val="1E2527AC"/>
    <w:rsid w:val="1E2A3F9F"/>
    <w:rsid w:val="1E5E781A"/>
    <w:rsid w:val="1E65546D"/>
    <w:rsid w:val="1E731769"/>
    <w:rsid w:val="1E7B6900"/>
    <w:rsid w:val="1E933E22"/>
    <w:rsid w:val="1EB44C7D"/>
    <w:rsid w:val="1EB60A31"/>
    <w:rsid w:val="1EC6457D"/>
    <w:rsid w:val="1EC7170B"/>
    <w:rsid w:val="1EC7534C"/>
    <w:rsid w:val="1ECD7160"/>
    <w:rsid w:val="1ED11BB0"/>
    <w:rsid w:val="1ED34F83"/>
    <w:rsid w:val="1ED641E3"/>
    <w:rsid w:val="1EED4935"/>
    <w:rsid w:val="1EF15FC6"/>
    <w:rsid w:val="1F196F16"/>
    <w:rsid w:val="1F1F544D"/>
    <w:rsid w:val="1F294330"/>
    <w:rsid w:val="1F2A3EE6"/>
    <w:rsid w:val="1F5164BE"/>
    <w:rsid w:val="1F530AFF"/>
    <w:rsid w:val="1F550636"/>
    <w:rsid w:val="1F5642FC"/>
    <w:rsid w:val="1F6725BD"/>
    <w:rsid w:val="1F6A7ED0"/>
    <w:rsid w:val="1F6F0182"/>
    <w:rsid w:val="1F751014"/>
    <w:rsid w:val="1F7A16FF"/>
    <w:rsid w:val="1F841E94"/>
    <w:rsid w:val="1F86410F"/>
    <w:rsid w:val="1F88077C"/>
    <w:rsid w:val="1F987D78"/>
    <w:rsid w:val="1F9A5C92"/>
    <w:rsid w:val="1FAD0B55"/>
    <w:rsid w:val="1FB57B5F"/>
    <w:rsid w:val="1FBA786C"/>
    <w:rsid w:val="1FC55FF4"/>
    <w:rsid w:val="1FDF7221"/>
    <w:rsid w:val="1FE07DD2"/>
    <w:rsid w:val="1FF72B1D"/>
    <w:rsid w:val="2000702C"/>
    <w:rsid w:val="201952D2"/>
    <w:rsid w:val="2020109E"/>
    <w:rsid w:val="20220096"/>
    <w:rsid w:val="202816B6"/>
    <w:rsid w:val="20352DB6"/>
    <w:rsid w:val="204E725A"/>
    <w:rsid w:val="205050F3"/>
    <w:rsid w:val="206003D6"/>
    <w:rsid w:val="20665891"/>
    <w:rsid w:val="20823312"/>
    <w:rsid w:val="208241B4"/>
    <w:rsid w:val="208F5999"/>
    <w:rsid w:val="20AA6F98"/>
    <w:rsid w:val="20AF45AF"/>
    <w:rsid w:val="20B05494"/>
    <w:rsid w:val="20BD4F1E"/>
    <w:rsid w:val="20D109C9"/>
    <w:rsid w:val="20EE5770"/>
    <w:rsid w:val="20FD17BE"/>
    <w:rsid w:val="2107261C"/>
    <w:rsid w:val="210B52D2"/>
    <w:rsid w:val="21147FEE"/>
    <w:rsid w:val="2132760F"/>
    <w:rsid w:val="213F7E47"/>
    <w:rsid w:val="21592FEC"/>
    <w:rsid w:val="215B2DFE"/>
    <w:rsid w:val="215C5CD9"/>
    <w:rsid w:val="215F2E6D"/>
    <w:rsid w:val="21787096"/>
    <w:rsid w:val="218B2E3C"/>
    <w:rsid w:val="21955962"/>
    <w:rsid w:val="219E13DD"/>
    <w:rsid w:val="21A35BF0"/>
    <w:rsid w:val="21B5456C"/>
    <w:rsid w:val="21C0289A"/>
    <w:rsid w:val="21C27EA7"/>
    <w:rsid w:val="21C314C7"/>
    <w:rsid w:val="21CB366A"/>
    <w:rsid w:val="21E53DD4"/>
    <w:rsid w:val="21F91F85"/>
    <w:rsid w:val="21FE67C3"/>
    <w:rsid w:val="21FF567A"/>
    <w:rsid w:val="220019CB"/>
    <w:rsid w:val="22080E1D"/>
    <w:rsid w:val="220A4192"/>
    <w:rsid w:val="222E4A4B"/>
    <w:rsid w:val="224564ED"/>
    <w:rsid w:val="225B1C1A"/>
    <w:rsid w:val="22655D1C"/>
    <w:rsid w:val="227A5579"/>
    <w:rsid w:val="227B3EC3"/>
    <w:rsid w:val="22AC6E9D"/>
    <w:rsid w:val="22AF6B28"/>
    <w:rsid w:val="22BF1959"/>
    <w:rsid w:val="22D16A5E"/>
    <w:rsid w:val="22FE3A70"/>
    <w:rsid w:val="23007343"/>
    <w:rsid w:val="230A1D1E"/>
    <w:rsid w:val="230F3D0A"/>
    <w:rsid w:val="232E3EB1"/>
    <w:rsid w:val="23341448"/>
    <w:rsid w:val="23385650"/>
    <w:rsid w:val="23425BAE"/>
    <w:rsid w:val="23517B9F"/>
    <w:rsid w:val="23531B69"/>
    <w:rsid w:val="235C6C70"/>
    <w:rsid w:val="237F04EF"/>
    <w:rsid w:val="23841437"/>
    <w:rsid w:val="238A3CA3"/>
    <w:rsid w:val="23971C0F"/>
    <w:rsid w:val="23AA4BFB"/>
    <w:rsid w:val="23AF4708"/>
    <w:rsid w:val="23C16A9A"/>
    <w:rsid w:val="23C465C3"/>
    <w:rsid w:val="23E66003"/>
    <w:rsid w:val="23F80076"/>
    <w:rsid w:val="23FC534D"/>
    <w:rsid w:val="23FE2FB7"/>
    <w:rsid w:val="23FE3AF7"/>
    <w:rsid w:val="24150BCD"/>
    <w:rsid w:val="241B7142"/>
    <w:rsid w:val="24452007"/>
    <w:rsid w:val="244802C7"/>
    <w:rsid w:val="244C0B39"/>
    <w:rsid w:val="245A32E7"/>
    <w:rsid w:val="246102B6"/>
    <w:rsid w:val="24635935"/>
    <w:rsid w:val="24660E6A"/>
    <w:rsid w:val="24665559"/>
    <w:rsid w:val="24691825"/>
    <w:rsid w:val="248E0BEE"/>
    <w:rsid w:val="249222CA"/>
    <w:rsid w:val="249B49DE"/>
    <w:rsid w:val="24B03DFD"/>
    <w:rsid w:val="24B056E4"/>
    <w:rsid w:val="24BE3012"/>
    <w:rsid w:val="24CC572F"/>
    <w:rsid w:val="24CF65FC"/>
    <w:rsid w:val="24D258A5"/>
    <w:rsid w:val="24DA6A74"/>
    <w:rsid w:val="24DB4BCD"/>
    <w:rsid w:val="24F602A0"/>
    <w:rsid w:val="24FD7FDE"/>
    <w:rsid w:val="250025A0"/>
    <w:rsid w:val="252966D9"/>
    <w:rsid w:val="25296C9F"/>
    <w:rsid w:val="25401D76"/>
    <w:rsid w:val="2544236B"/>
    <w:rsid w:val="25453733"/>
    <w:rsid w:val="255249D2"/>
    <w:rsid w:val="256C3562"/>
    <w:rsid w:val="257F6C45"/>
    <w:rsid w:val="25882662"/>
    <w:rsid w:val="258C736F"/>
    <w:rsid w:val="25977271"/>
    <w:rsid w:val="259B2D68"/>
    <w:rsid w:val="259E7D45"/>
    <w:rsid w:val="25A6077B"/>
    <w:rsid w:val="25A941CC"/>
    <w:rsid w:val="25A97E1E"/>
    <w:rsid w:val="25B40CD0"/>
    <w:rsid w:val="25BC160E"/>
    <w:rsid w:val="25BF4424"/>
    <w:rsid w:val="25C17AFA"/>
    <w:rsid w:val="25C251DB"/>
    <w:rsid w:val="25E00E0C"/>
    <w:rsid w:val="25EF379B"/>
    <w:rsid w:val="25FC2044"/>
    <w:rsid w:val="260C11C1"/>
    <w:rsid w:val="261049C1"/>
    <w:rsid w:val="261E645E"/>
    <w:rsid w:val="26215F4F"/>
    <w:rsid w:val="26383109"/>
    <w:rsid w:val="264043A1"/>
    <w:rsid w:val="2641214D"/>
    <w:rsid w:val="264E7E9A"/>
    <w:rsid w:val="26597FFC"/>
    <w:rsid w:val="26697AAB"/>
    <w:rsid w:val="266D2F42"/>
    <w:rsid w:val="2673065B"/>
    <w:rsid w:val="26746071"/>
    <w:rsid w:val="267839D3"/>
    <w:rsid w:val="26802C75"/>
    <w:rsid w:val="268423E1"/>
    <w:rsid w:val="26890627"/>
    <w:rsid w:val="26937CAB"/>
    <w:rsid w:val="26A43060"/>
    <w:rsid w:val="26BB1EFF"/>
    <w:rsid w:val="26BB2001"/>
    <w:rsid w:val="26C467F8"/>
    <w:rsid w:val="26DD103B"/>
    <w:rsid w:val="26E35358"/>
    <w:rsid w:val="26ED5E31"/>
    <w:rsid w:val="270E00FE"/>
    <w:rsid w:val="270E298C"/>
    <w:rsid w:val="270E29F5"/>
    <w:rsid w:val="271512D2"/>
    <w:rsid w:val="272A0E33"/>
    <w:rsid w:val="272A2D2F"/>
    <w:rsid w:val="274020AE"/>
    <w:rsid w:val="27446B6F"/>
    <w:rsid w:val="274F752C"/>
    <w:rsid w:val="27520933"/>
    <w:rsid w:val="27584657"/>
    <w:rsid w:val="275E5A93"/>
    <w:rsid w:val="27736226"/>
    <w:rsid w:val="27755DA7"/>
    <w:rsid w:val="277C7F9A"/>
    <w:rsid w:val="279D2924"/>
    <w:rsid w:val="27A52E1A"/>
    <w:rsid w:val="27AC7A9A"/>
    <w:rsid w:val="27BF60E1"/>
    <w:rsid w:val="27C53958"/>
    <w:rsid w:val="27D36D37"/>
    <w:rsid w:val="27DA4B73"/>
    <w:rsid w:val="27E61F25"/>
    <w:rsid w:val="27EC31BB"/>
    <w:rsid w:val="27ED2CBD"/>
    <w:rsid w:val="27F63DA6"/>
    <w:rsid w:val="27FA5CB6"/>
    <w:rsid w:val="27FF406E"/>
    <w:rsid w:val="280D34EA"/>
    <w:rsid w:val="281466B1"/>
    <w:rsid w:val="281713B7"/>
    <w:rsid w:val="281824A7"/>
    <w:rsid w:val="282C4737"/>
    <w:rsid w:val="28312BBF"/>
    <w:rsid w:val="283B7736"/>
    <w:rsid w:val="284C64E6"/>
    <w:rsid w:val="2852403A"/>
    <w:rsid w:val="285F673E"/>
    <w:rsid w:val="28644CCA"/>
    <w:rsid w:val="28687E65"/>
    <w:rsid w:val="28732D83"/>
    <w:rsid w:val="288051AE"/>
    <w:rsid w:val="288F6949"/>
    <w:rsid w:val="28911AF2"/>
    <w:rsid w:val="289151CA"/>
    <w:rsid w:val="28A10C81"/>
    <w:rsid w:val="28A2680F"/>
    <w:rsid w:val="28AB1AFF"/>
    <w:rsid w:val="28B63487"/>
    <w:rsid w:val="28DF17A9"/>
    <w:rsid w:val="28E92551"/>
    <w:rsid w:val="28EB31BC"/>
    <w:rsid w:val="28EB583C"/>
    <w:rsid w:val="28EC2844"/>
    <w:rsid w:val="28F402DA"/>
    <w:rsid w:val="28FC78BE"/>
    <w:rsid w:val="29000A40"/>
    <w:rsid w:val="290F29AF"/>
    <w:rsid w:val="292D0766"/>
    <w:rsid w:val="293634F4"/>
    <w:rsid w:val="29600B3C"/>
    <w:rsid w:val="29606D8E"/>
    <w:rsid w:val="29671ECA"/>
    <w:rsid w:val="29770361"/>
    <w:rsid w:val="2985201E"/>
    <w:rsid w:val="29A273A6"/>
    <w:rsid w:val="29C55899"/>
    <w:rsid w:val="29D3130E"/>
    <w:rsid w:val="29F2147C"/>
    <w:rsid w:val="2A0C4A40"/>
    <w:rsid w:val="2A0D3DED"/>
    <w:rsid w:val="2A104310"/>
    <w:rsid w:val="2A133E00"/>
    <w:rsid w:val="2A134AF4"/>
    <w:rsid w:val="2A255C2B"/>
    <w:rsid w:val="2A2B7BC9"/>
    <w:rsid w:val="2A3A5DF9"/>
    <w:rsid w:val="2A4926C2"/>
    <w:rsid w:val="2A4B107A"/>
    <w:rsid w:val="2A4D2BFD"/>
    <w:rsid w:val="2A530EDF"/>
    <w:rsid w:val="2A574428"/>
    <w:rsid w:val="2A5F6992"/>
    <w:rsid w:val="2A7949E3"/>
    <w:rsid w:val="2A80647C"/>
    <w:rsid w:val="2A8E62B6"/>
    <w:rsid w:val="2A9572CC"/>
    <w:rsid w:val="2A9E13F0"/>
    <w:rsid w:val="2AA9206F"/>
    <w:rsid w:val="2AB209DF"/>
    <w:rsid w:val="2AD81233"/>
    <w:rsid w:val="2AE63EFE"/>
    <w:rsid w:val="2AFE060C"/>
    <w:rsid w:val="2B053749"/>
    <w:rsid w:val="2B195446"/>
    <w:rsid w:val="2B261D99"/>
    <w:rsid w:val="2B2E227F"/>
    <w:rsid w:val="2B2F07C6"/>
    <w:rsid w:val="2B3404E2"/>
    <w:rsid w:val="2B363CF4"/>
    <w:rsid w:val="2B3A7305"/>
    <w:rsid w:val="2B425FD0"/>
    <w:rsid w:val="2B4268A6"/>
    <w:rsid w:val="2B536BAA"/>
    <w:rsid w:val="2B8C79C6"/>
    <w:rsid w:val="2B9B40AD"/>
    <w:rsid w:val="2B9B4F58"/>
    <w:rsid w:val="2BA3696C"/>
    <w:rsid w:val="2BAA0794"/>
    <w:rsid w:val="2BB67A51"/>
    <w:rsid w:val="2BB769EE"/>
    <w:rsid w:val="2BB8130D"/>
    <w:rsid w:val="2BC058C2"/>
    <w:rsid w:val="2BC1223D"/>
    <w:rsid w:val="2BC40014"/>
    <w:rsid w:val="2BC51B34"/>
    <w:rsid w:val="2BDE3F9A"/>
    <w:rsid w:val="2BE07D12"/>
    <w:rsid w:val="2BF95140"/>
    <w:rsid w:val="2C063C1D"/>
    <w:rsid w:val="2C0B194E"/>
    <w:rsid w:val="2C1A4F62"/>
    <w:rsid w:val="2C1D0F66"/>
    <w:rsid w:val="2C3447BE"/>
    <w:rsid w:val="2C3B1B1B"/>
    <w:rsid w:val="2C3C07B5"/>
    <w:rsid w:val="2C3C1CCE"/>
    <w:rsid w:val="2C3D3C75"/>
    <w:rsid w:val="2C4B420E"/>
    <w:rsid w:val="2C56006A"/>
    <w:rsid w:val="2C5F50DB"/>
    <w:rsid w:val="2C660165"/>
    <w:rsid w:val="2C6619D7"/>
    <w:rsid w:val="2C6A0BA3"/>
    <w:rsid w:val="2C6E17C2"/>
    <w:rsid w:val="2C842D93"/>
    <w:rsid w:val="2C8A76F4"/>
    <w:rsid w:val="2C931BC6"/>
    <w:rsid w:val="2CA45E14"/>
    <w:rsid w:val="2CB43679"/>
    <w:rsid w:val="2CB62CA6"/>
    <w:rsid w:val="2CD40261"/>
    <w:rsid w:val="2CEE34EF"/>
    <w:rsid w:val="2CF605F7"/>
    <w:rsid w:val="2D016FE9"/>
    <w:rsid w:val="2D14362B"/>
    <w:rsid w:val="2D2E304F"/>
    <w:rsid w:val="2D3C07FE"/>
    <w:rsid w:val="2D5756FC"/>
    <w:rsid w:val="2D5D5591"/>
    <w:rsid w:val="2D74743A"/>
    <w:rsid w:val="2D7C11D4"/>
    <w:rsid w:val="2D7F4766"/>
    <w:rsid w:val="2D8D3A62"/>
    <w:rsid w:val="2DAF3E40"/>
    <w:rsid w:val="2DBE7F60"/>
    <w:rsid w:val="2DC21DC5"/>
    <w:rsid w:val="2DDF3360"/>
    <w:rsid w:val="2DE81100"/>
    <w:rsid w:val="2DF6381D"/>
    <w:rsid w:val="2DF6788C"/>
    <w:rsid w:val="2DFB0019"/>
    <w:rsid w:val="2E0D1588"/>
    <w:rsid w:val="2E3944B7"/>
    <w:rsid w:val="2E4749F8"/>
    <w:rsid w:val="2E4C1B78"/>
    <w:rsid w:val="2E73313B"/>
    <w:rsid w:val="2E81720F"/>
    <w:rsid w:val="2E840E29"/>
    <w:rsid w:val="2E866E5E"/>
    <w:rsid w:val="2E9077CD"/>
    <w:rsid w:val="2EA916B2"/>
    <w:rsid w:val="2EB46A04"/>
    <w:rsid w:val="2EB84F76"/>
    <w:rsid w:val="2EC62DA5"/>
    <w:rsid w:val="2ECB7077"/>
    <w:rsid w:val="2EED318E"/>
    <w:rsid w:val="2EFE3F3B"/>
    <w:rsid w:val="2F0C331C"/>
    <w:rsid w:val="2F0F1794"/>
    <w:rsid w:val="2F176141"/>
    <w:rsid w:val="2F1A0856"/>
    <w:rsid w:val="2F2443BA"/>
    <w:rsid w:val="2F2B5B05"/>
    <w:rsid w:val="2F475C7E"/>
    <w:rsid w:val="2F486024"/>
    <w:rsid w:val="2F522CD5"/>
    <w:rsid w:val="2F523B34"/>
    <w:rsid w:val="2F5E78CC"/>
    <w:rsid w:val="2F681310"/>
    <w:rsid w:val="2F6C283B"/>
    <w:rsid w:val="2F743B89"/>
    <w:rsid w:val="2F7E2877"/>
    <w:rsid w:val="2F8567D8"/>
    <w:rsid w:val="2F8B5040"/>
    <w:rsid w:val="2F9107C4"/>
    <w:rsid w:val="2F961B57"/>
    <w:rsid w:val="2FDC6A42"/>
    <w:rsid w:val="2FE65B09"/>
    <w:rsid w:val="2FFF53A8"/>
    <w:rsid w:val="30047098"/>
    <w:rsid w:val="30077F63"/>
    <w:rsid w:val="30115CE5"/>
    <w:rsid w:val="30135C1F"/>
    <w:rsid w:val="30191760"/>
    <w:rsid w:val="3028092A"/>
    <w:rsid w:val="302F54E7"/>
    <w:rsid w:val="304863A9"/>
    <w:rsid w:val="306C4DF1"/>
    <w:rsid w:val="30726790"/>
    <w:rsid w:val="30801AC4"/>
    <w:rsid w:val="30823D65"/>
    <w:rsid w:val="30831C53"/>
    <w:rsid w:val="308E438B"/>
    <w:rsid w:val="30A43A04"/>
    <w:rsid w:val="30C87FB8"/>
    <w:rsid w:val="30CB1DAF"/>
    <w:rsid w:val="30E90E2B"/>
    <w:rsid w:val="30ED02EA"/>
    <w:rsid w:val="30FF267A"/>
    <w:rsid w:val="30FF594C"/>
    <w:rsid w:val="310A2A14"/>
    <w:rsid w:val="310F59F0"/>
    <w:rsid w:val="311D200F"/>
    <w:rsid w:val="31395BA8"/>
    <w:rsid w:val="3141666D"/>
    <w:rsid w:val="31422C6A"/>
    <w:rsid w:val="3143321D"/>
    <w:rsid w:val="31480833"/>
    <w:rsid w:val="314B14BF"/>
    <w:rsid w:val="3158219E"/>
    <w:rsid w:val="315C5564"/>
    <w:rsid w:val="316D537E"/>
    <w:rsid w:val="31716348"/>
    <w:rsid w:val="317355F2"/>
    <w:rsid w:val="3185517F"/>
    <w:rsid w:val="3185793C"/>
    <w:rsid w:val="31927602"/>
    <w:rsid w:val="319475D5"/>
    <w:rsid w:val="31975317"/>
    <w:rsid w:val="31A041CB"/>
    <w:rsid w:val="31A87524"/>
    <w:rsid w:val="31B06C89"/>
    <w:rsid w:val="31B22151"/>
    <w:rsid w:val="31B91778"/>
    <w:rsid w:val="31C2569E"/>
    <w:rsid w:val="31C96BD0"/>
    <w:rsid w:val="31D04385"/>
    <w:rsid w:val="31D9377A"/>
    <w:rsid w:val="31E15891"/>
    <w:rsid w:val="31F043F4"/>
    <w:rsid w:val="3203475A"/>
    <w:rsid w:val="32170EE1"/>
    <w:rsid w:val="32463124"/>
    <w:rsid w:val="325066A8"/>
    <w:rsid w:val="32563FE3"/>
    <w:rsid w:val="325C6E21"/>
    <w:rsid w:val="325D3410"/>
    <w:rsid w:val="325F0A17"/>
    <w:rsid w:val="3260226B"/>
    <w:rsid w:val="327652E9"/>
    <w:rsid w:val="327A5FF1"/>
    <w:rsid w:val="32810B80"/>
    <w:rsid w:val="32A55CC0"/>
    <w:rsid w:val="32A937D2"/>
    <w:rsid w:val="32C95971"/>
    <w:rsid w:val="32CF5928"/>
    <w:rsid w:val="32D97115"/>
    <w:rsid w:val="32E41009"/>
    <w:rsid w:val="32E9078F"/>
    <w:rsid w:val="32ED34FF"/>
    <w:rsid w:val="330856D0"/>
    <w:rsid w:val="332B3F69"/>
    <w:rsid w:val="33316646"/>
    <w:rsid w:val="333A06E2"/>
    <w:rsid w:val="33462B8C"/>
    <w:rsid w:val="33491C13"/>
    <w:rsid w:val="335E45B2"/>
    <w:rsid w:val="33680D19"/>
    <w:rsid w:val="33691E57"/>
    <w:rsid w:val="336E025D"/>
    <w:rsid w:val="336F654B"/>
    <w:rsid w:val="33735D99"/>
    <w:rsid w:val="33736E76"/>
    <w:rsid w:val="337570A4"/>
    <w:rsid w:val="33833CFC"/>
    <w:rsid w:val="33A269EC"/>
    <w:rsid w:val="33A856B1"/>
    <w:rsid w:val="33A930DF"/>
    <w:rsid w:val="33AB2922"/>
    <w:rsid w:val="33AE6B10"/>
    <w:rsid w:val="33B73314"/>
    <w:rsid w:val="33C50B9E"/>
    <w:rsid w:val="33D30EC6"/>
    <w:rsid w:val="33D867E1"/>
    <w:rsid w:val="33D976B3"/>
    <w:rsid w:val="33DB2EFB"/>
    <w:rsid w:val="33DC6CF8"/>
    <w:rsid w:val="33EE36D1"/>
    <w:rsid w:val="33F54490"/>
    <w:rsid w:val="33F85833"/>
    <w:rsid w:val="33F94458"/>
    <w:rsid w:val="340B1EAD"/>
    <w:rsid w:val="34111989"/>
    <w:rsid w:val="341266A4"/>
    <w:rsid w:val="3429350C"/>
    <w:rsid w:val="342D5ABF"/>
    <w:rsid w:val="343C76C2"/>
    <w:rsid w:val="343D0166"/>
    <w:rsid w:val="343D6C24"/>
    <w:rsid w:val="345873A9"/>
    <w:rsid w:val="347C5D20"/>
    <w:rsid w:val="348C4EDB"/>
    <w:rsid w:val="34997F68"/>
    <w:rsid w:val="349D6F1D"/>
    <w:rsid w:val="349E076A"/>
    <w:rsid w:val="34AF7CC9"/>
    <w:rsid w:val="34B14942"/>
    <w:rsid w:val="34C87463"/>
    <w:rsid w:val="34DB376C"/>
    <w:rsid w:val="34E526B4"/>
    <w:rsid w:val="34F03DC0"/>
    <w:rsid w:val="34FE7262"/>
    <w:rsid w:val="35132F06"/>
    <w:rsid w:val="352407FC"/>
    <w:rsid w:val="352612DF"/>
    <w:rsid w:val="35284201"/>
    <w:rsid w:val="35322B1F"/>
    <w:rsid w:val="3535498A"/>
    <w:rsid w:val="35471E10"/>
    <w:rsid w:val="354F3660"/>
    <w:rsid w:val="355004C3"/>
    <w:rsid w:val="35531BEF"/>
    <w:rsid w:val="3556146D"/>
    <w:rsid w:val="355724F0"/>
    <w:rsid w:val="35584DBD"/>
    <w:rsid w:val="356B5D07"/>
    <w:rsid w:val="357240D1"/>
    <w:rsid w:val="357A4D33"/>
    <w:rsid w:val="35810326"/>
    <w:rsid w:val="358C5E8C"/>
    <w:rsid w:val="358D7C9B"/>
    <w:rsid w:val="358E2186"/>
    <w:rsid w:val="35A45811"/>
    <w:rsid w:val="35AA4C6A"/>
    <w:rsid w:val="35B31F66"/>
    <w:rsid w:val="35B90B5D"/>
    <w:rsid w:val="35C81F43"/>
    <w:rsid w:val="35CC1726"/>
    <w:rsid w:val="35DE239E"/>
    <w:rsid w:val="35E06512"/>
    <w:rsid w:val="35E33F92"/>
    <w:rsid w:val="36010FB1"/>
    <w:rsid w:val="360212D1"/>
    <w:rsid w:val="360C7B72"/>
    <w:rsid w:val="360E2480"/>
    <w:rsid w:val="361327DB"/>
    <w:rsid w:val="361E1B63"/>
    <w:rsid w:val="361F1CFE"/>
    <w:rsid w:val="362F026F"/>
    <w:rsid w:val="36371201"/>
    <w:rsid w:val="363720E3"/>
    <w:rsid w:val="3639711B"/>
    <w:rsid w:val="363E765D"/>
    <w:rsid w:val="364611F8"/>
    <w:rsid w:val="36581710"/>
    <w:rsid w:val="36592830"/>
    <w:rsid w:val="36632356"/>
    <w:rsid w:val="367409D2"/>
    <w:rsid w:val="36794FEB"/>
    <w:rsid w:val="367B56C5"/>
    <w:rsid w:val="367C5173"/>
    <w:rsid w:val="36915D46"/>
    <w:rsid w:val="36B81FB7"/>
    <w:rsid w:val="36CA31B0"/>
    <w:rsid w:val="36D20797"/>
    <w:rsid w:val="36E65B3A"/>
    <w:rsid w:val="36FF3742"/>
    <w:rsid w:val="370346A6"/>
    <w:rsid w:val="37113475"/>
    <w:rsid w:val="37240250"/>
    <w:rsid w:val="37252E94"/>
    <w:rsid w:val="37296474"/>
    <w:rsid w:val="373227C5"/>
    <w:rsid w:val="37405833"/>
    <w:rsid w:val="374101FF"/>
    <w:rsid w:val="375869AC"/>
    <w:rsid w:val="375B253A"/>
    <w:rsid w:val="37666B6B"/>
    <w:rsid w:val="37675674"/>
    <w:rsid w:val="376B1978"/>
    <w:rsid w:val="37940CA8"/>
    <w:rsid w:val="37C0746E"/>
    <w:rsid w:val="37D848CF"/>
    <w:rsid w:val="37DA41AF"/>
    <w:rsid w:val="37DB157C"/>
    <w:rsid w:val="37DB3C7D"/>
    <w:rsid w:val="37EE7D30"/>
    <w:rsid w:val="37F62976"/>
    <w:rsid w:val="37F77F19"/>
    <w:rsid w:val="38034F62"/>
    <w:rsid w:val="38042FDA"/>
    <w:rsid w:val="381C3F20"/>
    <w:rsid w:val="381F0AD4"/>
    <w:rsid w:val="3822692C"/>
    <w:rsid w:val="38343F2A"/>
    <w:rsid w:val="38490F9C"/>
    <w:rsid w:val="384C1631"/>
    <w:rsid w:val="38542754"/>
    <w:rsid w:val="386C03A0"/>
    <w:rsid w:val="386D6DD1"/>
    <w:rsid w:val="387A1B39"/>
    <w:rsid w:val="38850AD8"/>
    <w:rsid w:val="38B10FD7"/>
    <w:rsid w:val="38B2326B"/>
    <w:rsid w:val="38BD498D"/>
    <w:rsid w:val="38D17360"/>
    <w:rsid w:val="38D81B11"/>
    <w:rsid w:val="38ED2653"/>
    <w:rsid w:val="38FC71A8"/>
    <w:rsid w:val="38FD1F03"/>
    <w:rsid w:val="39020983"/>
    <w:rsid w:val="39037F6C"/>
    <w:rsid w:val="39214610"/>
    <w:rsid w:val="39317DFF"/>
    <w:rsid w:val="39335925"/>
    <w:rsid w:val="39464964"/>
    <w:rsid w:val="395224D9"/>
    <w:rsid w:val="39535FC7"/>
    <w:rsid w:val="395601FC"/>
    <w:rsid w:val="397B4E62"/>
    <w:rsid w:val="39972B1A"/>
    <w:rsid w:val="399A1410"/>
    <w:rsid w:val="39C47D94"/>
    <w:rsid w:val="39CD1539"/>
    <w:rsid w:val="39CD5D32"/>
    <w:rsid w:val="39DA1DFA"/>
    <w:rsid w:val="39DC71EB"/>
    <w:rsid w:val="39DD5D2E"/>
    <w:rsid w:val="39E01A69"/>
    <w:rsid w:val="39FD79FE"/>
    <w:rsid w:val="3A045F91"/>
    <w:rsid w:val="3A076679"/>
    <w:rsid w:val="3A0A0953"/>
    <w:rsid w:val="3A211C22"/>
    <w:rsid w:val="3A2C4127"/>
    <w:rsid w:val="3A3C7179"/>
    <w:rsid w:val="3A4F0AA8"/>
    <w:rsid w:val="3A543DA5"/>
    <w:rsid w:val="3A5576B6"/>
    <w:rsid w:val="3A682780"/>
    <w:rsid w:val="3A687850"/>
    <w:rsid w:val="3A697EB7"/>
    <w:rsid w:val="3A701E17"/>
    <w:rsid w:val="3A764E67"/>
    <w:rsid w:val="3A7F0311"/>
    <w:rsid w:val="3A845141"/>
    <w:rsid w:val="3A8538B6"/>
    <w:rsid w:val="3A884EF1"/>
    <w:rsid w:val="3A8C5141"/>
    <w:rsid w:val="3AA52853"/>
    <w:rsid w:val="3AA648FE"/>
    <w:rsid w:val="3AAA7D3D"/>
    <w:rsid w:val="3AD117FB"/>
    <w:rsid w:val="3AD4138A"/>
    <w:rsid w:val="3AD72904"/>
    <w:rsid w:val="3AD75A09"/>
    <w:rsid w:val="3ADC5AFD"/>
    <w:rsid w:val="3AE17BBC"/>
    <w:rsid w:val="3B007A89"/>
    <w:rsid w:val="3B0E664A"/>
    <w:rsid w:val="3B0F5ABD"/>
    <w:rsid w:val="3B2F4F75"/>
    <w:rsid w:val="3B31477D"/>
    <w:rsid w:val="3B315914"/>
    <w:rsid w:val="3B422101"/>
    <w:rsid w:val="3B467602"/>
    <w:rsid w:val="3B4715CB"/>
    <w:rsid w:val="3B5008D7"/>
    <w:rsid w:val="3B7346FF"/>
    <w:rsid w:val="3B7D5180"/>
    <w:rsid w:val="3B7F15E2"/>
    <w:rsid w:val="3B8536A6"/>
    <w:rsid w:val="3B9F0C51"/>
    <w:rsid w:val="3BA00572"/>
    <w:rsid w:val="3BB1021B"/>
    <w:rsid w:val="3BE15B0C"/>
    <w:rsid w:val="3BF72A83"/>
    <w:rsid w:val="3BF84C04"/>
    <w:rsid w:val="3C135790"/>
    <w:rsid w:val="3C1752F7"/>
    <w:rsid w:val="3C193171"/>
    <w:rsid w:val="3C1E3214"/>
    <w:rsid w:val="3C2528C6"/>
    <w:rsid w:val="3C371BD0"/>
    <w:rsid w:val="3C4F1FEA"/>
    <w:rsid w:val="3C5A58BF"/>
    <w:rsid w:val="3C5B6745"/>
    <w:rsid w:val="3C5E3DBD"/>
    <w:rsid w:val="3C683B38"/>
    <w:rsid w:val="3C686571"/>
    <w:rsid w:val="3C6F5E3B"/>
    <w:rsid w:val="3C83525B"/>
    <w:rsid w:val="3C87375A"/>
    <w:rsid w:val="3C88531F"/>
    <w:rsid w:val="3C8D7A42"/>
    <w:rsid w:val="3C8E189D"/>
    <w:rsid w:val="3CA22EFE"/>
    <w:rsid w:val="3CB8043D"/>
    <w:rsid w:val="3CB94BCA"/>
    <w:rsid w:val="3CC35212"/>
    <w:rsid w:val="3CC50225"/>
    <w:rsid w:val="3CD967E3"/>
    <w:rsid w:val="3CDB07AE"/>
    <w:rsid w:val="3CDE231E"/>
    <w:rsid w:val="3D245A63"/>
    <w:rsid w:val="3D254E4B"/>
    <w:rsid w:val="3D36346C"/>
    <w:rsid w:val="3D4269DA"/>
    <w:rsid w:val="3D430EA3"/>
    <w:rsid w:val="3D47560D"/>
    <w:rsid w:val="3D523BCD"/>
    <w:rsid w:val="3D645169"/>
    <w:rsid w:val="3D673DEF"/>
    <w:rsid w:val="3D6933DE"/>
    <w:rsid w:val="3D7C3859"/>
    <w:rsid w:val="3D80607F"/>
    <w:rsid w:val="3D8F2120"/>
    <w:rsid w:val="3D8F30A0"/>
    <w:rsid w:val="3D8F77AD"/>
    <w:rsid w:val="3D990E61"/>
    <w:rsid w:val="3DA327E5"/>
    <w:rsid w:val="3DB01C7C"/>
    <w:rsid w:val="3DB334D8"/>
    <w:rsid w:val="3DB8307D"/>
    <w:rsid w:val="3DBA1ADA"/>
    <w:rsid w:val="3DC355A6"/>
    <w:rsid w:val="3DC42D6E"/>
    <w:rsid w:val="3DD009EA"/>
    <w:rsid w:val="3DD05142"/>
    <w:rsid w:val="3DD122A2"/>
    <w:rsid w:val="3DD64752"/>
    <w:rsid w:val="3DD80DF7"/>
    <w:rsid w:val="3DE17E96"/>
    <w:rsid w:val="3DE26317"/>
    <w:rsid w:val="3DEB1B40"/>
    <w:rsid w:val="3DFC4E7F"/>
    <w:rsid w:val="3E097D00"/>
    <w:rsid w:val="3E0D0E3B"/>
    <w:rsid w:val="3E2D1C0D"/>
    <w:rsid w:val="3E352B5B"/>
    <w:rsid w:val="3E3A2755"/>
    <w:rsid w:val="3E463101"/>
    <w:rsid w:val="3E5315CE"/>
    <w:rsid w:val="3E5717D0"/>
    <w:rsid w:val="3E5E04B0"/>
    <w:rsid w:val="3E5F4189"/>
    <w:rsid w:val="3E6C1A3F"/>
    <w:rsid w:val="3E734A16"/>
    <w:rsid w:val="3E752133"/>
    <w:rsid w:val="3E7A5DA4"/>
    <w:rsid w:val="3E953235"/>
    <w:rsid w:val="3EAA3B18"/>
    <w:rsid w:val="3EAA555F"/>
    <w:rsid w:val="3EBD0BAE"/>
    <w:rsid w:val="3EC3774B"/>
    <w:rsid w:val="3ECC3927"/>
    <w:rsid w:val="3ECD2095"/>
    <w:rsid w:val="3EE4497A"/>
    <w:rsid w:val="3EEF22EE"/>
    <w:rsid w:val="3EF02AD3"/>
    <w:rsid w:val="3F024C1A"/>
    <w:rsid w:val="3F0D0FA0"/>
    <w:rsid w:val="3F21052E"/>
    <w:rsid w:val="3F330C34"/>
    <w:rsid w:val="3F3917F4"/>
    <w:rsid w:val="3F397A0D"/>
    <w:rsid w:val="3F4A39C9"/>
    <w:rsid w:val="3F625E8E"/>
    <w:rsid w:val="3F6A673B"/>
    <w:rsid w:val="3F716AD8"/>
    <w:rsid w:val="3F757858"/>
    <w:rsid w:val="3F8C2A74"/>
    <w:rsid w:val="3FA70307"/>
    <w:rsid w:val="3FA7458E"/>
    <w:rsid w:val="3FB22390"/>
    <w:rsid w:val="3FCF1529"/>
    <w:rsid w:val="3FDD2A57"/>
    <w:rsid w:val="3FE37E33"/>
    <w:rsid w:val="3FF027C2"/>
    <w:rsid w:val="3FF55C7D"/>
    <w:rsid w:val="3FF676AC"/>
    <w:rsid w:val="400E03CE"/>
    <w:rsid w:val="401171AD"/>
    <w:rsid w:val="401C4A76"/>
    <w:rsid w:val="40225AF1"/>
    <w:rsid w:val="403D5148"/>
    <w:rsid w:val="403D6B94"/>
    <w:rsid w:val="40507C98"/>
    <w:rsid w:val="40580367"/>
    <w:rsid w:val="4061657E"/>
    <w:rsid w:val="40642B5B"/>
    <w:rsid w:val="40767673"/>
    <w:rsid w:val="407707ED"/>
    <w:rsid w:val="40892318"/>
    <w:rsid w:val="408E0789"/>
    <w:rsid w:val="40A76FA9"/>
    <w:rsid w:val="40AC084A"/>
    <w:rsid w:val="40D05FDB"/>
    <w:rsid w:val="40DB515E"/>
    <w:rsid w:val="40E30197"/>
    <w:rsid w:val="40E63D94"/>
    <w:rsid w:val="40EA1367"/>
    <w:rsid w:val="40EB151F"/>
    <w:rsid w:val="40ED4F53"/>
    <w:rsid w:val="40F25A91"/>
    <w:rsid w:val="411C387B"/>
    <w:rsid w:val="411D00F5"/>
    <w:rsid w:val="41292B74"/>
    <w:rsid w:val="41406E31"/>
    <w:rsid w:val="414E3836"/>
    <w:rsid w:val="41592854"/>
    <w:rsid w:val="416E516B"/>
    <w:rsid w:val="418812BB"/>
    <w:rsid w:val="418D4040"/>
    <w:rsid w:val="419E7FFC"/>
    <w:rsid w:val="419F3079"/>
    <w:rsid w:val="41AE3A67"/>
    <w:rsid w:val="41C95125"/>
    <w:rsid w:val="41EA02ED"/>
    <w:rsid w:val="42075BA1"/>
    <w:rsid w:val="4215282E"/>
    <w:rsid w:val="42166627"/>
    <w:rsid w:val="42225E0B"/>
    <w:rsid w:val="42383FB6"/>
    <w:rsid w:val="423D7815"/>
    <w:rsid w:val="4246491B"/>
    <w:rsid w:val="424F30C2"/>
    <w:rsid w:val="425E14DB"/>
    <w:rsid w:val="42621029"/>
    <w:rsid w:val="426B4382"/>
    <w:rsid w:val="42725710"/>
    <w:rsid w:val="427358D4"/>
    <w:rsid w:val="42736D87"/>
    <w:rsid w:val="427E086F"/>
    <w:rsid w:val="42826F4F"/>
    <w:rsid w:val="428B0580"/>
    <w:rsid w:val="42935686"/>
    <w:rsid w:val="429A4E70"/>
    <w:rsid w:val="429E14C4"/>
    <w:rsid w:val="42A26186"/>
    <w:rsid w:val="42A94EAA"/>
    <w:rsid w:val="42BA0E65"/>
    <w:rsid w:val="42C13D5C"/>
    <w:rsid w:val="42DD74CF"/>
    <w:rsid w:val="42DF3579"/>
    <w:rsid w:val="42E264C2"/>
    <w:rsid w:val="42E85CD3"/>
    <w:rsid w:val="42F44377"/>
    <w:rsid w:val="42F54D63"/>
    <w:rsid w:val="43011E27"/>
    <w:rsid w:val="430D368B"/>
    <w:rsid w:val="430F20A0"/>
    <w:rsid w:val="43135F0F"/>
    <w:rsid w:val="431B6CC7"/>
    <w:rsid w:val="43225F65"/>
    <w:rsid w:val="433A3C4A"/>
    <w:rsid w:val="435720D9"/>
    <w:rsid w:val="435D7A57"/>
    <w:rsid w:val="43615785"/>
    <w:rsid w:val="43732880"/>
    <w:rsid w:val="43865952"/>
    <w:rsid w:val="438F0BB0"/>
    <w:rsid w:val="43993170"/>
    <w:rsid w:val="43BF04EA"/>
    <w:rsid w:val="43C05A1E"/>
    <w:rsid w:val="43CF4932"/>
    <w:rsid w:val="43D22CDA"/>
    <w:rsid w:val="43D354DC"/>
    <w:rsid w:val="43E3106F"/>
    <w:rsid w:val="4405353A"/>
    <w:rsid w:val="44063CF3"/>
    <w:rsid w:val="44072973"/>
    <w:rsid w:val="44095C00"/>
    <w:rsid w:val="44117E2D"/>
    <w:rsid w:val="441822E7"/>
    <w:rsid w:val="442F13DF"/>
    <w:rsid w:val="44426345"/>
    <w:rsid w:val="444B2816"/>
    <w:rsid w:val="445279AA"/>
    <w:rsid w:val="4453331F"/>
    <w:rsid w:val="445F3A86"/>
    <w:rsid w:val="4478636B"/>
    <w:rsid w:val="447A0DB3"/>
    <w:rsid w:val="447B4624"/>
    <w:rsid w:val="447D2B53"/>
    <w:rsid w:val="4481712B"/>
    <w:rsid w:val="44901E7E"/>
    <w:rsid w:val="449F54A7"/>
    <w:rsid w:val="44A1052F"/>
    <w:rsid w:val="44C93406"/>
    <w:rsid w:val="44D74994"/>
    <w:rsid w:val="44DD0E3B"/>
    <w:rsid w:val="44E67CEF"/>
    <w:rsid w:val="44F62875"/>
    <w:rsid w:val="44FB02DC"/>
    <w:rsid w:val="45111EFE"/>
    <w:rsid w:val="451730A2"/>
    <w:rsid w:val="451955A3"/>
    <w:rsid w:val="45205199"/>
    <w:rsid w:val="45260B70"/>
    <w:rsid w:val="45357C2D"/>
    <w:rsid w:val="453A003B"/>
    <w:rsid w:val="45467C1A"/>
    <w:rsid w:val="45523E0A"/>
    <w:rsid w:val="45603F46"/>
    <w:rsid w:val="45784EE5"/>
    <w:rsid w:val="45790587"/>
    <w:rsid w:val="457C33A8"/>
    <w:rsid w:val="45800144"/>
    <w:rsid w:val="458804FE"/>
    <w:rsid w:val="458D57CB"/>
    <w:rsid w:val="4595726A"/>
    <w:rsid w:val="45C67177"/>
    <w:rsid w:val="45D048BE"/>
    <w:rsid w:val="45DE626C"/>
    <w:rsid w:val="45EB660D"/>
    <w:rsid w:val="45F13477"/>
    <w:rsid w:val="45FD7B3D"/>
    <w:rsid w:val="460A10C2"/>
    <w:rsid w:val="46220C85"/>
    <w:rsid w:val="46230254"/>
    <w:rsid w:val="46244F73"/>
    <w:rsid w:val="46287B26"/>
    <w:rsid w:val="462A00B0"/>
    <w:rsid w:val="462D24EF"/>
    <w:rsid w:val="46534E0B"/>
    <w:rsid w:val="46692DA8"/>
    <w:rsid w:val="4670640B"/>
    <w:rsid w:val="46753897"/>
    <w:rsid w:val="467A71EB"/>
    <w:rsid w:val="46867477"/>
    <w:rsid w:val="468A02AD"/>
    <w:rsid w:val="468B3DD1"/>
    <w:rsid w:val="469043B7"/>
    <w:rsid w:val="46BF4C9C"/>
    <w:rsid w:val="46C936C8"/>
    <w:rsid w:val="46CB1893"/>
    <w:rsid w:val="46D87DE5"/>
    <w:rsid w:val="46E556A4"/>
    <w:rsid w:val="46E97F6B"/>
    <w:rsid w:val="46EA25E1"/>
    <w:rsid w:val="46EB1077"/>
    <w:rsid w:val="470C2558"/>
    <w:rsid w:val="472127B7"/>
    <w:rsid w:val="472165B7"/>
    <w:rsid w:val="47277064"/>
    <w:rsid w:val="47323C17"/>
    <w:rsid w:val="4743767B"/>
    <w:rsid w:val="474C305D"/>
    <w:rsid w:val="474E29C1"/>
    <w:rsid w:val="475569C5"/>
    <w:rsid w:val="475A49C5"/>
    <w:rsid w:val="475E44B5"/>
    <w:rsid w:val="476121D8"/>
    <w:rsid w:val="476A063C"/>
    <w:rsid w:val="477C748E"/>
    <w:rsid w:val="478A7058"/>
    <w:rsid w:val="47941208"/>
    <w:rsid w:val="47A101B2"/>
    <w:rsid w:val="47AB5220"/>
    <w:rsid w:val="47BF2852"/>
    <w:rsid w:val="47BF386C"/>
    <w:rsid w:val="47C02A7A"/>
    <w:rsid w:val="47C3256A"/>
    <w:rsid w:val="47C95C6C"/>
    <w:rsid w:val="47EC7022"/>
    <w:rsid w:val="47FC7940"/>
    <w:rsid w:val="48030B33"/>
    <w:rsid w:val="48046015"/>
    <w:rsid w:val="4819316F"/>
    <w:rsid w:val="482F5E51"/>
    <w:rsid w:val="483F125D"/>
    <w:rsid w:val="48580B32"/>
    <w:rsid w:val="485B43A9"/>
    <w:rsid w:val="48635024"/>
    <w:rsid w:val="486C0E54"/>
    <w:rsid w:val="487B675C"/>
    <w:rsid w:val="48954DA6"/>
    <w:rsid w:val="48A95C04"/>
    <w:rsid w:val="48B22238"/>
    <w:rsid w:val="48B33076"/>
    <w:rsid w:val="48C4330A"/>
    <w:rsid w:val="48D55EB3"/>
    <w:rsid w:val="48DA0701"/>
    <w:rsid w:val="48DF324A"/>
    <w:rsid w:val="48E052EC"/>
    <w:rsid w:val="48E65AEE"/>
    <w:rsid w:val="48F50E49"/>
    <w:rsid w:val="48F80CE7"/>
    <w:rsid w:val="49096FCD"/>
    <w:rsid w:val="491B0811"/>
    <w:rsid w:val="491D7C08"/>
    <w:rsid w:val="494625B6"/>
    <w:rsid w:val="49507E2D"/>
    <w:rsid w:val="49512BB1"/>
    <w:rsid w:val="495E0009"/>
    <w:rsid w:val="49641F5D"/>
    <w:rsid w:val="49666B6B"/>
    <w:rsid w:val="496F2CCC"/>
    <w:rsid w:val="498F64FC"/>
    <w:rsid w:val="49AD1724"/>
    <w:rsid w:val="49BE7E39"/>
    <w:rsid w:val="49C40005"/>
    <w:rsid w:val="49C65419"/>
    <w:rsid w:val="49D04BAB"/>
    <w:rsid w:val="49EA0282"/>
    <w:rsid w:val="49EA17C4"/>
    <w:rsid w:val="49EF440A"/>
    <w:rsid w:val="4A1A2F12"/>
    <w:rsid w:val="4A2B55B2"/>
    <w:rsid w:val="4A2C7C77"/>
    <w:rsid w:val="4A321C6F"/>
    <w:rsid w:val="4A366D8C"/>
    <w:rsid w:val="4A375709"/>
    <w:rsid w:val="4A475BFC"/>
    <w:rsid w:val="4A484FA8"/>
    <w:rsid w:val="4A4E1094"/>
    <w:rsid w:val="4A561717"/>
    <w:rsid w:val="4A5971B6"/>
    <w:rsid w:val="4A5D3269"/>
    <w:rsid w:val="4A606796"/>
    <w:rsid w:val="4A717D8F"/>
    <w:rsid w:val="4A7D0F83"/>
    <w:rsid w:val="4A834A22"/>
    <w:rsid w:val="4A8815D3"/>
    <w:rsid w:val="4A9454F9"/>
    <w:rsid w:val="4A972DF7"/>
    <w:rsid w:val="4A992274"/>
    <w:rsid w:val="4AA77F21"/>
    <w:rsid w:val="4AAA2276"/>
    <w:rsid w:val="4AB12CDE"/>
    <w:rsid w:val="4AB64534"/>
    <w:rsid w:val="4ABD14F2"/>
    <w:rsid w:val="4AC66642"/>
    <w:rsid w:val="4AC87549"/>
    <w:rsid w:val="4AD37353"/>
    <w:rsid w:val="4ADC6651"/>
    <w:rsid w:val="4AE2340C"/>
    <w:rsid w:val="4AE72A13"/>
    <w:rsid w:val="4AFC64BF"/>
    <w:rsid w:val="4AFF6999"/>
    <w:rsid w:val="4B0E61F2"/>
    <w:rsid w:val="4B21257E"/>
    <w:rsid w:val="4B290FE3"/>
    <w:rsid w:val="4B322207"/>
    <w:rsid w:val="4B3B5793"/>
    <w:rsid w:val="4B58050B"/>
    <w:rsid w:val="4B5A25F7"/>
    <w:rsid w:val="4B6A0768"/>
    <w:rsid w:val="4B6B0CBD"/>
    <w:rsid w:val="4B705719"/>
    <w:rsid w:val="4B7B47F9"/>
    <w:rsid w:val="4B8D7117"/>
    <w:rsid w:val="4B8E6DA5"/>
    <w:rsid w:val="4BA563FE"/>
    <w:rsid w:val="4BB77663"/>
    <w:rsid w:val="4BBF1EF3"/>
    <w:rsid w:val="4BC54DE5"/>
    <w:rsid w:val="4BCB7306"/>
    <w:rsid w:val="4BD52968"/>
    <w:rsid w:val="4BD91D02"/>
    <w:rsid w:val="4BE2600E"/>
    <w:rsid w:val="4BE34975"/>
    <w:rsid w:val="4BE57820"/>
    <w:rsid w:val="4BF657A1"/>
    <w:rsid w:val="4BFB7B74"/>
    <w:rsid w:val="4C0457A1"/>
    <w:rsid w:val="4C2070A8"/>
    <w:rsid w:val="4C276BC0"/>
    <w:rsid w:val="4C3A6D52"/>
    <w:rsid w:val="4C3F2C78"/>
    <w:rsid w:val="4C42244E"/>
    <w:rsid w:val="4C437DCE"/>
    <w:rsid w:val="4C6D3DA8"/>
    <w:rsid w:val="4C727CFA"/>
    <w:rsid w:val="4C786019"/>
    <w:rsid w:val="4C800A2A"/>
    <w:rsid w:val="4C88081B"/>
    <w:rsid w:val="4C8872A2"/>
    <w:rsid w:val="4C9C19F3"/>
    <w:rsid w:val="4CA47183"/>
    <w:rsid w:val="4CB7606E"/>
    <w:rsid w:val="4CDA2830"/>
    <w:rsid w:val="4CDE1861"/>
    <w:rsid w:val="4CF745DE"/>
    <w:rsid w:val="4CFC57E0"/>
    <w:rsid w:val="4D087B01"/>
    <w:rsid w:val="4D0B58BC"/>
    <w:rsid w:val="4D0C050F"/>
    <w:rsid w:val="4D0C2AD5"/>
    <w:rsid w:val="4D1F46E6"/>
    <w:rsid w:val="4D2059FA"/>
    <w:rsid w:val="4D2E3574"/>
    <w:rsid w:val="4D432919"/>
    <w:rsid w:val="4D451B18"/>
    <w:rsid w:val="4D4D5AFE"/>
    <w:rsid w:val="4D502AF2"/>
    <w:rsid w:val="4D5C07F9"/>
    <w:rsid w:val="4D755736"/>
    <w:rsid w:val="4DAC0A3B"/>
    <w:rsid w:val="4DB92102"/>
    <w:rsid w:val="4DBA3E20"/>
    <w:rsid w:val="4DBC5B64"/>
    <w:rsid w:val="4DC679DB"/>
    <w:rsid w:val="4DE61D12"/>
    <w:rsid w:val="4DF1146E"/>
    <w:rsid w:val="4DF53699"/>
    <w:rsid w:val="4DF82017"/>
    <w:rsid w:val="4DFF4A01"/>
    <w:rsid w:val="4E0E661C"/>
    <w:rsid w:val="4E1E3790"/>
    <w:rsid w:val="4E2E44B5"/>
    <w:rsid w:val="4E30022D"/>
    <w:rsid w:val="4E4C57ED"/>
    <w:rsid w:val="4E5505A6"/>
    <w:rsid w:val="4E820BD8"/>
    <w:rsid w:val="4E874C8C"/>
    <w:rsid w:val="4E8D729C"/>
    <w:rsid w:val="4E8E1C0C"/>
    <w:rsid w:val="4E9609D8"/>
    <w:rsid w:val="4E9764FE"/>
    <w:rsid w:val="4E98004C"/>
    <w:rsid w:val="4EA5208F"/>
    <w:rsid w:val="4EAC01FC"/>
    <w:rsid w:val="4EAE617F"/>
    <w:rsid w:val="4EBD702F"/>
    <w:rsid w:val="4EC310A1"/>
    <w:rsid w:val="4EC818B0"/>
    <w:rsid w:val="4ECB59F9"/>
    <w:rsid w:val="4ECE1CAC"/>
    <w:rsid w:val="4EE414BB"/>
    <w:rsid w:val="4EE87B84"/>
    <w:rsid w:val="4EFD2805"/>
    <w:rsid w:val="4EFE0DEE"/>
    <w:rsid w:val="4EFF65C5"/>
    <w:rsid w:val="4F0052D1"/>
    <w:rsid w:val="4F014784"/>
    <w:rsid w:val="4F0431E6"/>
    <w:rsid w:val="4F1B712F"/>
    <w:rsid w:val="4F1C605F"/>
    <w:rsid w:val="4F254824"/>
    <w:rsid w:val="4F2658BE"/>
    <w:rsid w:val="4F42646A"/>
    <w:rsid w:val="4F4736A7"/>
    <w:rsid w:val="4F585C8E"/>
    <w:rsid w:val="4F7914EF"/>
    <w:rsid w:val="4F7E60F0"/>
    <w:rsid w:val="4F9174FD"/>
    <w:rsid w:val="4F9402D2"/>
    <w:rsid w:val="4FB10142"/>
    <w:rsid w:val="4FB82BD0"/>
    <w:rsid w:val="4FC643B6"/>
    <w:rsid w:val="4FD1578E"/>
    <w:rsid w:val="4FE10E76"/>
    <w:rsid w:val="4FEE2189"/>
    <w:rsid w:val="4FF71C3D"/>
    <w:rsid w:val="50016856"/>
    <w:rsid w:val="5008518B"/>
    <w:rsid w:val="500B32A2"/>
    <w:rsid w:val="501A4DE6"/>
    <w:rsid w:val="502B6647"/>
    <w:rsid w:val="502B6EFE"/>
    <w:rsid w:val="50324E90"/>
    <w:rsid w:val="504C1B11"/>
    <w:rsid w:val="504E68CB"/>
    <w:rsid w:val="505F48A5"/>
    <w:rsid w:val="50616DC4"/>
    <w:rsid w:val="506472D4"/>
    <w:rsid w:val="50664FFD"/>
    <w:rsid w:val="50666C7A"/>
    <w:rsid w:val="507460A4"/>
    <w:rsid w:val="5094445D"/>
    <w:rsid w:val="509C0D4E"/>
    <w:rsid w:val="50A23A1E"/>
    <w:rsid w:val="50AC44E3"/>
    <w:rsid w:val="50B57EA9"/>
    <w:rsid w:val="50BC2B26"/>
    <w:rsid w:val="50BE1984"/>
    <w:rsid w:val="50D141C6"/>
    <w:rsid w:val="50D94FDD"/>
    <w:rsid w:val="50F115EA"/>
    <w:rsid w:val="50F72C9C"/>
    <w:rsid w:val="50FC0DB6"/>
    <w:rsid w:val="511107EA"/>
    <w:rsid w:val="511300BE"/>
    <w:rsid w:val="511F2007"/>
    <w:rsid w:val="51271E2F"/>
    <w:rsid w:val="51324BC3"/>
    <w:rsid w:val="51342CAA"/>
    <w:rsid w:val="51366F32"/>
    <w:rsid w:val="51406A38"/>
    <w:rsid w:val="51435F5B"/>
    <w:rsid w:val="514B4E4E"/>
    <w:rsid w:val="516578E1"/>
    <w:rsid w:val="517174DB"/>
    <w:rsid w:val="518049FF"/>
    <w:rsid w:val="51932FAD"/>
    <w:rsid w:val="51A06E66"/>
    <w:rsid w:val="51AF590D"/>
    <w:rsid w:val="51B475E9"/>
    <w:rsid w:val="51BA020E"/>
    <w:rsid w:val="51C05FF6"/>
    <w:rsid w:val="51D135DE"/>
    <w:rsid w:val="51DF4444"/>
    <w:rsid w:val="51ED6B61"/>
    <w:rsid w:val="51F65295"/>
    <w:rsid w:val="51F872B4"/>
    <w:rsid w:val="51FD3DB6"/>
    <w:rsid w:val="52097713"/>
    <w:rsid w:val="520C3BB6"/>
    <w:rsid w:val="52252174"/>
    <w:rsid w:val="52295AE6"/>
    <w:rsid w:val="522D0E7F"/>
    <w:rsid w:val="523636A7"/>
    <w:rsid w:val="523E4D62"/>
    <w:rsid w:val="5243507E"/>
    <w:rsid w:val="525402A0"/>
    <w:rsid w:val="52554706"/>
    <w:rsid w:val="525F5585"/>
    <w:rsid w:val="528D41E4"/>
    <w:rsid w:val="52BF5C92"/>
    <w:rsid w:val="52C2167A"/>
    <w:rsid w:val="52C7794C"/>
    <w:rsid w:val="52D279CD"/>
    <w:rsid w:val="52D32ADF"/>
    <w:rsid w:val="52E45ACB"/>
    <w:rsid w:val="52E71802"/>
    <w:rsid w:val="52F47AFB"/>
    <w:rsid w:val="53071B37"/>
    <w:rsid w:val="530A5973"/>
    <w:rsid w:val="531169F3"/>
    <w:rsid w:val="531348FB"/>
    <w:rsid w:val="53275D3D"/>
    <w:rsid w:val="532760A3"/>
    <w:rsid w:val="533354CF"/>
    <w:rsid w:val="533407C0"/>
    <w:rsid w:val="53346A12"/>
    <w:rsid w:val="53346B96"/>
    <w:rsid w:val="535D5DC8"/>
    <w:rsid w:val="537961D3"/>
    <w:rsid w:val="537A3167"/>
    <w:rsid w:val="537D2360"/>
    <w:rsid w:val="53811E50"/>
    <w:rsid w:val="5393482C"/>
    <w:rsid w:val="53B22465"/>
    <w:rsid w:val="53B45F49"/>
    <w:rsid w:val="53B72F65"/>
    <w:rsid w:val="53BE3989"/>
    <w:rsid w:val="53D83751"/>
    <w:rsid w:val="53D85151"/>
    <w:rsid w:val="53E844A9"/>
    <w:rsid w:val="53FD2AC2"/>
    <w:rsid w:val="5409404E"/>
    <w:rsid w:val="54134B75"/>
    <w:rsid w:val="54164746"/>
    <w:rsid w:val="541F238F"/>
    <w:rsid w:val="542E2ADC"/>
    <w:rsid w:val="543341B9"/>
    <w:rsid w:val="543415ED"/>
    <w:rsid w:val="5438608E"/>
    <w:rsid w:val="544607AB"/>
    <w:rsid w:val="544B7F7E"/>
    <w:rsid w:val="54501D22"/>
    <w:rsid w:val="54592AA9"/>
    <w:rsid w:val="546146EB"/>
    <w:rsid w:val="54680D66"/>
    <w:rsid w:val="54685AA1"/>
    <w:rsid w:val="547D06FB"/>
    <w:rsid w:val="547D14B1"/>
    <w:rsid w:val="54857DDB"/>
    <w:rsid w:val="548C678B"/>
    <w:rsid w:val="54905199"/>
    <w:rsid w:val="54914216"/>
    <w:rsid w:val="549273A9"/>
    <w:rsid w:val="549405C7"/>
    <w:rsid w:val="549D6C55"/>
    <w:rsid w:val="54A04AB9"/>
    <w:rsid w:val="54CA07F6"/>
    <w:rsid w:val="54E979F3"/>
    <w:rsid w:val="54EF0774"/>
    <w:rsid w:val="54F2448F"/>
    <w:rsid w:val="54FE2E33"/>
    <w:rsid w:val="550B2DC8"/>
    <w:rsid w:val="551E1403"/>
    <w:rsid w:val="552038EC"/>
    <w:rsid w:val="5520724E"/>
    <w:rsid w:val="552B02EF"/>
    <w:rsid w:val="5540169E"/>
    <w:rsid w:val="55466588"/>
    <w:rsid w:val="5547793A"/>
    <w:rsid w:val="554C32B2"/>
    <w:rsid w:val="55501E76"/>
    <w:rsid w:val="55701D69"/>
    <w:rsid w:val="55731E3E"/>
    <w:rsid w:val="557A0272"/>
    <w:rsid w:val="557E29D7"/>
    <w:rsid w:val="558F2195"/>
    <w:rsid w:val="55900035"/>
    <w:rsid w:val="559455FC"/>
    <w:rsid w:val="55AF798B"/>
    <w:rsid w:val="55CA70E8"/>
    <w:rsid w:val="55E464CD"/>
    <w:rsid w:val="55ED4967"/>
    <w:rsid w:val="55F350C4"/>
    <w:rsid w:val="55FD2F0B"/>
    <w:rsid w:val="561B14C6"/>
    <w:rsid w:val="561B7A15"/>
    <w:rsid w:val="56247722"/>
    <w:rsid w:val="56342FDD"/>
    <w:rsid w:val="56467B64"/>
    <w:rsid w:val="565626F9"/>
    <w:rsid w:val="565671A2"/>
    <w:rsid w:val="56685CA8"/>
    <w:rsid w:val="56694C24"/>
    <w:rsid w:val="56740DC7"/>
    <w:rsid w:val="56753961"/>
    <w:rsid w:val="5677558B"/>
    <w:rsid w:val="569C2904"/>
    <w:rsid w:val="56AA3219"/>
    <w:rsid w:val="56B7174F"/>
    <w:rsid w:val="56CF2574"/>
    <w:rsid w:val="56CF424D"/>
    <w:rsid w:val="56DE4C00"/>
    <w:rsid w:val="570847EE"/>
    <w:rsid w:val="57212E09"/>
    <w:rsid w:val="57297951"/>
    <w:rsid w:val="573270B5"/>
    <w:rsid w:val="57331689"/>
    <w:rsid w:val="57443B56"/>
    <w:rsid w:val="57614844"/>
    <w:rsid w:val="57664CC0"/>
    <w:rsid w:val="576A00D2"/>
    <w:rsid w:val="576A530D"/>
    <w:rsid w:val="576F4900"/>
    <w:rsid w:val="57971A40"/>
    <w:rsid w:val="579E4D2D"/>
    <w:rsid w:val="57A24175"/>
    <w:rsid w:val="57B75717"/>
    <w:rsid w:val="57C470D2"/>
    <w:rsid w:val="57C77E19"/>
    <w:rsid w:val="57CA488B"/>
    <w:rsid w:val="57DA0118"/>
    <w:rsid w:val="57DB3900"/>
    <w:rsid w:val="57DB47FB"/>
    <w:rsid w:val="57FB18AC"/>
    <w:rsid w:val="580846BB"/>
    <w:rsid w:val="5816050F"/>
    <w:rsid w:val="581D5CC6"/>
    <w:rsid w:val="58205F1A"/>
    <w:rsid w:val="582468CD"/>
    <w:rsid w:val="582840C5"/>
    <w:rsid w:val="583074F9"/>
    <w:rsid w:val="583515AC"/>
    <w:rsid w:val="584B45E2"/>
    <w:rsid w:val="584C2108"/>
    <w:rsid w:val="584C2587"/>
    <w:rsid w:val="585127AA"/>
    <w:rsid w:val="585D5314"/>
    <w:rsid w:val="58603D47"/>
    <w:rsid w:val="58660CE3"/>
    <w:rsid w:val="58743A0C"/>
    <w:rsid w:val="58795D80"/>
    <w:rsid w:val="58BB3CCE"/>
    <w:rsid w:val="58C97BB5"/>
    <w:rsid w:val="58CD3249"/>
    <w:rsid w:val="58DE0E81"/>
    <w:rsid w:val="59125866"/>
    <w:rsid w:val="5915352F"/>
    <w:rsid w:val="59183E6F"/>
    <w:rsid w:val="591B0458"/>
    <w:rsid w:val="59232E69"/>
    <w:rsid w:val="59304651"/>
    <w:rsid w:val="593E2965"/>
    <w:rsid w:val="594856C1"/>
    <w:rsid w:val="59486EBB"/>
    <w:rsid w:val="59493AFE"/>
    <w:rsid w:val="594C38F9"/>
    <w:rsid w:val="594C4A1E"/>
    <w:rsid w:val="59567838"/>
    <w:rsid w:val="59700D18"/>
    <w:rsid w:val="5970491E"/>
    <w:rsid w:val="597304CA"/>
    <w:rsid w:val="59794C92"/>
    <w:rsid w:val="597A0373"/>
    <w:rsid w:val="598803B1"/>
    <w:rsid w:val="59A5117A"/>
    <w:rsid w:val="59A937D5"/>
    <w:rsid w:val="59BA6CB3"/>
    <w:rsid w:val="59BA6CC4"/>
    <w:rsid w:val="59BF6EE5"/>
    <w:rsid w:val="59DB746A"/>
    <w:rsid w:val="59F2154E"/>
    <w:rsid w:val="59F9691A"/>
    <w:rsid w:val="5A012975"/>
    <w:rsid w:val="5A0233C6"/>
    <w:rsid w:val="5A097A39"/>
    <w:rsid w:val="5A112448"/>
    <w:rsid w:val="5A1E417A"/>
    <w:rsid w:val="5A266C4C"/>
    <w:rsid w:val="5A2D3B53"/>
    <w:rsid w:val="5A3B2434"/>
    <w:rsid w:val="5A6457FD"/>
    <w:rsid w:val="5A645A7F"/>
    <w:rsid w:val="5A653116"/>
    <w:rsid w:val="5A7035CD"/>
    <w:rsid w:val="5A7E3799"/>
    <w:rsid w:val="5A81253D"/>
    <w:rsid w:val="5A873ECB"/>
    <w:rsid w:val="5A934A0F"/>
    <w:rsid w:val="5A957C98"/>
    <w:rsid w:val="5A9E6D6F"/>
    <w:rsid w:val="5AAC50E0"/>
    <w:rsid w:val="5AAD60EA"/>
    <w:rsid w:val="5AB61DE0"/>
    <w:rsid w:val="5ACB527F"/>
    <w:rsid w:val="5AD7761B"/>
    <w:rsid w:val="5AE8436A"/>
    <w:rsid w:val="5AFE3E43"/>
    <w:rsid w:val="5B072DB6"/>
    <w:rsid w:val="5B19492B"/>
    <w:rsid w:val="5B233465"/>
    <w:rsid w:val="5B2630E4"/>
    <w:rsid w:val="5B506B61"/>
    <w:rsid w:val="5B5F0F2E"/>
    <w:rsid w:val="5B667984"/>
    <w:rsid w:val="5B6B796C"/>
    <w:rsid w:val="5B7C0F56"/>
    <w:rsid w:val="5B9808C1"/>
    <w:rsid w:val="5BA32ED4"/>
    <w:rsid w:val="5BB10CB2"/>
    <w:rsid w:val="5BC16A09"/>
    <w:rsid w:val="5BC86C25"/>
    <w:rsid w:val="5C012CC6"/>
    <w:rsid w:val="5C3B496D"/>
    <w:rsid w:val="5C503DE0"/>
    <w:rsid w:val="5C5435D1"/>
    <w:rsid w:val="5C5C5BA5"/>
    <w:rsid w:val="5C6C0FCA"/>
    <w:rsid w:val="5C8005D2"/>
    <w:rsid w:val="5C8C4702"/>
    <w:rsid w:val="5C936557"/>
    <w:rsid w:val="5C943DBC"/>
    <w:rsid w:val="5C997625"/>
    <w:rsid w:val="5CA57080"/>
    <w:rsid w:val="5CA77E21"/>
    <w:rsid w:val="5CAF0BE0"/>
    <w:rsid w:val="5CB458BA"/>
    <w:rsid w:val="5CDC782C"/>
    <w:rsid w:val="5CDF3569"/>
    <w:rsid w:val="5CE23DAC"/>
    <w:rsid w:val="5CE73917"/>
    <w:rsid w:val="5D0A73AF"/>
    <w:rsid w:val="5D120F26"/>
    <w:rsid w:val="5D1F603D"/>
    <w:rsid w:val="5D376039"/>
    <w:rsid w:val="5D3E31E9"/>
    <w:rsid w:val="5D436E42"/>
    <w:rsid w:val="5D63667B"/>
    <w:rsid w:val="5D6F2EDA"/>
    <w:rsid w:val="5D783847"/>
    <w:rsid w:val="5D83037A"/>
    <w:rsid w:val="5D9941C1"/>
    <w:rsid w:val="5DA570B1"/>
    <w:rsid w:val="5DA92832"/>
    <w:rsid w:val="5DAE502B"/>
    <w:rsid w:val="5DB466F3"/>
    <w:rsid w:val="5DB915F2"/>
    <w:rsid w:val="5DBC60F3"/>
    <w:rsid w:val="5DCB1D21"/>
    <w:rsid w:val="5DCD5A99"/>
    <w:rsid w:val="5DDA5440"/>
    <w:rsid w:val="5DDD5947"/>
    <w:rsid w:val="5DDF393D"/>
    <w:rsid w:val="5DDF6E4E"/>
    <w:rsid w:val="5DFA49E0"/>
    <w:rsid w:val="5E1D0F80"/>
    <w:rsid w:val="5E1F3B6D"/>
    <w:rsid w:val="5E224037"/>
    <w:rsid w:val="5E352C38"/>
    <w:rsid w:val="5E3E40FF"/>
    <w:rsid w:val="5E40706E"/>
    <w:rsid w:val="5E4A6B29"/>
    <w:rsid w:val="5E4C1080"/>
    <w:rsid w:val="5E4E1C8A"/>
    <w:rsid w:val="5E4F4071"/>
    <w:rsid w:val="5E5D7A78"/>
    <w:rsid w:val="5E6006BB"/>
    <w:rsid w:val="5E7833A1"/>
    <w:rsid w:val="5E8274BA"/>
    <w:rsid w:val="5E8530EF"/>
    <w:rsid w:val="5EA06D09"/>
    <w:rsid w:val="5EA53C9A"/>
    <w:rsid w:val="5EB822A5"/>
    <w:rsid w:val="5EBC7F37"/>
    <w:rsid w:val="5ECE7D1A"/>
    <w:rsid w:val="5ED36C86"/>
    <w:rsid w:val="5EDA60B0"/>
    <w:rsid w:val="5EE35A57"/>
    <w:rsid w:val="5F1645A7"/>
    <w:rsid w:val="5F49114F"/>
    <w:rsid w:val="5F6A54DD"/>
    <w:rsid w:val="5F815969"/>
    <w:rsid w:val="5F8B4FA7"/>
    <w:rsid w:val="5F9B72D1"/>
    <w:rsid w:val="5FAB0A44"/>
    <w:rsid w:val="5FB17C29"/>
    <w:rsid w:val="5FB34738"/>
    <w:rsid w:val="5FB95E1C"/>
    <w:rsid w:val="5FC353A5"/>
    <w:rsid w:val="5FC85F82"/>
    <w:rsid w:val="5FCB3FE5"/>
    <w:rsid w:val="5FDC5EDE"/>
    <w:rsid w:val="5FEB2206"/>
    <w:rsid w:val="5FED772C"/>
    <w:rsid w:val="5FF97EAE"/>
    <w:rsid w:val="5FFA117E"/>
    <w:rsid w:val="60155C27"/>
    <w:rsid w:val="60162D11"/>
    <w:rsid w:val="601A6070"/>
    <w:rsid w:val="60226F8B"/>
    <w:rsid w:val="603B4F3C"/>
    <w:rsid w:val="60477ABF"/>
    <w:rsid w:val="604B06AE"/>
    <w:rsid w:val="60526566"/>
    <w:rsid w:val="605B738C"/>
    <w:rsid w:val="607F756F"/>
    <w:rsid w:val="60917251"/>
    <w:rsid w:val="60982996"/>
    <w:rsid w:val="60A96E90"/>
    <w:rsid w:val="60C53D01"/>
    <w:rsid w:val="60C9018D"/>
    <w:rsid w:val="60DA12FD"/>
    <w:rsid w:val="61012C93"/>
    <w:rsid w:val="61053FC5"/>
    <w:rsid w:val="610C088E"/>
    <w:rsid w:val="610C1F3F"/>
    <w:rsid w:val="614A03E6"/>
    <w:rsid w:val="61531A50"/>
    <w:rsid w:val="61532201"/>
    <w:rsid w:val="61651210"/>
    <w:rsid w:val="61666018"/>
    <w:rsid w:val="616B46BB"/>
    <w:rsid w:val="616E1CFF"/>
    <w:rsid w:val="616E5EB6"/>
    <w:rsid w:val="617526CF"/>
    <w:rsid w:val="618560EB"/>
    <w:rsid w:val="618E3791"/>
    <w:rsid w:val="619743F4"/>
    <w:rsid w:val="619B5D77"/>
    <w:rsid w:val="61B10243"/>
    <w:rsid w:val="61BB2DD9"/>
    <w:rsid w:val="61C00B2F"/>
    <w:rsid w:val="61C3411F"/>
    <w:rsid w:val="61DD1B9A"/>
    <w:rsid w:val="61E136F6"/>
    <w:rsid w:val="61F4426B"/>
    <w:rsid w:val="61F83805"/>
    <w:rsid w:val="62022776"/>
    <w:rsid w:val="6205764C"/>
    <w:rsid w:val="62065A1D"/>
    <w:rsid w:val="621F13DC"/>
    <w:rsid w:val="62256C85"/>
    <w:rsid w:val="623600B0"/>
    <w:rsid w:val="62562501"/>
    <w:rsid w:val="6256299E"/>
    <w:rsid w:val="62574D95"/>
    <w:rsid w:val="62583769"/>
    <w:rsid w:val="62586747"/>
    <w:rsid w:val="626C60B7"/>
    <w:rsid w:val="62746498"/>
    <w:rsid w:val="627A6223"/>
    <w:rsid w:val="62922E0D"/>
    <w:rsid w:val="62982A5C"/>
    <w:rsid w:val="62CB6D60"/>
    <w:rsid w:val="62E358B2"/>
    <w:rsid w:val="62EA49F7"/>
    <w:rsid w:val="62F154C5"/>
    <w:rsid w:val="62FD0A5D"/>
    <w:rsid w:val="63162338"/>
    <w:rsid w:val="632036E4"/>
    <w:rsid w:val="63232EB3"/>
    <w:rsid w:val="63267478"/>
    <w:rsid w:val="633D315E"/>
    <w:rsid w:val="63504ABF"/>
    <w:rsid w:val="63517786"/>
    <w:rsid w:val="63624ED5"/>
    <w:rsid w:val="636447A9"/>
    <w:rsid w:val="637052D7"/>
    <w:rsid w:val="638438AF"/>
    <w:rsid w:val="6388739F"/>
    <w:rsid w:val="6389099E"/>
    <w:rsid w:val="63954DAA"/>
    <w:rsid w:val="63C74AA3"/>
    <w:rsid w:val="63D87748"/>
    <w:rsid w:val="63DE2EEF"/>
    <w:rsid w:val="63E8362C"/>
    <w:rsid w:val="63F16145"/>
    <w:rsid w:val="64024CFF"/>
    <w:rsid w:val="641D22DD"/>
    <w:rsid w:val="64426DE8"/>
    <w:rsid w:val="645B3151"/>
    <w:rsid w:val="646A170C"/>
    <w:rsid w:val="64701038"/>
    <w:rsid w:val="64722EF6"/>
    <w:rsid w:val="64797A3F"/>
    <w:rsid w:val="647B4B09"/>
    <w:rsid w:val="647B6F79"/>
    <w:rsid w:val="64815AEE"/>
    <w:rsid w:val="648937A8"/>
    <w:rsid w:val="648B1BA9"/>
    <w:rsid w:val="648D0F64"/>
    <w:rsid w:val="649449E8"/>
    <w:rsid w:val="649D5D6D"/>
    <w:rsid w:val="64A9391A"/>
    <w:rsid w:val="64AF7CA6"/>
    <w:rsid w:val="64D77B16"/>
    <w:rsid w:val="64F55A2C"/>
    <w:rsid w:val="64F953C5"/>
    <w:rsid w:val="651B533C"/>
    <w:rsid w:val="651E27DC"/>
    <w:rsid w:val="65206DF6"/>
    <w:rsid w:val="65211E78"/>
    <w:rsid w:val="65291D8F"/>
    <w:rsid w:val="65570D94"/>
    <w:rsid w:val="655774EE"/>
    <w:rsid w:val="65795592"/>
    <w:rsid w:val="65A10F4D"/>
    <w:rsid w:val="65A93335"/>
    <w:rsid w:val="65B51681"/>
    <w:rsid w:val="65B765E2"/>
    <w:rsid w:val="65BC5BDE"/>
    <w:rsid w:val="65CB4FB4"/>
    <w:rsid w:val="65D3678B"/>
    <w:rsid w:val="65DB69B9"/>
    <w:rsid w:val="65E142CF"/>
    <w:rsid w:val="65F16DEF"/>
    <w:rsid w:val="65FF5B93"/>
    <w:rsid w:val="660540EE"/>
    <w:rsid w:val="66081715"/>
    <w:rsid w:val="661673E0"/>
    <w:rsid w:val="661A1A97"/>
    <w:rsid w:val="661A3845"/>
    <w:rsid w:val="661B00EA"/>
    <w:rsid w:val="661D360B"/>
    <w:rsid w:val="66523C3F"/>
    <w:rsid w:val="66541F53"/>
    <w:rsid w:val="665C126F"/>
    <w:rsid w:val="6660647F"/>
    <w:rsid w:val="66613222"/>
    <w:rsid w:val="66820F47"/>
    <w:rsid w:val="668A782A"/>
    <w:rsid w:val="6692162D"/>
    <w:rsid w:val="66AF1795"/>
    <w:rsid w:val="66B07CC1"/>
    <w:rsid w:val="66B14B24"/>
    <w:rsid w:val="66B27D18"/>
    <w:rsid w:val="66BA3EC8"/>
    <w:rsid w:val="66D1442C"/>
    <w:rsid w:val="66D47E7F"/>
    <w:rsid w:val="66D64E5B"/>
    <w:rsid w:val="66DD089D"/>
    <w:rsid w:val="66DD4F9F"/>
    <w:rsid w:val="66DE592A"/>
    <w:rsid w:val="66F0016C"/>
    <w:rsid w:val="66FA0812"/>
    <w:rsid w:val="66FB2BD0"/>
    <w:rsid w:val="66FC2971"/>
    <w:rsid w:val="670008EB"/>
    <w:rsid w:val="67103ED9"/>
    <w:rsid w:val="67262B05"/>
    <w:rsid w:val="672C7CD4"/>
    <w:rsid w:val="674E513F"/>
    <w:rsid w:val="674E6BDA"/>
    <w:rsid w:val="67610E75"/>
    <w:rsid w:val="676F0F89"/>
    <w:rsid w:val="677178CC"/>
    <w:rsid w:val="677977BA"/>
    <w:rsid w:val="67797A29"/>
    <w:rsid w:val="678952B2"/>
    <w:rsid w:val="679D31F9"/>
    <w:rsid w:val="679D3BF4"/>
    <w:rsid w:val="679D472E"/>
    <w:rsid w:val="67A41618"/>
    <w:rsid w:val="67AE4749"/>
    <w:rsid w:val="67C56A11"/>
    <w:rsid w:val="67DC3A63"/>
    <w:rsid w:val="67E071EA"/>
    <w:rsid w:val="67E33E17"/>
    <w:rsid w:val="67FC4971"/>
    <w:rsid w:val="680C2DD0"/>
    <w:rsid w:val="68152516"/>
    <w:rsid w:val="68221BAF"/>
    <w:rsid w:val="682D62D9"/>
    <w:rsid w:val="684C3086"/>
    <w:rsid w:val="685143BC"/>
    <w:rsid w:val="68542A0A"/>
    <w:rsid w:val="68555296"/>
    <w:rsid w:val="685A68BE"/>
    <w:rsid w:val="686C1E80"/>
    <w:rsid w:val="687E455F"/>
    <w:rsid w:val="68816836"/>
    <w:rsid w:val="689079C3"/>
    <w:rsid w:val="689A2A1B"/>
    <w:rsid w:val="68B95597"/>
    <w:rsid w:val="68D46A71"/>
    <w:rsid w:val="68D56910"/>
    <w:rsid w:val="68EF70C5"/>
    <w:rsid w:val="68F22D9F"/>
    <w:rsid w:val="69162C86"/>
    <w:rsid w:val="69180AD7"/>
    <w:rsid w:val="69214083"/>
    <w:rsid w:val="69456B9A"/>
    <w:rsid w:val="69481344"/>
    <w:rsid w:val="695700E3"/>
    <w:rsid w:val="6980516E"/>
    <w:rsid w:val="698B51FD"/>
    <w:rsid w:val="699024A8"/>
    <w:rsid w:val="69960468"/>
    <w:rsid w:val="69A109AD"/>
    <w:rsid w:val="69B875FD"/>
    <w:rsid w:val="69D5796F"/>
    <w:rsid w:val="69E00AE8"/>
    <w:rsid w:val="69E2467A"/>
    <w:rsid w:val="69F101EA"/>
    <w:rsid w:val="69F448E4"/>
    <w:rsid w:val="6A0606AA"/>
    <w:rsid w:val="6A090874"/>
    <w:rsid w:val="6A0F6D29"/>
    <w:rsid w:val="6A1231B1"/>
    <w:rsid w:val="6A1B780C"/>
    <w:rsid w:val="6A206086"/>
    <w:rsid w:val="6A3F0B90"/>
    <w:rsid w:val="6A3F71AB"/>
    <w:rsid w:val="6A407F9F"/>
    <w:rsid w:val="6A425119"/>
    <w:rsid w:val="6A4620BF"/>
    <w:rsid w:val="6A4D5F32"/>
    <w:rsid w:val="6A4F12CD"/>
    <w:rsid w:val="6A5D65D9"/>
    <w:rsid w:val="6A653139"/>
    <w:rsid w:val="6A6908F7"/>
    <w:rsid w:val="6A722F0B"/>
    <w:rsid w:val="6A7A4D5B"/>
    <w:rsid w:val="6A7E7518"/>
    <w:rsid w:val="6A825953"/>
    <w:rsid w:val="6A881C38"/>
    <w:rsid w:val="6A8A11E6"/>
    <w:rsid w:val="6A8B2F63"/>
    <w:rsid w:val="6A955B90"/>
    <w:rsid w:val="6A9C6F1F"/>
    <w:rsid w:val="6AC034F3"/>
    <w:rsid w:val="6AC645F4"/>
    <w:rsid w:val="6AC96987"/>
    <w:rsid w:val="6AD24017"/>
    <w:rsid w:val="6AD42C61"/>
    <w:rsid w:val="6AE14092"/>
    <w:rsid w:val="6AEA323D"/>
    <w:rsid w:val="6AF07997"/>
    <w:rsid w:val="6AF5032D"/>
    <w:rsid w:val="6AFB2812"/>
    <w:rsid w:val="6AFF182D"/>
    <w:rsid w:val="6B032C8C"/>
    <w:rsid w:val="6B0F64B4"/>
    <w:rsid w:val="6B243303"/>
    <w:rsid w:val="6B351D0A"/>
    <w:rsid w:val="6B3569BE"/>
    <w:rsid w:val="6B3A1CE8"/>
    <w:rsid w:val="6B3E4E41"/>
    <w:rsid w:val="6B4D49EF"/>
    <w:rsid w:val="6B556078"/>
    <w:rsid w:val="6B565CD0"/>
    <w:rsid w:val="6B68013D"/>
    <w:rsid w:val="6B7022D0"/>
    <w:rsid w:val="6B7B5422"/>
    <w:rsid w:val="6B852192"/>
    <w:rsid w:val="6B925A32"/>
    <w:rsid w:val="6B9C4F5E"/>
    <w:rsid w:val="6BA92B5A"/>
    <w:rsid w:val="6BB42760"/>
    <w:rsid w:val="6BD37065"/>
    <w:rsid w:val="6BDB3A77"/>
    <w:rsid w:val="6BE13B5E"/>
    <w:rsid w:val="6BE31674"/>
    <w:rsid w:val="6BE95EA9"/>
    <w:rsid w:val="6BEA6094"/>
    <w:rsid w:val="6C114575"/>
    <w:rsid w:val="6C2A7712"/>
    <w:rsid w:val="6C3E2214"/>
    <w:rsid w:val="6C427652"/>
    <w:rsid w:val="6C4D48CD"/>
    <w:rsid w:val="6C5F6456"/>
    <w:rsid w:val="6C643A6C"/>
    <w:rsid w:val="6C661592"/>
    <w:rsid w:val="6C8202CD"/>
    <w:rsid w:val="6C8639E2"/>
    <w:rsid w:val="6C961621"/>
    <w:rsid w:val="6C9D5038"/>
    <w:rsid w:val="6CB97B51"/>
    <w:rsid w:val="6CBB7DE1"/>
    <w:rsid w:val="6CC445CB"/>
    <w:rsid w:val="6CD042ED"/>
    <w:rsid w:val="6CDA2357"/>
    <w:rsid w:val="6CE8212C"/>
    <w:rsid w:val="6CED6224"/>
    <w:rsid w:val="6CF01775"/>
    <w:rsid w:val="6CFB62C0"/>
    <w:rsid w:val="6CFD7CAA"/>
    <w:rsid w:val="6D026DE8"/>
    <w:rsid w:val="6D0316B2"/>
    <w:rsid w:val="6D087337"/>
    <w:rsid w:val="6D0E1321"/>
    <w:rsid w:val="6D104BE0"/>
    <w:rsid w:val="6D132371"/>
    <w:rsid w:val="6D1338DD"/>
    <w:rsid w:val="6D153789"/>
    <w:rsid w:val="6D206DC5"/>
    <w:rsid w:val="6D3B4D97"/>
    <w:rsid w:val="6D487B73"/>
    <w:rsid w:val="6D4A2408"/>
    <w:rsid w:val="6D4B1E5A"/>
    <w:rsid w:val="6D54588F"/>
    <w:rsid w:val="6D5E70E9"/>
    <w:rsid w:val="6D6729D8"/>
    <w:rsid w:val="6D6E09F2"/>
    <w:rsid w:val="6D852386"/>
    <w:rsid w:val="6DBD67AE"/>
    <w:rsid w:val="6DCF3167"/>
    <w:rsid w:val="6DD54C21"/>
    <w:rsid w:val="6DD8026E"/>
    <w:rsid w:val="6DF453C2"/>
    <w:rsid w:val="6DFC1EB9"/>
    <w:rsid w:val="6E0C170B"/>
    <w:rsid w:val="6E25722B"/>
    <w:rsid w:val="6E3363CE"/>
    <w:rsid w:val="6E3C316F"/>
    <w:rsid w:val="6E453429"/>
    <w:rsid w:val="6E456275"/>
    <w:rsid w:val="6E4E36BD"/>
    <w:rsid w:val="6E5161B1"/>
    <w:rsid w:val="6E6127F4"/>
    <w:rsid w:val="6E631ECC"/>
    <w:rsid w:val="6E860D5E"/>
    <w:rsid w:val="6E880670"/>
    <w:rsid w:val="6E9028F6"/>
    <w:rsid w:val="6EA81F5F"/>
    <w:rsid w:val="6EB7522E"/>
    <w:rsid w:val="6EC002E5"/>
    <w:rsid w:val="6EC64ECD"/>
    <w:rsid w:val="6EC71F62"/>
    <w:rsid w:val="6ECD2CED"/>
    <w:rsid w:val="6EE1422E"/>
    <w:rsid w:val="6EE449F0"/>
    <w:rsid w:val="6EF14DB2"/>
    <w:rsid w:val="6EFA06B8"/>
    <w:rsid w:val="6F046E40"/>
    <w:rsid w:val="6F1743AC"/>
    <w:rsid w:val="6F3E2352"/>
    <w:rsid w:val="6F4656AB"/>
    <w:rsid w:val="6F5C1867"/>
    <w:rsid w:val="6F5C3F48"/>
    <w:rsid w:val="6F61462B"/>
    <w:rsid w:val="6F6D6714"/>
    <w:rsid w:val="6F8561D3"/>
    <w:rsid w:val="6F926B42"/>
    <w:rsid w:val="6F9C2017"/>
    <w:rsid w:val="6FA53B98"/>
    <w:rsid w:val="6FB37BE5"/>
    <w:rsid w:val="6FC2450B"/>
    <w:rsid w:val="6FC7059A"/>
    <w:rsid w:val="6FCA64CD"/>
    <w:rsid w:val="6FE112C4"/>
    <w:rsid w:val="6FF069FB"/>
    <w:rsid w:val="6FF36A80"/>
    <w:rsid w:val="6FFB0619"/>
    <w:rsid w:val="6FFD7D02"/>
    <w:rsid w:val="6FFE5F86"/>
    <w:rsid w:val="70020E6A"/>
    <w:rsid w:val="700D7F77"/>
    <w:rsid w:val="701A60AC"/>
    <w:rsid w:val="702149D3"/>
    <w:rsid w:val="7021684B"/>
    <w:rsid w:val="70217D0F"/>
    <w:rsid w:val="7045295A"/>
    <w:rsid w:val="7047527A"/>
    <w:rsid w:val="704E0CBB"/>
    <w:rsid w:val="7056241A"/>
    <w:rsid w:val="707B2CB1"/>
    <w:rsid w:val="70924B19"/>
    <w:rsid w:val="70952588"/>
    <w:rsid w:val="70A34833"/>
    <w:rsid w:val="70B75478"/>
    <w:rsid w:val="70BA7DE6"/>
    <w:rsid w:val="70BF74C3"/>
    <w:rsid w:val="70D56048"/>
    <w:rsid w:val="70DA3248"/>
    <w:rsid w:val="70DB6936"/>
    <w:rsid w:val="71027F8C"/>
    <w:rsid w:val="710A0DE2"/>
    <w:rsid w:val="71290DE0"/>
    <w:rsid w:val="712A4901"/>
    <w:rsid w:val="7134264D"/>
    <w:rsid w:val="71391F94"/>
    <w:rsid w:val="7148395C"/>
    <w:rsid w:val="715D7335"/>
    <w:rsid w:val="717159EA"/>
    <w:rsid w:val="71777F8A"/>
    <w:rsid w:val="719340CC"/>
    <w:rsid w:val="71946BA2"/>
    <w:rsid w:val="71A412EF"/>
    <w:rsid w:val="71B106B0"/>
    <w:rsid w:val="71B61A42"/>
    <w:rsid w:val="71BB267E"/>
    <w:rsid w:val="71BE59CD"/>
    <w:rsid w:val="71C32243"/>
    <w:rsid w:val="71CC4217"/>
    <w:rsid w:val="71D94178"/>
    <w:rsid w:val="71E258E0"/>
    <w:rsid w:val="71E371E1"/>
    <w:rsid w:val="71E450CA"/>
    <w:rsid w:val="71EA7F5E"/>
    <w:rsid w:val="71EE0EE5"/>
    <w:rsid w:val="71F773F9"/>
    <w:rsid w:val="71FB452B"/>
    <w:rsid w:val="72025ED5"/>
    <w:rsid w:val="720A7322"/>
    <w:rsid w:val="72137E38"/>
    <w:rsid w:val="721C41A5"/>
    <w:rsid w:val="721E571E"/>
    <w:rsid w:val="721F7D69"/>
    <w:rsid w:val="7225336C"/>
    <w:rsid w:val="722E3E35"/>
    <w:rsid w:val="72347A3D"/>
    <w:rsid w:val="724A7260"/>
    <w:rsid w:val="724B68D9"/>
    <w:rsid w:val="72541E8D"/>
    <w:rsid w:val="725E62FA"/>
    <w:rsid w:val="72860473"/>
    <w:rsid w:val="7299364D"/>
    <w:rsid w:val="72A51015"/>
    <w:rsid w:val="72C16C93"/>
    <w:rsid w:val="72D66A82"/>
    <w:rsid w:val="72D67597"/>
    <w:rsid w:val="72E43D31"/>
    <w:rsid w:val="72FF6E9B"/>
    <w:rsid w:val="73027148"/>
    <w:rsid w:val="7305147C"/>
    <w:rsid w:val="731A30F8"/>
    <w:rsid w:val="733A7EE8"/>
    <w:rsid w:val="734D11ED"/>
    <w:rsid w:val="735A55D3"/>
    <w:rsid w:val="73621B80"/>
    <w:rsid w:val="73740A39"/>
    <w:rsid w:val="7375174D"/>
    <w:rsid w:val="73795D83"/>
    <w:rsid w:val="737B6EF7"/>
    <w:rsid w:val="73850D73"/>
    <w:rsid w:val="738B56FD"/>
    <w:rsid w:val="738B5D82"/>
    <w:rsid w:val="73911760"/>
    <w:rsid w:val="73993FFB"/>
    <w:rsid w:val="739F2E93"/>
    <w:rsid w:val="73A60FE9"/>
    <w:rsid w:val="73B21B10"/>
    <w:rsid w:val="73B8143C"/>
    <w:rsid w:val="73C06788"/>
    <w:rsid w:val="73D813D5"/>
    <w:rsid w:val="73DB1F8F"/>
    <w:rsid w:val="73DE1B70"/>
    <w:rsid w:val="73E6120B"/>
    <w:rsid w:val="741378E4"/>
    <w:rsid w:val="74213FF1"/>
    <w:rsid w:val="743138C9"/>
    <w:rsid w:val="74346455"/>
    <w:rsid w:val="74497E8D"/>
    <w:rsid w:val="744F70D5"/>
    <w:rsid w:val="74542618"/>
    <w:rsid w:val="74604B19"/>
    <w:rsid w:val="746B1062"/>
    <w:rsid w:val="74836A59"/>
    <w:rsid w:val="74890514"/>
    <w:rsid w:val="74957A1D"/>
    <w:rsid w:val="74976F8C"/>
    <w:rsid w:val="749C28D6"/>
    <w:rsid w:val="74AC2DBE"/>
    <w:rsid w:val="74B03CF2"/>
    <w:rsid w:val="74B4279D"/>
    <w:rsid w:val="74C959EF"/>
    <w:rsid w:val="74D13C69"/>
    <w:rsid w:val="74D226D8"/>
    <w:rsid w:val="74D42A08"/>
    <w:rsid w:val="74D951DD"/>
    <w:rsid w:val="74E36253"/>
    <w:rsid w:val="74F273DA"/>
    <w:rsid w:val="74F600B5"/>
    <w:rsid w:val="750C6A4F"/>
    <w:rsid w:val="75102AF5"/>
    <w:rsid w:val="75114065"/>
    <w:rsid w:val="751C1B98"/>
    <w:rsid w:val="751C3CCD"/>
    <w:rsid w:val="752E2E69"/>
    <w:rsid w:val="753F1C14"/>
    <w:rsid w:val="75404D65"/>
    <w:rsid w:val="75410DEE"/>
    <w:rsid w:val="754B45FC"/>
    <w:rsid w:val="754C4FE3"/>
    <w:rsid w:val="75780005"/>
    <w:rsid w:val="75846F2D"/>
    <w:rsid w:val="758E56B6"/>
    <w:rsid w:val="759D26FD"/>
    <w:rsid w:val="75BA7DC9"/>
    <w:rsid w:val="75C158E1"/>
    <w:rsid w:val="75D75BBF"/>
    <w:rsid w:val="75F25C45"/>
    <w:rsid w:val="75F8173D"/>
    <w:rsid w:val="75FE15A4"/>
    <w:rsid w:val="76027B21"/>
    <w:rsid w:val="76087EFE"/>
    <w:rsid w:val="76124721"/>
    <w:rsid w:val="761D5D0D"/>
    <w:rsid w:val="762164BD"/>
    <w:rsid w:val="762F3987"/>
    <w:rsid w:val="763146BA"/>
    <w:rsid w:val="76373F9F"/>
    <w:rsid w:val="763C17CD"/>
    <w:rsid w:val="7651209F"/>
    <w:rsid w:val="765A396A"/>
    <w:rsid w:val="765B5EE0"/>
    <w:rsid w:val="76625186"/>
    <w:rsid w:val="76694515"/>
    <w:rsid w:val="7671183A"/>
    <w:rsid w:val="7671205E"/>
    <w:rsid w:val="76795A9A"/>
    <w:rsid w:val="76850BE3"/>
    <w:rsid w:val="768E7AAD"/>
    <w:rsid w:val="769D37DC"/>
    <w:rsid w:val="76AD1FDF"/>
    <w:rsid w:val="76AF483A"/>
    <w:rsid w:val="76C37C6F"/>
    <w:rsid w:val="76C61386"/>
    <w:rsid w:val="76CF1D13"/>
    <w:rsid w:val="76D56664"/>
    <w:rsid w:val="76E41A31"/>
    <w:rsid w:val="76E81AE6"/>
    <w:rsid w:val="76FD0D45"/>
    <w:rsid w:val="77000835"/>
    <w:rsid w:val="770802F0"/>
    <w:rsid w:val="771025D4"/>
    <w:rsid w:val="77115FC5"/>
    <w:rsid w:val="77196438"/>
    <w:rsid w:val="77326AF1"/>
    <w:rsid w:val="77342D6F"/>
    <w:rsid w:val="77383B2B"/>
    <w:rsid w:val="773B467C"/>
    <w:rsid w:val="775B5775"/>
    <w:rsid w:val="775E0D1F"/>
    <w:rsid w:val="776655B0"/>
    <w:rsid w:val="77685B26"/>
    <w:rsid w:val="777814CA"/>
    <w:rsid w:val="777B5097"/>
    <w:rsid w:val="777E55F4"/>
    <w:rsid w:val="777F79AC"/>
    <w:rsid w:val="77820DEB"/>
    <w:rsid w:val="7792671F"/>
    <w:rsid w:val="7797445D"/>
    <w:rsid w:val="77986D62"/>
    <w:rsid w:val="779905B2"/>
    <w:rsid w:val="77A015C8"/>
    <w:rsid w:val="77A92E90"/>
    <w:rsid w:val="77B650A0"/>
    <w:rsid w:val="77CE0481"/>
    <w:rsid w:val="77E43CB3"/>
    <w:rsid w:val="77EC7456"/>
    <w:rsid w:val="77EE7D89"/>
    <w:rsid w:val="77EF0483"/>
    <w:rsid w:val="77F13E57"/>
    <w:rsid w:val="77F54C8C"/>
    <w:rsid w:val="7803238B"/>
    <w:rsid w:val="78131205"/>
    <w:rsid w:val="781911C5"/>
    <w:rsid w:val="781A279F"/>
    <w:rsid w:val="782500E0"/>
    <w:rsid w:val="782F5811"/>
    <w:rsid w:val="78384A59"/>
    <w:rsid w:val="783B343E"/>
    <w:rsid w:val="78491B75"/>
    <w:rsid w:val="784A2663"/>
    <w:rsid w:val="784A43B3"/>
    <w:rsid w:val="78511348"/>
    <w:rsid w:val="785250C1"/>
    <w:rsid w:val="78564BB1"/>
    <w:rsid w:val="78581051"/>
    <w:rsid w:val="786228CD"/>
    <w:rsid w:val="786F0FB8"/>
    <w:rsid w:val="78714DF4"/>
    <w:rsid w:val="78721CEF"/>
    <w:rsid w:val="787234C6"/>
    <w:rsid w:val="78756296"/>
    <w:rsid w:val="788334CC"/>
    <w:rsid w:val="78933114"/>
    <w:rsid w:val="78B20233"/>
    <w:rsid w:val="78D12FAA"/>
    <w:rsid w:val="78D855C6"/>
    <w:rsid w:val="78FC0536"/>
    <w:rsid w:val="78FE7954"/>
    <w:rsid w:val="792C4CC9"/>
    <w:rsid w:val="79315979"/>
    <w:rsid w:val="79424F4F"/>
    <w:rsid w:val="795831E5"/>
    <w:rsid w:val="796E7E54"/>
    <w:rsid w:val="79756315"/>
    <w:rsid w:val="79765CDA"/>
    <w:rsid w:val="797C76D7"/>
    <w:rsid w:val="798B6ADC"/>
    <w:rsid w:val="79971D97"/>
    <w:rsid w:val="79A47621"/>
    <w:rsid w:val="79AA18D2"/>
    <w:rsid w:val="79AB6836"/>
    <w:rsid w:val="79C56A19"/>
    <w:rsid w:val="79D957CA"/>
    <w:rsid w:val="79DA621C"/>
    <w:rsid w:val="79DF69DB"/>
    <w:rsid w:val="79ED729C"/>
    <w:rsid w:val="79F426E3"/>
    <w:rsid w:val="7A0A78E3"/>
    <w:rsid w:val="7A2465E9"/>
    <w:rsid w:val="7A364577"/>
    <w:rsid w:val="7A54735F"/>
    <w:rsid w:val="7A5A319C"/>
    <w:rsid w:val="7A5B64AE"/>
    <w:rsid w:val="7A5C5D83"/>
    <w:rsid w:val="7A681FA7"/>
    <w:rsid w:val="7A6963D8"/>
    <w:rsid w:val="7A8D6E37"/>
    <w:rsid w:val="7AA21823"/>
    <w:rsid w:val="7AA7070E"/>
    <w:rsid w:val="7AA900DE"/>
    <w:rsid w:val="7AA936C9"/>
    <w:rsid w:val="7AB12D4C"/>
    <w:rsid w:val="7AD37F76"/>
    <w:rsid w:val="7AEE3815"/>
    <w:rsid w:val="7AEF423F"/>
    <w:rsid w:val="7AF32BF3"/>
    <w:rsid w:val="7AF771AA"/>
    <w:rsid w:val="7B063D79"/>
    <w:rsid w:val="7B095F0A"/>
    <w:rsid w:val="7B116B6D"/>
    <w:rsid w:val="7B190BA4"/>
    <w:rsid w:val="7B334D35"/>
    <w:rsid w:val="7B36137C"/>
    <w:rsid w:val="7B3A2568"/>
    <w:rsid w:val="7B486307"/>
    <w:rsid w:val="7B51165F"/>
    <w:rsid w:val="7B6F5B5B"/>
    <w:rsid w:val="7B7415FA"/>
    <w:rsid w:val="7B765886"/>
    <w:rsid w:val="7B7C4D25"/>
    <w:rsid w:val="7B893C25"/>
    <w:rsid w:val="7B8B5C40"/>
    <w:rsid w:val="7B90640C"/>
    <w:rsid w:val="7B922E29"/>
    <w:rsid w:val="7BAB0D70"/>
    <w:rsid w:val="7BBC11CF"/>
    <w:rsid w:val="7BBF79A8"/>
    <w:rsid w:val="7BC24F1F"/>
    <w:rsid w:val="7BE129E3"/>
    <w:rsid w:val="7BE23EB3"/>
    <w:rsid w:val="7BE91898"/>
    <w:rsid w:val="7BF72207"/>
    <w:rsid w:val="7C161B08"/>
    <w:rsid w:val="7C3A2FA7"/>
    <w:rsid w:val="7C541407"/>
    <w:rsid w:val="7C5840BF"/>
    <w:rsid w:val="7C6D071B"/>
    <w:rsid w:val="7C7750F6"/>
    <w:rsid w:val="7C84107F"/>
    <w:rsid w:val="7C8B294F"/>
    <w:rsid w:val="7C9909ED"/>
    <w:rsid w:val="7C9C2291"/>
    <w:rsid w:val="7CA46921"/>
    <w:rsid w:val="7CA56991"/>
    <w:rsid w:val="7CA71E0B"/>
    <w:rsid w:val="7CB85E09"/>
    <w:rsid w:val="7CFE3A42"/>
    <w:rsid w:val="7CFF1519"/>
    <w:rsid w:val="7CFF7755"/>
    <w:rsid w:val="7D013878"/>
    <w:rsid w:val="7D0F508E"/>
    <w:rsid w:val="7D17450A"/>
    <w:rsid w:val="7D1943FF"/>
    <w:rsid w:val="7D2557AC"/>
    <w:rsid w:val="7D3F099E"/>
    <w:rsid w:val="7D4B01E2"/>
    <w:rsid w:val="7D4F1BCF"/>
    <w:rsid w:val="7D533A52"/>
    <w:rsid w:val="7D5B43D0"/>
    <w:rsid w:val="7D6243C6"/>
    <w:rsid w:val="7D76523E"/>
    <w:rsid w:val="7D78086B"/>
    <w:rsid w:val="7D781E69"/>
    <w:rsid w:val="7D7B5075"/>
    <w:rsid w:val="7D832173"/>
    <w:rsid w:val="7D8A3C14"/>
    <w:rsid w:val="7D8C5B06"/>
    <w:rsid w:val="7D934401"/>
    <w:rsid w:val="7D953960"/>
    <w:rsid w:val="7D961406"/>
    <w:rsid w:val="7DA56991"/>
    <w:rsid w:val="7DA623C2"/>
    <w:rsid w:val="7DA737B9"/>
    <w:rsid w:val="7DB639FC"/>
    <w:rsid w:val="7DBB1012"/>
    <w:rsid w:val="7DC425BD"/>
    <w:rsid w:val="7DFF0E02"/>
    <w:rsid w:val="7E037786"/>
    <w:rsid w:val="7E070C8C"/>
    <w:rsid w:val="7E0800A0"/>
    <w:rsid w:val="7E0C521E"/>
    <w:rsid w:val="7E0E7E19"/>
    <w:rsid w:val="7E1840CC"/>
    <w:rsid w:val="7E1964D0"/>
    <w:rsid w:val="7E2A3B50"/>
    <w:rsid w:val="7E303249"/>
    <w:rsid w:val="7E525E1A"/>
    <w:rsid w:val="7E555123"/>
    <w:rsid w:val="7E557656"/>
    <w:rsid w:val="7E670D79"/>
    <w:rsid w:val="7E7538B7"/>
    <w:rsid w:val="7E841CD2"/>
    <w:rsid w:val="7E844BCE"/>
    <w:rsid w:val="7E8B4E88"/>
    <w:rsid w:val="7E8D660B"/>
    <w:rsid w:val="7E920963"/>
    <w:rsid w:val="7E9433D2"/>
    <w:rsid w:val="7E992085"/>
    <w:rsid w:val="7EB47F46"/>
    <w:rsid w:val="7EB94600"/>
    <w:rsid w:val="7ECE52DF"/>
    <w:rsid w:val="7ECF7C45"/>
    <w:rsid w:val="7ED82860"/>
    <w:rsid w:val="7EF45DB1"/>
    <w:rsid w:val="7EFD2358"/>
    <w:rsid w:val="7EFF5324"/>
    <w:rsid w:val="7F03165A"/>
    <w:rsid w:val="7F077A20"/>
    <w:rsid w:val="7F077BC2"/>
    <w:rsid w:val="7F09267A"/>
    <w:rsid w:val="7F1A681E"/>
    <w:rsid w:val="7F2B23E6"/>
    <w:rsid w:val="7F2B4123"/>
    <w:rsid w:val="7F3426C9"/>
    <w:rsid w:val="7F3E0944"/>
    <w:rsid w:val="7F3E5DC7"/>
    <w:rsid w:val="7F437894"/>
    <w:rsid w:val="7F5C2ED4"/>
    <w:rsid w:val="7F5E061E"/>
    <w:rsid w:val="7F643B5C"/>
    <w:rsid w:val="7F7F2B17"/>
    <w:rsid w:val="7F8A3D01"/>
    <w:rsid w:val="7F8B6823"/>
    <w:rsid w:val="7F9B25D3"/>
    <w:rsid w:val="7F9C4EBD"/>
    <w:rsid w:val="7FAD310E"/>
    <w:rsid w:val="7FCD6742"/>
    <w:rsid w:val="7FD83999"/>
    <w:rsid w:val="7FE44850"/>
    <w:rsid w:val="7FE546A7"/>
    <w:rsid w:val="7FE5681A"/>
    <w:rsid w:val="7FFB603E"/>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65"/>
    <w:autoRedefine/>
    <w:qFormat/>
    <w:uiPriority w:val="0"/>
    <w:pPr>
      <w:keepNext/>
      <w:keepLines/>
      <w:spacing w:line="440" w:lineRule="exact"/>
      <w:jc w:val="center"/>
      <w:outlineLvl w:val="0"/>
    </w:pPr>
    <w:rPr>
      <w:b/>
      <w:bCs/>
      <w:kern w:val="44"/>
      <w:sz w:val="44"/>
      <w:szCs w:val="44"/>
    </w:rPr>
  </w:style>
  <w:style w:type="paragraph" w:styleId="7">
    <w:name w:val="heading 2"/>
    <w:basedOn w:val="1"/>
    <w:next w:val="1"/>
    <w:link w:val="198"/>
    <w:autoRedefine/>
    <w:qFormat/>
    <w:uiPriority w:val="0"/>
    <w:pPr>
      <w:keepNext/>
      <w:keepLines/>
      <w:spacing w:line="440" w:lineRule="exact"/>
      <w:jc w:val="left"/>
      <w:outlineLvl w:val="1"/>
    </w:pPr>
    <w:rPr>
      <w:rFonts w:ascii="Arial" w:hAnsi="Arial" w:eastAsia="黑体"/>
      <w:b/>
      <w:bCs/>
      <w:szCs w:val="32"/>
    </w:rPr>
  </w:style>
  <w:style w:type="paragraph" w:styleId="8">
    <w:name w:val="heading 3"/>
    <w:basedOn w:val="1"/>
    <w:next w:val="1"/>
    <w:link w:val="154"/>
    <w:autoRedefine/>
    <w:qFormat/>
    <w:uiPriority w:val="0"/>
    <w:pPr>
      <w:keepNext/>
      <w:keepLines/>
      <w:spacing w:line="415" w:lineRule="auto"/>
      <w:outlineLvl w:val="2"/>
    </w:pPr>
    <w:rPr>
      <w:b/>
      <w:bCs/>
      <w:kern w:val="0"/>
      <w:sz w:val="32"/>
      <w:szCs w:val="32"/>
    </w:rPr>
  </w:style>
  <w:style w:type="paragraph" w:styleId="9">
    <w:name w:val="heading 4"/>
    <w:basedOn w:val="1"/>
    <w:next w:val="1"/>
    <w:autoRedefine/>
    <w:qFormat/>
    <w:uiPriority w:val="0"/>
    <w:pPr>
      <w:keepNext/>
      <w:keepLines/>
      <w:spacing w:line="374" w:lineRule="auto"/>
      <w:outlineLvl w:val="3"/>
    </w:pPr>
    <w:rPr>
      <w:rFonts w:ascii="Arial" w:hAnsi="Arial" w:eastAsia="黑体"/>
      <w:b/>
      <w:bCs/>
      <w:sz w:val="28"/>
      <w:szCs w:val="28"/>
    </w:rPr>
  </w:style>
  <w:style w:type="paragraph" w:styleId="10">
    <w:name w:val="heading 5"/>
    <w:basedOn w:val="1"/>
    <w:next w:val="1"/>
    <w:link w:val="131"/>
    <w:autoRedefine/>
    <w:qFormat/>
    <w:uiPriority w:val="0"/>
    <w:pPr>
      <w:keepNext/>
      <w:keepLines/>
      <w:spacing w:line="376" w:lineRule="auto"/>
      <w:outlineLvl w:val="4"/>
    </w:pPr>
    <w:rPr>
      <w:b/>
      <w:bCs/>
      <w:sz w:val="28"/>
      <w:szCs w:val="28"/>
    </w:rPr>
  </w:style>
  <w:style w:type="paragraph" w:styleId="11">
    <w:name w:val="heading 6"/>
    <w:basedOn w:val="1"/>
    <w:next w:val="1"/>
    <w:autoRedefine/>
    <w:qFormat/>
    <w:uiPriority w:val="0"/>
    <w:pPr>
      <w:keepNext/>
      <w:keepLines/>
      <w:widowControl/>
      <w:tabs>
        <w:tab w:val="left" w:pos="1440"/>
      </w:tabs>
      <w:spacing w:line="319" w:lineRule="auto"/>
      <w:ind w:left="1152" w:hanging="1152"/>
      <w:jc w:val="left"/>
      <w:outlineLvl w:val="5"/>
    </w:pPr>
    <w:rPr>
      <w:rFonts w:ascii="Arial" w:hAnsi="Arial" w:eastAsia="黑体"/>
      <w:b/>
      <w:bCs/>
      <w:kern w:val="0"/>
      <w:sz w:val="24"/>
    </w:rPr>
  </w:style>
  <w:style w:type="paragraph" w:styleId="12">
    <w:name w:val="heading 7"/>
    <w:basedOn w:val="1"/>
    <w:next w:val="1"/>
    <w:autoRedefine/>
    <w:qFormat/>
    <w:uiPriority w:val="0"/>
    <w:pPr>
      <w:keepNext/>
      <w:keepLines/>
      <w:widowControl/>
      <w:tabs>
        <w:tab w:val="left" w:pos="2520"/>
      </w:tabs>
      <w:spacing w:line="319" w:lineRule="auto"/>
      <w:ind w:left="1296" w:hanging="1296"/>
      <w:jc w:val="left"/>
      <w:outlineLvl w:val="6"/>
    </w:pPr>
    <w:rPr>
      <w:b/>
      <w:bCs/>
      <w:kern w:val="0"/>
      <w:sz w:val="24"/>
    </w:rPr>
  </w:style>
  <w:style w:type="paragraph" w:styleId="13">
    <w:name w:val="heading 8"/>
    <w:basedOn w:val="1"/>
    <w:next w:val="1"/>
    <w:autoRedefine/>
    <w:qFormat/>
    <w:uiPriority w:val="0"/>
    <w:pPr>
      <w:keepNext/>
      <w:keepLines/>
      <w:widowControl/>
      <w:tabs>
        <w:tab w:val="left" w:pos="1440"/>
      </w:tabs>
      <w:spacing w:line="319" w:lineRule="auto"/>
      <w:ind w:left="1440" w:hanging="1440"/>
      <w:jc w:val="left"/>
      <w:outlineLvl w:val="7"/>
    </w:pPr>
    <w:rPr>
      <w:rFonts w:ascii="Arial" w:hAnsi="Arial" w:eastAsia="黑体"/>
      <w:kern w:val="0"/>
      <w:sz w:val="24"/>
    </w:rPr>
  </w:style>
  <w:style w:type="paragraph" w:styleId="14">
    <w:name w:val="heading 9"/>
    <w:basedOn w:val="1"/>
    <w:next w:val="1"/>
    <w:autoRedefine/>
    <w:qFormat/>
    <w:uiPriority w:val="0"/>
    <w:pPr>
      <w:keepNext/>
      <w:keepLines/>
      <w:widowControl/>
      <w:tabs>
        <w:tab w:val="left" w:pos="1584"/>
      </w:tabs>
      <w:spacing w:line="319" w:lineRule="auto"/>
      <w:ind w:left="1584" w:hanging="1584"/>
      <w:jc w:val="left"/>
      <w:outlineLvl w:val="8"/>
    </w:pPr>
    <w:rPr>
      <w:rFonts w:ascii="Arial" w:hAnsi="Arial" w:eastAsia="黑体"/>
      <w:kern w:val="0"/>
      <w:szCs w:val="21"/>
    </w:rPr>
  </w:style>
  <w:style w:type="character" w:default="1" w:styleId="48">
    <w:name w:val="Default Paragraph Font"/>
    <w:autoRedefine/>
    <w:semiHidden/>
    <w:unhideWhenUsed/>
    <w:qFormat/>
    <w:uiPriority w:val="1"/>
  </w:style>
  <w:style w:type="table" w:default="1" w:styleId="4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autoRedefine/>
    <w:qFormat/>
    <w:uiPriority w:val="0"/>
    <w:pPr>
      <w:spacing w:line="360" w:lineRule="auto"/>
      <w:ind w:firstLine="200" w:firstLineChars="200"/>
    </w:pPr>
    <w:rPr>
      <w:rFonts w:ascii="宋体"/>
      <w:szCs w:val="20"/>
    </w:rPr>
  </w:style>
  <w:style w:type="paragraph" w:styleId="3">
    <w:name w:val="Body Text Indent"/>
    <w:basedOn w:val="1"/>
    <w:next w:val="4"/>
    <w:autoRedefine/>
    <w:qFormat/>
    <w:uiPriority w:val="0"/>
    <w:pPr>
      <w:ind w:left="420" w:leftChars="200"/>
    </w:pPr>
  </w:style>
  <w:style w:type="paragraph" w:styleId="4">
    <w:name w:val="envelope return"/>
    <w:basedOn w:val="1"/>
    <w:next w:val="5"/>
    <w:autoRedefine/>
    <w:qFormat/>
    <w:uiPriority w:val="0"/>
    <w:pPr>
      <w:snapToGrid w:val="0"/>
    </w:pPr>
    <w:rPr>
      <w:rFonts w:ascii="Arial" w:hAnsi="Arial"/>
    </w:rPr>
  </w:style>
  <w:style w:type="paragraph" w:styleId="5">
    <w:name w:val="toc 7"/>
    <w:basedOn w:val="1"/>
    <w:next w:val="1"/>
    <w:autoRedefine/>
    <w:qFormat/>
    <w:uiPriority w:val="39"/>
    <w:pPr>
      <w:ind w:left="1260"/>
      <w:jc w:val="left"/>
    </w:pPr>
    <w:rPr>
      <w:sz w:val="18"/>
      <w:szCs w:val="18"/>
    </w:rPr>
  </w:style>
  <w:style w:type="paragraph" w:styleId="15">
    <w:name w:val="table of authorities"/>
    <w:basedOn w:val="1"/>
    <w:next w:val="1"/>
    <w:autoRedefine/>
    <w:unhideWhenUsed/>
    <w:qFormat/>
    <w:uiPriority w:val="0"/>
    <w:pPr>
      <w:ind w:left="420" w:leftChars="200"/>
    </w:pPr>
  </w:style>
  <w:style w:type="paragraph" w:styleId="16">
    <w:name w:val="Normal Indent"/>
    <w:basedOn w:val="1"/>
    <w:next w:val="2"/>
    <w:autoRedefine/>
    <w:qFormat/>
    <w:uiPriority w:val="0"/>
    <w:pPr>
      <w:ind w:firstLine="420" w:firstLineChars="200"/>
    </w:pPr>
  </w:style>
  <w:style w:type="paragraph" w:styleId="17">
    <w:name w:val="Document Map"/>
    <w:basedOn w:val="1"/>
    <w:autoRedefine/>
    <w:qFormat/>
    <w:uiPriority w:val="0"/>
    <w:pPr>
      <w:shd w:val="clear" w:color="auto" w:fill="000080"/>
    </w:pPr>
  </w:style>
  <w:style w:type="paragraph" w:styleId="18">
    <w:name w:val="annotation text"/>
    <w:basedOn w:val="1"/>
    <w:link w:val="115"/>
    <w:autoRedefine/>
    <w:qFormat/>
    <w:uiPriority w:val="0"/>
    <w:pPr>
      <w:jc w:val="left"/>
    </w:pPr>
  </w:style>
  <w:style w:type="paragraph" w:styleId="19">
    <w:name w:val="Body Text 3"/>
    <w:basedOn w:val="1"/>
    <w:autoRedefine/>
    <w:qFormat/>
    <w:uiPriority w:val="0"/>
    <w:rPr>
      <w:rFonts w:ascii="宋体"/>
      <w:sz w:val="24"/>
      <w:szCs w:val="20"/>
    </w:rPr>
  </w:style>
  <w:style w:type="paragraph" w:styleId="20">
    <w:name w:val="Body Text"/>
    <w:basedOn w:val="1"/>
    <w:link w:val="143"/>
    <w:autoRedefine/>
    <w:qFormat/>
    <w:uiPriority w:val="0"/>
  </w:style>
  <w:style w:type="paragraph" w:styleId="21">
    <w:name w:val="Block Text"/>
    <w:basedOn w:val="1"/>
    <w:next w:val="22"/>
    <w:autoRedefine/>
    <w:qFormat/>
    <w:uiPriority w:val="0"/>
    <w:pPr>
      <w:spacing w:line="400" w:lineRule="exact"/>
      <w:ind w:left="-359" w:leftChars="-171" w:right="31" w:rightChars="15" w:firstLine="980" w:firstLineChars="350"/>
    </w:pPr>
    <w:rPr>
      <w:rFonts w:ascii="宋体" w:hAnsi="宋体"/>
      <w:sz w:val="28"/>
      <w:szCs w:val="32"/>
    </w:rPr>
  </w:style>
  <w:style w:type="paragraph" w:styleId="22">
    <w:name w:val="Body Text Indent 3"/>
    <w:basedOn w:val="1"/>
    <w:next w:val="1"/>
    <w:autoRedefine/>
    <w:qFormat/>
    <w:uiPriority w:val="0"/>
    <w:pPr>
      <w:ind w:left="420" w:leftChars="200"/>
    </w:pPr>
    <w:rPr>
      <w:sz w:val="16"/>
      <w:szCs w:val="16"/>
    </w:rPr>
  </w:style>
  <w:style w:type="paragraph" w:styleId="23">
    <w:name w:val="toc 5"/>
    <w:basedOn w:val="1"/>
    <w:next w:val="1"/>
    <w:autoRedefine/>
    <w:qFormat/>
    <w:uiPriority w:val="39"/>
    <w:pPr>
      <w:ind w:left="840"/>
      <w:jc w:val="left"/>
    </w:pPr>
    <w:rPr>
      <w:sz w:val="18"/>
      <w:szCs w:val="18"/>
    </w:rPr>
  </w:style>
  <w:style w:type="paragraph" w:styleId="24">
    <w:name w:val="toc 3"/>
    <w:basedOn w:val="1"/>
    <w:next w:val="1"/>
    <w:autoRedefine/>
    <w:qFormat/>
    <w:uiPriority w:val="39"/>
    <w:pPr>
      <w:ind w:left="420"/>
      <w:jc w:val="left"/>
    </w:pPr>
    <w:rPr>
      <w:i/>
      <w:iCs/>
      <w:sz w:val="20"/>
      <w:szCs w:val="20"/>
    </w:rPr>
  </w:style>
  <w:style w:type="paragraph" w:styleId="25">
    <w:name w:val="Plain Text"/>
    <w:basedOn w:val="1"/>
    <w:next w:val="1"/>
    <w:link w:val="138"/>
    <w:autoRedefine/>
    <w:qFormat/>
    <w:uiPriority w:val="0"/>
    <w:rPr>
      <w:rFonts w:ascii="Courier New" w:hAnsi="Courier New"/>
      <w:szCs w:val="20"/>
    </w:rPr>
  </w:style>
  <w:style w:type="paragraph" w:styleId="26">
    <w:name w:val="toc 8"/>
    <w:basedOn w:val="1"/>
    <w:next w:val="1"/>
    <w:autoRedefine/>
    <w:qFormat/>
    <w:uiPriority w:val="39"/>
    <w:pPr>
      <w:ind w:left="1470"/>
      <w:jc w:val="left"/>
    </w:pPr>
    <w:rPr>
      <w:sz w:val="18"/>
      <w:szCs w:val="18"/>
    </w:rPr>
  </w:style>
  <w:style w:type="paragraph" w:styleId="27">
    <w:name w:val="Date"/>
    <w:basedOn w:val="1"/>
    <w:next w:val="1"/>
    <w:autoRedefine/>
    <w:qFormat/>
    <w:uiPriority w:val="0"/>
    <w:rPr>
      <w:sz w:val="24"/>
      <w:szCs w:val="20"/>
    </w:rPr>
  </w:style>
  <w:style w:type="paragraph" w:styleId="28">
    <w:name w:val="Body Text Indent 2"/>
    <w:basedOn w:val="1"/>
    <w:autoRedefine/>
    <w:qFormat/>
    <w:uiPriority w:val="0"/>
    <w:pPr>
      <w:spacing w:line="360" w:lineRule="exact"/>
      <w:ind w:firstLine="600" w:firstLineChars="250"/>
      <w:jc w:val="left"/>
    </w:pPr>
    <w:rPr>
      <w:sz w:val="24"/>
    </w:rPr>
  </w:style>
  <w:style w:type="paragraph" w:styleId="29">
    <w:name w:val="Balloon Text"/>
    <w:basedOn w:val="1"/>
    <w:autoRedefine/>
    <w:qFormat/>
    <w:uiPriority w:val="0"/>
    <w:rPr>
      <w:sz w:val="18"/>
      <w:szCs w:val="18"/>
    </w:rPr>
  </w:style>
  <w:style w:type="paragraph" w:styleId="30">
    <w:name w:val="footer"/>
    <w:basedOn w:val="1"/>
    <w:next w:val="1"/>
    <w:autoRedefine/>
    <w:qFormat/>
    <w:uiPriority w:val="0"/>
    <w:pPr>
      <w:tabs>
        <w:tab w:val="center" w:pos="4153"/>
        <w:tab w:val="right" w:pos="8306"/>
      </w:tabs>
      <w:snapToGrid w:val="0"/>
      <w:jc w:val="left"/>
    </w:pPr>
    <w:rPr>
      <w:sz w:val="18"/>
      <w:szCs w:val="18"/>
    </w:rPr>
  </w:style>
  <w:style w:type="paragraph" w:styleId="3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jc w:val="left"/>
    </w:pPr>
    <w:rPr>
      <w:b/>
      <w:bCs/>
      <w:caps/>
      <w:sz w:val="20"/>
      <w:szCs w:val="20"/>
    </w:rPr>
  </w:style>
  <w:style w:type="paragraph" w:styleId="33">
    <w:name w:val="toc 4"/>
    <w:basedOn w:val="1"/>
    <w:next w:val="1"/>
    <w:autoRedefine/>
    <w:qFormat/>
    <w:uiPriority w:val="39"/>
    <w:pPr>
      <w:ind w:left="630"/>
      <w:jc w:val="left"/>
    </w:pPr>
    <w:rPr>
      <w:sz w:val="18"/>
      <w:szCs w:val="18"/>
    </w:rPr>
  </w:style>
  <w:style w:type="paragraph" w:styleId="34">
    <w:name w:val="List"/>
    <w:basedOn w:val="1"/>
    <w:autoRedefine/>
    <w:qFormat/>
    <w:uiPriority w:val="0"/>
    <w:pPr>
      <w:ind w:left="420" w:hanging="420"/>
    </w:pPr>
  </w:style>
  <w:style w:type="paragraph" w:styleId="35">
    <w:name w:val="footnote text"/>
    <w:basedOn w:val="1"/>
    <w:autoRedefine/>
    <w:qFormat/>
    <w:uiPriority w:val="0"/>
    <w:rPr>
      <w:sz w:val="20"/>
      <w:szCs w:val="20"/>
    </w:rPr>
  </w:style>
  <w:style w:type="paragraph" w:styleId="36">
    <w:name w:val="toc 6"/>
    <w:basedOn w:val="1"/>
    <w:next w:val="1"/>
    <w:autoRedefine/>
    <w:qFormat/>
    <w:uiPriority w:val="39"/>
    <w:pPr>
      <w:ind w:left="1050"/>
      <w:jc w:val="left"/>
    </w:pPr>
    <w:rPr>
      <w:sz w:val="18"/>
      <w:szCs w:val="18"/>
    </w:rPr>
  </w:style>
  <w:style w:type="paragraph" w:styleId="37">
    <w:name w:val="table of figures"/>
    <w:basedOn w:val="1"/>
    <w:next w:val="1"/>
    <w:autoRedefine/>
    <w:qFormat/>
    <w:uiPriority w:val="0"/>
    <w:pPr>
      <w:ind w:left="200" w:leftChars="200" w:hanging="200" w:hangingChars="200"/>
    </w:pPr>
  </w:style>
  <w:style w:type="paragraph" w:styleId="38">
    <w:name w:val="toc 2"/>
    <w:basedOn w:val="1"/>
    <w:next w:val="1"/>
    <w:autoRedefine/>
    <w:qFormat/>
    <w:uiPriority w:val="39"/>
    <w:pPr>
      <w:ind w:left="210"/>
      <w:jc w:val="left"/>
    </w:pPr>
    <w:rPr>
      <w:smallCaps/>
      <w:sz w:val="20"/>
      <w:szCs w:val="20"/>
    </w:rPr>
  </w:style>
  <w:style w:type="paragraph" w:styleId="39">
    <w:name w:val="toc 9"/>
    <w:basedOn w:val="1"/>
    <w:next w:val="1"/>
    <w:autoRedefine/>
    <w:qFormat/>
    <w:uiPriority w:val="39"/>
    <w:pPr>
      <w:ind w:left="1680"/>
      <w:jc w:val="left"/>
    </w:pPr>
    <w:rPr>
      <w:sz w:val="18"/>
      <w:szCs w:val="18"/>
    </w:rPr>
  </w:style>
  <w:style w:type="paragraph" w:styleId="40">
    <w:name w:val="Body Text 2"/>
    <w:basedOn w:val="1"/>
    <w:autoRedefine/>
    <w:qFormat/>
    <w:uiPriority w:val="0"/>
    <w:pPr>
      <w:spacing w:line="440" w:lineRule="exact"/>
    </w:pPr>
    <w:rPr>
      <w:sz w:val="28"/>
    </w:rPr>
  </w:style>
  <w:style w:type="paragraph" w:styleId="41">
    <w:name w:val="HTML Preformatted"/>
    <w:basedOn w:val="1"/>
    <w:link w:val="11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2">
    <w:name w:val="Normal (Web)"/>
    <w:basedOn w:val="1"/>
    <w:autoRedefine/>
    <w:qFormat/>
    <w:uiPriority w:val="99"/>
    <w:pPr>
      <w:widowControl/>
      <w:spacing w:beforeAutospacing="1" w:afterAutospacing="1"/>
      <w:jc w:val="left"/>
    </w:pPr>
    <w:rPr>
      <w:rFonts w:ascii="宋体" w:hAnsi="宋体" w:cs="宋体"/>
      <w:kern w:val="0"/>
      <w:sz w:val="24"/>
    </w:rPr>
  </w:style>
  <w:style w:type="paragraph" w:styleId="43">
    <w:name w:val="Title"/>
    <w:basedOn w:val="1"/>
    <w:autoRedefine/>
    <w:qFormat/>
    <w:uiPriority w:val="0"/>
    <w:pPr>
      <w:adjustRightInd w:val="0"/>
      <w:spacing w:line="420" w:lineRule="atLeast"/>
      <w:jc w:val="center"/>
      <w:textAlignment w:val="baseline"/>
      <w:outlineLvl w:val="0"/>
    </w:pPr>
    <w:rPr>
      <w:rFonts w:ascii="Arial" w:hAnsi="Arial"/>
      <w:b/>
      <w:kern w:val="0"/>
      <w:sz w:val="32"/>
      <w:szCs w:val="20"/>
    </w:rPr>
  </w:style>
  <w:style w:type="paragraph" w:styleId="44">
    <w:name w:val="annotation subject"/>
    <w:basedOn w:val="18"/>
    <w:next w:val="18"/>
    <w:autoRedefine/>
    <w:qFormat/>
    <w:uiPriority w:val="0"/>
    <w:rPr>
      <w:b/>
      <w:bCs/>
    </w:rPr>
  </w:style>
  <w:style w:type="paragraph" w:styleId="45">
    <w:name w:val="Body Text First Indent"/>
    <w:basedOn w:val="20"/>
    <w:autoRedefine/>
    <w:qFormat/>
    <w:uiPriority w:val="0"/>
    <w:pPr>
      <w:ind w:firstLine="420" w:firstLineChars="100"/>
    </w:pPr>
  </w:style>
  <w:style w:type="table" w:styleId="47">
    <w:name w:val="Table Grid"/>
    <w:basedOn w:val="4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autoRedefine/>
    <w:qFormat/>
    <w:uiPriority w:val="0"/>
    <w:rPr>
      <w:b/>
      <w:bCs/>
    </w:rPr>
  </w:style>
  <w:style w:type="character" w:styleId="50">
    <w:name w:val="page number"/>
    <w:basedOn w:val="48"/>
    <w:autoRedefine/>
    <w:qFormat/>
    <w:uiPriority w:val="0"/>
  </w:style>
  <w:style w:type="character" w:styleId="51">
    <w:name w:val="FollowedHyperlink"/>
    <w:autoRedefine/>
    <w:qFormat/>
    <w:uiPriority w:val="0"/>
    <w:rPr>
      <w:color w:val="333333"/>
      <w:u w:val="none"/>
    </w:rPr>
  </w:style>
  <w:style w:type="character" w:styleId="52">
    <w:name w:val="Emphasis"/>
    <w:autoRedefine/>
    <w:qFormat/>
    <w:uiPriority w:val="0"/>
    <w:rPr>
      <w:color w:val="CC0033"/>
    </w:rPr>
  </w:style>
  <w:style w:type="character" w:styleId="53">
    <w:name w:val="HTML Definition"/>
    <w:autoRedefine/>
    <w:qFormat/>
    <w:uiPriority w:val="0"/>
  </w:style>
  <w:style w:type="character" w:styleId="54">
    <w:name w:val="HTML Typewriter"/>
    <w:autoRedefine/>
    <w:qFormat/>
    <w:uiPriority w:val="0"/>
    <w:rPr>
      <w:rFonts w:hint="default" w:ascii="monospace" w:hAnsi="monospace" w:eastAsia="monospace" w:cs="monospace"/>
      <w:sz w:val="20"/>
    </w:rPr>
  </w:style>
  <w:style w:type="character" w:styleId="55">
    <w:name w:val="HTML Acronym"/>
    <w:basedOn w:val="48"/>
    <w:autoRedefine/>
    <w:qFormat/>
    <w:uiPriority w:val="0"/>
  </w:style>
  <w:style w:type="character" w:styleId="56">
    <w:name w:val="HTML Variable"/>
    <w:autoRedefine/>
    <w:qFormat/>
    <w:uiPriority w:val="0"/>
  </w:style>
  <w:style w:type="character" w:styleId="57">
    <w:name w:val="Hyperlink"/>
    <w:basedOn w:val="48"/>
    <w:autoRedefine/>
    <w:qFormat/>
    <w:uiPriority w:val="99"/>
    <w:rPr>
      <w:color w:val="333333"/>
      <w:u w:val="none"/>
    </w:rPr>
  </w:style>
  <w:style w:type="character" w:styleId="58">
    <w:name w:val="HTML Code"/>
    <w:autoRedefine/>
    <w:qFormat/>
    <w:uiPriority w:val="0"/>
    <w:rPr>
      <w:rFonts w:hint="default" w:ascii="monospace" w:hAnsi="monospace" w:eastAsia="monospace" w:cs="monospace"/>
      <w:sz w:val="20"/>
    </w:rPr>
  </w:style>
  <w:style w:type="character" w:styleId="59">
    <w:name w:val="annotation reference"/>
    <w:autoRedefine/>
    <w:qFormat/>
    <w:uiPriority w:val="0"/>
    <w:rPr>
      <w:sz w:val="21"/>
      <w:szCs w:val="21"/>
    </w:rPr>
  </w:style>
  <w:style w:type="character" w:styleId="60">
    <w:name w:val="HTML Cite"/>
    <w:autoRedefine/>
    <w:qFormat/>
    <w:uiPriority w:val="0"/>
  </w:style>
  <w:style w:type="character" w:styleId="61">
    <w:name w:val="footnote reference"/>
    <w:autoRedefine/>
    <w:qFormat/>
    <w:uiPriority w:val="0"/>
    <w:rPr>
      <w:vertAlign w:val="superscript"/>
    </w:rPr>
  </w:style>
  <w:style w:type="character" w:styleId="62">
    <w:name w:val="HTML Keyboard"/>
    <w:autoRedefine/>
    <w:qFormat/>
    <w:uiPriority w:val="0"/>
    <w:rPr>
      <w:rFonts w:ascii="monospace" w:hAnsi="monospace" w:eastAsia="monospace" w:cs="monospace"/>
      <w:sz w:val="20"/>
    </w:rPr>
  </w:style>
  <w:style w:type="character" w:styleId="63">
    <w:name w:val="HTML Sample"/>
    <w:autoRedefine/>
    <w:qFormat/>
    <w:uiPriority w:val="0"/>
    <w:rPr>
      <w:rFonts w:hint="default" w:ascii="monospace" w:hAnsi="monospace" w:eastAsia="monospace" w:cs="monospace"/>
    </w:rPr>
  </w:style>
  <w:style w:type="character" w:customStyle="1" w:styleId="64">
    <w:name w:val="标题 2 Char"/>
    <w:autoRedefine/>
    <w:qFormat/>
    <w:uiPriority w:val="0"/>
    <w:rPr>
      <w:rFonts w:ascii="Arial" w:hAnsi="Arial" w:eastAsia="黑体"/>
      <w:b/>
      <w:bCs/>
      <w:kern w:val="2"/>
      <w:sz w:val="21"/>
      <w:szCs w:val="32"/>
      <w:lang w:val="en-US" w:eastAsia="zh-CN" w:bidi="ar-SA"/>
    </w:rPr>
  </w:style>
  <w:style w:type="character" w:customStyle="1" w:styleId="65">
    <w:name w:val="标题 1 Char"/>
    <w:link w:val="6"/>
    <w:autoRedefine/>
    <w:qFormat/>
    <w:uiPriority w:val="0"/>
    <w:rPr>
      <w:rFonts w:eastAsia="宋体"/>
      <w:b/>
      <w:bCs/>
      <w:kern w:val="44"/>
      <w:sz w:val="44"/>
      <w:szCs w:val="44"/>
      <w:lang w:val="en-US" w:eastAsia="zh-CN" w:bidi="ar-SA"/>
    </w:rPr>
  </w:style>
  <w:style w:type="paragraph" w:customStyle="1" w:styleId="66">
    <w:name w:val="正文（缩进）"/>
    <w:basedOn w:val="1"/>
    <w:next w:val="21"/>
    <w:autoRedefine/>
    <w:qFormat/>
    <w:uiPriority w:val="0"/>
    <w:pPr>
      <w:widowControl w:val="0"/>
      <w:spacing w:before="156" w:beforeLines="50" w:after="156" w:afterLines="50" w:line="360" w:lineRule="auto"/>
      <w:ind w:firstLine="480" w:firstLineChars="200"/>
      <w:textAlignment w:val="auto"/>
    </w:pPr>
    <w:rPr>
      <w:color w:val="auto"/>
      <w:kern w:val="2"/>
      <w:sz w:val="24"/>
      <w:szCs w:val="24"/>
      <w:u w:val="none" w:color="auto"/>
    </w:rPr>
  </w:style>
  <w:style w:type="paragraph" w:customStyle="1" w:styleId="67">
    <w:name w:val="正文文字 8"/>
    <w:basedOn w:val="1"/>
    <w:next w:val="1"/>
    <w:autoRedefine/>
    <w:qFormat/>
    <w:uiPriority w:val="0"/>
    <w:pPr>
      <w:ind w:left="240"/>
    </w:pPr>
    <w:rPr>
      <w:sz w:val="16"/>
    </w:rPr>
  </w:style>
  <w:style w:type="paragraph" w:styleId="68">
    <w:name w:val="List Paragraph"/>
    <w:basedOn w:val="1"/>
    <w:autoRedefine/>
    <w:qFormat/>
    <w:uiPriority w:val="34"/>
    <w:pPr>
      <w:ind w:firstLine="420" w:firstLineChars="200"/>
    </w:pPr>
  </w:style>
  <w:style w:type="paragraph" w:customStyle="1" w:styleId="69">
    <w:name w:val="_Style 62"/>
    <w:basedOn w:val="1"/>
    <w:next w:val="1"/>
    <w:autoRedefine/>
    <w:qFormat/>
    <w:uiPriority w:val="0"/>
    <w:pPr>
      <w:pBdr>
        <w:top w:val="single" w:color="auto" w:sz="6" w:space="1"/>
      </w:pBdr>
      <w:jc w:val="center"/>
    </w:pPr>
    <w:rPr>
      <w:rFonts w:ascii="Arial"/>
      <w:vanish/>
      <w:sz w:val="16"/>
    </w:rPr>
  </w:style>
  <w:style w:type="paragraph" w:customStyle="1" w:styleId="70">
    <w:name w:val="Blockquote"/>
    <w:basedOn w:val="1"/>
    <w:autoRedefine/>
    <w:qFormat/>
    <w:uiPriority w:val="0"/>
    <w:pPr>
      <w:autoSpaceDE w:val="0"/>
      <w:autoSpaceDN w:val="0"/>
      <w:adjustRightInd w:val="0"/>
      <w:ind w:left="360" w:right="360"/>
      <w:jc w:val="left"/>
    </w:pPr>
    <w:rPr>
      <w:kern w:val="0"/>
      <w:sz w:val="24"/>
      <w:szCs w:val="20"/>
    </w:rPr>
  </w:style>
  <w:style w:type="paragraph" w:customStyle="1" w:styleId="71">
    <w:name w:val="表格"/>
    <w:basedOn w:val="1"/>
    <w:autoRedefine/>
    <w:qFormat/>
    <w:uiPriority w:val="0"/>
    <w:pPr>
      <w:jc w:val="center"/>
      <w:textAlignment w:val="center"/>
    </w:pPr>
    <w:rPr>
      <w:rFonts w:ascii="华文细黑" w:hAnsi="华文细黑"/>
      <w:kern w:val="0"/>
      <w:szCs w:val="20"/>
    </w:rPr>
  </w:style>
  <w:style w:type="paragraph" w:customStyle="1" w:styleId="72">
    <w:name w:val="表格文字"/>
    <w:basedOn w:val="1"/>
    <w:autoRedefine/>
    <w:qFormat/>
    <w:uiPriority w:val="0"/>
    <w:pPr>
      <w:adjustRightInd w:val="0"/>
      <w:spacing w:line="420" w:lineRule="atLeast"/>
      <w:jc w:val="left"/>
      <w:textAlignment w:val="baseline"/>
    </w:pPr>
    <w:rPr>
      <w:kern w:val="0"/>
      <w:szCs w:val="20"/>
    </w:rPr>
  </w:style>
  <w:style w:type="paragraph" w:customStyle="1" w:styleId="73">
    <w:name w:val="Char"/>
    <w:basedOn w:val="1"/>
    <w:next w:val="1"/>
    <w:autoRedefine/>
    <w:qFormat/>
    <w:uiPriority w:val="0"/>
    <w:pPr>
      <w:widowControl/>
      <w:spacing w:line="360" w:lineRule="auto"/>
      <w:jc w:val="left"/>
    </w:pPr>
    <w:rPr>
      <w:kern w:val="0"/>
      <w:szCs w:val="20"/>
      <w:lang w:eastAsia="en-US"/>
    </w:rPr>
  </w:style>
  <w:style w:type="paragraph" w:customStyle="1" w:styleId="74">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5">
    <w:name w:val="样式2"/>
    <w:basedOn w:val="8"/>
    <w:autoRedefine/>
    <w:qFormat/>
    <w:uiPriority w:val="0"/>
  </w:style>
  <w:style w:type="paragraph" w:customStyle="1" w:styleId="76">
    <w:name w:val="Default Paragraph Char Char Char Char"/>
    <w:basedOn w:val="1"/>
    <w:next w:val="1"/>
    <w:autoRedefine/>
    <w:qFormat/>
    <w:uiPriority w:val="0"/>
    <w:pPr>
      <w:spacing w:line="360" w:lineRule="auto"/>
    </w:pPr>
    <w:rPr>
      <w:szCs w:val="20"/>
    </w:rPr>
  </w:style>
  <w:style w:type="paragraph" w:customStyle="1" w:styleId="77">
    <w:name w:val="节标题"/>
    <w:basedOn w:val="1"/>
    <w:next w:val="1"/>
    <w:autoRedefine/>
    <w:qFormat/>
    <w:uiPriority w:val="0"/>
    <w:pPr>
      <w:widowControl/>
      <w:spacing w:line="289" w:lineRule="atLeast"/>
      <w:jc w:val="center"/>
      <w:textAlignment w:val="baseline"/>
    </w:pPr>
    <w:rPr>
      <w:color w:val="000000"/>
      <w:kern w:val="0"/>
      <w:sz w:val="28"/>
      <w:szCs w:val="20"/>
      <w:u w:color="000000"/>
    </w:rPr>
  </w:style>
  <w:style w:type="paragraph" w:customStyle="1" w:styleId="78">
    <w:name w:val="默认段落字体 Para Char Char Char Char"/>
    <w:basedOn w:val="1"/>
    <w:autoRedefine/>
    <w:qFormat/>
    <w:uiPriority w:val="0"/>
  </w:style>
  <w:style w:type="paragraph" w:customStyle="1" w:styleId="79">
    <w:name w:val="样式 标题 1 + 黑体 五号"/>
    <w:basedOn w:val="6"/>
    <w:autoRedefine/>
    <w:qFormat/>
    <w:uiPriority w:val="0"/>
    <w:pPr>
      <w:jc w:val="left"/>
    </w:pPr>
    <w:rPr>
      <w:rFonts w:ascii="黑体" w:hAnsi="黑体" w:eastAsia="黑体"/>
      <w:sz w:val="21"/>
    </w:rPr>
  </w:style>
  <w:style w:type="paragraph" w:customStyle="1" w:styleId="80">
    <w:name w:val="样式4"/>
    <w:basedOn w:val="8"/>
    <w:autoRedefine/>
    <w:qFormat/>
    <w:uiPriority w:val="0"/>
    <w:rPr>
      <w:rFonts w:eastAsia="Arial"/>
    </w:rPr>
  </w:style>
  <w:style w:type="paragraph" w:customStyle="1" w:styleId="81">
    <w:name w:val="正文1"/>
    <w:autoRedefine/>
    <w:qFormat/>
    <w:uiPriority w:val="0"/>
    <w:pPr>
      <w:widowControl w:val="0"/>
      <w:adjustRightInd w:val="0"/>
      <w:spacing w:line="312" w:lineRule="atLeast"/>
      <w:jc w:val="both"/>
      <w:textAlignment w:val="baseline"/>
    </w:pPr>
    <w:rPr>
      <w:rFonts w:ascii="宋体" w:hAnsi="Times New Roman" w:eastAsia="宋体" w:cs="宋体"/>
      <w:sz w:val="24"/>
      <w:szCs w:val="24"/>
      <w:lang w:val="en-US" w:eastAsia="zh-CN" w:bidi="ar-SA"/>
    </w:rPr>
  </w:style>
  <w:style w:type="paragraph" w:customStyle="1" w:styleId="82">
    <w:name w:val="列出段落1"/>
    <w:basedOn w:val="1"/>
    <w:autoRedefine/>
    <w:qFormat/>
    <w:uiPriority w:val="0"/>
    <w:pPr>
      <w:ind w:firstLine="200" w:firstLineChars="200"/>
    </w:pPr>
  </w:style>
  <w:style w:type="paragraph" w:customStyle="1" w:styleId="83">
    <w:name w:val="p0 New"/>
    <w:basedOn w:val="1"/>
    <w:autoRedefine/>
    <w:qFormat/>
    <w:uiPriority w:val="0"/>
    <w:pPr>
      <w:widowControl/>
      <w:jc w:val="left"/>
    </w:pPr>
    <w:rPr>
      <w:rFonts w:ascii="宋体" w:hAnsi="宋体" w:cs="宋体"/>
      <w:kern w:val="0"/>
      <w:sz w:val="18"/>
      <w:szCs w:val="18"/>
    </w:rPr>
  </w:style>
  <w:style w:type="paragraph" w:customStyle="1" w:styleId="84">
    <w:name w:val="样式 标题 1 + 黑体 三号 非加粗 居中 段前: 6 磅 段后: 6 磅 行距: 固定值 20 磅"/>
    <w:basedOn w:val="6"/>
    <w:autoRedefine/>
    <w:qFormat/>
    <w:uiPriority w:val="0"/>
    <w:pPr>
      <w:spacing w:line="400" w:lineRule="exact"/>
    </w:pPr>
    <w:rPr>
      <w:rFonts w:ascii="黑体" w:hAnsi="黑体" w:eastAsia="黑体" w:cs="宋体"/>
      <w:b w:val="0"/>
      <w:bCs w:val="0"/>
      <w:sz w:val="32"/>
      <w:szCs w:val="20"/>
    </w:rPr>
  </w:style>
  <w:style w:type="paragraph" w:customStyle="1" w:styleId="85">
    <w:name w:val="_Style 78"/>
    <w:basedOn w:val="6"/>
    <w:next w:val="1"/>
    <w:autoRedefine/>
    <w:qFormat/>
    <w:uiPriority w:val="39"/>
    <w:pPr>
      <w:widowControl/>
      <w:spacing w:before="480" w:line="276" w:lineRule="auto"/>
      <w:jc w:val="left"/>
      <w:outlineLvl w:val="9"/>
    </w:pPr>
    <w:rPr>
      <w:rFonts w:ascii="Cambria" w:hAnsi="Cambria"/>
      <w:color w:val="365F91"/>
      <w:kern w:val="0"/>
      <w:sz w:val="28"/>
      <w:szCs w:val="28"/>
    </w:rPr>
  </w:style>
  <w:style w:type="paragraph" w:customStyle="1" w:styleId="86">
    <w:name w:val="Char1"/>
    <w:basedOn w:val="1"/>
    <w:autoRedefine/>
    <w:qFormat/>
    <w:uiPriority w:val="0"/>
    <w:pPr>
      <w:tabs>
        <w:tab w:val="left" w:pos="360"/>
      </w:tabs>
    </w:pPr>
    <w:rPr>
      <w:sz w:val="24"/>
    </w:rPr>
  </w:style>
  <w:style w:type="paragraph" w:customStyle="1" w:styleId="87">
    <w:name w:val="样式1"/>
    <w:basedOn w:val="8"/>
    <w:autoRedefine/>
    <w:qFormat/>
    <w:uiPriority w:val="0"/>
    <w:rPr>
      <w:rFonts w:eastAsia="Arial"/>
    </w:rPr>
  </w:style>
  <w:style w:type="paragraph" w:customStyle="1" w:styleId="88">
    <w:name w:val="Char Char Char Char Char Char Char Char Char Char Char Char Char"/>
    <w:basedOn w:val="1"/>
    <w:autoRedefine/>
    <w:qFormat/>
    <w:uiPriority w:val="0"/>
  </w:style>
  <w:style w:type="paragraph" w:customStyle="1" w:styleId="89">
    <w:name w:val="p"/>
    <w:basedOn w:val="1"/>
    <w:autoRedefine/>
    <w:qFormat/>
    <w:uiPriority w:val="0"/>
    <w:rPr>
      <w:rFonts w:ascii="宋体"/>
      <w:sz w:val="24"/>
    </w:rPr>
  </w:style>
  <w:style w:type="paragraph" w:customStyle="1" w:styleId="90">
    <w:name w:val="Char Char Char Char"/>
    <w:basedOn w:val="1"/>
    <w:autoRedefine/>
    <w:qFormat/>
    <w:uiPriority w:val="0"/>
  </w:style>
  <w:style w:type="paragraph" w:customStyle="1" w:styleId="91">
    <w:name w:val="_Style 84"/>
    <w:basedOn w:val="1"/>
    <w:next w:val="1"/>
    <w:autoRedefine/>
    <w:qFormat/>
    <w:uiPriority w:val="0"/>
    <w:pPr>
      <w:pBdr>
        <w:bottom w:val="single" w:color="auto" w:sz="6" w:space="1"/>
      </w:pBdr>
      <w:jc w:val="center"/>
    </w:pPr>
    <w:rPr>
      <w:rFonts w:ascii="Arial"/>
      <w:vanish/>
      <w:sz w:val="16"/>
    </w:rPr>
  </w:style>
  <w:style w:type="paragraph" w:customStyle="1" w:styleId="92">
    <w:name w:val="1"/>
    <w:basedOn w:val="1"/>
    <w:next w:val="1"/>
    <w:autoRedefine/>
    <w:qFormat/>
    <w:uiPriority w:val="0"/>
  </w:style>
  <w:style w:type="paragraph" w:customStyle="1" w:styleId="93">
    <w:name w:val="p15"/>
    <w:autoRedefine/>
    <w:qFormat/>
    <w:uiPriority w:val="0"/>
    <w:pPr>
      <w:jc w:val="both"/>
    </w:pPr>
    <w:rPr>
      <w:rFonts w:ascii="宋体" w:hAnsi="Times New Roman" w:eastAsia="宋体" w:cs="宋体"/>
      <w:sz w:val="21"/>
      <w:szCs w:val="21"/>
      <w:lang w:val="en-US" w:eastAsia="zh-CN" w:bidi="ar-SA"/>
    </w:rPr>
  </w:style>
  <w:style w:type="paragraph" w:customStyle="1" w:styleId="94">
    <w:name w:val="样式 标题 2 + Times New Roman 四号 非加粗 段前: 5 磅 段后: 0 磅 行距: 固定值 20..."/>
    <w:basedOn w:val="7"/>
    <w:autoRedefine/>
    <w:qFormat/>
    <w:uiPriority w:val="0"/>
    <w:pPr>
      <w:spacing w:line="400" w:lineRule="exact"/>
    </w:pPr>
    <w:rPr>
      <w:rFonts w:ascii="Times New Roman" w:hAnsi="Times New Roman" w:cs="宋体"/>
      <w:b w:val="0"/>
      <w:bCs w:val="0"/>
      <w:sz w:val="28"/>
      <w:szCs w:val="20"/>
    </w:rPr>
  </w:style>
  <w:style w:type="paragraph" w:customStyle="1" w:styleId="95">
    <w:name w:val="Table Paragraph"/>
    <w:basedOn w:val="1"/>
    <w:autoRedefine/>
    <w:qFormat/>
    <w:uiPriority w:val="0"/>
    <w:pPr>
      <w:autoSpaceDE w:val="0"/>
      <w:autoSpaceDN w:val="0"/>
      <w:jc w:val="left"/>
    </w:pPr>
    <w:rPr>
      <w:rFonts w:ascii="宋体" w:hAnsi="宋体" w:cs="宋体"/>
      <w:kern w:val="0"/>
      <w:sz w:val="22"/>
      <w:szCs w:val="22"/>
      <w:lang w:val="zh-CN"/>
    </w:rPr>
  </w:style>
  <w:style w:type="paragraph" w:customStyle="1" w:styleId="96">
    <w:name w:val="p0"/>
    <w:basedOn w:val="1"/>
    <w:autoRedefine/>
    <w:qFormat/>
    <w:uiPriority w:val="99"/>
    <w:pPr>
      <w:widowControl/>
    </w:pPr>
    <w:rPr>
      <w:kern w:val="0"/>
      <w:szCs w:val="21"/>
    </w:rPr>
  </w:style>
  <w:style w:type="paragraph" w:customStyle="1" w:styleId="97">
    <w:name w:val="样式3"/>
    <w:basedOn w:val="8"/>
    <w:autoRedefine/>
    <w:qFormat/>
    <w:uiPriority w:val="0"/>
    <w:rPr>
      <w:rFonts w:eastAsia="Arial"/>
    </w:rPr>
  </w:style>
  <w:style w:type="paragraph" w:customStyle="1" w:styleId="98">
    <w:name w:val="样式 标题 3 + (中文) 黑体 小四 非加粗 段前: 7.8 磅 段后: 0 磅 行距: 固定值 20 磅"/>
    <w:basedOn w:val="8"/>
    <w:autoRedefine/>
    <w:qFormat/>
    <w:uiPriority w:val="0"/>
    <w:pPr>
      <w:spacing w:line="400" w:lineRule="exact"/>
    </w:pPr>
    <w:rPr>
      <w:rFonts w:eastAsia="黑体" w:cs="宋体"/>
      <w:b w:val="0"/>
      <w:bCs w:val="0"/>
      <w:sz w:val="24"/>
      <w:szCs w:val="20"/>
    </w:rPr>
  </w:style>
  <w:style w:type="paragraph" w:customStyle="1" w:styleId="99">
    <w:name w:val="Char Char Char Char Char Char Char Char Char Char Char Char Char1"/>
    <w:basedOn w:val="1"/>
    <w:autoRedefine/>
    <w:qFormat/>
    <w:uiPriority w:val="0"/>
  </w:style>
  <w:style w:type="paragraph" w:customStyle="1" w:styleId="100">
    <w:name w:val="Char4"/>
    <w:basedOn w:val="1"/>
    <w:autoRedefine/>
    <w:qFormat/>
    <w:uiPriority w:val="0"/>
    <w:pPr>
      <w:widowControl/>
      <w:spacing w:line="360" w:lineRule="auto"/>
      <w:ind w:firstLine="200" w:firstLineChars="200"/>
      <w:textAlignment w:val="baseline"/>
    </w:pPr>
    <w:rPr>
      <w:color w:val="000000"/>
      <w:kern w:val="0"/>
      <w:szCs w:val="20"/>
      <w:u w:color="000000"/>
    </w:rPr>
  </w:style>
  <w:style w:type="paragraph" w:customStyle="1" w:styleId="101">
    <w:name w:val="正文2"/>
    <w:autoRedefine/>
    <w:qFormat/>
    <w:uiPriority w:val="0"/>
    <w:pPr>
      <w:widowControl w:val="0"/>
      <w:jc w:val="both"/>
    </w:pPr>
    <w:rPr>
      <w:rFonts w:ascii="Times New Roman" w:hAnsi="Times New Roman" w:eastAsia="宋体" w:cs="Times New Roman"/>
      <w:lang w:val="en-US" w:eastAsia="zh-CN" w:bidi="ar-SA"/>
    </w:rPr>
  </w:style>
  <w:style w:type="character" w:customStyle="1" w:styleId="102">
    <w:name w:val="first-child"/>
    <w:basedOn w:val="48"/>
    <w:autoRedefine/>
    <w:qFormat/>
    <w:uiPriority w:val="0"/>
  </w:style>
  <w:style w:type="character" w:customStyle="1" w:styleId="103">
    <w:name w:val="Char Char Char Char Char Char"/>
    <w:autoRedefine/>
    <w:qFormat/>
    <w:uiPriority w:val="0"/>
    <w:rPr>
      <w:rFonts w:ascii="Arial" w:hAnsi="Arial" w:eastAsia="黑体"/>
      <w:b/>
      <w:bCs/>
      <w:kern w:val="2"/>
      <w:sz w:val="32"/>
      <w:szCs w:val="32"/>
      <w:lang w:val="en-US" w:eastAsia="zh-CN" w:bidi="ar-SA"/>
    </w:rPr>
  </w:style>
  <w:style w:type="character" w:customStyle="1" w:styleId="104">
    <w:name w:val="l11"/>
    <w:autoRedefine/>
    <w:qFormat/>
    <w:uiPriority w:val="0"/>
    <w:rPr>
      <w:color w:val="999999"/>
    </w:rPr>
  </w:style>
  <w:style w:type="character" w:customStyle="1" w:styleId="105">
    <w:name w:val="Char Char"/>
    <w:autoRedefine/>
    <w:qFormat/>
    <w:uiPriority w:val="0"/>
    <w:rPr>
      <w:rFonts w:ascii="Arial" w:hAnsi="Arial" w:eastAsia="黑体"/>
      <w:b/>
      <w:bCs/>
      <w:kern w:val="2"/>
      <w:sz w:val="32"/>
      <w:szCs w:val="32"/>
      <w:lang w:val="en-US" w:eastAsia="zh-CN" w:bidi="ar-SA"/>
    </w:rPr>
  </w:style>
  <w:style w:type="character" w:customStyle="1" w:styleId="106">
    <w:name w:val="Char Char5"/>
    <w:autoRedefine/>
    <w:qFormat/>
    <w:uiPriority w:val="0"/>
    <w:rPr>
      <w:rFonts w:ascii="Arial" w:hAnsi="Arial" w:eastAsia="黑体"/>
      <w:b/>
      <w:bCs/>
      <w:kern w:val="2"/>
      <w:sz w:val="32"/>
      <w:szCs w:val="32"/>
    </w:rPr>
  </w:style>
  <w:style w:type="character" w:customStyle="1" w:styleId="107">
    <w:name w:val="msg-box28"/>
    <w:basedOn w:val="48"/>
    <w:autoRedefine/>
    <w:qFormat/>
    <w:uiPriority w:val="0"/>
  </w:style>
  <w:style w:type="character" w:customStyle="1" w:styleId="108">
    <w:name w:val="img_title6"/>
    <w:autoRedefine/>
    <w:qFormat/>
    <w:uiPriority w:val="0"/>
    <w:rPr>
      <w:vanish/>
    </w:rPr>
  </w:style>
  <w:style w:type="character" w:customStyle="1" w:styleId="109">
    <w:name w:val="tit12"/>
    <w:autoRedefine/>
    <w:qFormat/>
    <w:uiPriority w:val="0"/>
    <w:rPr>
      <w:color w:val="04A06C"/>
    </w:rPr>
  </w:style>
  <w:style w:type="character" w:customStyle="1" w:styleId="110">
    <w:name w:val="Char Char2"/>
    <w:autoRedefine/>
    <w:qFormat/>
    <w:uiPriority w:val="0"/>
    <w:rPr>
      <w:rFonts w:eastAsia="宋体"/>
      <w:kern w:val="2"/>
      <w:sz w:val="21"/>
      <w:szCs w:val="24"/>
      <w:lang w:val="en-US" w:eastAsia="zh-CN" w:bidi="ar-SA"/>
    </w:rPr>
  </w:style>
  <w:style w:type="character" w:customStyle="1" w:styleId="111">
    <w:name w:val="nostart"/>
    <w:autoRedefine/>
    <w:qFormat/>
    <w:uiPriority w:val="0"/>
    <w:rPr>
      <w:color w:val="FF0000"/>
    </w:rPr>
  </w:style>
  <w:style w:type="character" w:customStyle="1" w:styleId="112">
    <w:name w:val="nostart3"/>
    <w:basedOn w:val="48"/>
    <w:autoRedefine/>
    <w:qFormat/>
    <w:uiPriority w:val="0"/>
  </w:style>
  <w:style w:type="character" w:customStyle="1" w:styleId="113">
    <w:name w:val="img4"/>
    <w:basedOn w:val="48"/>
    <w:autoRedefine/>
    <w:qFormat/>
    <w:uiPriority w:val="0"/>
  </w:style>
  <w:style w:type="character" w:customStyle="1" w:styleId="114">
    <w:name w:val="tit11"/>
    <w:autoRedefine/>
    <w:qFormat/>
    <w:uiPriority w:val="0"/>
    <w:rPr>
      <w:color w:val="B60000"/>
    </w:rPr>
  </w:style>
  <w:style w:type="character" w:customStyle="1" w:styleId="115">
    <w:name w:val="批注文字 Char"/>
    <w:link w:val="18"/>
    <w:autoRedefine/>
    <w:qFormat/>
    <w:uiPriority w:val="0"/>
    <w:rPr>
      <w:rFonts w:eastAsia="宋体"/>
      <w:kern w:val="2"/>
      <w:sz w:val="21"/>
      <w:szCs w:val="24"/>
      <w:lang w:val="en-US" w:eastAsia="zh-CN" w:bidi="ar-SA"/>
    </w:rPr>
  </w:style>
  <w:style w:type="character" w:customStyle="1" w:styleId="116">
    <w:name w:val="over"/>
    <w:autoRedefine/>
    <w:qFormat/>
    <w:uiPriority w:val="0"/>
    <w:rPr>
      <w:color w:val="B60000"/>
    </w:rPr>
  </w:style>
  <w:style w:type="character" w:customStyle="1" w:styleId="117">
    <w:name w:val="HTML 预设格式 Char"/>
    <w:link w:val="41"/>
    <w:autoRedefine/>
    <w:qFormat/>
    <w:uiPriority w:val="0"/>
    <w:rPr>
      <w:rFonts w:ascii="宋体" w:hAnsi="宋体" w:cs="宋体"/>
      <w:sz w:val="24"/>
      <w:szCs w:val="24"/>
    </w:rPr>
  </w:style>
  <w:style w:type="character" w:customStyle="1" w:styleId="118">
    <w:name w:val="l6"/>
    <w:autoRedefine/>
    <w:qFormat/>
    <w:uiPriority w:val="0"/>
    <w:rPr>
      <w:color w:val="999999"/>
    </w:rPr>
  </w:style>
  <w:style w:type="character" w:customStyle="1" w:styleId="119">
    <w:name w:val="datetime"/>
    <w:autoRedefine/>
    <w:qFormat/>
    <w:uiPriority w:val="0"/>
    <w:rPr>
      <w:rFonts w:hint="default" w:ascii="Arial" w:hAnsi="Arial" w:cs="Arial"/>
      <w:color w:val="999999"/>
      <w:sz w:val="21"/>
      <w:szCs w:val="21"/>
    </w:rPr>
  </w:style>
  <w:style w:type="character" w:customStyle="1" w:styleId="120">
    <w:name w:val="txt1"/>
    <w:basedOn w:val="48"/>
    <w:autoRedefine/>
    <w:qFormat/>
    <w:uiPriority w:val="0"/>
  </w:style>
  <w:style w:type="character" w:customStyle="1" w:styleId="121">
    <w:name w:val="starting1"/>
    <w:autoRedefine/>
    <w:qFormat/>
    <w:uiPriority w:val="0"/>
    <w:rPr>
      <w:color w:val="339900"/>
    </w:rPr>
  </w:style>
  <w:style w:type="character" w:customStyle="1" w:styleId="122">
    <w:name w:val="starting2"/>
    <w:autoRedefine/>
    <w:qFormat/>
    <w:uiPriority w:val="0"/>
    <w:rPr>
      <w:color w:val="B60000"/>
    </w:rPr>
  </w:style>
  <w:style w:type="character" w:customStyle="1" w:styleId="123">
    <w:name w:val="red"/>
    <w:autoRedefine/>
    <w:qFormat/>
    <w:uiPriority w:val="0"/>
    <w:rPr>
      <w:rFonts w:hint="default" w:ascii="Arial" w:hAnsi="Arial" w:cs="Arial"/>
      <w:color w:val="E50000"/>
    </w:rPr>
  </w:style>
  <w:style w:type="character" w:customStyle="1" w:styleId="124">
    <w:name w:val="Char Char4"/>
    <w:autoRedefine/>
    <w:qFormat/>
    <w:uiPriority w:val="0"/>
    <w:rPr>
      <w:rFonts w:eastAsia="宋体"/>
      <w:b/>
      <w:bCs/>
      <w:kern w:val="44"/>
      <w:sz w:val="44"/>
      <w:szCs w:val="44"/>
      <w:lang w:val="en-US" w:eastAsia="zh-CN" w:bidi="ar-SA"/>
    </w:rPr>
  </w:style>
  <w:style w:type="character" w:customStyle="1" w:styleId="125">
    <w:name w:val="font161"/>
    <w:autoRedefine/>
    <w:qFormat/>
    <w:uiPriority w:val="0"/>
    <w:rPr>
      <w:b/>
      <w:bCs/>
      <w:sz w:val="32"/>
      <w:szCs w:val="32"/>
    </w:rPr>
  </w:style>
  <w:style w:type="character" w:customStyle="1" w:styleId="126">
    <w:name w:val="Char Char8"/>
    <w:autoRedefine/>
    <w:qFormat/>
    <w:uiPriority w:val="0"/>
    <w:rPr>
      <w:rFonts w:ascii="Arial" w:hAnsi="Arial" w:eastAsia="黑体"/>
      <w:b/>
      <w:bCs/>
      <w:kern w:val="2"/>
      <w:sz w:val="32"/>
      <w:szCs w:val="32"/>
      <w:lang w:val="en-US" w:eastAsia="zh-CN" w:bidi="ar-SA"/>
    </w:rPr>
  </w:style>
  <w:style w:type="character" w:customStyle="1" w:styleId="127">
    <w:name w:val="msg-box29"/>
    <w:basedOn w:val="48"/>
    <w:autoRedefine/>
    <w:qFormat/>
    <w:uiPriority w:val="0"/>
  </w:style>
  <w:style w:type="character" w:customStyle="1" w:styleId="128">
    <w:name w:val="over2"/>
    <w:autoRedefine/>
    <w:qFormat/>
    <w:uiPriority w:val="0"/>
    <w:rPr>
      <w:color w:val="999999"/>
    </w:rPr>
  </w:style>
  <w:style w:type="character" w:customStyle="1" w:styleId="129">
    <w:name w:val="img_title7"/>
    <w:autoRedefine/>
    <w:qFormat/>
    <w:uiPriority w:val="0"/>
    <w:rPr>
      <w:vanish/>
    </w:rPr>
  </w:style>
  <w:style w:type="character" w:customStyle="1" w:styleId="130">
    <w:name w:val="l7"/>
    <w:autoRedefine/>
    <w:qFormat/>
    <w:uiPriority w:val="0"/>
    <w:rPr>
      <w:color w:val="999999"/>
    </w:rPr>
  </w:style>
  <w:style w:type="character" w:customStyle="1" w:styleId="131">
    <w:name w:val="标题 5 Char"/>
    <w:link w:val="10"/>
    <w:autoRedefine/>
    <w:qFormat/>
    <w:uiPriority w:val="0"/>
    <w:rPr>
      <w:b/>
      <w:bCs/>
      <w:kern w:val="2"/>
      <w:sz w:val="28"/>
      <w:szCs w:val="28"/>
    </w:rPr>
  </w:style>
  <w:style w:type="character" w:customStyle="1" w:styleId="132">
    <w:name w:val="l51"/>
    <w:autoRedefine/>
    <w:qFormat/>
    <w:uiPriority w:val="0"/>
    <w:rPr>
      <w:color w:val="999999"/>
    </w:rPr>
  </w:style>
  <w:style w:type="character" w:customStyle="1" w:styleId="133">
    <w:name w:val="num81"/>
    <w:basedOn w:val="48"/>
    <w:autoRedefine/>
    <w:qFormat/>
    <w:uiPriority w:val="0"/>
  </w:style>
  <w:style w:type="character" w:customStyle="1" w:styleId="134">
    <w:name w:val="Char Char1"/>
    <w:autoRedefine/>
    <w:qFormat/>
    <w:uiPriority w:val="0"/>
    <w:rPr>
      <w:rFonts w:eastAsia="宋体"/>
      <w:kern w:val="2"/>
      <w:sz w:val="21"/>
      <w:szCs w:val="24"/>
      <w:lang w:val="en-US" w:eastAsia="zh-CN" w:bidi="ar-SA"/>
    </w:rPr>
  </w:style>
  <w:style w:type="character" w:customStyle="1" w:styleId="135">
    <w:name w:val="zs"/>
    <w:autoRedefine/>
    <w:qFormat/>
    <w:uiPriority w:val="0"/>
    <w:rPr>
      <w:color w:val="8D744B"/>
      <w:sz w:val="18"/>
      <w:szCs w:val="18"/>
    </w:rPr>
  </w:style>
  <w:style w:type="character" w:customStyle="1" w:styleId="136">
    <w:name w:val="bigfont"/>
    <w:basedOn w:val="48"/>
    <w:autoRedefine/>
    <w:qFormat/>
    <w:uiPriority w:val="0"/>
  </w:style>
  <w:style w:type="character" w:customStyle="1" w:styleId="137">
    <w:name w:val="txt"/>
    <w:autoRedefine/>
    <w:qFormat/>
    <w:uiPriority w:val="0"/>
    <w:rPr>
      <w:color w:val="C0C0C0"/>
    </w:rPr>
  </w:style>
  <w:style w:type="character" w:customStyle="1" w:styleId="138">
    <w:name w:val="纯文本 Char2"/>
    <w:link w:val="25"/>
    <w:autoRedefine/>
    <w:qFormat/>
    <w:uiPriority w:val="0"/>
    <w:rPr>
      <w:rFonts w:ascii="Courier New" w:hAnsi="Courier New" w:eastAsia="宋体"/>
      <w:kern w:val="2"/>
      <w:sz w:val="21"/>
      <w:lang w:val="en-US" w:eastAsia="zh-CN" w:bidi="ar-SA"/>
    </w:rPr>
  </w:style>
  <w:style w:type="character" w:customStyle="1" w:styleId="139">
    <w:name w:val="jg"/>
    <w:basedOn w:val="48"/>
    <w:autoRedefine/>
    <w:qFormat/>
    <w:uiPriority w:val="0"/>
  </w:style>
  <w:style w:type="character" w:customStyle="1" w:styleId="140">
    <w:name w:val="17"/>
    <w:autoRedefine/>
    <w:qFormat/>
    <w:uiPriority w:val="0"/>
    <w:rPr>
      <w:rFonts w:ascii="仿宋_GB2312" w:eastAsia="仿宋_GB2312"/>
      <w:color w:val="auto"/>
      <w:sz w:val="28"/>
      <w:szCs w:val="28"/>
      <w:u w:val="single"/>
    </w:rPr>
  </w:style>
  <w:style w:type="character" w:customStyle="1" w:styleId="141">
    <w:name w:val="job"/>
    <w:basedOn w:val="48"/>
    <w:autoRedefine/>
    <w:qFormat/>
    <w:uiPriority w:val="0"/>
  </w:style>
  <w:style w:type="character" w:customStyle="1" w:styleId="142">
    <w:name w:val="job1"/>
    <w:basedOn w:val="48"/>
    <w:autoRedefine/>
    <w:qFormat/>
    <w:uiPriority w:val="0"/>
  </w:style>
  <w:style w:type="character" w:customStyle="1" w:styleId="143">
    <w:name w:val="正文文本 Char"/>
    <w:link w:val="20"/>
    <w:autoRedefine/>
    <w:qFormat/>
    <w:uiPriority w:val="0"/>
    <w:rPr>
      <w:rFonts w:eastAsia="宋体"/>
      <w:kern w:val="2"/>
      <w:sz w:val="21"/>
      <w:szCs w:val="24"/>
      <w:lang w:val="en-US" w:eastAsia="zh-CN" w:bidi="ar-SA"/>
    </w:rPr>
  </w:style>
  <w:style w:type="character" w:customStyle="1" w:styleId="144">
    <w:name w:val="p05"/>
    <w:basedOn w:val="48"/>
    <w:autoRedefine/>
    <w:qFormat/>
    <w:uiPriority w:val="0"/>
  </w:style>
  <w:style w:type="character" w:customStyle="1" w:styleId="145">
    <w:name w:val="Char Char7"/>
    <w:autoRedefine/>
    <w:qFormat/>
    <w:uiPriority w:val="0"/>
    <w:rPr>
      <w:rFonts w:ascii="Arial" w:hAnsi="Arial" w:eastAsia="黑体"/>
      <w:b/>
      <w:bCs/>
      <w:kern w:val="2"/>
      <w:sz w:val="32"/>
      <w:szCs w:val="32"/>
      <w:lang w:val="en-US" w:eastAsia="zh-CN" w:bidi="ar-SA"/>
    </w:rPr>
  </w:style>
  <w:style w:type="character" w:customStyle="1" w:styleId="146">
    <w:name w:val="over3"/>
    <w:basedOn w:val="48"/>
    <w:autoRedefine/>
    <w:qFormat/>
    <w:uiPriority w:val="0"/>
  </w:style>
  <w:style w:type="character" w:customStyle="1" w:styleId="147">
    <w:name w:val="Char Char3"/>
    <w:autoRedefine/>
    <w:qFormat/>
    <w:uiPriority w:val="0"/>
    <w:rPr>
      <w:rFonts w:ascii="Arial" w:hAnsi="Arial" w:eastAsia="黑体"/>
      <w:b/>
      <w:bCs/>
      <w:kern w:val="2"/>
      <w:sz w:val="32"/>
      <w:szCs w:val="32"/>
      <w:lang w:val="en-US" w:eastAsia="zh-CN" w:bidi="ar-SA"/>
    </w:rPr>
  </w:style>
  <w:style w:type="character" w:customStyle="1" w:styleId="148">
    <w:name w:val="Char Char71"/>
    <w:autoRedefine/>
    <w:qFormat/>
    <w:uiPriority w:val="0"/>
    <w:rPr>
      <w:rFonts w:ascii="Arial" w:hAnsi="Arial" w:eastAsia="黑体"/>
      <w:b/>
      <w:bCs/>
      <w:kern w:val="2"/>
      <w:sz w:val="32"/>
      <w:szCs w:val="32"/>
      <w:lang w:val="en-US" w:eastAsia="zh-CN" w:bidi="ar-SA"/>
    </w:rPr>
  </w:style>
  <w:style w:type="character" w:customStyle="1" w:styleId="149">
    <w:name w:val="num51"/>
    <w:basedOn w:val="48"/>
    <w:autoRedefine/>
    <w:qFormat/>
    <w:uiPriority w:val="0"/>
  </w:style>
  <w:style w:type="character" w:customStyle="1" w:styleId="150">
    <w:name w:val="Char Char Char"/>
    <w:autoRedefine/>
    <w:qFormat/>
    <w:uiPriority w:val="0"/>
    <w:rPr>
      <w:rFonts w:eastAsia="宋体"/>
      <w:b/>
      <w:bCs/>
      <w:kern w:val="44"/>
      <w:sz w:val="44"/>
      <w:szCs w:val="44"/>
      <w:lang w:val="en-US" w:eastAsia="zh-CN" w:bidi="ar-SA"/>
    </w:rPr>
  </w:style>
  <w:style w:type="character" w:customStyle="1" w:styleId="151">
    <w:name w:val="msg-box31"/>
    <w:basedOn w:val="48"/>
    <w:autoRedefine/>
    <w:qFormat/>
    <w:uiPriority w:val="0"/>
  </w:style>
  <w:style w:type="character" w:customStyle="1" w:styleId="152">
    <w:name w:val="msg-box30"/>
    <w:basedOn w:val="48"/>
    <w:autoRedefine/>
    <w:qFormat/>
    <w:uiPriority w:val="0"/>
  </w:style>
  <w:style w:type="character" w:customStyle="1" w:styleId="153">
    <w:name w:val="标题 1 Char Char"/>
    <w:autoRedefine/>
    <w:qFormat/>
    <w:uiPriority w:val="0"/>
    <w:rPr>
      <w:rFonts w:eastAsia="宋体"/>
      <w:b/>
      <w:bCs/>
      <w:kern w:val="44"/>
      <w:sz w:val="44"/>
      <w:szCs w:val="44"/>
      <w:lang w:val="en-US" w:eastAsia="zh-CN" w:bidi="ar-SA"/>
    </w:rPr>
  </w:style>
  <w:style w:type="character" w:customStyle="1" w:styleId="154">
    <w:name w:val="标题 3 Char"/>
    <w:link w:val="8"/>
    <w:autoRedefine/>
    <w:qFormat/>
    <w:uiPriority w:val="0"/>
    <w:rPr>
      <w:b/>
      <w:bCs/>
      <w:sz w:val="32"/>
      <w:szCs w:val="32"/>
    </w:rPr>
  </w:style>
  <w:style w:type="character" w:customStyle="1" w:styleId="155">
    <w:name w:val="c1"/>
    <w:basedOn w:val="48"/>
    <w:autoRedefine/>
    <w:qFormat/>
    <w:uiPriority w:val="0"/>
  </w:style>
  <w:style w:type="character" w:customStyle="1" w:styleId="156">
    <w:name w:val="纯文本 Char1"/>
    <w:autoRedefine/>
    <w:qFormat/>
    <w:uiPriority w:val="0"/>
    <w:rPr>
      <w:rFonts w:ascii="Courier New" w:hAnsi="Courier New" w:eastAsia="宋体"/>
      <w:kern w:val="2"/>
      <w:sz w:val="21"/>
      <w:lang w:val="en-US" w:eastAsia="zh-CN" w:bidi="ar-SA"/>
    </w:rPr>
  </w:style>
  <w:style w:type="character" w:customStyle="1" w:styleId="157">
    <w:name w:val="Char Char Char1"/>
    <w:autoRedefine/>
    <w:qFormat/>
    <w:uiPriority w:val="0"/>
    <w:rPr>
      <w:rFonts w:ascii="Arial" w:hAnsi="Arial" w:eastAsia="黑体"/>
      <w:b/>
      <w:bCs/>
      <w:kern w:val="2"/>
      <w:sz w:val="32"/>
      <w:szCs w:val="32"/>
      <w:lang w:val="en-US" w:eastAsia="zh-CN" w:bidi="ar-SA"/>
    </w:rPr>
  </w:style>
  <w:style w:type="character" w:customStyle="1" w:styleId="158">
    <w:name w:val="l3"/>
    <w:autoRedefine/>
    <w:qFormat/>
    <w:uiPriority w:val="0"/>
    <w:rPr>
      <w:color w:val="999999"/>
    </w:rPr>
  </w:style>
  <w:style w:type="character" w:customStyle="1" w:styleId="159">
    <w:name w:val="tit14"/>
    <w:autoRedefine/>
    <w:qFormat/>
    <w:uiPriority w:val="0"/>
    <w:rPr>
      <w:color w:val="B60000"/>
    </w:rPr>
  </w:style>
  <w:style w:type="character" w:customStyle="1" w:styleId="160">
    <w:name w:val="tit10"/>
    <w:autoRedefine/>
    <w:qFormat/>
    <w:uiPriority w:val="0"/>
    <w:rPr>
      <w:color w:val="B60000"/>
    </w:rPr>
  </w:style>
  <w:style w:type="character" w:customStyle="1" w:styleId="161">
    <w:name w:val="l21"/>
    <w:autoRedefine/>
    <w:qFormat/>
    <w:uiPriority w:val="0"/>
    <w:rPr>
      <w:color w:val="999999"/>
    </w:rPr>
  </w:style>
  <w:style w:type="character" w:customStyle="1" w:styleId="162">
    <w:name w:val="num71"/>
    <w:basedOn w:val="48"/>
    <w:autoRedefine/>
    <w:qFormat/>
    <w:uiPriority w:val="0"/>
  </w:style>
  <w:style w:type="character" w:customStyle="1" w:styleId="163">
    <w:name w:val="标题 2 Char Char"/>
    <w:autoRedefine/>
    <w:qFormat/>
    <w:uiPriority w:val="0"/>
    <w:rPr>
      <w:rFonts w:ascii="Arial" w:hAnsi="Arial" w:eastAsia="黑体"/>
      <w:b/>
      <w:bCs/>
      <w:kern w:val="2"/>
      <w:sz w:val="32"/>
      <w:szCs w:val="32"/>
      <w:lang w:val="en-US" w:eastAsia="zh-CN" w:bidi="ar-SA"/>
    </w:rPr>
  </w:style>
  <w:style w:type="character" w:customStyle="1" w:styleId="164">
    <w:name w:val="buvis"/>
    <w:autoRedefine/>
    <w:qFormat/>
    <w:uiPriority w:val="0"/>
    <w:rPr>
      <w:color w:val="999999"/>
    </w:rPr>
  </w:style>
  <w:style w:type="character" w:customStyle="1" w:styleId="165">
    <w:name w:val="name"/>
    <w:autoRedefine/>
    <w:qFormat/>
    <w:uiPriority w:val="0"/>
    <w:rPr>
      <w:color w:val="444444"/>
      <w:sz w:val="21"/>
      <w:szCs w:val="21"/>
    </w:rPr>
  </w:style>
  <w:style w:type="character" w:customStyle="1" w:styleId="166">
    <w:name w:val="layui-this"/>
    <w:autoRedefine/>
    <w:qFormat/>
    <w:uiPriority w:val="0"/>
    <w:rPr>
      <w:bdr w:val="single" w:color="EEEEEE" w:sz="6" w:space="0"/>
      <w:shd w:val="clear" w:color="auto" w:fill="FFFFFF"/>
    </w:rPr>
  </w:style>
  <w:style w:type="character" w:customStyle="1" w:styleId="167">
    <w:name w:val="标题 2 Char1"/>
    <w:autoRedefine/>
    <w:qFormat/>
    <w:uiPriority w:val="0"/>
    <w:rPr>
      <w:rFonts w:ascii="Arial" w:hAnsi="Arial" w:eastAsia="黑体"/>
      <w:b/>
      <w:bCs/>
      <w:kern w:val="2"/>
      <w:sz w:val="32"/>
      <w:szCs w:val="32"/>
      <w:lang w:val="en-US" w:eastAsia="zh-CN" w:bidi="ar-SA"/>
    </w:rPr>
  </w:style>
  <w:style w:type="character" w:customStyle="1" w:styleId="168">
    <w:name w:val="zw"/>
    <w:autoRedefine/>
    <w:qFormat/>
    <w:uiPriority w:val="0"/>
    <w:rPr>
      <w:color w:val="BD1E22"/>
      <w:sz w:val="22"/>
      <w:szCs w:val="22"/>
    </w:rPr>
  </w:style>
  <w:style w:type="character" w:customStyle="1" w:styleId="169">
    <w:name w:val="name1"/>
    <w:autoRedefine/>
    <w:qFormat/>
    <w:uiPriority w:val="0"/>
    <w:rPr>
      <w:color w:val="695435"/>
      <w:sz w:val="24"/>
      <w:szCs w:val="24"/>
    </w:rPr>
  </w:style>
  <w:style w:type="character" w:customStyle="1" w:styleId="170">
    <w:name w:val="num61"/>
    <w:basedOn w:val="48"/>
    <w:autoRedefine/>
    <w:qFormat/>
    <w:uiPriority w:val="0"/>
  </w:style>
  <w:style w:type="character" w:customStyle="1" w:styleId="171">
    <w:name w:val="mesg-myd"/>
    <w:autoRedefine/>
    <w:qFormat/>
    <w:uiPriority w:val="0"/>
    <w:rPr>
      <w:color w:val="EE0000"/>
    </w:rPr>
  </w:style>
  <w:style w:type="character" w:customStyle="1" w:styleId="172">
    <w:name w:val="c2"/>
    <w:basedOn w:val="48"/>
    <w:autoRedefine/>
    <w:qFormat/>
    <w:uiPriority w:val="0"/>
  </w:style>
  <w:style w:type="character" w:customStyle="1" w:styleId="173">
    <w:name w:val="c3"/>
    <w:basedOn w:val="48"/>
    <w:autoRedefine/>
    <w:qFormat/>
    <w:uiPriority w:val="0"/>
  </w:style>
  <w:style w:type="character" w:customStyle="1" w:styleId="174">
    <w:name w:val="over1"/>
    <w:autoRedefine/>
    <w:qFormat/>
    <w:uiPriority w:val="0"/>
    <w:rPr>
      <w:color w:val="B60000"/>
    </w:rPr>
  </w:style>
  <w:style w:type="character" w:customStyle="1" w:styleId="175">
    <w:name w:val="tit13"/>
    <w:autoRedefine/>
    <w:qFormat/>
    <w:uiPriority w:val="0"/>
    <w:rPr>
      <w:color w:val="FFFFFF"/>
    </w:rPr>
  </w:style>
  <w:style w:type="character" w:customStyle="1" w:styleId="176">
    <w:name w:val="Char Char21"/>
    <w:autoRedefine/>
    <w:qFormat/>
    <w:uiPriority w:val="0"/>
    <w:rPr>
      <w:rFonts w:eastAsia="宋体"/>
      <w:kern w:val="2"/>
      <w:sz w:val="21"/>
      <w:szCs w:val="24"/>
      <w:lang w:val="en-US" w:eastAsia="zh-CN" w:bidi="ar-SA"/>
    </w:rPr>
  </w:style>
  <w:style w:type="character" w:customStyle="1" w:styleId="177">
    <w:name w:val="l41"/>
    <w:autoRedefine/>
    <w:qFormat/>
    <w:uiPriority w:val="0"/>
    <w:rPr>
      <w:color w:val="999999"/>
    </w:rPr>
  </w:style>
  <w:style w:type="character" w:customStyle="1" w:styleId="178">
    <w:name w:val="16"/>
    <w:autoRedefine/>
    <w:qFormat/>
    <w:uiPriority w:val="0"/>
    <w:rPr>
      <w:rFonts w:ascii="仿宋_GB2312" w:eastAsia="仿宋_GB2312"/>
      <w:color w:val="auto"/>
      <w:sz w:val="28"/>
      <w:szCs w:val="28"/>
    </w:rPr>
  </w:style>
  <w:style w:type="character" w:customStyle="1" w:styleId="179">
    <w:name w:val="num31"/>
    <w:basedOn w:val="48"/>
    <w:autoRedefine/>
    <w:qFormat/>
    <w:uiPriority w:val="0"/>
  </w:style>
  <w:style w:type="character" w:customStyle="1" w:styleId="180">
    <w:name w:val="starting4"/>
    <w:basedOn w:val="48"/>
    <w:autoRedefine/>
    <w:qFormat/>
    <w:uiPriority w:val="0"/>
  </w:style>
  <w:style w:type="character" w:customStyle="1" w:styleId="181">
    <w:name w:val="bsharetext"/>
    <w:basedOn w:val="48"/>
    <w:autoRedefine/>
    <w:qFormat/>
    <w:uiPriority w:val="0"/>
  </w:style>
  <w:style w:type="character" w:customStyle="1" w:styleId="182">
    <w:name w:val="unit"/>
    <w:autoRedefine/>
    <w:qFormat/>
    <w:uiPriority w:val="0"/>
    <w:rPr>
      <w:color w:val="999999"/>
    </w:rPr>
  </w:style>
  <w:style w:type="character" w:customStyle="1" w:styleId="183">
    <w:name w:val="nostart2"/>
    <w:autoRedefine/>
    <w:qFormat/>
    <w:uiPriority w:val="0"/>
    <w:rPr>
      <w:color w:val="B60000"/>
    </w:rPr>
  </w:style>
  <w:style w:type="character" w:customStyle="1" w:styleId="184">
    <w:name w:val="纯文本 Char"/>
    <w:autoRedefine/>
    <w:qFormat/>
    <w:uiPriority w:val="99"/>
    <w:rPr>
      <w:rFonts w:ascii="Courier New" w:hAnsi="Courier New" w:eastAsia="宋体"/>
      <w:kern w:val="2"/>
      <w:sz w:val="21"/>
      <w:lang w:val="en-US" w:eastAsia="zh-CN" w:bidi="ar-SA"/>
    </w:rPr>
  </w:style>
  <w:style w:type="character" w:customStyle="1" w:styleId="185">
    <w:name w:val="Char Char81"/>
    <w:autoRedefine/>
    <w:qFormat/>
    <w:uiPriority w:val="0"/>
    <w:rPr>
      <w:rFonts w:ascii="Arial" w:hAnsi="Arial" w:eastAsia="黑体"/>
      <w:b/>
      <w:bCs/>
      <w:kern w:val="2"/>
      <w:sz w:val="32"/>
      <w:szCs w:val="32"/>
      <w:lang w:val="en-US" w:eastAsia="zh-CN" w:bidi="ar-SA"/>
    </w:rPr>
  </w:style>
  <w:style w:type="character" w:customStyle="1" w:styleId="186">
    <w:name w:val="starting"/>
    <w:autoRedefine/>
    <w:qFormat/>
    <w:uiPriority w:val="0"/>
    <w:rPr>
      <w:color w:val="339900"/>
    </w:rPr>
  </w:style>
  <w:style w:type="character" w:customStyle="1" w:styleId="187">
    <w:name w:val="nostart1"/>
    <w:autoRedefine/>
    <w:qFormat/>
    <w:uiPriority w:val="0"/>
    <w:rPr>
      <w:color w:val="FF0000"/>
    </w:rPr>
  </w:style>
  <w:style w:type="character" w:customStyle="1" w:styleId="188">
    <w:name w:val="num210"/>
    <w:basedOn w:val="48"/>
    <w:autoRedefine/>
    <w:qFormat/>
    <w:uiPriority w:val="0"/>
  </w:style>
  <w:style w:type="character" w:customStyle="1" w:styleId="189">
    <w:name w:val="buvis1"/>
    <w:autoRedefine/>
    <w:qFormat/>
    <w:uiPriority w:val="0"/>
    <w:rPr>
      <w:color w:val="CC0000"/>
    </w:rPr>
  </w:style>
  <w:style w:type="character" w:customStyle="1" w:styleId="190">
    <w:name w:val="starting3"/>
    <w:basedOn w:val="48"/>
    <w:autoRedefine/>
    <w:qFormat/>
    <w:uiPriority w:val="0"/>
  </w:style>
  <w:style w:type="character" w:customStyle="1" w:styleId="191">
    <w:name w:val="textcontents"/>
    <w:basedOn w:val="48"/>
    <w:autoRedefine/>
    <w:qFormat/>
    <w:uiPriority w:val="0"/>
  </w:style>
  <w:style w:type="character" w:customStyle="1" w:styleId="192">
    <w:name w:val="num41"/>
    <w:basedOn w:val="48"/>
    <w:autoRedefine/>
    <w:qFormat/>
    <w:uiPriority w:val="0"/>
  </w:style>
  <w:style w:type="character" w:customStyle="1" w:styleId="193">
    <w:name w:val="tit9"/>
    <w:autoRedefine/>
    <w:qFormat/>
    <w:uiPriority w:val="0"/>
    <w:rPr>
      <w:color w:val="B60000"/>
      <w:sz w:val="27"/>
      <w:szCs w:val="27"/>
      <w:bdr w:val="single" w:color="DFCEB8" w:sz="6" w:space="0"/>
      <w:shd w:val="clear" w:color="auto" w:fill="FFFFFF"/>
    </w:rPr>
  </w:style>
  <w:style w:type="character" w:customStyle="1" w:styleId="194">
    <w:name w:val="name2"/>
    <w:autoRedefine/>
    <w:qFormat/>
    <w:uiPriority w:val="0"/>
    <w:rPr>
      <w:color w:val="000000"/>
      <w:sz w:val="39"/>
      <w:szCs w:val="39"/>
    </w:rPr>
  </w:style>
  <w:style w:type="character" w:customStyle="1" w:styleId="195">
    <w:name w:val="img_title8"/>
    <w:autoRedefine/>
    <w:qFormat/>
    <w:uiPriority w:val="0"/>
    <w:rPr>
      <w:vanish/>
    </w:rPr>
  </w:style>
  <w:style w:type="character" w:customStyle="1" w:styleId="196">
    <w:name w:val="tit15"/>
    <w:autoRedefine/>
    <w:qFormat/>
    <w:uiPriority w:val="0"/>
    <w:rPr>
      <w:b/>
      <w:color w:val="B60000"/>
    </w:rPr>
  </w:style>
  <w:style w:type="character" w:customStyle="1" w:styleId="197">
    <w:name w:val="img_title9"/>
    <w:autoRedefine/>
    <w:qFormat/>
    <w:uiPriority w:val="0"/>
    <w:rPr>
      <w:vanish/>
    </w:rPr>
  </w:style>
  <w:style w:type="character" w:customStyle="1" w:styleId="198">
    <w:name w:val="标题 2 Char2"/>
    <w:link w:val="7"/>
    <w:autoRedefine/>
    <w:qFormat/>
    <w:uiPriority w:val="0"/>
    <w:rPr>
      <w:rFonts w:ascii="Arial" w:hAnsi="Arial" w:eastAsia="黑体"/>
      <w:b/>
      <w:bCs/>
      <w:kern w:val="2"/>
      <w:sz w:val="21"/>
      <w:szCs w:val="32"/>
      <w:lang w:val="en-US" w:eastAsia="zh-CN" w:bidi="ar-SA"/>
    </w:rPr>
  </w:style>
  <w:style w:type="paragraph" w:customStyle="1" w:styleId="199">
    <w:name w:val="正文 New"/>
    <w:autoRedefine/>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character" w:customStyle="1" w:styleId="200">
    <w:name w:val="font12"/>
    <w:basedOn w:val="48"/>
    <w:autoRedefine/>
    <w:qFormat/>
    <w:uiPriority w:val="0"/>
    <w:rPr>
      <w:rFonts w:hint="eastAsia" w:ascii="仿宋" w:hAnsi="仿宋" w:eastAsia="仿宋" w:cs="仿宋"/>
      <w:b/>
      <w:color w:val="000000"/>
      <w:sz w:val="32"/>
      <w:szCs w:val="32"/>
      <w:u w:val="none"/>
    </w:rPr>
  </w:style>
  <w:style w:type="character" w:customStyle="1" w:styleId="201">
    <w:name w:val="font101"/>
    <w:basedOn w:val="48"/>
    <w:autoRedefine/>
    <w:qFormat/>
    <w:uiPriority w:val="0"/>
    <w:rPr>
      <w:rFonts w:hint="default" w:ascii="Times New Roman" w:hAnsi="Times New Roman" w:cs="Times New Roman"/>
      <w:color w:val="000000"/>
      <w:sz w:val="24"/>
      <w:szCs w:val="24"/>
      <w:u w:val="none"/>
    </w:rPr>
  </w:style>
  <w:style w:type="character" w:customStyle="1" w:styleId="202">
    <w:name w:val="font111"/>
    <w:basedOn w:val="48"/>
    <w:autoRedefine/>
    <w:qFormat/>
    <w:uiPriority w:val="0"/>
    <w:rPr>
      <w:rFonts w:ascii="仿宋_GB2312" w:eastAsia="仿宋_GB2312" w:cs="仿宋_GB2312"/>
      <w:color w:val="000000"/>
      <w:sz w:val="24"/>
      <w:szCs w:val="24"/>
      <w:u w:val="none"/>
    </w:rPr>
  </w:style>
  <w:style w:type="character" w:customStyle="1" w:styleId="203">
    <w:name w:val="font91"/>
    <w:basedOn w:val="48"/>
    <w:autoRedefine/>
    <w:qFormat/>
    <w:uiPriority w:val="0"/>
    <w:rPr>
      <w:rFonts w:hint="eastAsia" w:ascii="仿宋" w:hAnsi="仿宋" w:eastAsia="仿宋" w:cs="仿宋"/>
      <w:color w:val="000000"/>
      <w:sz w:val="24"/>
      <w:szCs w:val="24"/>
      <w:u w:val="single"/>
    </w:rPr>
  </w:style>
  <w:style w:type="character" w:customStyle="1" w:styleId="204">
    <w:name w:val="font81"/>
    <w:basedOn w:val="48"/>
    <w:autoRedefine/>
    <w:qFormat/>
    <w:uiPriority w:val="0"/>
    <w:rPr>
      <w:rFonts w:hint="default" w:ascii="Times New Roman" w:hAnsi="Times New Roman" w:cs="Times New Roman"/>
      <w:color w:val="000000"/>
      <w:sz w:val="24"/>
      <w:szCs w:val="24"/>
      <w:u w:val="none"/>
    </w:rPr>
  </w:style>
  <w:style w:type="character" w:customStyle="1" w:styleId="205">
    <w:name w:val="font61"/>
    <w:basedOn w:val="48"/>
    <w:autoRedefine/>
    <w:qFormat/>
    <w:uiPriority w:val="0"/>
    <w:rPr>
      <w:rFonts w:hint="eastAsia" w:ascii="仿宋_GB2312" w:eastAsia="仿宋_GB2312" w:cs="仿宋_GB2312"/>
      <w:color w:val="000000"/>
      <w:sz w:val="24"/>
      <w:szCs w:val="24"/>
      <w:u w:val="none"/>
    </w:rPr>
  </w:style>
  <w:style w:type="character" w:customStyle="1" w:styleId="206">
    <w:name w:val="font21"/>
    <w:basedOn w:val="48"/>
    <w:autoRedefine/>
    <w:qFormat/>
    <w:uiPriority w:val="0"/>
    <w:rPr>
      <w:rFonts w:hint="default" w:ascii="Times New Roman" w:hAnsi="Times New Roman" w:cs="Times New Roman"/>
      <w:color w:val="000000"/>
      <w:sz w:val="24"/>
      <w:szCs w:val="24"/>
      <w:u w:val="none"/>
    </w:rPr>
  </w:style>
  <w:style w:type="character" w:customStyle="1" w:styleId="207">
    <w:name w:val="NormalCharacter"/>
    <w:autoRedefine/>
    <w:semiHidden/>
    <w:qFormat/>
    <w:uiPriority w:val="0"/>
    <w:rPr>
      <w:snapToGrid w:val="0"/>
      <w:kern w:val="0"/>
      <w:sz w:val="32"/>
      <w:szCs w:val="32"/>
      <w:lang w:val="en-US" w:eastAsia="zh-CN" w:bidi="ar-SA"/>
    </w:rPr>
  </w:style>
  <w:style w:type="character" w:customStyle="1" w:styleId="208">
    <w:name w:val="first-child1"/>
    <w:basedOn w:val="48"/>
    <w:autoRedefine/>
    <w:qFormat/>
    <w:uiPriority w:val="0"/>
  </w:style>
  <w:style w:type="character" w:customStyle="1" w:styleId="209">
    <w:name w:val="hover1"/>
    <w:basedOn w:val="48"/>
    <w:autoRedefine/>
    <w:qFormat/>
    <w:uiPriority w:val="0"/>
    <w:rPr>
      <w:color w:val="2590EB"/>
    </w:rPr>
  </w:style>
  <w:style w:type="character" w:customStyle="1" w:styleId="210">
    <w:name w:val="hover2"/>
    <w:basedOn w:val="48"/>
    <w:autoRedefine/>
    <w:qFormat/>
    <w:uiPriority w:val="0"/>
  </w:style>
  <w:style w:type="character" w:customStyle="1" w:styleId="211">
    <w:name w:val="hover3"/>
    <w:basedOn w:val="48"/>
    <w:autoRedefine/>
    <w:qFormat/>
    <w:uiPriority w:val="0"/>
    <w:rPr>
      <w:color w:val="2590EB"/>
    </w:rPr>
  </w:style>
  <w:style w:type="character" w:customStyle="1" w:styleId="212">
    <w:name w:val="hover4"/>
    <w:basedOn w:val="48"/>
    <w:autoRedefine/>
    <w:qFormat/>
    <w:uiPriority w:val="0"/>
    <w:rPr>
      <w:color w:val="2590EB"/>
      <w:shd w:val="clear" w:fill="E9F4FD"/>
    </w:rPr>
  </w:style>
  <w:style w:type="character" w:customStyle="1" w:styleId="213">
    <w:name w:val="mini-outputtext1"/>
    <w:basedOn w:val="48"/>
    <w:autoRedefine/>
    <w:qFormat/>
    <w:uiPriority w:val="0"/>
  </w:style>
  <w:style w:type="character" w:customStyle="1" w:styleId="214">
    <w:name w:val="hover"/>
    <w:basedOn w:val="48"/>
    <w:autoRedefine/>
    <w:qFormat/>
    <w:uiPriority w:val="0"/>
    <w:rPr>
      <w:color w:val="2590EB"/>
    </w:rPr>
  </w:style>
  <w:style w:type="character" w:customStyle="1" w:styleId="215">
    <w:name w:val="15"/>
    <w:basedOn w:val="48"/>
    <w:qFormat/>
    <w:uiPriority w:val="0"/>
    <w:rPr>
      <w:rFonts w:hint="default" w:ascii="Times New Roman" w:hAnsi="Times New Roman" w:cs="Times New Roman"/>
    </w:rPr>
  </w:style>
  <w:style w:type="character" w:customStyle="1" w:styleId="216">
    <w:name w:val="10"/>
    <w:basedOn w:val="48"/>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B6A8AB-B2A1-4B55-8D10-16A16BEFEE1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93</Pages>
  <Words>13267</Words>
  <Characters>14615</Characters>
  <Lines>1</Lines>
  <Paragraphs>1</Paragraphs>
  <TotalTime>28</TotalTime>
  <ScaleCrop>false</ScaleCrop>
  <LinksUpToDate>false</LinksUpToDate>
  <CharactersWithSpaces>14817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2016-05-15T08:29:00Z</dcterms:created>
  <dc:creator>dengxiaochun</dc:creator>
  <cp:lastModifiedBy>这不科学</cp:lastModifiedBy>
  <cp:lastPrinted>2023-06-08T00:43:00Z</cp:lastPrinted>
  <dcterms:modified xsi:type="dcterms:W3CDTF">2025-09-18T07:11:12Z</dcterms:modified>
  <dc:title>标准交易文件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3B9C75BDA2FF420B91E1C1DD7F991C2E_13</vt:lpwstr>
  </property>
  <property fmtid="{D5CDD505-2E9C-101B-9397-08002B2CF9AE}" pid="4" name="KSOTemplateDocerSaveRecord">
    <vt:lpwstr>eyJoZGlkIjoiZmI5ZDY5ZDNjMmE2ZDcxYTFkMDY0Zjg5Mjg3YTE0YTgiLCJ1c2VySWQiOiI1MDM3MjkwOTMifQ==</vt:lpwstr>
  </property>
</Properties>
</file>