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58A13">
      <w:pPr>
        <w:pStyle w:val="12"/>
        <w:ind w:left="0" w:leftChars="0" w:firstLineChars="0"/>
        <w:jc w:val="center"/>
        <w:rPr>
          <w:rFonts w:ascii="新宋体" w:hAnsi="新宋体" w:eastAsia="新宋体"/>
          <w:b/>
          <w:color w:val="auto"/>
          <w:sz w:val="44"/>
          <w:szCs w:val="44"/>
          <w:highlight w:val="none"/>
        </w:rPr>
      </w:pPr>
      <w:bookmarkStart w:id="0" w:name="OLE_LINK1"/>
    </w:p>
    <w:p w14:paraId="6193BF03">
      <w:pPr>
        <w:spacing w:before="312" w:beforeLines="100" w:after="312" w:afterLines="100" w:line="840" w:lineRule="exact"/>
        <w:jc w:val="center"/>
        <w:rPr>
          <w:color w:val="auto"/>
          <w:highlight w:val="none"/>
        </w:rPr>
      </w:pPr>
      <w:r>
        <w:rPr>
          <w:rFonts w:hint="eastAsia" w:ascii="新宋体" w:hAnsi="新宋体" w:eastAsia="新宋体"/>
          <w:b/>
          <w:color w:val="auto"/>
          <w:sz w:val="44"/>
          <w:szCs w:val="44"/>
          <w:highlight w:val="none"/>
        </w:rPr>
        <w:t>2025年度NB水表周期更换采购项目</w:t>
      </w:r>
    </w:p>
    <w:p w14:paraId="706B0E10">
      <w:pPr>
        <w:spacing w:before="156" w:beforeLines="50" w:after="156" w:afterLines="50"/>
        <w:ind w:left="-850" w:leftChars="-405" w:right="-625"/>
        <w:jc w:val="center"/>
        <w:rPr>
          <w:rFonts w:ascii="宋体" w:hAnsi="宋体"/>
          <w:color w:val="auto"/>
          <w:sz w:val="40"/>
          <w:szCs w:val="36"/>
          <w:highlight w:val="none"/>
        </w:rPr>
      </w:pPr>
      <w:r>
        <w:rPr>
          <w:rFonts w:hint="eastAsia" w:ascii="宋体" w:hAnsi="宋体"/>
          <w:color w:val="auto"/>
          <w:sz w:val="40"/>
          <w:szCs w:val="36"/>
          <w:highlight w:val="none"/>
        </w:rPr>
        <w:t>（电子招标投标）</w:t>
      </w:r>
    </w:p>
    <w:p w14:paraId="2B947221">
      <w:pPr>
        <w:pStyle w:val="12"/>
        <w:ind w:left="0" w:leftChars="0" w:firstLine="2880" w:firstLineChars="1200"/>
        <w:rPr>
          <w:rFonts w:hint="default" w:eastAsia="宋体"/>
          <w:color w:val="auto"/>
          <w:sz w:val="24"/>
          <w:highlight w:val="none"/>
          <w:lang w:val="en-US" w:eastAsia="zh-CN"/>
        </w:rPr>
      </w:pPr>
      <w:r>
        <w:rPr>
          <w:rFonts w:hint="eastAsia"/>
          <w:color w:val="auto"/>
          <w:sz w:val="24"/>
          <w:highlight w:val="none"/>
        </w:rPr>
        <w:t>项目编号：czsjqt202508-</w:t>
      </w:r>
      <w:r>
        <w:rPr>
          <w:rFonts w:hint="eastAsia"/>
          <w:color w:val="auto"/>
          <w:sz w:val="24"/>
          <w:highlight w:val="none"/>
          <w:lang w:val="en-US" w:eastAsia="zh-CN"/>
        </w:rPr>
        <w:t>015</w:t>
      </w:r>
    </w:p>
    <w:p w14:paraId="5A46434C">
      <w:pPr>
        <w:pStyle w:val="52"/>
        <w:ind w:firstLine="0" w:firstLineChars="0"/>
        <w:rPr>
          <w:color w:val="auto"/>
          <w:highlight w:val="none"/>
        </w:rPr>
      </w:pPr>
    </w:p>
    <w:p w14:paraId="2522ADF8">
      <w:pPr>
        <w:pStyle w:val="52"/>
        <w:ind w:firstLine="480"/>
        <w:rPr>
          <w:color w:val="auto"/>
          <w:highlight w:val="none"/>
        </w:rPr>
      </w:pPr>
    </w:p>
    <w:p w14:paraId="7166B834">
      <w:pPr>
        <w:rPr>
          <w:rFonts w:ascii="宋体"/>
          <w:bCs/>
          <w:color w:val="auto"/>
          <w:szCs w:val="21"/>
          <w:highlight w:val="none"/>
        </w:rPr>
      </w:pPr>
    </w:p>
    <w:p w14:paraId="596D9607">
      <w:pPr>
        <w:spacing w:line="312" w:lineRule="auto"/>
        <w:jc w:val="center"/>
        <w:rPr>
          <w:rFonts w:ascii="宋体" w:hAnsi="宋体"/>
          <w:b/>
          <w:color w:val="auto"/>
          <w:sz w:val="84"/>
          <w:szCs w:val="84"/>
          <w:highlight w:val="none"/>
        </w:rPr>
      </w:pPr>
      <w:r>
        <w:rPr>
          <w:rFonts w:hint="eastAsia" w:ascii="宋体" w:hAnsi="宋体"/>
          <w:b/>
          <w:color w:val="auto"/>
          <w:sz w:val="84"/>
          <w:szCs w:val="84"/>
          <w:highlight w:val="none"/>
        </w:rPr>
        <w:t>招 标 文 件</w:t>
      </w:r>
    </w:p>
    <w:p w14:paraId="7875971E">
      <w:pPr>
        <w:rPr>
          <w:rFonts w:ascii="宋体"/>
          <w:bCs/>
          <w:color w:val="auto"/>
          <w:szCs w:val="21"/>
          <w:highlight w:val="none"/>
        </w:rPr>
      </w:pPr>
    </w:p>
    <w:p w14:paraId="08F7FA0F">
      <w:pPr>
        <w:rPr>
          <w:rFonts w:ascii="宋体" w:hAnsi="宋体"/>
          <w:b/>
          <w:color w:val="auto"/>
          <w:sz w:val="84"/>
          <w:szCs w:val="84"/>
          <w:highlight w:val="none"/>
        </w:rPr>
      </w:pPr>
      <w:r>
        <w:rPr>
          <w:rFonts w:hint="eastAsia" w:ascii="宋体" w:hAnsi="宋体"/>
          <w:b/>
          <w:color w:val="auto"/>
          <w:sz w:val="84"/>
          <w:szCs w:val="84"/>
          <w:highlight w:val="none"/>
        </w:rPr>
        <w:t xml:space="preserve"> </w:t>
      </w:r>
    </w:p>
    <w:p w14:paraId="58CA5781">
      <w:pPr>
        <w:pStyle w:val="13"/>
        <w:ind w:left="420"/>
        <w:rPr>
          <w:color w:val="auto"/>
          <w:highlight w:val="none"/>
        </w:rPr>
      </w:pPr>
    </w:p>
    <w:p w14:paraId="79BE5134">
      <w:pPr>
        <w:rPr>
          <w:color w:val="auto"/>
          <w:highlight w:val="none"/>
        </w:rPr>
      </w:pPr>
    </w:p>
    <w:p w14:paraId="38559AE4">
      <w:pPr>
        <w:pStyle w:val="12"/>
        <w:ind w:firstLine="400"/>
        <w:rPr>
          <w:color w:val="auto"/>
          <w:highlight w:val="none"/>
        </w:rPr>
      </w:pPr>
    </w:p>
    <w:p w14:paraId="1B0A714C">
      <w:pPr>
        <w:spacing w:before="312" w:beforeLines="100" w:after="312" w:afterLines="100" w:line="360" w:lineRule="auto"/>
        <w:jc w:val="left"/>
        <w:rPr>
          <w:rFonts w:ascii="宋体"/>
          <w:b/>
          <w:color w:val="auto"/>
          <w:sz w:val="32"/>
          <w:szCs w:val="32"/>
          <w:highlight w:val="none"/>
        </w:rPr>
      </w:pPr>
    </w:p>
    <w:p w14:paraId="0AC52618">
      <w:pPr>
        <w:pStyle w:val="12"/>
        <w:ind w:firstLine="400"/>
        <w:rPr>
          <w:color w:val="auto"/>
          <w:highlight w:val="none"/>
        </w:rPr>
      </w:pPr>
    </w:p>
    <w:p w14:paraId="4B6FBA9B">
      <w:pPr>
        <w:spacing w:before="312" w:beforeLines="100" w:after="312" w:afterLines="100" w:line="480" w:lineRule="auto"/>
        <w:ind w:firstLine="964" w:firstLineChars="300"/>
        <w:jc w:val="left"/>
        <w:rPr>
          <w:rFonts w:ascii="宋体"/>
          <w:b/>
          <w:color w:val="auto"/>
          <w:sz w:val="32"/>
          <w:szCs w:val="32"/>
          <w:highlight w:val="none"/>
        </w:rPr>
      </w:pPr>
      <w:r>
        <w:rPr>
          <w:rFonts w:hint="eastAsia" w:ascii="宋体"/>
          <w:b/>
          <w:color w:val="auto"/>
          <w:sz w:val="32"/>
          <w:szCs w:val="32"/>
          <w:highlight w:val="none"/>
        </w:rPr>
        <w:t>招标人：</w:t>
      </w:r>
      <w:r>
        <w:rPr>
          <w:rFonts w:hint="eastAsia" w:ascii="宋体"/>
          <w:b/>
          <w:color w:val="auto"/>
          <w:sz w:val="32"/>
          <w:szCs w:val="32"/>
          <w:highlight w:val="none"/>
          <w:u w:val="single"/>
        </w:rPr>
        <w:t xml:space="preserve">     滁州市自来水有限公司       </w:t>
      </w:r>
      <w:r>
        <w:rPr>
          <w:rFonts w:hint="eastAsia" w:ascii="宋体"/>
          <w:b/>
          <w:color w:val="auto"/>
          <w:sz w:val="32"/>
          <w:szCs w:val="32"/>
          <w:highlight w:val="none"/>
        </w:rPr>
        <w:t>（盖单位章）</w:t>
      </w:r>
    </w:p>
    <w:p w14:paraId="1B64728D">
      <w:pPr>
        <w:spacing w:before="312" w:beforeLines="100" w:after="312" w:afterLines="100" w:line="480" w:lineRule="auto"/>
        <w:ind w:firstLine="964" w:firstLineChars="300"/>
        <w:rPr>
          <w:rFonts w:ascii="宋体"/>
          <w:b/>
          <w:color w:val="auto"/>
          <w:sz w:val="32"/>
          <w:szCs w:val="32"/>
          <w:highlight w:val="none"/>
          <w:u w:val="single"/>
        </w:rPr>
      </w:pPr>
      <w:r>
        <w:rPr>
          <w:rFonts w:hint="eastAsia" w:ascii="宋体"/>
          <w:b/>
          <w:color w:val="auto"/>
          <w:sz w:val="32"/>
          <w:szCs w:val="32"/>
          <w:highlight w:val="none"/>
        </w:rPr>
        <w:t>代理机构：</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rPr>
        <w:t>（盖单位章）</w:t>
      </w:r>
    </w:p>
    <w:p w14:paraId="42995E6F">
      <w:pPr>
        <w:spacing w:before="312" w:beforeLines="100" w:after="312" w:afterLines="100" w:line="480" w:lineRule="auto"/>
        <w:jc w:val="center"/>
        <w:rPr>
          <w:rFonts w:ascii="宋体"/>
          <w:b/>
          <w:color w:val="auto"/>
          <w:sz w:val="32"/>
          <w:szCs w:val="32"/>
          <w:highlight w:val="none"/>
        </w:rPr>
      </w:pPr>
      <w:r>
        <w:rPr>
          <w:rFonts w:hint="eastAsia" w:ascii="宋体"/>
          <w:b/>
          <w:color w:val="auto"/>
          <w:sz w:val="32"/>
          <w:szCs w:val="32"/>
          <w:highlight w:val="none"/>
          <w:u w:val="single"/>
        </w:rPr>
        <w:t>2025</w:t>
      </w:r>
      <w:r>
        <w:rPr>
          <w:rFonts w:hint="eastAsia" w:ascii="宋体"/>
          <w:b/>
          <w:color w:val="auto"/>
          <w:sz w:val="32"/>
          <w:szCs w:val="32"/>
          <w:highlight w:val="none"/>
        </w:rPr>
        <w:t>年</w:t>
      </w:r>
      <w:r>
        <w:rPr>
          <w:rFonts w:hint="eastAsia" w:ascii="宋体"/>
          <w:b/>
          <w:color w:val="auto"/>
          <w:sz w:val="32"/>
          <w:szCs w:val="32"/>
          <w:highlight w:val="none"/>
          <w:u w:val="single"/>
        </w:rPr>
        <w:t>8</w:t>
      </w:r>
      <w:r>
        <w:rPr>
          <w:rFonts w:hint="eastAsia" w:ascii="宋体"/>
          <w:b/>
          <w:color w:val="auto"/>
          <w:sz w:val="32"/>
          <w:szCs w:val="32"/>
          <w:highlight w:val="none"/>
        </w:rPr>
        <w:t>月</w:t>
      </w:r>
    </w:p>
    <w:p w14:paraId="010572EC">
      <w:pPr>
        <w:spacing w:line="360" w:lineRule="exact"/>
        <w:rPr>
          <w:b/>
          <w:color w:val="auto"/>
          <w:sz w:val="36"/>
          <w:highlight w:val="none"/>
        </w:rPr>
      </w:pPr>
    </w:p>
    <w:p w14:paraId="0C4452C4">
      <w:pPr>
        <w:pStyle w:val="13"/>
        <w:ind w:left="0" w:leftChars="0"/>
        <w:rPr>
          <w:color w:val="auto"/>
          <w:highlight w:val="none"/>
        </w:rPr>
      </w:pPr>
    </w:p>
    <w:p w14:paraId="355E478C">
      <w:pPr>
        <w:pStyle w:val="14"/>
        <w:rPr>
          <w:color w:val="auto"/>
          <w:highlight w:val="none"/>
        </w:rPr>
      </w:pPr>
    </w:p>
    <w:p w14:paraId="16774568">
      <w:pPr>
        <w:spacing w:line="360" w:lineRule="exact"/>
        <w:jc w:val="center"/>
        <w:rPr>
          <w:b/>
          <w:color w:val="auto"/>
          <w:sz w:val="36"/>
          <w:highlight w:val="none"/>
        </w:rPr>
      </w:pPr>
    </w:p>
    <w:p w14:paraId="1D6FBEAB">
      <w:pPr>
        <w:spacing w:line="360" w:lineRule="auto"/>
        <w:jc w:val="center"/>
        <w:rPr>
          <w:b/>
          <w:color w:val="auto"/>
          <w:sz w:val="44"/>
          <w:szCs w:val="32"/>
          <w:highlight w:val="none"/>
        </w:rPr>
      </w:pPr>
      <w:r>
        <w:rPr>
          <w:rFonts w:hint="eastAsia"/>
          <w:b/>
          <w:color w:val="auto"/>
          <w:sz w:val="44"/>
          <w:szCs w:val="32"/>
          <w:highlight w:val="none"/>
        </w:rPr>
        <w:t>目  录</w:t>
      </w:r>
    </w:p>
    <w:p w14:paraId="582AEB6C">
      <w:pPr>
        <w:spacing w:line="720" w:lineRule="auto"/>
        <w:jc w:val="center"/>
        <w:rPr>
          <w:b/>
          <w:color w:val="auto"/>
          <w:sz w:val="36"/>
          <w:highlight w:val="none"/>
        </w:rPr>
      </w:pPr>
    </w:p>
    <w:p w14:paraId="409C730C">
      <w:pPr>
        <w:pStyle w:val="25"/>
        <w:tabs>
          <w:tab w:val="right" w:leader="dot" w:pos="9072"/>
        </w:tabs>
        <w:spacing w:line="700" w:lineRule="exact"/>
        <w:rPr>
          <w:rFonts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"_Toc17328" </w:instrText>
      </w:r>
      <w:r>
        <w:rPr>
          <w:color w:val="auto"/>
          <w:highlight w:val="none"/>
        </w:rPr>
        <w:fldChar w:fldCharType="separate"/>
      </w:r>
      <w:r>
        <w:rPr>
          <w:rFonts w:hint="eastAsia" w:ascii="宋体" w:hAnsi="宋体" w:cs="宋体"/>
          <w:bCs/>
          <w:color w:val="auto"/>
          <w:sz w:val="30"/>
          <w:szCs w:val="30"/>
          <w:highlight w:val="none"/>
        </w:rPr>
        <w:t>第一章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p>
    <w:p w14:paraId="241E0BFC">
      <w:pPr>
        <w:pStyle w:val="25"/>
        <w:tabs>
          <w:tab w:val="right" w:leader="dot" w:pos="9072"/>
        </w:tabs>
        <w:spacing w:line="700" w:lineRule="exact"/>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"_Toc20364" </w:instrText>
      </w:r>
      <w:r>
        <w:rPr>
          <w:color w:val="auto"/>
          <w:highlight w:val="none"/>
        </w:rPr>
        <w:fldChar w:fldCharType="separate"/>
      </w:r>
      <w:r>
        <w:rPr>
          <w:rFonts w:hint="eastAsia" w:ascii="宋体" w:hAnsi="宋体" w:cs="宋体"/>
          <w:color w:val="auto"/>
          <w:sz w:val="30"/>
          <w:szCs w:val="30"/>
          <w:highlight w:val="none"/>
        </w:rPr>
        <w:t>第二章 投标人须知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t>7</w:t>
      </w:r>
      <w:r>
        <w:rPr>
          <w:rFonts w:hint="eastAsia" w:ascii="宋体" w:hAnsi="宋体" w:cs="宋体"/>
          <w:color w:val="auto"/>
          <w:sz w:val="30"/>
          <w:szCs w:val="30"/>
          <w:highlight w:val="none"/>
        </w:rPr>
        <w:fldChar w:fldCharType="end"/>
      </w:r>
    </w:p>
    <w:p w14:paraId="4B472BC1">
      <w:pPr>
        <w:pStyle w:val="25"/>
        <w:tabs>
          <w:tab w:val="right" w:leader="dot" w:pos="9072"/>
        </w:tabs>
        <w:spacing w:line="700" w:lineRule="exact"/>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"_Toc28871" </w:instrText>
      </w:r>
      <w:r>
        <w:rPr>
          <w:color w:val="auto"/>
          <w:highlight w:val="none"/>
        </w:rPr>
        <w:fldChar w:fldCharType="separate"/>
      </w:r>
      <w:r>
        <w:rPr>
          <w:rFonts w:hint="eastAsia" w:ascii="宋体" w:hAnsi="宋体" w:cs="宋体"/>
          <w:color w:val="auto"/>
          <w:sz w:val="30"/>
          <w:szCs w:val="30"/>
          <w:highlight w:val="none"/>
        </w:rPr>
        <w:t>第三章 评标办法（综合评分法）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t>7</w:t>
      </w:r>
    </w:p>
    <w:p w14:paraId="78536156">
      <w:pPr>
        <w:pStyle w:val="25"/>
        <w:tabs>
          <w:tab w:val="right" w:leader="dot" w:pos="9072"/>
        </w:tabs>
        <w:spacing w:line="700" w:lineRule="exact"/>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"_Toc28444" </w:instrText>
      </w:r>
      <w:r>
        <w:rPr>
          <w:color w:val="auto"/>
          <w:highlight w:val="none"/>
        </w:rPr>
        <w:fldChar w:fldCharType="separate"/>
      </w:r>
      <w:r>
        <w:rPr>
          <w:rFonts w:hint="eastAsia" w:ascii="宋体" w:hAnsi="宋体" w:cs="宋体"/>
          <w:color w:val="auto"/>
          <w:sz w:val="30"/>
          <w:szCs w:val="30"/>
          <w:highlight w:val="none"/>
        </w:rPr>
        <w:t>第四章 采购内容及技术要求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t>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t>7</w:t>
      </w:r>
    </w:p>
    <w:p w14:paraId="3A4C062A">
      <w:pPr>
        <w:pStyle w:val="25"/>
        <w:tabs>
          <w:tab w:val="right" w:leader="dot" w:pos="9072"/>
        </w:tabs>
        <w:spacing w:line="700" w:lineRule="exact"/>
        <w:rPr>
          <w:rFonts w:hint="eastAsia" w:ascii="宋体" w:hAnsi="宋体" w:eastAsia="宋体" w:cs="宋体"/>
          <w:color w:val="auto"/>
          <w:sz w:val="30"/>
          <w:szCs w:val="30"/>
          <w:highlight w:val="none"/>
          <w:lang w:eastAsia="zh-CN"/>
        </w:rPr>
      </w:pPr>
      <w:r>
        <w:rPr>
          <w:color w:val="auto"/>
          <w:highlight w:val="none"/>
        </w:rPr>
        <w:fldChar w:fldCharType="begin"/>
      </w:r>
      <w:r>
        <w:rPr>
          <w:color w:val="auto"/>
          <w:highlight w:val="none"/>
        </w:rPr>
        <w:instrText xml:space="preserve"> HYPERLINK \l "_Toc22340" </w:instrText>
      </w:r>
      <w:r>
        <w:rPr>
          <w:color w:val="auto"/>
          <w:highlight w:val="none"/>
        </w:rPr>
        <w:fldChar w:fldCharType="separate"/>
      </w:r>
      <w:r>
        <w:rPr>
          <w:rFonts w:hint="eastAsia" w:ascii="宋体" w:hAnsi="宋体" w:cs="宋体"/>
          <w:color w:val="auto"/>
          <w:sz w:val="30"/>
          <w:szCs w:val="30"/>
          <w:highlight w:val="none"/>
        </w:rPr>
        <w:t>第五章 合同条款及格式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9</w:t>
      </w:r>
    </w:p>
    <w:p w14:paraId="64FC1A43">
      <w:pPr>
        <w:pStyle w:val="25"/>
        <w:tabs>
          <w:tab w:val="right" w:leader="dot" w:pos="9072"/>
        </w:tabs>
        <w:spacing w:line="700" w:lineRule="exact"/>
        <w:rPr>
          <w:rFonts w:hint="eastAsia" w:ascii="宋体" w:hAnsi="宋体" w:eastAsia="宋体" w:cs="宋体"/>
          <w:color w:val="auto"/>
          <w:sz w:val="30"/>
          <w:szCs w:val="30"/>
          <w:highlight w:val="none"/>
          <w:lang w:eastAsia="zh-CN"/>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cs="宋体"/>
          <w:color w:val="auto"/>
          <w:sz w:val="30"/>
          <w:szCs w:val="30"/>
          <w:highlight w:val="none"/>
        </w:rPr>
        <w:t>第六章 投标文件格式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t>5</w:t>
      </w:r>
      <w:r>
        <w:rPr>
          <w:rFonts w:hint="eastAsia" w:ascii="宋体" w:hAnsi="宋体" w:cs="宋体"/>
          <w:color w:val="auto"/>
          <w:sz w:val="30"/>
          <w:szCs w:val="30"/>
          <w:highlight w:val="none"/>
          <w:lang w:val="en-US" w:eastAsia="zh-CN"/>
        </w:rPr>
        <w:t>9</w:t>
      </w:r>
    </w:p>
    <w:p w14:paraId="34381AEE">
      <w:pPr>
        <w:pStyle w:val="25"/>
        <w:tabs>
          <w:tab w:val="right" w:leader="dot" w:pos="9072"/>
        </w:tabs>
        <w:spacing w:line="7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 xml:space="preserve">第七章 </w:t>
      </w:r>
      <w:r>
        <w:rPr>
          <w:color w:val="auto"/>
          <w:highlight w:val="none"/>
        </w:rPr>
        <w:fldChar w:fldCharType="begin"/>
      </w:r>
      <w:r>
        <w:rPr>
          <w:color w:val="auto"/>
          <w:highlight w:val="none"/>
        </w:rPr>
        <w:instrText xml:space="preserve"> HYPERLINK \l "_Toc25631" </w:instrText>
      </w:r>
      <w:r>
        <w:rPr>
          <w:color w:val="auto"/>
          <w:highlight w:val="none"/>
        </w:rPr>
        <w:fldChar w:fldCharType="separate"/>
      </w:r>
      <w:r>
        <w:rPr>
          <w:rFonts w:hint="eastAsia" w:ascii="宋体" w:hAnsi="宋体" w:cs="宋体"/>
          <w:color w:val="auto"/>
          <w:sz w:val="30"/>
          <w:szCs w:val="30"/>
          <w:highlight w:val="none"/>
        </w:rPr>
        <w:t>招标人、招标代理机构对本招标文件的确认</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8</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0</w:t>
      </w:r>
    </w:p>
    <w:p w14:paraId="05F9FD62">
      <w:pPr>
        <w:pStyle w:val="25"/>
        <w:tabs>
          <w:tab w:val="right" w:leader="dot" w:pos="8296"/>
        </w:tabs>
        <w:adjustRightInd w:val="0"/>
        <w:snapToGrid w:val="0"/>
        <w:spacing w:line="700" w:lineRule="exact"/>
        <w:ind w:left="150" w:hanging="150" w:hangingChars="50"/>
        <w:jc w:val="center"/>
        <w:rPr>
          <w:rFonts w:ascii="宋体" w:hAnsi="宋体" w:cs="宋体"/>
          <w:b/>
          <w:bCs/>
          <w:color w:val="auto"/>
          <w:sz w:val="30"/>
          <w:szCs w:val="30"/>
          <w:highlight w:val="none"/>
        </w:rPr>
        <w:sectPr>
          <w:headerReference r:id="rId3" w:type="default"/>
          <w:footerReference r:id="rId4" w:type="default"/>
          <w:pgSz w:w="11906" w:h="16838"/>
          <w:pgMar w:top="1440" w:right="1417" w:bottom="1417" w:left="1417" w:header="851" w:footer="992" w:gutter="0"/>
          <w:pgNumType w:start="1"/>
          <w:cols w:space="720" w:num="1"/>
          <w:docGrid w:type="lines" w:linePitch="312" w:charSpace="0"/>
        </w:sectPr>
      </w:pPr>
      <w:r>
        <w:rPr>
          <w:rFonts w:hint="eastAsia" w:ascii="宋体" w:hAnsi="宋体" w:cs="宋体"/>
          <w:color w:val="auto"/>
          <w:sz w:val="30"/>
          <w:szCs w:val="30"/>
          <w:highlight w:val="none"/>
        </w:rPr>
        <w:fldChar w:fldCharType="end"/>
      </w:r>
    </w:p>
    <w:p w14:paraId="4C2B100D">
      <w:pPr>
        <w:pStyle w:val="2"/>
        <w:tabs>
          <w:tab w:val="left" w:pos="0"/>
          <w:tab w:val="left" w:pos="3165"/>
          <w:tab w:val="center" w:pos="4153"/>
        </w:tabs>
        <w:autoSpaceDE w:val="0"/>
        <w:autoSpaceDN w:val="0"/>
        <w:adjustRightInd w:val="0"/>
        <w:spacing w:before="0" w:after="0" w:line="240" w:lineRule="auto"/>
        <w:rPr>
          <w:rFonts w:ascii="黑体" w:hAnsi="黑体" w:cs="宋体"/>
          <w:b w:val="0"/>
          <w:color w:val="auto"/>
          <w:sz w:val="28"/>
          <w:szCs w:val="28"/>
          <w:highlight w:val="none"/>
        </w:rPr>
      </w:pPr>
      <w:bookmarkStart w:id="1" w:name="_Toc17328"/>
      <w:r>
        <w:rPr>
          <w:rFonts w:hint="eastAsia" w:ascii="华文中宋" w:hAnsi="华文中宋" w:eastAsia="华文中宋"/>
          <w:color w:val="auto"/>
          <w:highlight w:val="none"/>
        </w:rPr>
        <w:t xml:space="preserve">第一章 </w:t>
      </w:r>
      <w:bookmarkEnd w:id="1"/>
      <w:r>
        <w:rPr>
          <w:rFonts w:hint="eastAsia" w:ascii="华文中宋" w:hAnsi="华文中宋" w:eastAsia="华文中宋"/>
          <w:color w:val="auto"/>
          <w:highlight w:val="none"/>
        </w:rPr>
        <w:t>招标公告</w:t>
      </w:r>
      <w:bookmarkStart w:id="2" w:name="_Toc28359002"/>
      <w:bookmarkStart w:id="3" w:name="_Toc35393621"/>
      <w:bookmarkStart w:id="4" w:name="_Toc28359079"/>
      <w:bookmarkStart w:id="5" w:name="_Toc35393790"/>
      <w:bookmarkStart w:id="6" w:name="_Hlk24379207"/>
    </w:p>
    <w:p w14:paraId="1227A65E">
      <w:pPr>
        <w:keepNext/>
        <w:keepLines/>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4E27669B">
      <w:pPr>
        <w:keepNext/>
        <w:keepLines/>
        <w:ind w:firstLine="560" w:firstLineChars="200"/>
        <w:rPr>
          <w:rFonts w:ascii="黑体" w:hAnsi="黑体" w:cs="宋体"/>
          <w:color w:val="auto"/>
          <w:sz w:val="28"/>
          <w:szCs w:val="28"/>
          <w:highlight w:val="none"/>
        </w:rPr>
      </w:pPr>
      <w:r>
        <w:rPr>
          <w:rFonts w:hint="eastAsia" w:ascii="仿宋" w:hAnsi="仿宋" w:eastAsia="仿宋" w:cs="仿宋"/>
          <w:color w:val="auto"/>
          <w:sz w:val="28"/>
          <w:szCs w:val="28"/>
          <w:highlight w:val="none"/>
          <w:u w:val="single"/>
        </w:rPr>
        <w:t>2025年度NB水表周期更换采购项目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2025年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22</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443A3D5B">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bookmarkEnd w:id="2"/>
      <w:bookmarkEnd w:id="3"/>
      <w:bookmarkEnd w:id="4"/>
      <w:bookmarkEnd w:id="5"/>
    </w:p>
    <w:p w14:paraId="45C27A0C">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项目编号：czsjqt202508-</w:t>
      </w:r>
      <w:r>
        <w:rPr>
          <w:rFonts w:hint="eastAsia" w:ascii="仿宋" w:hAnsi="仿宋" w:eastAsia="仿宋"/>
          <w:color w:val="auto"/>
          <w:sz w:val="28"/>
          <w:szCs w:val="28"/>
          <w:highlight w:val="none"/>
          <w:lang w:val="en-US" w:eastAsia="zh-CN"/>
        </w:rPr>
        <w:t>015</w:t>
      </w:r>
    </w:p>
    <w:p w14:paraId="7162948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bookmarkEnd w:id="6"/>
      <w:r>
        <w:rPr>
          <w:rFonts w:hint="eastAsia" w:ascii="仿宋" w:hAnsi="仿宋" w:eastAsia="仿宋"/>
          <w:color w:val="auto"/>
          <w:sz w:val="28"/>
          <w:szCs w:val="28"/>
          <w:highlight w:val="none"/>
        </w:rPr>
        <w:t>2025年度NB水表周期更换采购项目</w:t>
      </w:r>
    </w:p>
    <w:p w14:paraId="38374AC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预算金额：5730000.00元   </w:t>
      </w:r>
    </w:p>
    <w:p w14:paraId="288798E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最高限价：5730000.00元（最高综合单价为191元/只）   </w:t>
      </w:r>
    </w:p>
    <w:p w14:paraId="081879B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采购需求：NB水表周期更换采购</w:t>
      </w:r>
    </w:p>
    <w:p w14:paraId="7339DCC0">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合同履行期限：本项目分批次供货，中标人收到招标人供货通知之日起7个历天内完成供货。</w:t>
      </w:r>
    </w:p>
    <w:p w14:paraId="7ECB922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本项目不接受联合体投标。</w:t>
      </w:r>
    </w:p>
    <w:p w14:paraId="3B14CE1F">
      <w:pPr>
        <w:keepNext/>
        <w:keepLines/>
        <w:spacing w:before="260" w:after="260"/>
        <w:rPr>
          <w:rFonts w:ascii="黑体" w:hAnsi="黑体" w:eastAsia="黑体" w:cs="黑体"/>
          <w:color w:val="auto"/>
          <w:sz w:val="28"/>
          <w:szCs w:val="28"/>
          <w:highlight w:val="none"/>
        </w:rPr>
      </w:pPr>
      <w:bookmarkStart w:id="7" w:name="_Toc35393622"/>
      <w:bookmarkStart w:id="8" w:name="_Toc28359080"/>
      <w:bookmarkStart w:id="9" w:name="_Toc35393791"/>
      <w:bookmarkStart w:id="10" w:name="_Toc28359003"/>
      <w:r>
        <w:rPr>
          <w:rFonts w:hint="eastAsia" w:ascii="黑体" w:hAnsi="黑体" w:eastAsia="黑体" w:cs="黑体"/>
          <w:color w:val="auto"/>
          <w:sz w:val="28"/>
          <w:szCs w:val="28"/>
          <w:highlight w:val="none"/>
        </w:rPr>
        <w:t>二、申请人的资格要求</w:t>
      </w:r>
      <w:bookmarkEnd w:id="7"/>
      <w:bookmarkEnd w:id="8"/>
      <w:bookmarkEnd w:id="9"/>
      <w:bookmarkEnd w:id="10"/>
    </w:p>
    <w:p w14:paraId="3C2B8568">
      <w:pPr>
        <w:ind w:firstLine="560" w:firstLineChars="200"/>
        <w:rPr>
          <w:rFonts w:ascii="仿宋" w:hAnsi="仿宋" w:eastAsia="仿宋"/>
          <w:color w:val="auto"/>
          <w:sz w:val="28"/>
          <w:szCs w:val="28"/>
          <w:highlight w:val="none"/>
        </w:rPr>
      </w:pPr>
      <w:bookmarkStart w:id="11" w:name="_Toc28359081"/>
      <w:bookmarkStart w:id="12" w:name="_Toc28359004"/>
      <w:bookmarkStart w:id="13" w:name="_Toc35393623"/>
      <w:bookmarkStart w:id="14" w:name="_Toc35393792"/>
      <w:r>
        <w:rPr>
          <w:rFonts w:hint="eastAsia" w:ascii="仿宋" w:hAnsi="仿宋" w:eastAsia="仿宋"/>
          <w:color w:val="auto"/>
          <w:sz w:val="28"/>
          <w:szCs w:val="28"/>
          <w:highlight w:val="none"/>
        </w:rPr>
        <w:t>1.企业资格要求：</w:t>
      </w:r>
    </w:p>
    <w:p w14:paraId="7C80C80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1.1具有独立承担民事责任能力及相应供货能力的生产厂家。</w:t>
      </w:r>
    </w:p>
    <w:p w14:paraId="70B7FEF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1.2具有省级及以上卫生主管部门颁发的涉及饮用水卫生安全产品的有效卫生许可批件或省级及以上疾病预防控制中心出具的涉及饮用水卫生安全产品检验报告；</w:t>
      </w:r>
    </w:p>
    <w:p w14:paraId="73854ACC">
      <w:pPr>
        <w:pStyle w:val="17"/>
        <w:spacing w:after="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1.3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3F4BB09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2.信誉要求：投标人不得存在以下情形：</w:t>
      </w:r>
    </w:p>
    <w:p w14:paraId="441120ED">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①被列入“信用中国”网站“失信被执行人”的;</w:t>
      </w:r>
    </w:p>
    <w:p w14:paraId="109C12C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②被列入“信用中国”网站“重大税收违法失信主体”的；</w:t>
      </w:r>
    </w:p>
    <w:p w14:paraId="30F52FE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③被列入“信用中国”网站“拖欠农民工工资失信联合惩戒对象名单”的；</w:t>
      </w:r>
    </w:p>
    <w:p w14:paraId="51FD684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④被列入“信用中国”网站 “严重失信主体名单”的；</w:t>
      </w:r>
    </w:p>
    <w:p w14:paraId="49404A9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⑤在“信用中国”网站上披露的仍在公示期的严重失信行为(具体行为类别及判定依据见附件2)的。</w:t>
      </w:r>
    </w:p>
    <w:p w14:paraId="02E4D97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⑥被列入</w:t>
      </w:r>
      <w:bookmarkStart w:id="15" w:name="OLE_LINK4"/>
      <w:r>
        <w:rPr>
          <w:rFonts w:hint="eastAsia" w:ascii="仿宋" w:hAnsi="仿宋" w:eastAsia="仿宋"/>
          <w:color w:val="auto"/>
          <w:sz w:val="28"/>
          <w:szCs w:val="28"/>
          <w:highlight w:val="none"/>
        </w:rPr>
        <w:t>国家企业信用信息公示系统网站</w:t>
      </w:r>
      <w:bookmarkEnd w:id="15"/>
      <w:r>
        <w:rPr>
          <w:rFonts w:hint="eastAsia" w:ascii="仿宋" w:hAnsi="仿宋" w:eastAsia="仿宋"/>
          <w:color w:val="auto"/>
          <w:sz w:val="28"/>
          <w:szCs w:val="28"/>
          <w:highlight w:val="none"/>
        </w:rPr>
        <w:t>“经营异常名录”或者“严重违法失信名单”的。</w:t>
      </w:r>
    </w:p>
    <w:p w14:paraId="33C4394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⑦前三年有行贿犯罪行为的单位和个人；</w:t>
      </w:r>
    </w:p>
    <w:p w14:paraId="6B37459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⑧被滁州市县两级公管部门及各行业主管部门取消在一定期限内的投标资格且在取消期限内的；</w:t>
      </w:r>
    </w:p>
    <w:p w14:paraId="382365CD">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⑨因拖欠农民工工资被县级及以上有关行政主管部门限制投标资格且在限制期限内的；</w:t>
      </w:r>
    </w:p>
    <w:p w14:paraId="1DFD4EF0">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DC1225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3.投标人所属分公司、办事处等分支机构存在第2款信誉要求①-</w:t>
      </w:r>
      <w:r>
        <w:rPr>
          <w:rFonts w:hint="eastAsia" w:ascii="仿宋" w:hAnsi="仿宋" w:eastAsia="仿宋" w:cs="仿宋"/>
          <w:color w:val="auto"/>
          <w:sz w:val="28"/>
          <w:szCs w:val="28"/>
          <w:highlight w:val="none"/>
        </w:rPr>
        <w:t>⑩</w:t>
      </w:r>
      <w:r>
        <w:rPr>
          <w:rFonts w:hint="eastAsia" w:ascii="仿宋" w:hAnsi="仿宋" w:eastAsia="仿宋"/>
          <w:color w:val="auto"/>
          <w:sz w:val="28"/>
          <w:szCs w:val="28"/>
          <w:highlight w:val="none"/>
        </w:rPr>
        <w:t>项情形之一的，接受投标人参加本项目。</w:t>
      </w:r>
    </w:p>
    <w:p w14:paraId="5AD8E07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备注：第2、3条按照“关于联合惩戒失信行为加强信用查询管理的通知”查询或承诺。</w:t>
      </w:r>
    </w:p>
    <w:p w14:paraId="0D9A1F75">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11"/>
      <w:bookmarkEnd w:id="12"/>
      <w:bookmarkEnd w:id="13"/>
      <w:bookmarkEnd w:id="14"/>
    </w:p>
    <w:p w14:paraId="698946C5">
      <w:pPr>
        <w:ind w:firstLine="540"/>
        <w:rPr>
          <w:rFonts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2025年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2025年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2C5067B1">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56FCFEA8">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4D7A4F3A">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657E3E9E">
      <w:pPr>
        <w:pStyle w:val="3"/>
        <w:numPr>
          <w:ilvl w:val="0"/>
          <w:numId w:val="0"/>
        </w:numPr>
        <w:spacing w:line="240" w:lineRule="auto"/>
        <w:rPr>
          <w:rFonts w:ascii="黑体" w:hAnsi="黑体" w:eastAsia="黑体" w:cs="黑体"/>
          <w:color w:val="auto"/>
          <w:kern w:val="2"/>
          <w:sz w:val="28"/>
          <w:szCs w:val="28"/>
          <w:highlight w:val="none"/>
        </w:rPr>
      </w:pPr>
      <w:bookmarkStart w:id="16" w:name="_Toc28359005"/>
      <w:bookmarkStart w:id="17" w:name="_Toc28359082"/>
      <w:bookmarkStart w:id="18" w:name="_Toc35393793"/>
      <w:bookmarkStart w:id="19" w:name="_Toc35393624"/>
      <w:r>
        <w:rPr>
          <w:rFonts w:hint="eastAsia" w:ascii="黑体" w:hAnsi="黑体" w:eastAsia="黑体" w:cs="黑体"/>
          <w:color w:val="auto"/>
          <w:kern w:val="2"/>
          <w:sz w:val="28"/>
          <w:szCs w:val="28"/>
          <w:highlight w:val="none"/>
        </w:rPr>
        <w:t>四、提交投标文件</w:t>
      </w:r>
      <w:bookmarkEnd w:id="16"/>
      <w:bookmarkEnd w:id="17"/>
      <w:r>
        <w:rPr>
          <w:rFonts w:hint="eastAsia" w:ascii="黑体" w:hAnsi="黑体" w:eastAsia="黑体" w:cs="黑体"/>
          <w:color w:val="auto"/>
          <w:kern w:val="2"/>
          <w:sz w:val="28"/>
          <w:szCs w:val="28"/>
          <w:highlight w:val="none"/>
        </w:rPr>
        <w:t>截止时间、开标时间和地点</w:t>
      </w:r>
      <w:bookmarkEnd w:id="18"/>
      <w:bookmarkEnd w:id="19"/>
    </w:p>
    <w:p w14:paraId="2E3CB6C0">
      <w:pPr>
        <w:ind w:firstLine="560" w:firstLineChars="200"/>
        <w:rPr>
          <w:rFonts w:ascii="仿宋" w:hAnsi="仿宋" w:eastAsia="仿宋"/>
          <w:bCs/>
          <w:iCs/>
          <w:color w:val="auto"/>
          <w:sz w:val="28"/>
          <w:szCs w:val="28"/>
          <w:highlight w:val="none"/>
        </w:rPr>
      </w:pPr>
      <w:r>
        <w:rPr>
          <w:rFonts w:hint="eastAsia" w:ascii="仿宋" w:hAnsi="仿宋" w:eastAsia="仿宋"/>
          <w:bCs/>
          <w:color w:val="auto"/>
          <w:sz w:val="28"/>
          <w:szCs w:val="28"/>
          <w:highlight w:val="none"/>
          <w:u w:val="single"/>
        </w:rPr>
        <w:t>2025年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22</w:t>
      </w:r>
      <w:r>
        <w:rPr>
          <w:rFonts w:hint="eastAsia" w:ascii="仿宋" w:hAnsi="仿宋" w:eastAsia="仿宋"/>
          <w:bCs/>
          <w:color w:val="auto"/>
          <w:sz w:val="28"/>
          <w:szCs w:val="28"/>
          <w:highlight w:val="none"/>
          <w:u w:val="single"/>
        </w:rPr>
        <w:t>日8点00分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36D3414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42E5CB41">
      <w:pPr>
        <w:keepNext/>
        <w:keepLines/>
        <w:spacing w:before="260" w:after="260"/>
        <w:rPr>
          <w:rFonts w:ascii="黑体" w:hAnsi="黑体" w:eastAsia="黑体" w:cs="黑体"/>
          <w:color w:val="auto"/>
          <w:sz w:val="28"/>
          <w:szCs w:val="28"/>
          <w:highlight w:val="none"/>
        </w:rPr>
      </w:pPr>
      <w:bookmarkStart w:id="20" w:name="_Toc28359084"/>
      <w:bookmarkStart w:id="21" w:name="_Toc35393794"/>
      <w:bookmarkStart w:id="22" w:name="_Toc28359007"/>
      <w:bookmarkStart w:id="23" w:name="_Toc35393625"/>
      <w:r>
        <w:rPr>
          <w:rFonts w:hint="eastAsia" w:ascii="黑体" w:hAnsi="黑体" w:eastAsia="黑体" w:cs="黑体"/>
          <w:color w:val="auto"/>
          <w:sz w:val="28"/>
          <w:szCs w:val="28"/>
          <w:highlight w:val="none"/>
        </w:rPr>
        <w:t>五、公告期限</w:t>
      </w:r>
      <w:bookmarkEnd w:id="20"/>
      <w:bookmarkEnd w:id="21"/>
      <w:bookmarkEnd w:id="22"/>
      <w:bookmarkEnd w:id="23"/>
    </w:p>
    <w:p w14:paraId="2C4A8B1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D79CBA8">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B635BA9">
      <w:pPr>
        <w:pStyle w:val="119"/>
        <w:rPr>
          <w:color w:val="auto"/>
          <w:highlight w:val="none"/>
        </w:rPr>
      </w:pPr>
      <w:bookmarkStart w:id="24" w:name="_Toc35393626"/>
      <w:bookmarkStart w:id="25" w:name="_Toc35393795"/>
      <w:r>
        <w:rPr>
          <w:color w:val="auto"/>
          <w:highlight w:val="none"/>
        </w:rPr>
        <w:t>窗体顶端</w:t>
      </w:r>
    </w:p>
    <w:p w14:paraId="27894E0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投标保证金的金额：11万元。不要求投标人提交投标保证金。</w:t>
      </w:r>
    </w:p>
    <w:p w14:paraId="0AA8176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w:t>
      </w:r>
    </w:p>
    <w:p w14:paraId="40A002B0">
      <w:pPr>
        <w:pStyle w:val="120"/>
        <w:rPr>
          <w:color w:val="auto"/>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23.4项约定的投标人。如在投标过程中投标人存在本招标文件第二章“投标人须知”中第23.4项约定情形，则无条件按招标人要求的金额、时间、账号缴纳投标保证金。</w:t>
      </w:r>
      <w:r>
        <w:rPr>
          <w:color w:val="auto"/>
          <w:highlight w:val="none"/>
        </w:rPr>
        <w:t>窗体底端</w:t>
      </w:r>
    </w:p>
    <w:p w14:paraId="1561F0CF">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4"/>
      <w:bookmarkEnd w:id="25"/>
    </w:p>
    <w:p w14:paraId="788CA6B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4B1BF4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4D37DA8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435FE8E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4.投标文件格式、内容和制作要求以招标文件为准，投标文件制作工具中提供的相关格式及内容仅供参考，投标企业可根据招标文件要求自行调整。</w:t>
      </w:r>
    </w:p>
    <w:p w14:paraId="696A4A7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5.投标人提出异议的截止时间及方式：如投标人对招标文件有异议，请于2025年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日08时（投标截止10日）前在滁州市公共资源交易中心网电子交易系统中进行异议，具体操作步骤和程序请参见服务指南&gt;交易须知&gt;在线异议、质疑和投诉操作手册。</w:t>
      </w:r>
    </w:p>
    <w:p w14:paraId="0FA8ADE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6.受理异议的联系人及联系方式：宋支武0550-3062913、杨韦0550-3519590。</w:t>
      </w:r>
    </w:p>
    <w:p w14:paraId="7DF4B0C0">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74D36C59">
      <w:pPr>
        <w:pStyle w:val="3"/>
        <w:numPr>
          <w:ilvl w:val="0"/>
          <w:numId w:val="0"/>
        </w:numPr>
        <w:adjustRightInd/>
        <w:spacing w:line="240" w:lineRule="auto"/>
        <w:ind w:left="-199" w:leftChars="-95" w:firstLine="560" w:firstLineChars="2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112C2E96">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 xml:space="preserve">滁州市自来水有限公司  </w:t>
      </w:r>
    </w:p>
    <w:p w14:paraId="193F9339">
      <w:pPr>
        <w:ind w:left="-199" w:leftChars="-95"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滁州市清流西路389号</w:t>
      </w:r>
    </w:p>
    <w:p w14:paraId="4DCB33FA">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 xml:space="preserve">0550-3062913                 </w:t>
      </w:r>
    </w:p>
    <w:p w14:paraId="6A3665B8">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2C074CB1">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6421BDEB">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438AF5D7">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31D4A432">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034EE741">
      <w:pPr>
        <w:pStyle w:val="19"/>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rPr>
        <w:t xml:space="preserve">宋支武、杨韦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14:paraId="7B0ACDB6">
      <w:pPr>
        <w:ind w:left="-199" w:leftChars="-95" w:firstLine="840" w:firstLineChars="300"/>
        <w:jc w:val="left"/>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0550-3062913、0550-3519590 </w:t>
      </w:r>
    </w:p>
    <w:p w14:paraId="7B686E2B">
      <w:pPr>
        <w:pStyle w:val="52"/>
        <w:ind w:firstLine="560"/>
        <w:rPr>
          <w:rFonts w:ascii="仿宋" w:hAnsi="仿宋" w:eastAsia="仿宋"/>
          <w:color w:val="auto"/>
          <w:sz w:val="28"/>
          <w:szCs w:val="28"/>
          <w:highlight w:val="none"/>
          <w:u w:val="single"/>
        </w:rPr>
      </w:pPr>
    </w:p>
    <w:p w14:paraId="320F345A">
      <w:pPr>
        <w:pStyle w:val="52"/>
        <w:ind w:firstLine="560"/>
        <w:rPr>
          <w:rFonts w:ascii="仿宋" w:hAnsi="仿宋" w:eastAsia="仿宋"/>
          <w:color w:val="auto"/>
          <w:sz w:val="28"/>
          <w:szCs w:val="28"/>
          <w:highlight w:val="none"/>
          <w:u w:val="single"/>
        </w:rPr>
      </w:pPr>
    </w:p>
    <w:p w14:paraId="62180CA7">
      <w:pPr>
        <w:pStyle w:val="52"/>
        <w:ind w:firstLine="0" w:firstLineChars="0"/>
        <w:rPr>
          <w:rFonts w:ascii="仿宋" w:hAnsi="仿宋" w:eastAsia="仿宋"/>
          <w:color w:val="auto"/>
          <w:sz w:val="28"/>
          <w:szCs w:val="28"/>
          <w:highlight w:val="none"/>
          <w:u w:val="single"/>
        </w:rPr>
      </w:pPr>
    </w:p>
    <w:p w14:paraId="72666C2F">
      <w:pPr>
        <w:pStyle w:val="2"/>
        <w:spacing w:before="156" w:beforeLines="50" w:after="156" w:afterLines="50" w:line="579" w:lineRule="auto"/>
        <w:rPr>
          <w:rFonts w:ascii="宋体"/>
          <w:b w:val="0"/>
          <w:color w:val="auto"/>
          <w:szCs w:val="32"/>
          <w:highlight w:val="none"/>
        </w:rPr>
      </w:pPr>
      <w:bookmarkStart w:id="26" w:name="_Toc20364"/>
      <w:r>
        <w:rPr>
          <w:rFonts w:hint="eastAsia"/>
          <w:color w:val="auto"/>
          <w:highlight w:val="none"/>
        </w:rPr>
        <w:br w:type="page"/>
      </w:r>
      <w:r>
        <w:rPr>
          <w:rFonts w:hint="eastAsia"/>
          <w:color w:val="auto"/>
          <w:highlight w:val="none"/>
        </w:rPr>
        <w:t>第二章 投标人须知</w:t>
      </w:r>
      <w:bookmarkEnd w:id="26"/>
    </w:p>
    <w:p w14:paraId="0E28AE93">
      <w:pPr>
        <w:snapToGrid w:val="0"/>
        <w:spacing w:line="440" w:lineRule="exact"/>
        <w:jc w:val="center"/>
        <w:outlineLvl w:val="1"/>
        <w:rPr>
          <w:rFonts w:ascii="宋体"/>
          <w:b/>
          <w:color w:val="auto"/>
          <w:sz w:val="28"/>
          <w:szCs w:val="28"/>
          <w:highlight w:val="none"/>
        </w:rPr>
      </w:pPr>
      <w:bookmarkStart w:id="27" w:name="_Toc1019"/>
      <w:bookmarkStart w:id="28" w:name="_Toc449028865"/>
      <w:bookmarkStart w:id="29"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7"/>
      <w:bookmarkEnd w:id="28"/>
      <w:bookmarkEnd w:id="29"/>
    </w:p>
    <w:tbl>
      <w:tblPr>
        <w:tblStyle w:val="35"/>
        <w:tblW w:w="9798"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878"/>
        <w:gridCol w:w="1262"/>
        <w:gridCol w:w="6610"/>
      </w:tblGrid>
      <w:tr w14:paraId="07AF47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1048" w:type="dxa"/>
            <w:vAlign w:val="center"/>
          </w:tcPr>
          <w:p w14:paraId="785980A0">
            <w:pPr>
              <w:pStyle w:val="19"/>
              <w:spacing w:line="500" w:lineRule="exact"/>
              <w:jc w:val="center"/>
              <w:rPr>
                <w:rFonts w:hAnsi="宋体" w:cs="宋体"/>
                <w:b/>
                <w:color w:val="auto"/>
                <w:szCs w:val="21"/>
                <w:highlight w:val="none"/>
              </w:rPr>
            </w:pPr>
            <w:r>
              <w:rPr>
                <w:rFonts w:hint="eastAsia" w:hAnsi="宋体" w:cs="宋体"/>
                <w:b/>
                <w:color w:val="auto"/>
                <w:szCs w:val="21"/>
                <w:highlight w:val="none"/>
              </w:rPr>
              <w:t>条款号</w:t>
            </w:r>
          </w:p>
        </w:tc>
        <w:tc>
          <w:tcPr>
            <w:tcW w:w="2140" w:type="dxa"/>
            <w:gridSpan w:val="2"/>
            <w:vAlign w:val="center"/>
          </w:tcPr>
          <w:p w14:paraId="6BF0B1F3">
            <w:pPr>
              <w:pStyle w:val="19"/>
              <w:spacing w:line="500" w:lineRule="exact"/>
              <w:jc w:val="center"/>
              <w:rPr>
                <w:rFonts w:hAnsi="宋体" w:cs="宋体"/>
                <w:b/>
                <w:color w:val="auto"/>
                <w:szCs w:val="21"/>
                <w:highlight w:val="none"/>
              </w:rPr>
            </w:pPr>
            <w:r>
              <w:rPr>
                <w:rFonts w:hint="eastAsia" w:hAnsi="宋体" w:cs="宋体"/>
                <w:b/>
                <w:color w:val="auto"/>
                <w:szCs w:val="21"/>
                <w:highlight w:val="none"/>
              </w:rPr>
              <w:t>内容</w:t>
            </w:r>
          </w:p>
        </w:tc>
        <w:tc>
          <w:tcPr>
            <w:tcW w:w="6610" w:type="dxa"/>
            <w:vAlign w:val="center"/>
          </w:tcPr>
          <w:p w14:paraId="4A838944">
            <w:pPr>
              <w:pStyle w:val="19"/>
              <w:spacing w:line="500" w:lineRule="exact"/>
              <w:jc w:val="center"/>
              <w:rPr>
                <w:rFonts w:hAnsi="宋体" w:cs="宋体"/>
                <w:b/>
                <w:color w:val="auto"/>
                <w:szCs w:val="21"/>
                <w:highlight w:val="none"/>
              </w:rPr>
            </w:pPr>
            <w:r>
              <w:rPr>
                <w:rFonts w:hint="eastAsia" w:hAnsi="宋体" w:cs="宋体"/>
                <w:b/>
                <w:color w:val="auto"/>
                <w:szCs w:val="21"/>
                <w:highlight w:val="none"/>
              </w:rPr>
              <w:t>说明与要求</w:t>
            </w:r>
          </w:p>
        </w:tc>
      </w:tr>
      <w:tr w14:paraId="7E594B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1048" w:type="dxa"/>
            <w:vAlign w:val="center"/>
          </w:tcPr>
          <w:p w14:paraId="055D6770">
            <w:pPr>
              <w:pStyle w:val="19"/>
              <w:spacing w:line="500" w:lineRule="exact"/>
              <w:jc w:val="center"/>
              <w:rPr>
                <w:rFonts w:hAnsi="宋体" w:cs="宋体"/>
                <w:color w:val="auto"/>
                <w:szCs w:val="21"/>
                <w:highlight w:val="none"/>
              </w:rPr>
            </w:pPr>
            <w:r>
              <w:rPr>
                <w:rFonts w:hint="eastAsia" w:hAnsi="宋体" w:cs="宋体"/>
                <w:color w:val="auto"/>
                <w:szCs w:val="21"/>
                <w:highlight w:val="none"/>
              </w:rPr>
              <w:t>1.1</w:t>
            </w:r>
          </w:p>
        </w:tc>
        <w:tc>
          <w:tcPr>
            <w:tcW w:w="2140" w:type="dxa"/>
            <w:gridSpan w:val="2"/>
            <w:vAlign w:val="center"/>
          </w:tcPr>
          <w:p w14:paraId="0ED85F87">
            <w:pPr>
              <w:pStyle w:val="19"/>
              <w:spacing w:line="500" w:lineRule="exact"/>
              <w:jc w:val="left"/>
              <w:rPr>
                <w:rFonts w:hAnsi="宋体" w:cs="宋体"/>
                <w:color w:val="auto"/>
                <w:szCs w:val="21"/>
                <w:highlight w:val="none"/>
              </w:rPr>
            </w:pPr>
            <w:r>
              <w:rPr>
                <w:rFonts w:hint="eastAsia" w:hAnsi="宋体" w:cs="宋体"/>
                <w:color w:val="auto"/>
                <w:szCs w:val="21"/>
                <w:highlight w:val="none"/>
              </w:rPr>
              <w:t>项目名称</w:t>
            </w:r>
          </w:p>
        </w:tc>
        <w:tc>
          <w:tcPr>
            <w:tcW w:w="6610" w:type="dxa"/>
            <w:vAlign w:val="center"/>
          </w:tcPr>
          <w:p w14:paraId="649BE9EA">
            <w:pPr>
              <w:pStyle w:val="19"/>
              <w:spacing w:line="500" w:lineRule="exact"/>
              <w:rPr>
                <w:rFonts w:hAnsi="宋体" w:cs="宋体"/>
                <w:color w:val="auto"/>
                <w:szCs w:val="21"/>
                <w:highlight w:val="none"/>
              </w:rPr>
            </w:pPr>
            <w:r>
              <w:rPr>
                <w:rFonts w:hint="eastAsia" w:hAnsi="宋体" w:cs="宋体"/>
                <w:color w:val="auto"/>
                <w:szCs w:val="21"/>
                <w:highlight w:val="none"/>
              </w:rPr>
              <w:t>2025年度NB水表周期更换采购项目</w:t>
            </w:r>
          </w:p>
        </w:tc>
      </w:tr>
      <w:tr w14:paraId="3C5E87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048" w:type="dxa"/>
            <w:vAlign w:val="center"/>
          </w:tcPr>
          <w:p w14:paraId="521367A8">
            <w:pPr>
              <w:pStyle w:val="19"/>
              <w:spacing w:line="500" w:lineRule="exact"/>
              <w:jc w:val="center"/>
              <w:rPr>
                <w:rFonts w:hAnsi="宋体" w:cs="宋体"/>
                <w:color w:val="auto"/>
                <w:szCs w:val="21"/>
                <w:highlight w:val="none"/>
              </w:rPr>
            </w:pPr>
            <w:r>
              <w:rPr>
                <w:rFonts w:hint="eastAsia" w:hAnsi="宋体" w:cs="宋体"/>
                <w:color w:val="auto"/>
                <w:szCs w:val="21"/>
                <w:highlight w:val="none"/>
              </w:rPr>
              <w:t>1.1</w:t>
            </w:r>
          </w:p>
        </w:tc>
        <w:tc>
          <w:tcPr>
            <w:tcW w:w="2140" w:type="dxa"/>
            <w:gridSpan w:val="2"/>
            <w:vAlign w:val="center"/>
          </w:tcPr>
          <w:p w14:paraId="40682243">
            <w:pPr>
              <w:pStyle w:val="19"/>
              <w:spacing w:line="500" w:lineRule="exact"/>
              <w:rPr>
                <w:rFonts w:hAnsi="宋体" w:cs="宋体"/>
                <w:color w:val="auto"/>
                <w:szCs w:val="21"/>
                <w:highlight w:val="none"/>
              </w:rPr>
            </w:pPr>
            <w:r>
              <w:rPr>
                <w:rFonts w:hint="eastAsia" w:hAnsi="宋体" w:cs="宋体"/>
                <w:color w:val="auto"/>
                <w:szCs w:val="21"/>
                <w:highlight w:val="none"/>
              </w:rPr>
              <w:t>项目编号</w:t>
            </w:r>
          </w:p>
        </w:tc>
        <w:tc>
          <w:tcPr>
            <w:tcW w:w="6610" w:type="dxa"/>
            <w:vAlign w:val="center"/>
          </w:tcPr>
          <w:p w14:paraId="1E4B2590">
            <w:pPr>
              <w:pStyle w:val="19"/>
              <w:spacing w:line="500" w:lineRule="exact"/>
              <w:rPr>
                <w:rFonts w:hint="default" w:hAnsi="宋体" w:eastAsia="宋体" w:cs="宋体"/>
                <w:color w:val="auto"/>
                <w:szCs w:val="21"/>
                <w:highlight w:val="none"/>
                <w:lang w:val="en-US" w:eastAsia="zh-CN"/>
              </w:rPr>
            </w:pPr>
            <w:r>
              <w:rPr>
                <w:rFonts w:hint="eastAsia" w:hAnsi="宋体" w:cs="宋体"/>
                <w:color w:val="auto"/>
                <w:szCs w:val="21"/>
                <w:highlight w:val="none"/>
              </w:rPr>
              <w:t>czsjqt20250</w:t>
            </w:r>
            <w:r>
              <w:rPr>
                <w:rFonts w:hint="eastAsia" w:hAnsi="宋体" w:cs="宋体"/>
                <w:color w:val="auto"/>
                <w:szCs w:val="21"/>
                <w:highlight w:val="none"/>
                <w:lang w:val="en-US" w:eastAsia="zh-CN"/>
              </w:rPr>
              <w:t>8</w:t>
            </w:r>
            <w:r>
              <w:rPr>
                <w:rFonts w:hint="eastAsia" w:hAnsi="宋体" w:cs="宋体"/>
                <w:color w:val="auto"/>
                <w:szCs w:val="21"/>
                <w:highlight w:val="none"/>
              </w:rPr>
              <w:t>-</w:t>
            </w:r>
            <w:r>
              <w:rPr>
                <w:rFonts w:hint="eastAsia" w:hAnsi="宋体" w:cs="宋体"/>
                <w:color w:val="auto"/>
                <w:szCs w:val="21"/>
                <w:highlight w:val="none"/>
                <w:lang w:val="en-US" w:eastAsia="zh-CN"/>
              </w:rPr>
              <w:t>015</w:t>
            </w:r>
          </w:p>
        </w:tc>
      </w:tr>
      <w:tr w14:paraId="248848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048" w:type="dxa"/>
            <w:vAlign w:val="center"/>
          </w:tcPr>
          <w:p w14:paraId="1DF449E8">
            <w:pPr>
              <w:pStyle w:val="19"/>
              <w:spacing w:line="500" w:lineRule="exact"/>
              <w:jc w:val="center"/>
              <w:rPr>
                <w:rFonts w:hAnsi="宋体" w:cs="宋体"/>
                <w:color w:val="auto"/>
                <w:szCs w:val="21"/>
                <w:highlight w:val="none"/>
              </w:rPr>
            </w:pPr>
            <w:r>
              <w:rPr>
                <w:rFonts w:hint="eastAsia" w:hAnsi="宋体" w:cs="宋体"/>
                <w:color w:val="auto"/>
                <w:szCs w:val="21"/>
                <w:highlight w:val="none"/>
              </w:rPr>
              <w:t>1.1</w:t>
            </w:r>
          </w:p>
        </w:tc>
        <w:tc>
          <w:tcPr>
            <w:tcW w:w="2140" w:type="dxa"/>
            <w:gridSpan w:val="2"/>
            <w:vAlign w:val="center"/>
          </w:tcPr>
          <w:p w14:paraId="1032EAC9">
            <w:pPr>
              <w:pStyle w:val="19"/>
              <w:spacing w:line="500" w:lineRule="exact"/>
              <w:jc w:val="left"/>
              <w:rPr>
                <w:rFonts w:hAnsi="宋体" w:cs="宋体"/>
                <w:color w:val="auto"/>
                <w:szCs w:val="21"/>
                <w:highlight w:val="none"/>
              </w:rPr>
            </w:pPr>
            <w:r>
              <w:rPr>
                <w:rFonts w:hint="eastAsia" w:hAnsi="宋体" w:cs="宋体"/>
                <w:color w:val="auto"/>
                <w:szCs w:val="21"/>
                <w:highlight w:val="none"/>
              </w:rPr>
              <w:t>合同履行期限</w:t>
            </w:r>
          </w:p>
        </w:tc>
        <w:tc>
          <w:tcPr>
            <w:tcW w:w="6610" w:type="dxa"/>
            <w:vAlign w:val="center"/>
          </w:tcPr>
          <w:p w14:paraId="12C94331">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本项目分批次供货，中标人收到招标人供货通知之日起7个历天内完成供货。</w:t>
            </w:r>
          </w:p>
        </w:tc>
      </w:tr>
      <w:tr w14:paraId="3ECA0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trPr>
        <w:tc>
          <w:tcPr>
            <w:tcW w:w="1048" w:type="dxa"/>
            <w:vAlign w:val="center"/>
          </w:tcPr>
          <w:p w14:paraId="0F4F0F9D">
            <w:pPr>
              <w:pStyle w:val="19"/>
              <w:spacing w:line="500" w:lineRule="exact"/>
              <w:jc w:val="center"/>
              <w:rPr>
                <w:rFonts w:hAnsi="宋体" w:cs="宋体"/>
                <w:color w:val="auto"/>
                <w:szCs w:val="21"/>
                <w:highlight w:val="none"/>
              </w:rPr>
            </w:pPr>
            <w:r>
              <w:rPr>
                <w:rFonts w:hint="eastAsia" w:hAnsi="宋体" w:cs="宋体"/>
                <w:color w:val="auto"/>
                <w:szCs w:val="21"/>
                <w:highlight w:val="none"/>
              </w:rPr>
              <w:t>1.1</w:t>
            </w:r>
          </w:p>
        </w:tc>
        <w:tc>
          <w:tcPr>
            <w:tcW w:w="2140" w:type="dxa"/>
            <w:gridSpan w:val="2"/>
            <w:vAlign w:val="center"/>
          </w:tcPr>
          <w:p w14:paraId="61127EEF">
            <w:pPr>
              <w:pStyle w:val="19"/>
              <w:spacing w:line="500" w:lineRule="exact"/>
              <w:jc w:val="left"/>
              <w:rPr>
                <w:rFonts w:hAnsi="宋体" w:cs="宋体"/>
                <w:color w:val="auto"/>
                <w:szCs w:val="21"/>
                <w:highlight w:val="none"/>
              </w:rPr>
            </w:pPr>
            <w:r>
              <w:rPr>
                <w:rFonts w:hint="eastAsia" w:hAnsi="宋体" w:cs="宋体"/>
                <w:color w:val="auto"/>
                <w:szCs w:val="21"/>
                <w:highlight w:val="none"/>
              </w:rPr>
              <w:t>服务地点</w:t>
            </w:r>
          </w:p>
        </w:tc>
        <w:tc>
          <w:tcPr>
            <w:tcW w:w="6610" w:type="dxa"/>
            <w:vAlign w:val="center"/>
          </w:tcPr>
          <w:p w14:paraId="2D91DA09">
            <w:pPr>
              <w:pStyle w:val="19"/>
              <w:spacing w:line="500" w:lineRule="exact"/>
              <w:rPr>
                <w:rFonts w:hAnsi="宋体" w:cs="宋体"/>
                <w:color w:val="auto"/>
                <w:szCs w:val="21"/>
                <w:highlight w:val="none"/>
              </w:rPr>
            </w:pPr>
            <w:r>
              <w:rPr>
                <w:rFonts w:hint="eastAsia" w:hAnsi="宋体" w:cs="宋体"/>
                <w:color w:val="auto"/>
                <w:szCs w:val="21"/>
                <w:highlight w:val="none"/>
              </w:rPr>
              <w:t>滁州市内</w:t>
            </w:r>
          </w:p>
        </w:tc>
      </w:tr>
      <w:tr w14:paraId="570493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 w:hRule="atLeast"/>
        </w:trPr>
        <w:tc>
          <w:tcPr>
            <w:tcW w:w="1048" w:type="dxa"/>
            <w:vAlign w:val="center"/>
          </w:tcPr>
          <w:p w14:paraId="777EE9A4">
            <w:pPr>
              <w:pStyle w:val="19"/>
              <w:spacing w:line="500" w:lineRule="exact"/>
              <w:jc w:val="center"/>
              <w:rPr>
                <w:rFonts w:hAnsi="宋体" w:cs="宋体"/>
                <w:color w:val="auto"/>
                <w:szCs w:val="21"/>
                <w:highlight w:val="none"/>
              </w:rPr>
            </w:pPr>
            <w:r>
              <w:rPr>
                <w:rFonts w:hint="eastAsia" w:hAnsi="宋体" w:cs="宋体"/>
                <w:color w:val="auto"/>
                <w:szCs w:val="21"/>
                <w:highlight w:val="none"/>
              </w:rPr>
              <w:t>1.2</w:t>
            </w:r>
          </w:p>
        </w:tc>
        <w:tc>
          <w:tcPr>
            <w:tcW w:w="2140" w:type="dxa"/>
            <w:gridSpan w:val="2"/>
            <w:vAlign w:val="center"/>
          </w:tcPr>
          <w:p w14:paraId="64B18217">
            <w:pPr>
              <w:pStyle w:val="19"/>
              <w:spacing w:line="500" w:lineRule="exact"/>
              <w:jc w:val="left"/>
              <w:rPr>
                <w:rFonts w:hAnsi="宋体" w:cs="宋体"/>
                <w:color w:val="auto"/>
                <w:szCs w:val="21"/>
                <w:highlight w:val="none"/>
              </w:rPr>
            </w:pPr>
            <w:r>
              <w:rPr>
                <w:rFonts w:hint="eastAsia" w:hAnsi="宋体" w:cs="宋体"/>
                <w:color w:val="auto"/>
                <w:szCs w:val="21"/>
                <w:highlight w:val="none"/>
              </w:rPr>
              <w:t>招标人联系人及电话</w:t>
            </w:r>
          </w:p>
        </w:tc>
        <w:tc>
          <w:tcPr>
            <w:tcW w:w="6610" w:type="dxa"/>
            <w:vAlign w:val="center"/>
          </w:tcPr>
          <w:p w14:paraId="2FED7BED">
            <w:pPr>
              <w:pStyle w:val="19"/>
              <w:spacing w:line="500" w:lineRule="exact"/>
              <w:rPr>
                <w:rFonts w:hAnsi="宋体" w:cs="宋体"/>
                <w:color w:val="auto"/>
                <w:szCs w:val="21"/>
                <w:highlight w:val="none"/>
              </w:rPr>
            </w:pPr>
            <w:r>
              <w:rPr>
                <w:rFonts w:hint="eastAsia" w:hAnsi="宋体" w:cs="宋体"/>
                <w:color w:val="auto"/>
                <w:szCs w:val="21"/>
                <w:highlight w:val="none"/>
              </w:rPr>
              <w:t>联系人：宋支武              电话：0550-3062913</w:t>
            </w:r>
          </w:p>
        </w:tc>
      </w:tr>
      <w:tr w14:paraId="01AF4C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048" w:type="dxa"/>
            <w:vAlign w:val="center"/>
          </w:tcPr>
          <w:p w14:paraId="3D8DEFBF">
            <w:pPr>
              <w:pStyle w:val="19"/>
              <w:spacing w:line="500" w:lineRule="exact"/>
              <w:jc w:val="center"/>
              <w:rPr>
                <w:rFonts w:hAnsi="宋体" w:cs="宋体"/>
                <w:color w:val="auto"/>
                <w:szCs w:val="21"/>
                <w:highlight w:val="none"/>
              </w:rPr>
            </w:pPr>
            <w:r>
              <w:rPr>
                <w:rFonts w:hint="eastAsia" w:hAnsi="宋体" w:cs="宋体"/>
                <w:color w:val="auto"/>
                <w:szCs w:val="21"/>
                <w:highlight w:val="none"/>
              </w:rPr>
              <w:t>1.2</w:t>
            </w:r>
          </w:p>
        </w:tc>
        <w:tc>
          <w:tcPr>
            <w:tcW w:w="2140" w:type="dxa"/>
            <w:gridSpan w:val="2"/>
            <w:vAlign w:val="center"/>
          </w:tcPr>
          <w:p w14:paraId="73EB7375">
            <w:pPr>
              <w:pStyle w:val="19"/>
              <w:spacing w:line="500" w:lineRule="exact"/>
              <w:jc w:val="left"/>
              <w:rPr>
                <w:rFonts w:hAnsi="宋体" w:cs="宋体"/>
                <w:color w:val="auto"/>
                <w:szCs w:val="21"/>
                <w:highlight w:val="none"/>
              </w:rPr>
            </w:pPr>
            <w:r>
              <w:rPr>
                <w:rFonts w:hint="eastAsia" w:hAnsi="宋体" w:cs="宋体"/>
                <w:color w:val="auto"/>
                <w:szCs w:val="21"/>
                <w:highlight w:val="none"/>
              </w:rPr>
              <w:t>采购代理机构联系人及电话</w:t>
            </w:r>
          </w:p>
        </w:tc>
        <w:tc>
          <w:tcPr>
            <w:tcW w:w="6610" w:type="dxa"/>
            <w:vAlign w:val="center"/>
          </w:tcPr>
          <w:p w14:paraId="75DE1507">
            <w:pPr>
              <w:pStyle w:val="19"/>
              <w:spacing w:line="500" w:lineRule="exact"/>
              <w:rPr>
                <w:rFonts w:hAnsi="宋体" w:cs="宋体"/>
                <w:color w:val="auto"/>
                <w:szCs w:val="21"/>
                <w:highlight w:val="none"/>
              </w:rPr>
            </w:pPr>
            <w:r>
              <w:rPr>
                <w:rFonts w:hint="eastAsia" w:hAnsi="宋体" w:cs="宋体"/>
                <w:color w:val="auto"/>
                <w:szCs w:val="21"/>
                <w:highlight w:val="none"/>
              </w:rPr>
              <w:t>联系人：杨韦                电话0550-3519590   18005501210</w:t>
            </w:r>
          </w:p>
        </w:tc>
      </w:tr>
      <w:tr w14:paraId="685D60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trPr>
        <w:tc>
          <w:tcPr>
            <w:tcW w:w="1048" w:type="dxa"/>
            <w:vAlign w:val="center"/>
          </w:tcPr>
          <w:p w14:paraId="6CE28A79">
            <w:pPr>
              <w:pStyle w:val="19"/>
              <w:spacing w:line="500" w:lineRule="exact"/>
              <w:jc w:val="center"/>
              <w:rPr>
                <w:rFonts w:hAnsi="宋体" w:cs="宋体"/>
                <w:color w:val="auto"/>
                <w:szCs w:val="21"/>
                <w:highlight w:val="none"/>
              </w:rPr>
            </w:pPr>
            <w:r>
              <w:rPr>
                <w:rFonts w:hint="eastAsia" w:hAnsi="宋体" w:cs="宋体"/>
                <w:color w:val="auto"/>
                <w:szCs w:val="21"/>
                <w:highlight w:val="none"/>
              </w:rPr>
              <w:t>1.3</w:t>
            </w:r>
          </w:p>
        </w:tc>
        <w:tc>
          <w:tcPr>
            <w:tcW w:w="2140" w:type="dxa"/>
            <w:gridSpan w:val="2"/>
            <w:vAlign w:val="center"/>
          </w:tcPr>
          <w:p w14:paraId="0C59E8F9">
            <w:pPr>
              <w:pStyle w:val="19"/>
              <w:spacing w:line="500" w:lineRule="exact"/>
              <w:jc w:val="left"/>
              <w:rPr>
                <w:rFonts w:hAnsi="宋体" w:cs="宋体"/>
                <w:color w:val="auto"/>
                <w:szCs w:val="21"/>
                <w:highlight w:val="none"/>
              </w:rPr>
            </w:pPr>
            <w:r>
              <w:rPr>
                <w:rFonts w:hint="eastAsia" w:hAnsi="宋体" w:cs="宋体"/>
                <w:color w:val="auto"/>
                <w:szCs w:val="21"/>
                <w:highlight w:val="none"/>
              </w:rPr>
              <w:t xml:space="preserve">资金来源                                                                                                                                                                 </w:t>
            </w:r>
          </w:p>
        </w:tc>
        <w:tc>
          <w:tcPr>
            <w:tcW w:w="6610" w:type="dxa"/>
            <w:vAlign w:val="center"/>
          </w:tcPr>
          <w:p w14:paraId="201EEE05">
            <w:pPr>
              <w:pStyle w:val="19"/>
              <w:spacing w:line="500" w:lineRule="exact"/>
              <w:rPr>
                <w:rFonts w:hAnsi="宋体" w:cs="宋体"/>
                <w:color w:val="auto"/>
                <w:szCs w:val="21"/>
                <w:highlight w:val="none"/>
              </w:rPr>
            </w:pPr>
            <w:r>
              <w:rPr>
                <w:rFonts w:hint="eastAsia" w:hAnsi="宋体" w:cs="宋体"/>
                <w:color w:val="auto"/>
                <w:szCs w:val="21"/>
                <w:highlight w:val="none"/>
              </w:rPr>
              <w:t>自筹资金</w:t>
            </w:r>
          </w:p>
        </w:tc>
      </w:tr>
      <w:tr w14:paraId="1D45DA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1048" w:type="dxa"/>
            <w:vAlign w:val="center"/>
          </w:tcPr>
          <w:p w14:paraId="3C769EF2">
            <w:pPr>
              <w:pStyle w:val="19"/>
              <w:spacing w:line="500" w:lineRule="exact"/>
              <w:jc w:val="center"/>
              <w:rPr>
                <w:rFonts w:hAnsi="宋体" w:cs="宋体"/>
                <w:color w:val="auto"/>
                <w:szCs w:val="21"/>
                <w:highlight w:val="none"/>
              </w:rPr>
            </w:pPr>
            <w:r>
              <w:rPr>
                <w:rFonts w:hint="eastAsia" w:hAnsi="宋体" w:cs="宋体"/>
                <w:color w:val="auto"/>
                <w:szCs w:val="21"/>
                <w:highlight w:val="none"/>
              </w:rPr>
              <w:t>1.4</w:t>
            </w:r>
          </w:p>
        </w:tc>
        <w:tc>
          <w:tcPr>
            <w:tcW w:w="2140" w:type="dxa"/>
            <w:gridSpan w:val="2"/>
            <w:vAlign w:val="center"/>
          </w:tcPr>
          <w:p w14:paraId="3F90E657">
            <w:pPr>
              <w:pStyle w:val="19"/>
              <w:spacing w:line="500" w:lineRule="exact"/>
              <w:rPr>
                <w:rFonts w:hAnsi="宋体" w:cs="宋体"/>
                <w:color w:val="auto"/>
                <w:szCs w:val="21"/>
                <w:highlight w:val="none"/>
              </w:rPr>
            </w:pPr>
            <w:r>
              <w:rPr>
                <w:rFonts w:hint="eastAsia" w:hAnsi="宋体" w:cs="宋体"/>
                <w:color w:val="auto"/>
                <w:szCs w:val="21"/>
                <w:highlight w:val="none"/>
              </w:rPr>
              <w:t>采购预算</w:t>
            </w:r>
          </w:p>
        </w:tc>
        <w:tc>
          <w:tcPr>
            <w:tcW w:w="6610" w:type="dxa"/>
            <w:vAlign w:val="center"/>
          </w:tcPr>
          <w:p w14:paraId="6D93740E">
            <w:pPr>
              <w:pStyle w:val="19"/>
              <w:spacing w:line="500" w:lineRule="exact"/>
              <w:rPr>
                <w:rFonts w:hAnsi="宋体" w:cs="宋体"/>
                <w:color w:val="auto"/>
                <w:szCs w:val="21"/>
                <w:highlight w:val="none"/>
              </w:rPr>
            </w:pPr>
            <w:r>
              <w:rPr>
                <w:rFonts w:hint="eastAsia" w:hAnsi="宋体" w:cs="宋体"/>
                <w:color w:val="auto"/>
                <w:szCs w:val="21"/>
                <w:highlight w:val="none"/>
              </w:rPr>
              <w:t>5730000.00元</w:t>
            </w:r>
          </w:p>
        </w:tc>
      </w:tr>
      <w:tr w14:paraId="7EFB7A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79D0DAC9">
            <w:pPr>
              <w:pStyle w:val="19"/>
              <w:spacing w:line="500" w:lineRule="exact"/>
              <w:jc w:val="center"/>
              <w:rPr>
                <w:rFonts w:hAnsi="宋体" w:cs="宋体"/>
                <w:color w:val="auto"/>
                <w:szCs w:val="21"/>
                <w:highlight w:val="none"/>
              </w:rPr>
            </w:pPr>
            <w:r>
              <w:rPr>
                <w:rFonts w:hint="eastAsia" w:hAnsi="宋体" w:cs="宋体"/>
                <w:color w:val="auto"/>
                <w:szCs w:val="21"/>
                <w:highlight w:val="none"/>
              </w:rPr>
              <w:t>1.5</w:t>
            </w:r>
          </w:p>
        </w:tc>
        <w:tc>
          <w:tcPr>
            <w:tcW w:w="2140" w:type="dxa"/>
            <w:gridSpan w:val="2"/>
            <w:vAlign w:val="center"/>
          </w:tcPr>
          <w:p w14:paraId="6EB97386">
            <w:pPr>
              <w:pStyle w:val="19"/>
              <w:spacing w:line="500" w:lineRule="exact"/>
              <w:jc w:val="left"/>
              <w:rPr>
                <w:rFonts w:hAnsi="宋体" w:cs="宋体"/>
                <w:color w:val="auto"/>
                <w:szCs w:val="21"/>
                <w:highlight w:val="none"/>
              </w:rPr>
            </w:pPr>
            <w:r>
              <w:rPr>
                <w:rFonts w:hint="eastAsia" w:hAnsi="宋体" w:cs="宋体"/>
                <w:color w:val="auto"/>
                <w:szCs w:val="21"/>
                <w:highlight w:val="none"/>
              </w:rPr>
              <w:t>最高限价</w:t>
            </w:r>
          </w:p>
        </w:tc>
        <w:tc>
          <w:tcPr>
            <w:tcW w:w="6610" w:type="dxa"/>
            <w:vAlign w:val="center"/>
          </w:tcPr>
          <w:p w14:paraId="5A858B9E">
            <w:pPr>
              <w:spacing w:line="500" w:lineRule="exact"/>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5730000.00元（最高综合单价为191元/只）   </w:t>
            </w:r>
          </w:p>
        </w:tc>
      </w:tr>
      <w:tr w14:paraId="4EB231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048" w:type="dxa"/>
            <w:vAlign w:val="center"/>
          </w:tcPr>
          <w:p w14:paraId="10007E7B">
            <w:pPr>
              <w:pStyle w:val="19"/>
              <w:spacing w:line="500" w:lineRule="exact"/>
              <w:jc w:val="center"/>
              <w:rPr>
                <w:rFonts w:hAnsi="宋体" w:cs="宋体"/>
                <w:color w:val="auto"/>
                <w:szCs w:val="21"/>
                <w:highlight w:val="none"/>
              </w:rPr>
            </w:pPr>
            <w:r>
              <w:rPr>
                <w:rFonts w:hint="eastAsia" w:hAnsi="宋体" w:cs="宋体"/>
                <w:color w:val="auto"/>
                <w:szCs w:val="21"/>
                <w:highlight w:val="none"/>
              </w:rPr>
              <w:t>2.1</w:t>
            </w:r>
          </w:p>
        </w:tc>
        <w:tc>
          <w:tcPr>
            <w:tcW w:w="2140" w:type="dxa"/>
            <w:gridSpan w:val="2"/>
            <w:vAlign w:val="center"/>
          </w:tcPr>
          <w:p w14:paraId="564A54D0">
            <w:pPr>
              <w:pStyle w:val="19"/>
              <w:spacing w:line="500" w:lineRule="exact"/>
              <w:jc w:val="left"/>
              <w:rPr>
                <w:rFonts w:hAnsi="宋体" w:cs="宋体"/>
                <w:color w:val="auto"/>
                <w:szCs w:val="21"/>
                <w:highlight w:val="none"/>
              </w:rPr>
            </w:pPr>
            <w:r>
              <w:rPr>
                <w:rFonts w:hint="eastAsia" w:hAnsi="宋体" w:cs="宋体"/>
                <w:color w:val="auto"/>
                <w:szCs w:val="21"/>
                <w:highlight w:val="none"/>
              </w:rPr>
              <w:t>采购内容</w:t>
            </w:r>
          </w:p>
        </w:tc>
        <w:tc>
          <w:tcPr>
            <w:tcW w:w="6610" w:type="dxa"/>
            <w:vAlign w:val="center"/>
          </w:tcPr>
          <w:p w14:paraId="6C37553D">
            <w:pPr>
              <w:pStyle w:val="19"/>
              <w:spacing w:line="500" w:lineRule="exact"/>
              <w:rPr>
                <w:rFonts w:hAnsi="宋体" w:cs="宋体"/>
                <w:color w:val="auto"/>
                <w:szCs w:val="21"/>
                <w:highlight w:val="none"/>
              </w:rPr>
            </w:pPr>
            <w:r>
              <w:rPr>
                <w:rFonts w:hint="eastAsia" w:hAnsi="宋体" w:cs="宋体"/>
                <w:b/>
                <w:color w:val="auto"/>
                <w:kern w:val="0"/>
                <w:szCs w:val="21"/>
                <w:highlight w:val="none"/>
              </w:rPr>
              <w:t>具体详见《采购内容与技术要求》</w:t>
            </w:r>
          </w:p>
        </w:tc>
      </w:tr>
      <w:tr w14:paraId="0EE59D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71F8ECD1">
            <w:pPr>
              <w:pStyle w:val="19"/>
              <w:spacing w:line="500" w:lineRule="exact"/>
              <w:jc w:val="center"/>
              <w:rPr>
                <w:rFonts w:hAnsi="宋体" w:cs="宋体"/>
                <w:color w:val="auto"/>
                <w:szCs w:val="21"/>
                <w:highlight w:val="none"/>
              </w:rPr>
            </w:pPr>
            <w:r>
              <w:rPr>
                <w:rFonts w:hint="eastAsia" w:hAnsi="宋体" w:cs="宋体"/>
                <w:color w:val="auto"/>
                <w:szCs w:val="21"/>
                <w:highlight w:val="none"/>
              </w:rPr>
              <w:t>3.1</w:t>
            </w:r>
          </w:p>
        </w:tc>
        <w:tc>
          <w:tcPr>
            <w:tcW w:w="2140" w:type="dxa"/>
            <w:gridSpan w:val="2"/>
            <w:vAlign w:val="center"/>
          </w:tcPr>
          <w:p w14:paraId="5432F5AE">
            <w:pPr>
              <w:pStyle w:val="19"/>
              <w:spacing w:line="500" w:lineRule="exact"/>
              <w:jc w:val="left"/>
              <w:rPr>
                <w:rFonts w:hAnsi="宋体" w:cs="宋体"/>
                <w:color w:val="auto"/>
                <w:szCs w:val="21"/>
                <w:highlight w:val="none"/>
              </w:rPr>
            </w:pPr>
            <w:r>
              <w:rPr>
                <w:rFonts w:hint="eastAsia" w:hAnsi="宋体" w:cs="宋体"/>
                <w:color w:val="auto"/>
                <w:szCs w:val="21"/>
                <w:highlight w:val="none"/>
              </w:rPr>
              <w:t>标包划分</w:t>
            </w:r>
          </w:p>
        </w:tc>
        <w:tc>
          <w:tcPr>
            <w:tcW w:w="6610" w:type="dxa"/>
            <w:vAlign w:val="center"/>
          </w:tcPr>
          <w:p w14:paraId="58E29F57">
            <w:pPr>
              <w:pStyle w:val="19"/>
              <w:spacing w:line="500" w:lineRule="exact"/>
              <w:rPr>
                <w:rFonts w:hAnsi="宋体" w:cs="宋体"/>
                <w:color w:val="auto"/>
                <w:szCs w:val="21"/>
                <w:highlight w:val="none"/>
              </w:rPr>
            </w:pPr>
            <w:r>
              <w:rPr>
                <w:rFonts w:hint="eastAsia" w:hAnsi="宋体" w:cs="宋体"/>
                <w:color w:val="auto"/>
                <w:szCs w:val="21"/>
                <w:highlight w:val="none"/>
              </w:rPr>
              <w:t>本项目划分为</w:t>
            </w:r>
            <w:r>
              <w:rPr>
                <w:rFonts w:hint="eastAsia" w:hAnsi="宋体" w:cs="宋体"/>
                <w:color w:val="auto"/>
                <w:szCs w:val="21"/>
                <w:highlight w:val="none"/>
                <w:u w:val="single"/>
              </w:rPr>
              <w:t xml:space="preserve"> 1</w:t>
            </w:r>
            <w:r>
              <w:rPr>
                <w:rFonts w:hint="eastAsia" w:hAnsi="宋体" w:cs="宋体"/>
                <w:color w:val="auto"/>
                <w:szCs w:val="21"/>
                <w:highlight w:val="none"/>
              </w:rPr>
              <w:t>个标包</w:t>
            </w:r>
          </w:p>
        </w:tc>
      </w:tr>
      <w:tr w14:paraId="048671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048" w:type="dxa"/>
            <w:vAlign w:val="center"/>
          </w:tcPr>
          <w:p w14:paraId="464B028B">
            <w:pPr>
              <w:pStyle w:val="19"/>
              <w:spacing w:line="500" w:lineRule="exact"/>
              <w:jc w:val="center"/>
              <w:rPr>
                <w:rFonts w:hAnsi="宋体" w:cs="宋体"/>
                <w:color w:val="auto"/>
                <w:szCs w:val="21"/>
                <w:highlight w:val="none"/>
              </w:rPr>
            </w:pPr>
            <w:r>
              <w:rPr>
                <w:rFonts w:hint="eastAsia" w:hAnsi="宋体" w:cs="宋体"/>
                <w:color w:val="auto"/>
                <w:szCs w:val="21"/>
                <w:highlight w:val="none"/>
              </w:rPr>
              <w:t>4.1</w:t>
            </w:r>
          </w:p>
        </w:tc>
        <w:tc>
          <w:tcPr>
            <w:tcW w:w="2140" w:type="dxa"/>
            <w:gridSpan w:val="2"/>
            <w:vAlign w:val="center"/>
          </w:tcPr>
          <w:p w14:paraId="309C76CB">
            <w:pPr>
              <w:pStyle w:val="19"/>
              <w:spacing w:line="500" w:lineRule="exact"/>
              <w:jc w:val="left"/>
              <w:rPr>
                <w:rFonts w:hAnsi="宋体" w:cs="宋体"/>
                <w:color w:val="auto"/>
                <w:szCs w:val="21"/>
                <w:highlight w:val="none"/>
              </w:rPr>
            </w:pPr>
            <w:r>
              <w:rPr>
                <w:rFonts w:hint="eastAsia" w:hAnsi="宋体" w:cs="宋体"/>
                <w:color w:val="auto"/>
                <w:szCs w:val="21"/>
                <w:highlight w:val="none"/>
              </w:rPr>
              <w:t>招标方式</w:t>
            </w:r>
          </w:p>
        </w:tc>
        <w:tc>
          <w:tcPr>
            <w:tcW w:w="6610" w:type="dxa"/>
            <w:vAlign w:val="center"/>
          </w:tcPr>
          <w:p w14:paraId="077CF309">
            <w:pPr>
              <w:pStyle w:val="19"/>
              <w:spacing w:line="500" w:lineRule="exact"/>
              <w:rPr>
                <w:rFonts w:hAnsi="宋体" w:cs="宋体"/>
                <w:color w:val="auto"/>
                <w:szCs w:val="21"/>
                <w:highlight w:val="none"/>
              </w:rPr>
            </w:pPr>
            <w:r>
              <w:rPr>
                <w:rFonts w:hint="eastAsia" w:hAnsi="宋体" w:cs="宋体"/>
                <w:color w:val="auto"/>
                <w:szCs w:val="21"/>
                <w:highlight w:val="none"/>
              </w:rPr>
              <w:t>公开招标</w:t>
            </w:r>
          </w:p>
        </w:tc>
      </w:tr>
      <w:tr w14:paraId="292E7B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1048" w:type="dxa"/>
            <w:vAlign w:val="center"/>
          </w:tcPr>
          <w:p w14:paraId="01A682C0">
            <w:pPr>
              <w:pStyle w:val="19"/>
              <w:spacing w:line="500" w:lineRule="exact"/>
              <w:jc w:val="center"/>
              <w:rPr>
                <w:rFonts w:hAnsi="宋体" w:cs="宋体"/>
                <w:color w:val="auto"/>
                <w:szCs w:val="21"/>
                <w:highlight w:val="none"/>
              </w:rPr>
            </w:pPr>
            <w:r>
              <w:rPr>
                <w:rFonts w:hint="eastAsia" w:hAnsi="宋体" w:cs="宋体"/>
                <w:color w:val="auto"/>
                <w:szCs w:val="21"/>
                <w:highlight w:val="none"/>
              </w:rPr>
              <w:t>7.2</w:t>
            </w:r>
          </w:p>
        </w:tc>
        <w:tc>
          <w:tcPr>
            <w:tcW w:w="2140" w:type="dxa"/>
            <w:gridSpan w:val="2"/>
            <w:vAlign w:val="center"/>
          </w:tcPr>
          <w:p w14:paraId="7142ACE7">
            <w:pPr>
              <w:pStyle w:val="19"/>
              <w:spacing w:line="500" w:lineRule="exact"/>
              <w:jc w:val="left"/>
              <w:rPr>
                <w:rFonts w:hAnsi="宋体" w:cs="宋体"/>
                <w:color w:val="auto"/>
                <w:szCs w:val="21"/>
                <w:highlight w:val="none"/>
              </w:rPr>
            </w:pPr>
            <w:r>
              <w:rPr>
                <w:rFonts w:hint="eastAsia" w:hAnsi="宋体" w:cs="宋体"/>
                <w:color w:val="auto"/>
                <w:szCs w:val="21"/>
                <w:highlight w:val="none"/>
              </w:rPr>
              <w:t>投标人资格条件及其他要求</w:t>
            </w:r>
          </w:p>
        </w:tc>
        <w:tc>
          <w:tcPr>
            <w:tcW w:w="6610" w:type="dxa"/>
            <w:vAlign w:val="center"/>
          </w:tcPr>
          <w:p w14:paraId="21954D95">
            <w:pPr>
              <w:spacing w:line="500" w:lineRule="exact"/>
              <w:rPr>
                <w:rFonts w:ascii="宋体" w:hAnsi="宋体" w:cs="宋体"/>
                <w:color w:val="auto"/>
                <w:szCs w:val="21"/>
                <w:highlight w:val="none"/>
              </w:rPr>
            </w:pPr>
            <w:r>
              <w:rPr>
                <w:rFonts w:hint="eastAsia" w:ascii="宋体" w:hAnsi="宋体" w:cs="宋体"/>
                <w:color w:val="auto"/>
                <w:szCs w:val="21"/>
                <w:highlight w:val="none"/>
              </w:rPr>
              <w:t>详见第一章“招标公告”</w:t>
            </w:r>
          </w:p>
        </w:tc>
      </w:tr>
      <w:tr w14:paraId="57BD77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0C8A6CC6">
            <w:pPr>
              <w:pStyle w:val="19"/>
              <w:spacing w:line="500" w:lineRule="exact"/>
              <w:jc w:val="center"/>
              <w:rPr>
                <w:rFonts w:hAnsi="宋体" w:cs="宋体"/>
                <w:color w:val="auto"/>
                <w:szCs w:val="21"/>
                <w:highlight w:val="none"/>
              </w:rPr>
            </w:pPr>
            <w:r>
              <w:rPr>
                <w:rFonts w:hint="eastAsia" w:hAnsi="宋体" w:cs="宋体"/>
                <w:color w:val="auto"/>
                <w:szCs w:val="21"/>
                <w:highlight w:val="none"/>
              </w:rPr>
              <w:t>9.1</w:t>
            </w:r>
          </w:p>
        </w:tc>
        <w:tc>
          <w:tcPr>
            <w:tcW w:w="2140" w:type="dxa"/>
            <w:gridSpan w:val="2"/>
            <w:vAlign w:val="center"/>
          </w:tcPr>
          <w:p w14:paraId="425AD6E2">
            <w:pPr>
              <w:pStyle w:val="19"/>
              <w:spacing w:line="500" w:lineRule="exact"/>
              <w:jc w:val="left"/>
              <w:rPr>
                <w:rFonts w:hAnsi="宋体" w:cs="宋体"/>
                <w:color w:val="auto"/>
                <w:szCs w:val="21"/>
                <w:highlight w:val="none"/>
              </w:rPr>
            </w:pPr>
            <w:r>
              <w:rPr>
                <w:rFonts w:hint="eastAsia" w:hAnsi="宋体" w:cs="宋体"/>
                <w:color w:val="auto"/>
                <w:szCs w:val="21"/>
                <w:highlight w:val="none"/>
              </w:rPr>
              <w:t>踏勘现场</w:t>
            </w:r>
          </w:p>
        </w:tc>
        <w:tc>
          <w:tcPr>
            <w:tcW w:w="6610" w:type="dxa"/>
            <w:vAlign w:val="center"/>
          </w:tcPr>
          <w:p w14:paraId="034305FC">
            <w:pPr>
              <w:pStyle w:val="19"/>
              <w:spacing w:line="500" w:lineRule="exact"/>
              <w:rPr>
                <w:rFonts w:hAnsi="宋体" w:cs="宋体"/>
                <w:color w:val="auto"/>
                <w:szCs w:val="21"/>
                <w:highlight w:val="none"/>
              </w:rPr>
            </w:pPr>
            <w:r>
              <w:rPr>
                <w:rFonts w:hint="eastAsia" w:hAnsi="宋体" w:cs="宋体"/>
                <w:color w:val="auto"/>
                <w:szCs w:val="21"/>
                <w:highlight w:val="none"/>
              </w:rPr>
              <w:t>不组织,投标人自行踏勘。</w:t>
            </w:r>
          </w:p>
        </w:tc>
      </w:tr>
      <w:tr w14:paraId="7123BC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4C113F77">
            <w:pPr>
              <w:pStyle w:val="19"/>
              <w:spacing w:line="500" w:lineRule="exact"/>
              <w:jc w:val="center"/>
              <w:rPr>
                <w:rFonts w:hAnsi="宋体" w:cs="宋体"/>
                <w:color w:val="auto"/>
                <w:szCs w:val="21"/>
                <w:highlight w:val="none"/>
              </w:rPr>
            </w:pPr>
            <w:r>
              <w:rPr>
                <w:rFonts w:hint="eastAsia" w:hAnsi="宋体" w:cs="宋体"/>
                <w:color w:val="auto"/>
                <w:szCs w:val="21"/>
                <w:highlight w:val="none"/>
              </w:rPr>
              <w:t>10.1</w:t>
            </w:r>
          </w:p>
        </w:tc>
        <w:tc>
          <w:tcPr>
            <w:tcW w:w="2140" w:type="dxa"/>
            <w:gridSpan w:val="2"/>
            <w:vAlign w:val="center"/>
          </w:tcPr>
          <w:p w14:paraId="2C613BF2">
            <w:pPr>
              <w:pStyle w:val="19"/>
              <w:spacing w:line="500" w:lineRule="exact"/>
              <w:jc w:val="left"/>
              <w:rPr>
                <w:rFonts w:hAnsi="宋体" w:cs="宋体"/>
                <w:color w:val="auto"/>
                <w:szCs w:val="21"/>
                <w:highlight w:val="none"/>
              </w:rPr>
            </w:pPr>
            <w:r>
              <w:rPr>
                <w:rFonts w:hint="eastAsia" w:hAnsi="宋体" w:cs="宋体"/>
                <w:color w:val="auto"/>
                <w:szCs w:val="21"/>
                <w:highlight w:val="none"/>
              </w:rPr>
              <w:t>投标预备会</w:t>
            </w:r>
          </w:p>
        </w:tc>
        <w:tc>
          <w:tcPr>
            <w:tcW w:w="6610" w:type="dxa"/>
            <w:vAlign w:val="center"/>
          </w:tcPr>
          <w:p w14:paraId="4A0B0AB2">
            <w:pPr>
              <w:pStyle w:val="19"/>
              <w:spacing w:line="500" w:lineRule="exact"/>
              <w:rPr>
                <w:rFonts w:hAnsi="宋体" w:cs="宋体"/>
                <w:color w:val="auto"/>
                <w:szCs w:val="21"/>
                <w:highlight w:val="none"/>
              </w:rPr>
            </w:pPr>
            <w:r>
              <w:rPr>
                <w:rFonts w:hint="eastAsia" w:hAnsi="宋体" w:cs="宋体"/>
                <w:color w:val="auto"/>
                <w:szCs w:val="21"/>
                <w:highlight w:val="none"/>
              </w:rPr>
              <w:t>不召开</w:t>
            </w:r>
          </w:p>
        </w:tc>
      </w:tr>
      <w:tr w14:paraId="55BF47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6F308747">
            <w:pPr>
              <w:pStyle w:val="19"/>
              <w:spacing w:line="500" w:lineRule="exact"/>
              <w:jc w:val="center"/>
              <w:rPr>
                <w:rFonts w:hAnsi="宋体" w:cs="宋体"/>
                <w:color w:val="auto"/>
                <w:szCs w:val="21"/>
                <w:highlight w:val="none"/>
              </w:rPr>
            </w:pPr>
            <w:r>
              <w:rPr>
                <w:rFonts w:hint="eastAsia" w:hAnsi="宋体" w:cs="宋体"/>
                <w:color w:val="auto"/>
                <w:szCs w:val="21"/>
                <w:highlight w:val="none"/>
              </w:rPr>
              <w:t>10.2</w:t>
            </w:r>
          </w:p>
        </w:tc>
        <w:tc>
          <w:tcPr>
            <w:tcW w:w="2140" w:type="dxa"/>
            <w:gridSpan w:val="2"/>
            <w:vAlign w:val="center"/>
          </w:tcPr>
          <w:p w14:paraId="7F439331">
            <w:pPr>
              <w:pStyle w:val="19"/>
              <w:spacing w:line="500" w:lineRule="exact"/>
              <w:jc w:val="left"/>
              <w:rPr>
                <w:rFonts w:hAnsi="宋体" w:cs="宋体"/>
                <w:color w:val="auto"/>
                <w:szCs w:val="21"/>
                <w:highlight w:val="none"/>
              </w:rPr>
            </w:pPr>
            <w:r>
              <w:rPr>
                <w:rFonts w:hint="eastAsia" w:hAnsi="宋体" w:cs="宋体"/>
                <w:color w:val="auto"/>
                <w:szCs w:val="21"/>
                <w:highlight w:val="none"/>
              </w:rPr>
              <w:t>投标人提出疑问的截止时间及方式</w:t>
            </w:r>
          </w:p>
        </w:tc>
        <w:tc>
          <w:tcPr>
            <w:tcW w:w="6610" w:type="dxa"/>
            <w:vAlign w:val="center"/>
          </w:tcPr>
          <w:p w14:paraId="39B180DF">
            <w:pPr>
              <w:pStyle w:val="19"/>
              <w:spacing w:line="500" w:lineRule="exact"/>
              <w:rPr>
                <w:rFonts w:hAnsi="宋体" w:cs="宋体"/>
                <w:color w:val="auto"/>
                <w:szCs w:val="21"/>
                <w:highlight w:val="none"/>
              </w:rPr>
            </w:pPr>
            <w:r>
              <w:rPr>
                <w:rFonts w:hint="eastAsia" w:hAnsi="宋体" w:cs="宋体"/>
                <w:color w:val="auto"/>
                <w:szCs w:val="21"/>
                <w:highlight w:val="none"/>
              </w:rPr>
              <w:t>如投标人对招标文件有疑问，请于</w:t>
            </w:r>
            <w:r>
              <w:rPr>
                <w:rFonts w:hint="eastAsia" w:hAnsi="宋体" w:cs="宋体"/>
                <w:b/>
                <w:bCs/>
                <w:color w:val="auto"/>
                <w:szCs w:val="21"/>
                <w:highlight w:val="none"/>
              </w:rPr>
              <w:t>2025年</w:t>
            </w:r>
            <w:r>
              <w:rPr>
                <w:rFonts w:hint="eastAsia" w:hAnsi="宋体" w:cs="宋体"/>
                <w:b/>
                <w:bCs/>
                <w:color w:val="auto"/>
                <w:szCs w:val="21"/>
                <w:highlight w:val="none"/>
                <w:lang w:val="en-US" w:eastAsia="zh-CN"/>
              </w:rPr>
              <w:t>9</w:t>
            </w:r>
            <w:r>
              <w:rPr>
                <w:rFonts w:hint="eastAsia" w:hAnsi="宋体" w:cs="宋体"/>
                <w:b/>
                <w:bCs/>
                <w:color w:val="auto"/>
                <w:szCs w:val="21"/>
                <w:highlight w:val="none"/>
              </w:rPr>
              <w:t>月</w:t>
            </w:r>
            <w:r>
              <w:rPr>
                <w:rFonts w:hint="eastAsia" w:hAnsi="宋体" w:cs="宋体"/>
                <w:b/>
                <w:bCs/>
                <w:color w:val="auto"/>
                <w:szCs w:val="21"/>
                <w:highlight w:val="none"/>
                <w:lang w:val="en-US" w:eastAsia="zh-CN"/>
              </w:rPr>
              <w:t>12</w:t>
            </w:r>
            <w:r>
              <w:rPr>
                <w:rFonts w:hint="eastAsia" w:hAnsi="宋体" w:cs="宋体"/>
                <w:b/>
                <w:bCs/>
                <w:color w:val="auto"/>
                <w:szCs w:val="21"/>
                <w:highlight w:val="none"/>
              </w:rPr>
              <w:t>日8时</w:t>
            </w:r>
            <w:r>
              <w:rPr>
                <w:rFonts w:hint="eastAsia" w:hAnsi="宋体" w:cs="宋体"/>
                <w:color w:val="auto"/>
                <w:szCs w:val="21"/>
                <w:highlight w:val="none"/>
              </w:rPr>
              <w:t>（投标截止10日）前</w:t>
            </w:r>
            <w:bookmarkStart w:id="30" w:name="_Hlk61815279"/>
            <w:r>
              <w:rPr>
                <w:rFonts w:hint="eastAsia" w:hAnsi="宋体" w:cs="宋体"/>
                <w:color w:val="auto"/>
                <w:szCs w:val="21"/>
                <w:highlight w:val="none"/>
              </w:rPr>
              <w:t xml:space="preserve">在滁州市公共资源交易中心网电子交易系统中进行异议（质疑），具体操作步骤和程序请参见服务指南&gt;交易须知&gt;在线异议、质疑和投诉操作手册。 </w:t>
            </w:r>
            <w:bookmarkEnd w:id="30"/>
          </w:p>
        </w:tc>
      </w:tr>
      <w:tr w14:paraId="38F0A9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3AB6C9E4">
            <w:pPr>
              <w:pStyle w:val="19"/>
              <w:spacing w:line="500" w:lineRule="exact"/>
              <w:jc w:val="center"/>
              <w:rPr>
                <w:rFonts w:hAnsi="宋体" w:cs="宋体"/>
                <w:color w:val="auto"/>
                <w:szCs w:val="21"/>
                <w:highlight w:val="none"/>
              </w:rPr>
            </w:pPr>
            <w:r>
              <w:rPr>
                <w:rFonts w:hint="eastAsia" w:hAnsi="宋体" w:cs="宋体"/>
                <w:color w:val="auto"/>
                <w:szCs w:val="21"/>
                <w:highlight w:val="none"/>
              </w:rPr>
              <w:t>10.3</w:t>
            </w:r>
          </w:p>
        </w:tc>
        <w:tc>
          <w:tcPr>
            <w:tcW w:w="2140" w:type="dxa"/>
            <w:gridSpan w:val="2"/>
            <w:vAlign w:val="center"/>
          </w:tcPr>
          <w:p w14:paraId="47DB05B9">
            <w:pPr>
              <w:pStyle w:val="19"/>
              <w:spacing w:line="500" w:lineRule="exact"/>
              <w:jc w:val="left"/>
              <w:rPr>
                <w:rFonts w:hAnsi="宋体" w:cs="宋体"/>
                <w:color w:val="auto"/>
                <w:szCs w:val="21"/>
                <w:highlight w:val="none"/>
              </w:rPr>
            </w:pPr>
            <w:r>
              <w:rPr>
                <w:rFonts w:hint="eastAsia" w:hAnsi="宋体" w:cs="宋体"/>
                <w:color w:val="auto"/>
                <w:szCs w:val="21"/>
                <w:highlight w:val="none"/>
              </w:rPr>
              <w:t>招标人澄清的时间及方式</w:t>
            </w:r>
          </w:p>
        </w:tc>
        <w:tc>
          <w:tcPr>
            <w:tcW w:w="6610" w:type="dxa"/>
            <w:vAlign w:val="center"/>
          </w:tcPr>
          <w:p w14:paraId="5BD32FC9">
            <w:pPr>
              <w:spacing w:line="500" w:lineRule="exact"/>
              <w:rPr>
                <w:rFonts w:ascii="宋体" w:hAnsi="宋体" w:cs="宋体"/>
                <w:color w:val="auto"/>
                <w:szCs w:val="21"/>
                <w:highlight w:val="none"/>
              </w:rPr>
            </w:pPr>
            <w:r>
              <w:rPr>
                <w:rFonts w:hint="eastAsia" w:ascii="宋体" w:hAnsi="宋体" w:cs="宋体"/>
                <w:b/>
                <w:bCs/>
                <w:color w:val="auto"/>
                <w:szCs w:val="21"/>
                <w:highlight w:val="none"/>
                <w:u w:color="000000"/>
              </w:rPr>
              <w:t>2025年</w:t>
            </w:r>
            <w:r>
              <w:rPr>
                <w:rFonts w:hint="eastAsia" w:ascii="宋体" w:hAnsi="宋体" w:cs="宋体"/>
                <w:b/>
                <w:bCs/>
                <w:color w:val="auto"/>
                <w:szCs w:val="21"/>
                <w:highlight w:val="none"/>
                <w:u w:color="000000"/>
                <w:lang w:val="en-US" w:eastAsia="zh-CN"/>
              </w:rPr>
              <w:t>9</w:t>
            </w:r>
            <w:r>
              <w:rPr>
                <w:rFonts w:hint="eastAsia" w:ascii="宋体" w:hAnsi="宋体" w:cs="宋体"/>
                <w:b/>
                <w:bCs/>
                <w:color w:val="auto"/>
                <w:szCs w:val="21"/>
                <w:highlight w:val="none"/>
                <w:u w:color="000000"/>
              </w:rPr>
              <w:t>月</w:t>
            </w:r>
            <w:r>
              <w:rPr>
                <w:rFonts w:hint="eastAsia" w:ascii="宋体" w:hAnsi="宋体" w:cs="宋体"/>
                <w:b/>
                <w:bCs/>
                <w:color w:val="auto"/>
                <w:szCs w:val="21"/>
                <w:highlight w:val="none"/>
                <w:u w:color="000000"/>
                <w:lang w:val="en-US" w:eastAsia="zh-CN"/>
              </w:rPr>
              <w:t>15</w:t>
            </w:r>
            <w:r>
              <w:rPr>
                <w:rFonts w:hint="eastAsia" w:ascii="宋体" w:hAnsi="宋体" w:cs="宋体"/>
                <w:b/>
                <w:bCs/>
                <w:color w:val="auto"/>
                <w:szCs w:val="21"/>
                <w:highlight w:val="none"/>
                <w:u w:color="000000"/>
              </w:rPr>
              <w:t>日17时</w:t>
            </w:r>
            <w:r>
              <w:rPr>
                <w:rFonts w:hint="eastAsia" w:ascii="宋体" w:hAnsi="宋体" w:cs="宋体"/>
                <w:b/>
                <w:bCs/>
                <w:color w:val="auto"/>
                <w:szCs w:val="21"/>
                <w:highlight w:val="none"/>
              </w:rPr>
              <w:t>前</w:t>
            </w:r>
            <w:r>
              <w:rPr>
                <w:rFonts w:hint="eastAsia" w:ascii="宋体" w:hAnsi="宋体" w:cs="宋体"/>
                <w:color w:val="auto"/>
                <w:szCs w:val="21"/>
                <w:highlight w:val="none"/>
              </w:rPr>
              <w:t>以澄清公告形式在滁州市公共资源交易网（http://ggzy.chuzhou.gov.cn /）“答疑澄清文件”栏目予以公告。</w:t>
            </w:r>
          </w:p>
        </w:tc>
      </w:tr>
      <w:tr w14:paraId="36F274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1048" w:type="dxa"/>
            <w:vAlign w:val="center"/>
          </w:tcPr>
          <w:p w14:paraId="10D83F47">
            <w:pPr>
              <w:pStyle w:val="19"/>
              <w:spacing w:line="500" w:lineRule="exact"/>
              <w:jc w:val="center"/>
              <w:rPr>
                <w:rFonts w:hAnsi="宋体" w:cs="宋体"/>
                <w:color w:val="auto"/>
                <w:szCs w:val="21"/>
                <w:highlight w:val="none"/>
              </w:rPr>
            </w:pPr>
            <w:r>
              <w:rPr>
                <w:rFonts w:hint="eastAsia" w:hAnsi="宋体" w:cs="宋体"/>
                <w:color w:val="auto"/>
                <w:szCs w:val="21"/>
                <w:highlight w:val="none"/>
              </w:rPr>
              <w:t>11.1</w:t>
            </w:r>
          </w:p>
        </w:tc>
        <w:tc>
          <w:tcPr>
            <w:tcW w:w="2140" w:type="dxa"/>
            <w:gridSpan w:val="2"/>
            <w:vAlign w:val="center"/>
          </w:tcPr>
          <w:p w14:paraId="170D9521">
            <w:pPr>
              <w:pStyle w:val="19"/>
              <w:spacing w:line="500" w:lineRule="exact"/>
              <w:jc w:val="left"/>
              <w:rPr>
                <w:rFonts w:hAnsi="宋体" w:cs="宋体"/>
                <w:color w:val="auto"/>
                <w:szCs w:val="21"/>
                <w:highlight w:val="none"/>
              </w:rPr>
            </w:pPr>
            <w:r>
              <w:rPr>
                <w:rFonts w:hint="eastAsia" w:hAnsi="宋体" w:cs="宋体"/>
                <w:color w:val="auto"/>
                <w:szCs w:val="21"/>
                <w:highlight w:val="none"/>
              </w:rPr>
              <w:t>联合体投标</w:t>
            </w:r>
          </w:p>
        </w:tc>
        <w:tc>
          <w:tcPr>
            <w:tcW w:w="6610" w:type="dxa"/>
            <w:vAlign w:val="center"/>
          </w:tcPr>
          <w:p w14:paraId="24C49B3E">
            <w:pPr>
              <w:pStyle w:val="19"/>
              <w:spacing w:line="500" w:lineRule="exact"/>
              <w:rPr>
                <w:rFonts w:hAnsi="宋体" w:cs="宋体"/>
                <w:color w:val="auto"/>
                <w:szCs w:val="21"/>
                <w:highlight w:val="none"/>
              </w:rPr>
            </w:pPr>
            <w:r>
              <w:rPr>
                <w:rFonts w:hint="eastAsia" w:hAnsi="宋体" w:cs="宋体"/>
                <w:color w:val="auto"/>
                <w:szCs w:val="21"/>
                <w:highlight w:val="none"/>
              </w:rPr>
              <w:t>本次招标不接受联合体投标</w:t>
            </w:r>
          </w:p>
        </w:tc>
      </w:tr>
      <w:tr w14:paraId="731AC3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58E3FFA7">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140" w:type="dxa"/>
            <w:gridSpan w:val="2"/>
            <w:vAlign w:val="center"/>
          </w:tcPr>
          <w:p w14:paraId="068559AE">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招标代理费</w:t>
            </w:r>
          </w:p>
        </w:tc>
        <w:tc>
          <w:tcPr>
            <w:tcW w:w="6610" w:type="dxa"/>
            <w:vAlign w:val="center"/>
          </w:tcPr>
          <w:p w14:paraId="25ECEFD4">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rPr>
              <w:t>代理服务费金额：19900元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参考计价格[2002]1980号文件30.7%）</w:t>
            </w:r>
          </w:p>
          <w:p w14:paraId="7B314D9A">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代理服务费支付主体：中标单位。</w:t>
            </w:r>
          </w:p>
          <w:p w14:paraId="066D7ED4">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专家评审费支付主体：代理机构。</w:t>
            </w:r>
          </w:p>
        </w:tc>
      </w:tr>
      <w:tr w14:paraId="5C5C3E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5" w:hRule="atLeast"/>
        </w:trPr>
        <w:tc>
          <w:tcPr>
            <w:tcW w:w="1048" w:type="dxa"/>
            <w:vAlign w:val="center"/>
          </w:tcPr>
          <w:p w14:paraId="1D6911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16.3</w:t>
            </w:r>
          </w:p>
        </w:tc>
        <w:tc>
          <w:tcPr>
            <w:tcW w:w="2140" w:type="dxa"/>
            <w:gridSpan w:val="2"/>
            <w:vAlign w:val="center"/>
          </w:tcPr>
          <w:p w14:paraId="656082E4">
            <w:pPr>
              <w:spacing w:line="500" w:lineRule="exact"/>
              <w:ind w:right="-27" w:rightChars="-13"/>
              <w:jc w:val="left"/>
              <w:rPr>
                <w:rFonts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610" w:type="dxa"/>
            <w:vAlign w:val="center"/>
          </w:tcPr>
          <w:p w14:paraId="1B2709C9">
            <w:pPr>
              <w:spacing w:line="500" w:lineRule="exact"/>
              <w:rPr>
                <w:rFonts w:ascii="宋体" w:hAnsi="宋体" w:cs="宋体"/>
                <w:color w:val="auto"/>
                <w:szCs w:val="21"/>
                <w:highlight w:val="none"/>
              </w:rPr>
            </w:pPr>
            <w:r>
              <w:rPr>
                <w:rFonts w:hint="eastAsia" w:ascii="宋体" w:hAnsi="宋体" w:cs="宋体"/>
                <w:color w:val="auto"/>
                <w:szCs w:val="21"/>
                <w:highlight w:val="none"/>
              </w:rPr>
              <w:t>同表10.2款</w:t>
            </w:r>
          </w:p>
        </w:tc>
      </w:tr>
      <w:tr w14:paraId="4543CE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028BA62B">
            <w:pPr>
              <w:pStyle w:val="19"/>
              <w:spacing w:line="500" w:lineRule="exact"/>
              <w:jc w:val="center"/>
              <w:rPr>
                <w:rFonts w:hAnsi="宋体" w:cs="宋体"/>
                <w:color w:val="auto"/>
                <w:szCs w:val="21"/>
                <w:highlight w:val="none"/>
              </w:rPr>
            </w:pPr>
            <w:r>
              <w:rPr>
                <w:rFonts w:hint="eastAsia" w:hAnsi="宋体" w:cs="宋体"/>
                <w:color w:val="auto"/>
                <w:szCs w:val="21"/>
                <w:highlight w:val="none"/>
              </w:rPr>
              <w:t>23.1</w:t>
            </w:r>
          </w:p>
        </w:tc>
        <w:tc>
          <w:tcPr>
            <w:tcW w:w="2140" w:type="dxa"/>
            <w:gridSpan w:val="2"/>
            <w:vAlign w:val="center"/>
          </w:tcPr>
          <w:p w14:paraId="277EFE33">
            <w:pPr>
              <w:pStyle w:val="19"/>
              <w:spacing w:line="500" w:lineRule="exact"/>
              <w:jc w:val="left"/>
              <w:rPr>
                <w:rFonts w:hAnsi="宋体" w:cs="宋体"/>
                <w:color w:val="auto"/>
                <w:szCs w:val="21"/>
                <w:highlight w:val="none"/>
              </w:rPr>
            </w:pPr>
            <w:r>
              <w:rPr>
                <w:rFonts w:hint="eastAsia" w:hAnsi="宋体" w:cs="宋体"/>
                <w:color w:val="auto"/>
                <w:szCs w:val="21"/>
                <w:highlight w:val="none"/>
              </w:rPr>
              <w:t>投标有效期</w:t>
            </w:r>
          </w:p>
        </w:tc>
        <w:tc>
          <w:tcPr>
            <w:tcW w:w="6610" w:type="dxa"/>
            <w:vAlign w:val="center"/>
          </w:tcPr>
          <w:p w14:paraId="25D466E0">
            <w:pPr>
              <w:pStyle w:val="19"/>
              <w:spacing w:line="500" w:lineRule="exact"/>
              <w:rPr>
                <w:rFonts w:hAnsi="宋体" w:cs="宋体"/>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90  </w:t>
            </w:r>
            <w:r>
              <w:rPr>
                <w:rFonts w:hint="eastAsia" w:hAnsi="宋体" w:cs="宋体"/>
                <w:color w:val="auto"/>
                <w:szCs w:val="21"/>
                <w:highlight w:val="none"/>
              </w:rPr>
              <w:t>日历天（从投标截止之日算起）。在此期限内，凡符合本招标文件要求的投标文件均保持有效。</w:t>
            </w:r>
          </w:p>
        </w:tc>
      </w:tr>
      <w:tr w14:paraId="30CD4E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48" w:type="dxa"/>
            <w:vAlign w:val="center"/>
          </w:tcPr>
          <w:p w14:paraId="71E5F0D9">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2140" w:type="dxa"/>
            <w:gridSpan w:val="2"/>
            <w:vAlign w:val="center"/>
          </w:tcPr>
          <w:p w14:paraId="73CB23F5">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投标保证金</w:t>
            </w:r>
          </w:p>
        </w:tc>
        <w:tc>
          <w:tcPr>
            <w:tcW w:w="6610" w:type="dxa"/>
          </w:tcPr>
          <w:p w14:paraId="205D745D">
            <w:pPr>
              <w:widowControl/>
              <w:shd w:val="clear" w:color="auto" w:fill="FFFFFF"/>
              <w:spacing w:line="500" w:lineRule="exact"/>
              <w:jc w:val="left"/>
              <w:rPr>
                <w:rFonts w:ascii="宋体" w:hAnsi="宋体" w:cs="宋体"/>
                <w:color w:val="auto"/>
                <w:szCs w:val="21"/>
                <w:highlight w:val="none"/>
              </w:rPr>
            </w:pPr>
            <w:r>
              <w:rPr>
                <w:rFonts w:hint="eastAsia" w:ascii="宋体" w:hAnsi="宋体" w:cs="宋体"/>
                <w:color w:val="auto"/>
                <w:szCs w:val="21"/>
                <w:highlight w:val="none"/>
                <w:u w:color="000000"/>
              </w:rPr>
              <w:t>详见第一章“招标公告”</w:t>
            </w:r>
          </w:p>
        </w:tc>
      </w:tr>
      <w:tr w14:paraId="0F324D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4005727B">
            <w:pPr>
              <w:pStyle w:val="19"/>
              <w:spacing w:line="500" w:lineRule="exact"/>
              <w:jc w:val="center"/>
              <w:rPr>
                <w:rFonts w:hAnsi="宋体" w:cs="宋体"/>
                <w:color w:val="auto"/>
                <w:szCs w:val="21"/>
                <w:highlight w:val="none"/>
              </w:rPr>
            </w:pPr>
            <w:r>
              <w:rPr>
                <w:rFonts w:hint="eastAsia" w:hAnsi="宋体" w:cs="宋体"/>
                <w:color w:val="auto"/>
                <w:szCs w:val="21"/>
                <w:highlight w:val="none"/>
              </w:rPr>
              <w:t>25.1</w:t>
            </w:r>
          </w:p>
        </w:tc>
        <w:tc>
          <w:tcPr>
            <w:tcW w:w="2140" w:type="dxa"/>
            <w:gridSpan w:val="2"/>
            <w:vAlign w:val="center"/>
          </w:tcPr>
          <w:p w14:paraId="546CAAB9">
            <w:pPr>
              <w:pStyle w:val="19"/>
              <w:spacing w:line="500" w:lineRule="exact"/>
              <w:jc w:val="left"/>
              <w:rPr>
                <w:rFonts w:hAnsi="宋体" w:cs="宋体"/>
                <w:color w:val="auto"/>
                <w:szCs w:val="21"/>
                <w:highlight w:val="none"/>
              </w:rPr>
            </w:pPr>
            <w:r>
              <w:rPr>
                <w:rFonts w:hint="eastAsia" w:hAnsi="宋体" w:cs="宋体"/>
                <w:color w:val="auto"/>
                <w:szCs w:val="21"/>
                <w:highlight w:val="none"/>
              </w:rPr>
              <w:t>投标文件数量</w:t>
            </w:r>
          </w:p>
        </w:tc>
        <w:tc>
          <w:tcPr>
            <w:tcW w:w="6610" w:type="dxa"/>
            <w:vAlign w:val="center"/>
          </w:tcPr>
          <w:p w14:paraId="1BD25900">
            <w:pPr>
              <w:widowControl/>
              <w:spacing w:line="500" w:lineRule="exact"/>
              <w:ind w:firstLine="88" w:firstLineChars="42"/>
              <w:jc w:val="left"/>
              <w:rPr>
                <w:rFonts w:ascii="宋体" w:hAnsi="宋体" w:cs="宋体"/>
                <w:bCs/>
                <w:color w:val="auto"/>
                <w:kern w:val="0"/>
                <w:szCs w:val="21"/>
                <w:highlight w:val="none"/>
              </w:rPr>
            </w:pPr>
            <w:r>
              <w:rPr>
                <w:rFonts w:hint="eastAsia" w:ascii="宋体" w:hAnsi="宋体" w:cs="宋体"/>
                <w:bCs/>
                <w:color w:val="auto"/>
                <w:kern w:val="0"/>
                <w:szCs w:val="21"/>
                <w:highlight w:val="none"/>
              </w:rPr>
              <w:t>网上递交的电子投标文件：一份。以投标人在投标截止时间前网上递交的电子投标文件为准，逾期提交的，投标文件将被拒绝。</w:t>
            </w:r>
          </w:p>
          <w:p w14:paraId="2F2BE6F5">
            <w:pPr>
              <w:widowControl/>
              <w:spacing w:line="500" w:lineRule="exact"/>
              <w:ind w:firstLine="88" w:firstLineChars="42"/>
              <w:jc w:val="left"/>
              <w:rPr>
                <w:rFonts w:ascii="宋体" w:hAnsi="宋体" w:cs="宋体"/>
                <w:bCs/>
                <w:color w:val="auto"/>
                <w:szCs w:val="21"/>
                <w:highlight w:val="none"/>
              </w:rPr>
            </w:pPr>
            <w:r>
              <w:rPr>
                <w:rFonts w:hint="eastAsia" w:ascii="宋体" w:hAnsi="宋体" w:cs="宋体"/>
                <w:bCs/>
                <w:color w:val="auto"/>
                <w:kern w:val="0"/>
                <w:szCs w:val="21"/>
                <w:highlight w:val="none"/>
              </w:rPr>
              <w:t>（投标单位中标后须递交与网上电子投标文件完全一致的纸质版投标文件，并按要求加盖公章；份数：正本1份，副本2份；中标单位领取中标通知书时，一并递交给代理机构）</w:t>
            </w:r>
          </w:p>
        </w:tc>
      </w:tr>
      <w:tr w14:paraId="6CCEA1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279FA33E">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25.2</w:t>
            </w:r>
          </w:p>
        </w:tc>
        <w:tc>
          <w:tcPr>
            <w:tcW w:w="2140" w:type="dxa"/>
            <w:gridSpan w:val="2"/>
            <w:vAlign w:val="center"/>
          </w:tcPr>
          <w:p w14:paraId="221E3655">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610" w:type="dxa"/>
            <w:vAlign w:val="center"/>
          </w:tcPr>
          <w:p w14:paraId="41234D0D">
            <w:pPr>
              <w:widowControl/>
              <w:spacing w:line="5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电子投标文件须按格式文件要求签字或盖章（电子签章），招标文件格式中要求“签章”部位，指电子签章或盖章后扫描上传均可。</w:t>
            </w:r>
          </w:p>
          <w:p w14:paraId="1446C6F2">
            <w:pPr>
              <w:widowControl/>
              <w:spacing w:line="500" w:lineRule="exact"/>
              <w:ind w:firstLine="88" w:firstLineChars="42"/>
              <w:jc w:val="left"/>
              <w:rPr>
                <w:rFonts w:ascii="宋体" w:hAnsi="宋体" w:cs="宋体"/>
                <w:bCs/>
                <w:color w:val="auto"/>
                <w:szCs w:val="21"/>
                <w:highlight w:val="none"/>
              </w:rPr>
            </w:pPr>
            <w:r>
              <w:rPr>
                <w:rFonts w:hint="eastAsia" w:ascii="宋体" w:hAnsi="宋体" w:cs="宋体"/>
                <w:bCs/>
                <w:color w:val="auto"/>
                <w:kern w:val="0"/>
                <w:szCs w:val="21"/>
                <w:highlight w:val="none"/>
              </w:rPr>
              <w:t>否则经评委会一致认定且经过招投标监管部门批准后，按照无效投标处理。</w:t>
            </w:r>
          </w:p>
        </w:tc>
      </w:tr>
      <w:tr w14:paraId="22CF6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trPr>
        <w:tc>
          <w:tcPr>
            <w:tcW w:w="1048" w:type="dxa"/>
            <w:vAlign w:val="center"/>
          </w:tcPr>
          <w:p w14:paraId="009C8EB1">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26.1</w:t>
            </w:r>
          </w:p>
        </w:tc>
        <w:tc>
          <w:tcPr>
            <w:tcW w:w="2140" w:type="dxa"/>
            <w:gridSpan w:val="2"/>
            <w:vAlign w:val="center"/>
          </w:tcPr>
          <w:p w14:paraId="4AECF73D">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投标文件提交截止时间</w:t>
            </w:r>
          </w:p>
        </w:tc>
        <w:tc>
          <w:tcPr>
            <w:tcW w:w="6610" w:type="dxa"/>
            <w:vAlign w:val="center"/>
          </w:tcPr>
          <w:p w14:paraId="0FAB9F11">
            <w:pPr>
              <w:spacing w:line="500" w:lineRule="exact"/>
              <w:rPr>
                <w:rFonts w:ascii="宋体" w:hAnsi="宋体" w:cs="宋体"/>
                <w:color w:val="auto"/>
                <w:szCs w:val="21"/>
                <w:highlight w:val="none"/>
              </w:rPr>
            </w:pPr>
            <w:r>
              <w:rPr>
                <w:rFonts w:hint="eastAsia" w:ascii="宋体" w:hAnsi="宋体" w:cs="宋体"/>
                <w:color w:val="auto"/>
                <w:szCs w:val="21"/>
                <w:highlight w:val="none"/>
              </w:rPr>
              <w:t>网上递交投标文件截止时间：</w:t>
            </w:r>
            <w:r>
              <w:rPr>
                <w:rFonts w:hint="eastAsia" w:ascii="宋体" w:hAnsi="宋体" w:cs="宋体"/>
                <w:b/>
                <w:bCs/>
                <w:color w:val="auto"/>
                <w:szCs w:val="21"/>
                <w:highlight w:val="none"/>
              </w:rPr>
              <w:t>2025年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22</w:t>
            </w:r>
            <w:r>
              <w:rPr>
                <w:rFonts w:hint="eastAsia" w:ascii="宋体" w:hAnsi="宋体" w:cs="宋体"/>
                <w:b/>
                <w:bCs/>
                <w:color w:val="auto"/>
                <w:szCs w:val="21"/>
                <w:highlight w:val="none"/>
              </w:rPr>
              <w:t>日8点00分（北京时间）</w:t>
            </w:r>
          </w:p>
          <w:p w14:paraId="043CC658">
            <w:pPr>
              <w:spacing w:line="500" w:lineRule="exact"/>
              <w:rPr>
                <w:rFonts w:ascii="宋体" w:hAnsi="宋体" w:cs="宋体"/>
                <w:bCs/>
                <w:color w:val="auto"/>
                <w:szCs w:val="21"/>
                <w:highlight w:val="none"/>
              </w:rPr>
            </w:pPr>
            <w:r>
              <w:rPr>
                <w:rFonts w:hint="eastAsia" w:ascii="宋体" w:hAnsi="宋体" w:cs="宋体"/>
                <w:b/>
                <w:color w:val="auto"/>
                <w:szCs w:val="21"/>
                <w:highlight w:val="none"/>
              </w:rPr>
              <w:t>注：以投标人在投标截止时间前网上递交的电子投标文件为准，逾期提交的，投标文件将被拒绝。</w:t>
            </w:r>
          </w:p>
          <w:p w14:paraId="22911DEE">
            <w:pPr>
              <w:wordWrap w:val="0"/>
              <w:spacing w:line="500" w:lineRule="exact"/>
              <w:rPr>
                <w:rFonts w:ascii="宋体" w:hAnsi="宋体" w:cs="宋体"/>
                <w:color w:val="auto"/>
                <w:szCs w:val="21"/>
                <w:highlight w:val="none"/>
              </w:rPr>
            </w:pPr>
            <w:r>
              <w:rPr>
                <w:rFonts w:hint="eastAsia" w:ascii="宋体" w:hAnsi="宋体" w:cs="宋体"/>
                <w:color w:val="auto"/>
                <w:szCs w:val="21"/>
                <w:highlight w:val="none"/>
              </w:rPr>
              <w:t>1.解密程序开始后60分钟内（以本项目网上招投标系统解密倒计时为准）。</w:t>
            </w:r>
          </w:p>
          <w:p w14:paraId="2CB05AAA">
            <w:pPr>
              <w:wordWrap w:val="0"/>
              <w:spacing w:line="500" w:lineRule="exact"/>
              <w:rPr>
                <w:rFonts w:ascii="宋体" w:hAnsi="宋体" w:cs="宋体"/>
                <w:color w:val="auto"/>
                <w:szCs w:val="21"/>
                <w:highlight w:val="none"/>
              </w:rPr>
            </w:pPr>
            <w:r>
              <w:rPr>
                <w:rFonts w:hint="eastAsia" w:ascii="宋体" w:hAnsi="宋体" w:cs="宋体"/>
                <w:b/>
                <w:bCs/>
                <w:color w:val="auto"/>
                <w:szCs w:val="21"/>
                <w:highlight w:val="none"/>
              </w:rPr>
              <w:t>2.解密时间为2025年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22</w:t>
            </w:r>
            <w:r>
              <w:rPr>
                <w:rFonts w:hint="eastAsia" w:ascii="宋体" w:hAnsi="宋体" w:cs="宋体"/>
                <w:b/>
                <w:bCs/>
                <w:color w:val="auto"/>
                <w:szCs w:val="21"/>
                <w:highlight w:val="none"/>
              </w:rPr>
              <w:t>日08点00分至2025年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22</w:t>
            </w:r>
            <w:r>
              <w:rPr>
                <w:rFonts w:hint="eastAsia" w:ascii="宋体" w:hAnsi="宋体" w:cs="宋体"/>
                <w:b/>
                <w:bCs/>
                <w:color w:val="auto"/>
                <w:szCs w:val="21"/>
                <w:highlight w:val="none"/>
              </w:rPr>
              <w:t>日09点00分。</w:t>
            </w:r>
          </w:p>
        </w:tc>
      </w:tr>
      <w:tr w14:paraId="218160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048" w:type="dxa"/>
            <w:vAlign w:val="center"/>
          </w:tcPr>
          <w:p w14:paraId="6C33AF49">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27.3</w:t>
            </w:r>
          </w:p>
        </w:tc>
        <w:tc>
          <w:tcPr>
            <w:tcW w:w="2140" w:type="dxa"/>
            <w:gridSpan w:val="2"/>
            <w:vAlign w:val="center"/>
          </w:tcPr>
          <w:p w14:paraId="7CA6D7A7">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610" w:type="dxa"/>
            <w:vAlign w:val="center"/>
          </w:tcPr>
          <w:p w14:paraId="721ACDB6">
            <w:pPr>
              <w:spacing w:line="500" w:lineRule="exact"/>
              <w:rPr>
                <w:rFonts w:ascii="宋体" w:hAnsi="宋体" w:cs="宋体"/>
                <w:color w:val="auto"/>
                <w:szCs w:val="21"/>
                <w:highlight w:val="none"/>
              </w:rPr>
            </w:pPr>
            <w:r>
              <w:rPr>
                <w:rFonts w:hint="eastAsia" w:ascii="宋体" w:hAnsi="宋体" w:cs="宋体"/>
                <w:color w:val="auto"/>
                <w:szCs w:val="21"/>
                <w:highlight w:val="none"/>
              </w:rPr>
              <w:t>否</w:t>
            </w:r>
          </w:p>
        </w:tc>
      </w:tr>
      <w:tr w14:paraId="4D3073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4DAB4809">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2140" w:type="dxa"/>
            <w:gridSpan w:val="2"/>
            <w:vAlign w:val="center"/>
          </w:tcPr>
          <w:p w14:paraId="452E026A">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开标时间及地点</w:t>
            </w:r>
          </w:p>
        </w:tc>
        <w:tc>
          <w:tcPr>
            <w:tcW w:w="6610" w:type="dxa"/>
            <w:vAlign w:val="center"/>
          </w:tcPr>
          <w:p w14:paraId="017DC649">
            <w:pPr>
              <w:spacing w:line="500" w:lineRule="exact"/>
              <w:rPr>
                <w:rFonts w:ascii="宋体" w:hAnsi="宋体" w:cs="宋体"/>
                <w:b/>
                <w:bCs/>
                <w:color w:val="auto"/>
                <w:szCs w:val="21"/>
                <w:highlight w:val="none"/>
              </w:rPr>
            </w:pPr>
            <w:r>
              <w:rPr>
                <w:rFonts w:hint="eastAsia" w:ascii="宋体" w:hAnsi="宋体" w:cs="宋体"/>
                <w:color w:val="auto"/>
                <w:szCs w:val="21"/>
                <w:highlight w:val="none"/>
              </w:rPr>
              <w:t>开标时间：</w:t>
            </w:r>
            <w:r>
              <w:rPr>
                <w:rFonts w:hint="eastAsia" w:ascii="宋体" w:hAnsi="宋体" w:cs="宋体"/>
                <w:b/>
                <w:bCs/>
                <w:color w:val="auto"/>
                <w:szCs w:val="21"/>
                <w:highlight w:val="none"/>
              </w:rPr>
              <w:t>2025年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22</w:t>
            </w:r>
            <w:r>
              <w:rPr>
                <w:rFonts w:hint="eastAsia" w:ascii="宋体" w:hAnsi="宋体" w:cs="宋体"/>
                <w:b/>
                <w:bCs/>
                <w:color w:val="auto"/>
                <w:szCs w:val="21"/>
                <w:highlight w:val="none"/>
              </w:rPr>
              <w:t>日08点00分（北京时间）</w:t>
            </w:r>
          </w:p>
          <w:p w14:paraId="4627F3BC">
            <w:pPr>
              <w:spacing w:line="500" w:lineRule="exact"/>
              <w:rPr>
                <w:rFonts w:ascii="宋体" w:hAnsi="宋体" w:cs="宋体"/>
                <w:color w:val="auto"/>
                <w:szCs w:val="21"/>
                <w:highlight w:val="none"/>
              </w:rPr>
            </w:pPr>
            <w:r>
              <w:rPr>
                <w:rFonts w:hint="eastAsia" w:ascii="宋体" w:hAnsi="宋体" w:cs="宋体"/>
                <w:color w:val="auto"/>
                <w:szCs w:val="21"/>
                <w:highlight w:val="none"/>
              </w:rPr>
              <w:t>开标地点：滁州市公共资源交易中心(滁州市龙蟠大道109号房产商务大厦二楼)</w:t>
            </w:r>
          </w:p>
        </w:tc>
      </w:tr>
      <w:tr w14:paraId="78A772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48" w:type="dxa"/>
            <w:vAlign w:val="center"/>
          </w:tcPr>
          <w:p w14:paraId="6849465F">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28.3</w:t>
            </w:r>
          </w:p>
        </w:tc>
        <w:tc>
          <w:tcPr>
            <w:tcW w:w="2140" w:type="dxa"/>
            <w:gridSpan w:val="2"/>
            <w:vAlign w:val="center"/>
          </w:tcPr>
          <w:p w14:paraId="740F909E">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开标程序</w:t>
            </w:r>
          </w:p>
        </w:tc>
        <w:tc>
          <w:tcPr>
            <w:tcW w:w="6610" w:type="dxa"/>
            <w:vAlign w:val="center"/>
          </w:tcPr>
          <w:p w14:paraId="04664B7F">
            <w:pPr>
              <w:spacing w:line="500" w:lineRule="exact"/>
              <w:rPr>
                <w:rFonts w:ascii="宋体" w:hAnsi="宋体" w:cs="宋体"/>
                <w:color w:val="auto"/>
                <w:szCs w:val="21"/>
                <w:highlight w:val="none"/>
              </w:rPr>
            </w:pPr>
            <w:r>
              <w:rPr>
                <w:rFonts w:hint="eastAsia" w:ascii="宋体" w:hAnsi="宋体" w:cs="宋体"/>
                <w:color w:val="auto"/>
                <w:szCs w:val="21"/>
                <w:highlight w:val="none"/>
              </w:rPr>
              <w:t>开标顺序：解密电子投标文件后，由评标委员会评审。</w:t>
            </w:r>
          </w:p>
        </w:tc>
      </w:tr>
      <w:tr w14:paraId="66D647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 w:hRule="atLeast"/>
        </w:trPr>
        <w:tc>
          <w:tcPr>
            <w:tcW w:w="1048" w:type="dxa"/>
            <w:vAlign w:val="center"/>
          </w:tcPr>
          <w:p w14:paraId="48973052">
            <w:pPr>
              <w:pStyle w:val="19"/>
              <w:spacing w:line="500" w:lineRule="exact"/>
              <w:jc w:val="center"/>
              <w:rPr>
                <w:rFonts w:hAnsi="宋体" w:cs="宋体"/>
                <w:color w:val="auto"/>
                <w:szCs w:val="21"/>
                <w:highlight w:val="none"/>
              </w:rPr>
            </w:pPr>
            <w:r>
              <w:rPr>
                <w:rFonts w:hint="eastAsia" w:hAnsi="宋体" w:cs="宋体"/>
                <w:color w:val="auto"/>
                <w:szCs w:val="21"/>
                <w:highlight w:val="none"/>
              </w:rPr>
              <w:t>29.1</w:t>
            </w:r>
          </w:p>
        </w:tc>
        <w:tc>
          <w:tcPr>
            <w:tcW w:w="2140" w:type="dxa"/>
            <w:gridSpan w:val="2"/>
            <w:vAlign w:val="center"/>
          </w:tcPr>
          <w:p w14:paraId="52526561">
            <w:pPr>
              <w:pStyle w:val="19"/>
              <w:spacing w:line="500" w:lineRule="exact"/>
              <w:jc w:val="left"/>
              <w:rPr>
                <w:rFonts w:hAnsi="宋体" w:cs="宋体"/>
                <w:color w:val="auto"/>
                <w:szCs w:val="21"/>
                <w:highlight w:val="none"/>
              </w:rPr>
            </w:pPr>
            <w:r>
              <w:rPr>
                <w:rFonts w:hint="eastAsia" w:hAnsi="宋体" w:cs="宋体"/>
                <w:color w:val="auto"/>
                <w:szCs w:val="21"/>
                <w:highlight w:val="none"/>
              </w:rPr>
              <w:t>评标委员会的组建</w:t>
            </w:r>
          </w:p>
        </w:tc>
        <w:tc>
          <w:tcPr>
            <w:tcW w:w="6610" w:type="dxa"/>
          </w:tcPr>
          <w:p w14:paraId="0832636F">
            <w:pPr>
              <w:spacing w:line="500" w:lineRule="exact"/>
              <w:rPr>
                <w:rFonts w:ascii="宋体" w:hAnsi="宋体" w:cs="宋体"/>
                <w:color w:val="auto"/>
                <w:szCs w:val="21"/>
                <w:highlight w:val="none"/>
              </w:rPr>
            </w:pPr>
            <w:r>
              <w:rPr>
                <w:rFonts w:hint="eastAsia" w:ascii="宋体" w:hAnsi="宋体" w:cs="宋体"/>
                <w:color w:val="auto"/>
                <w:szCs w:val="21"/>
                <w:highlight w:val="none"/>
              </w:rPr>
              <w:t>评标委员会构成：9人，其中招标人代表3人，评标专家6人。</w:t>
            </w:r>
          </w:p>
          <w:p w14:paraId="33A00371">
            <w:pPr>
              <w:spacing w:line="500" w:lineRule="exact"/>
              <w:rPr>
                <w:rFonts w:ascii="宋体" w:hAnsi="宋体" w:cs="宋体"/>
                <w:color w:val="auto"/>
                <w:szCs w:val="21"/>
                <w:highlight w:val="none"/>
              </w:rPr>
            </w:pPr>
            <w:r>
              <w:rPr>
                <w:rFonts w:hint="eastAsia" w:ascii="宋体" w:hAnsi="宋体" w:cs="宋体"/>
                <w:color w:val="auto"/>
                <w:szCs w:val="21"/>
                <w:highlight w:val="none"/>
              </w:rPr>
              <w:t>评标专家确定方式：专家评委由招标人在开标前从专家库中随机抽取。</w:t>
            </w:r>
          </w:p>
        </w:tc>
      </w:tr>
      <w:tr w14:paraId="38DE42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48" w:type="dxa"/>
            <w:vAlign w:val="center"/>
          </w:tcPr>
          <w:p w14:paraId="0681B718">
            <w:pPr>
              <w:pStyle w:val="19"/>
              <w:spacing w:line="500" w:lineRule="exact"/>
              <w:jc w:val="center"/>
              <w:rPr>
                <w:rFonts w:hAnsi="宋体" w:cs="宋体"/>
                <w:color w:val="auto"/>
                <w:szCs w:val="21"/>
                <w:highlight w:val="none"/>
              </w:rPr>
            </w:pPr>
            <w:r>
              <w:rPr>
                <w:rFonts w:hint="eastAsia" w:hAnsi="宋体" w:cs="宋体"/>
                <w:color w:val="auto"/>
                <w:szCs w:val="21"/>
                <w:highlight w:val="none"/>
              </w:rPr>
              <w:t>32.1.1</w:t>
            </w:r>
          </w:p>
        </w:tc>
        <w:tc>
          <w:tcPr>
            <w:tcW w:w="2140" w:type="dxa"/>
            <w:gridSpan w:val="2"/>
            <w:vAlign w:val="center"/>
          </w:tcPr>
          <w:p w14:paraId="7BFC2EF7">
            <w:pPr>
              <w:pStyle w:val="19"/>
              <w:spacing w:line="500" w:lineRule="exact"/>
              <w:jc w:val="left"/>
              <w:rPr>
                <w:rFonts w:hAnsi="宋体" w:cs="宋体"/>
                <w:color w:val="auto"/>
                <w:szCs w:val="21"/>
                <w:highlight w:val="none"/>
              </w:rPr>
            </w:pPr>
            <w:r>
              <w:rPr>
                <w:rFonts w:hint="eastAsia" w:hAnsi="宋体" w:cs="宋体"/>
                <w:color w:val="auto"/>
                <w:szCs w:val="21"/>
                <w:highlight w:val="none"/>
              </w:rPr>
              <w:t>是否授权评标委员会确定中标候选人</w:t>
            </w:r>
          </w:p>
        </w:tc>
        <w:tc>
          <w:tcPr>
            <w:tcW w:w="6610" w:type="dxa"/>
            <w:vAlign w:val="center"/>
          </w:tcPr>
          <w:p w14:paraId="3404A08C">
            <w:pPr>
              <w:pStyle w:val="19"/>
              <w:spacing w:line="500" w:lineRule="exact"/>
              <w:rPr>
                <w:rFonts w:hAnsi="宋体" w:cs="宋体"/>
                <w:color w:val="auto"/>
                <w:szCs w:val="21"/>
                <w:highlight w:val="none"/>
              </w:rPr>
            </w:pPr>
            <w:r>
              <w:rPr>
                <w:rFonts w:hint="eastAsia" w:hAnsi="宋体" w:cs="宋体"/>
                <w:color w:val="auto"/>
                <w:szCs w:val="21"/>
                <w:highlight w:val="none"/>
              </w:rPr>
              <w:t>是，评标委员会推荐3名中标候选人。</w:t>
            </w:r>
          </w:p>
        </w:tc>
      </w:tr>
      <w:tr w14:paraId="1F390D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1048" w:type="dxa"/>
            <w:vAlign w:val="center"/>
          </w:tcPr>
          <w:p w14:paraId="6EEE9378">
            <w:pPr>
              <w:pStyle w:val="19"/>
              <w:spacing w:line="500" w:lineRule="exact"/>
              <w:jc w:val="center"/>
              <w:rPr>
                <w:rFonts w:hAnsi="宋体" w:cs="宋体"/>
                <w:color w:val="auto"/>
                <w:szCs w:val="21"/>
                <w:highlight w:val="none"/>
              </w:rPr>
            </w:pPr>
            <w:r>
              <w:rPr>
                <w:rFonts w:hint="eastAsia" w:hAnsi="宋体" w:cs="宋体"/>
                <w:color w:val="auto"/>
                <w:szCs w:val="21"/>
                <w:highlight w:val="none"/>
              </w:rPr>
              <w:t>32.1.2</w:t>
            </w:r>
          </w:p>
        </w:tc>
        <w:tc>
          <w:tcPr>
            <w:tcW w:w="2140" w:type="dxa"/>
            <w:gridSpan w:val="2"/>
            <w:vAlign w:val="center"/>
          </w:tcPr>
          <w:p w14:paraId="224C6AAE">
            <w:pPr>
              <w:pStyle w:val="19"/>
              <w:spacing w:line="500" w:lineRule="exact"/>
              <w:jc w:val="left"/>
              <w:rPr>
                <w:rFonts w:hAnsi="宋体" w:cs="宋体"/>
                <w:color w:val="auto"/>
                <w:szCs w:val="21"/>
                <w:highlight w:val="none"/>
              </w:rPr>
            </w:pPr>
            <w:r>
              <w:rPr>
                <w:rFonts w:hint="eastAsia" w:hAnsi="宋体" w:cs="宋体"/>
                <w:color w:val="auto"/>
                <w:szCs w:val="21"/>
                <w:highlight w:val="none"/>
              </w:rPr>
              <w:t>中标结果公告媒介及期限</w:t>
            </w:r>
          </w:p>
        </w:tc>
        <w:tc>
          <w:tcPr>
            <w:tcW w:w="6610" w:type="dxa"/>
          </w:tcPr>
          <w:p w14:paraId="364728AF">
            <w:pPr>
              <w:pStyle w:val="19"/>
              <w:spacing w:line="500" w:lineRule="exact"/>
              <w:rPr>
                <w:rFonts w:hAnsi="宋体" w:cs="宋体"/>
                <w:color w:val="auto"/>
                <w:szCs w:val="21"/>
                <w:highlight w:val="none"/>
              </w:rPr>
            </w:pPr>
            <w:r>
              <w:rPr>
                <w:rFonts w:hint="eastAsia" w:hAnsi="宋体" w:cs="宋体"/>
                <w:color w:val="auto"/>
                <w:szCs w:val="21"/>
                <w:highlight w:val="none"/>
              </w:rPr>
              <w:t>公示媒介：同招标公告发布媒介</w:t>
            </w:r>
          </w:p>
          <w:p w14:paraId="367BBAB7">
            <w:pPr>
              <w:pStyle w:val="19"/>
              <w:spacing w:line="500" w:lineRule="exact"/>
              <w:rPr>
                <w:rFonts w:hAnsi="宋体" w:cs="宋体"/>
                <w:color w:val="auto"/>
                <w:spacing w:val="-4"/>
                <w:szCs w:val="21"/>
                <w:highlight w:val="none"/>
              </w:rPr>
            </w:pPr>
            <w:r>
              <w:rPr>
                <w:rFonts w:hint="eastAsia" w:hAnsi="宋体" w:cs="宋体"/>
                <w:color w:val="auto"/>
                <w:szCs w:val="21"/>
                <w:highlight w:val="none"/>
              </w:rPr>
              <w:t>公示期限：公示发布次日起3日（如公示第三日为休息日或节假日，则顺延至休息日或节假日后第一个工作日）</w:t>
            </w:r>
          </w:p>
        </w:tc>
      </w:tr>
      <w:tr w14:paraId="2CF7AD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restart"/>
            <w:vAlign w:val="center"/>
          </w:tcPr>
          <w:p w14:paraId="38FD7FCF">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2140" w:type="dxa"/>
            <w:gridSpan w:val="2"/>
            <w:vAlign w:val="center"/>
          </w:tcPr>
          <w:p w14:paraId="6FD29721">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中标通知书</w:t>
            </w:r>
          </w:p>
        </w:tc>
        <w:tc>
          <w:tcPr>
            <w:tcW w:w="6610" w:type="dxa"/>
            <w:vAlign w:val="center"/>
          </w:tcPr>
          <w:p w14:paraId="33D2F248">
            <w:pPr>
              <w:spacing w:line="500" w:lineRule="exact"/>
              <w:rPr>
                <w:rFonts w:ascii="宋体" w:hAnsi="宋体" w:cs="宋体"/>
                <w:color w:val="auto"/>
                <w:szCs w:val="21"/>
                <w:highlight w:val="none"/>
              </w:rPr>
            </w:pPr>
            <w:r>
              <w:rPr>
                <w:rFonts w:hint="eastAsia" w:ascii="宋体" w:hAnsi="宋体" w:cs="宋体"/>
                <w:color w:val="auto"/>
                <w:szCs w:val="21"/>
                <w:highlight w:val="none"/>
              </w:rPr>
              <w:t>中标通知书须加盖公共资源交易中心见证章后方可发出。</w:t>
            </w:r>
          </w:p>
        </w:tc>
      </w:tr>
      <w:tr w14:paraId="7F90BC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continue"/>
            <w:vAlign w:val="center"/>
          </w:tcPr>
          <w:p w14:paraId="7270C092">
            <w:pPr>
              <w:spacing w:line="500" w:lineRule="exact"/>
              <w:jc w:val="center"/>
              <w:rPr>
                <w:rFonts w:ascii="宋体" w:hAnsi="宋体" w:cs="宋体"/>
                <w:color w:val="auto"/>
                <w:szCs w:val="21"/>
                <w:highlight w:val="none"/>
              </w:rPr>
            </w:pPr>
          </w:p>
        </w:tc>
        <w:tc>
          <w:tcPr>
            <w:tcW w:w="2140" w:type="dxa"/>
            <w:gridSpan w:val="2"/>
            <w:vAlign w:val="center"/>
          </w:tcPr>
          <w:p w14:paraId="02875CB4">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中标通知书发出形式</w:t>
            </w:r>
          </w:p>
        </w:tc>
        <w:tc>
          <w:tcPr>
            <w:tcW w:w="6610" w:type="dxa"/>
            <w:vAlign w:val="center"/>
          </w:tcPr>
          <w:p w14:paraId="482DFBBC">
            <w:pPr>
              <w:spacing w:line="500" w:lineRule="exact"/>
              <w:rPr>
                <w:rFonts w:ascii="宋体" w:hAnsi="宋体" w:cs="宋体"/>
                <w:color w:val="auto"/>
                <w:szCs w:val="21"/>
                <w:highlight w:val="none"/>
              </w:rPr>
            </w:pPr>
            <w:r>
              <w:rPr>
                <w:rFonts w:hint="eastAsia" w:ascii="宋体" w:hAnsi="宋体" w:cs="宋体"/>
                <w:color w:val="auto"/>
                <w:szCs w:val="21"/>
                <w:highlight w:val="none"/>
              </w:rPr>
              <w:t>数据电文</w:t>
            </w:r>
          </w:p>
        </w:tc>
      </w:tr>
      <w:tr w14:paraId="4C94ED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1048" w:type="dxa"/>
            <w:vAlign w:val="center"/>
          </w:tcPr>
          <w:p w14:paraId="5E177BAF">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140" w:type="dxa"/>
            <w:gridSpan w:val="2"/>
            <w:vAlign w:val="center"/>
          </w:tcPr>
          <w:p w14:paraId="4CB31D8C">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履约担保</w:t>
            </w:r>
          </w:p>
        </w:tc>
        <w:tc>
          <w:tcPr>
            <w:tcW w:w="6610" w:type="dxa"/>
            <w:vAlign w:val="center"/>
          </w:tcPr>
          <w:p w14:paraId="5A004A32">
            <w:pPr>
              <w:tabs>
                <w:tab w:val="left" w:pos="5034"/>
              </w:tabs>
              <w:spacing w:line="500" w:lineRule="exact"/>
              <w:rPr>
                <w:rFonts w:ascii="宋体" w:hAnsi="宋体" w:cs="宋体"/>
                <w:color w:val="auto"/>
                <w:szCs w:val="21"/>
                <w:highlight w:val="none"/>
              </w:rPr>
            </w:pPr>
            <w:r>
              <w:rPr>
                <w:rFonts w:hint="eastAsia" w:ascii="宋体" w:hAnsi="宋体" w:cs="宋体"/>
                <w:color w:val="auto"/>
                <w:szCs w:val="21"/>
                <w:highlight w:val="none"/>
              </w:rPr>
              <w:t>是否收取履约担保：收取</w:t>
            </w:r>
          </w:p>
          <w:p w14:paraId="4EC67825">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履约担保的形式：支持银行转账、银行电汇、银行保函、担保机构担保、保证保险使用 </w:t>
            </w:r>
          </w:p>
          <w:p w14:paraId="6D4892A7">
            <w:pPr>
              <w:spacing w:line="500" w:lineRule="exact"/>
              <w:rPr>
                <w:rFonts w:ascii="宋体" w:hAnsi="宋体" w:cs="宋体"/>
                <w:color w:val="auto"/>
                <w:szCs w:val="21"/>
                <w:highlight w:val="none"/>
              </w:rPr>
            </w:pPr>
            <w:r>
              <w:rPr>
                <w:rFonts w:hint="eastAsia" w:ascii="宋体" w:hAnsi="宋体" w:cs="宋体"/>
                <w:color w:val="auto"/>
                <w:szCs w:val="21"/>
                <w:highlight w:val="none"/>
              </w:rPr>
              <w:t>履约担保的金额：中标合同金额×</w:t>
            </w:r>
            <w:r>
              <w:rPr>
                <w:rFonts w:ascii="宋体" w:hAnsi="宋体" w:cs="宋体"/>
                <w:color w:val="auto"/>
                <w:szCs w:val="21"/>
                <w:highlight w:val="none"/>
              </w:rPr>
              <w:t>2</w:t>
            </w:r>
            <w:r>
              <w:rPr>
                <w:rFonts w:hint="eastAsia" w:ascii="宋体" w:hAnsi="宋体" w:cs="宋体"/>
                <w:color w:val="auto"/>
                <w:szCs w:val="21"/>
                <w:highlight w:val="none"/>
              </w:rPr>
              <w:t>%</w:t>
            </w:r>
          </w:p>
          <w:p w14:paraId="597BA1E7">
            <w:pPr>
              <w:spacing w:line="500" w:lineRule="exact"/>
              <w:rPr>
                <w:rFonts w:ascii="宋体" w:hAnsi="宋体" w:cs="宋体"/>
                <w:color w:val="auto"/>
                <w:szCs w:val="21"/>
                <w:highlight w:val="none"/>
              </w:rPr>
            </w:pPr>
            <w:r>
              <w:rPr>
                <w:rFonts w:hint="eastAsia" w:ascii="宋体" w:hAnsi="宋体" w:cs="宋体"/>
                <w:color w:val="auto"/>
                <w:szCs w:val="21"/>
                <w:highlight w:val="none"/>
              </w:rPr>
              <w:t>收款单位：另行通知</w:t>
            </w:r>
          </w:p>
          <w:p w14:paraId="636D5ED5">
            <w:pPr>
              <w:spacing w:line="500" w:lineRule="exact"/>
              <w:rPr>
                <w:rFonts w:ascii="宋体" w:hAnsi="宋体" w:cs="宋体"/>
                <w:color w:val="auto"/>
                <w:szCs w:val="21"/>
                <w:highlight w:val="none"/>
              </w:rPr>
            </w:pPr>
            <w:r>
              <w:rPr>
                <w:rFonts w:hint="eastAsia" w:ascii="宋体" w:hAnsi="宋体" w:cs="宋体"/>
                <w:color w:val="auto"/>
                <w:szCs w:val="21"/>
                <w:highlight w:val="none"/>
              </w:rPr>
              <w:t>开户行、账号：另行通知</w:t>
            </w:r>
          </w:p>
          <w:p w14:paraId="559A6731">
            <w:pPr>
              <w:spacing w:line="500" w:lineRule="exact"/>
              <w:rPr>
                <w:rFonts w:ascii="宋体" w:hAnsi="宋体" w:cs="宋体"/>
                <w:color w:val="auto"/>
                <w:szCs w:val="21"/>
                <w:highlight w:val="none"/>
              </w:rPr>
            </w:pPr>
            <w:r>
              <w:rPr>
                <w:rFonts w:hint="eastAsia" w:ascii="宋体" w:hAnsi="宋体" w:cs="宋体"/>
                <w:color w:val="auto"/>
                <w:szCs w:val="21"/>
                <w:highlight w:val="none"/>
              </w:rPr>
              <w:t>缴纳时间：签订合同前缴纳。</w:t>
            </w:r>
          </w:p>
          <w:p w14:paraId="16981C4B">
            <w:pPr>
              <w:spacing w:line="500" w:lineRule="exact"/>
              <w:rPr>
                <w:rFonts w:ascii="宋体" w:hAnsi="宋体" w:cs="宋体"/>
                <w:color w:val="auto"/>
                <w:szCs w:val="21"/>
                <w:highlight w:val="none"/>
              </w:rPr>
            </w:pPr>
            <w:r>
              <w:rPr>
                <w:rFonts w:hint="eastAsia" w:ascii="宋体" w:hAnsi="宋体" w:cs="宋体"/>
                <w:color w:val="auto"/>
                <w:szCs w:val="21"/>
                <w:highlight w:val="none"/>
              </w:rPr>
              <w:t>履约保证金退还方式：本项目供货完成后履约保证金直接转为质保金，待质保期满后一次性退还。</w:t>
            </w:r>
          </w:p>
          <w:p w14:paraId="12AB14ED">
            <w:pPr>
              <w:spacing w:line="500" w:lineRule="exact"/>
              <w:rPr>
                <w:rFonts w:ascii="宋体" w:hAnsi="宋体" w:cs="宋体"/>
                <w:color w:val="auto"/>
                <w:szCs w:val="21"/>
                <w:highlight w:val="none"/>
              </w:rPr>
            </w:pPr>
            <w:r>
              <w:rPr>
                <w:rFonts w:hint="eastAsia" w:ascii="宋体" w:hAnsi="宋体" w:cs="宋体"/>
                <w:color w:val="auto"/>
                <w:szCs w:val="21"/>
                <w:highlight w:val="none"/>
              </w:rPr>
              <w:t>其他相关要求：保函内容及格式等均须经招标人认可。</w:t>
            </w:r>
          </w:p>
        </w:tc>
      </w:tr>
      <w:tr w14:paraId="50E6EC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926" w:type="dxa"/>
            <w:gridSpan w:val="2"/>
            <w:vAlign w:val="center"/>
          </w:tcPr>
          <w:p w14:paraId="0778036F">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872" w:type="dxa"/>
            <w:gridSpan w:val="2"/>
            <w:vAlign w:val="center"/>
          </w:tcPr>
          <w:p w14:paraId="7DEE8916">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合同履行期间，中标人将货物运至指定地点并验收合格后，招标人将于</w:t>
            </w:r>
            <w:r>
              <w:rPr>
                <w:rFonts w:ascii="宋体" w:hAnsi="宋体" w:cs="宋体"/>
                <w:color w:val="auto"/>
                <w:szCs w:val="21"/>
                <w:highlight w:val="none"/>
              </w:rPr>
              <w:t>90</w:t>
            </w:r>
            <w:r>
              <w:rPr>
                <w:rFonts w:hint="eastAsia" w:ascii="宋体" w:hAnsi="宋体" w:cs="宋体"/>
                <w:color w:val="auto"/>
                <w:szCs w:val="21"/>
                <w:highlight w:val="none"/>
              </w:rPr>
              <w:t>个工作日内支付验收合格且入库货物货款的100%。本项目供货完成后履约保证金直接转为质保金，质保期从合同最后一批货验收合格起开始计算，质保期为六年（具体以标书中自行承诺的期限为准），质保期满后一个月内一次性付清。</w:t>
            </w:r>
          </w:p>
        </w:tc>
      </w:tr>
      <w:tr w14:paraId="31F9B4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vAlign w:val="center"/>
          </w:tcPr>
          <w:p w14:paraId="018415DC">
            <w:pPr>
              <w:spacing w:line="500" w:lineRule="exact"/>
              <w:rPr>
                <w:rFonts w:ascii="宋体" w:hAnsi="宋体" w:cs="宋体"/>
                <w:color w:val="auto"/>
                <w:szCs w:val="21"/>
                <w:highlight w:val="none"/>
              </w:rPr>
            </w:pPr>
            <w:r>
              <w:rPr>
                <w:rFonts w:hint="eastAsia" w:ascii="宋体" w:hAnsi="宋体" w:cs="宋体"/>
                <w:color w:val="auto"/>
                <w:szCs w:val="21"/>
                <w:highlight w:val="none"/>
              </w:rPr>
              <w:t>招标文件获取方式和时间</w:t>
            </w:r>
          </w:p>
        </w:tc>
        <w:tc>
          <w:tcPr>
            <w:tcW w:w="7872" w:type="dxa"/>
            <w:gridSpan w:val="2"/>
          </w:tcPr>
          <w:p w14:paraId="08A1E311">
            <w:pPr>
              <w:topLinePunct/>
              <w:spacing w:line="500" w:lineRule="exact"/>
              <w:rPr>
                <w:rFonts w:ascii="宋体" w:hAnsi="宋体" w:cs="宋体"/>
                <w:color w:val="auto"/>
                <w:szCs w:val="21"/>
                <w:highlight w:val="none"/>
              </w:rPr>
            </w:pPr>
            <w:r>
              <w:rPr>
                <w:rFonts w:hint="eastAsia" w:ascii="宋体" w:hAnsi="宋体" w:cs="宋体"/>
                <w:color w:val="auto"/>
                <w:szCs w:val="21"/>
                <w:highlight w:val="none"/>
              </w:rPr>
              <w:t>招标文件获取方式：网上下载；</w:t>
            </w:r>
          </w:p>
          <w:p w14:paraId="55B108E3">
            <w:pPr>
              <w:topLinePunct/>
              <w:spacing w:line="500" w:lineRule="exact"/>
              <w:rPr>
                <w:rFonts w:ascii="宋体" w:hAnsi="宋体" w:cs="宋体"/>
                <w:color w:val="auto"/>
                <w:szCs w:val="21"/>
                <w:highlight w:val="none"/>
              </w:rPr>
            </w:pPr>
            <w:r>
              <w:rPr>
                <w:rFonts w:hint="eastAsia" w:ascii="宋体" w:hAnsi="宋体" w:cs="宋体"/>
                <w:color w:val="auto"/>
                <w:szCs w:val="21"/>
                <w:highlight w:val="none"/>
              </w:rPr>
              <w:t>获取时间：招标文件发布至投标截止时间。</w:t>
            </w:r>
          </w:p>
        </w:tc>
      </w:tr>
      <w:tr w14:paraId="33BA2A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0A9BBC86">
            <w:pPr>
              <w:adjustRightInd w:val="0"/>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投诉</w:t>
            </w:r>
          </w:p>
        </w:tc>
        <w:tc>
          <w:tcPr>
            <w:tcW w:w="7872" w:type="dxa"/>
            <w:gridSpan w:val="2"/>
            <w:shd w:val="clear" w:color="auto" w:fill="auto"/>
          </w:tcPr>
          <w:p w14:paraId="684F1D05">
            <w:pPr>
              <w:adjustRightInd w:val="0"/>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投标人或者其他利害关系人认为招标投标活动违反法律、法规和规章规定的，有权向相关行政监督部门投诉。在线投诉具体步骤和程序请参照服务指南&gt;投诉渠道 </w:t>
            </w:r>
            <w:r>
              <w:rPr>
                <w:color w:val="auto"/>
                <w:highlight w:val="none"/>
              </w:rPr>
              <w:fldChar w:fldCharType="begin"/>
            </w:r>
            <w:r>
              <w:rPr>
                <w:color w:val="auto"/>
                <w:highlight w:val="none"/>
              </w:rPr>
              <w:instrText xml:space="preserve"> HYPERLINK "https://ggzy.chuzhou.gov.cn/fwzn/011001/serviceGuide.html" </w:instrText>
            </w:r>
            <w:r>
              <w:rPr>
                <w:color w:val="auto"/>
                <w:highlight w:val="none"/>
              </w:rPr>
              <w:fldChar w:fldCharType="separate"/>
            </w:r>
            <w:r>
              <w:rPr>
                <w:rFonts w:hint="eastAsia" w:ascii="宋体" w:hAnsi="宋体" w:cs="宋体"/>
                <w:color w:val="auto"/>
                <w:szCs w:val="21"/>
                <w:highlight w:val="none"/>
              </w:rPr>
              <w:t>https://ggzy.chuzhou.gov.cn/fwzn/011001/serviceGuide.html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；投诉书格式等内容参见服务指南&gt;办事指南&gt;投标人服务&gt;投诉受理一次告知书https://ggzy.chuzhou.gov.cn/fwzn/011001/011001001/011001001003/20211022/4b7d87ec-2c58-49b0-b76c-3a6277377930.html。</w:t>
            </w:r>
          </w:p>
        </w:tc>
      </w:tr>
      <w:tr w14:paraId="4E8046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77599654">
            <w:pPr>
              <w:widowControl/>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特别提示</w:t>
            </w:r>
          </w:p>
        </w:tc>
        <w:tc>
          <w:tcPr>
            <w:tcW w:w="7872" w:type="dxa"/>
            <w:gridSpan w:val="2"/>
            <w:shd w:val="clear" w:color="auto" w:fill="auto"/>
          </w:tcPr>
          <w:p w14:paraId="767EE794">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1.本项目投标保证金、履约保证金、工程质量保证金、农民工工资保证金均支持保函使用。以现金形式提交保证金的，应当同时退还保证金本金和银行同期存款利息。</w:t>
            </w:r>
          </w:p>
          <w:p w14:paraId="0DD6746F">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2.投标人应填写投标信息并下载招标文件，否则无法上传投标文件。</w:t>
            </w:r>
          </w:p>
          <w:p w14:paraId="32A425D4">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145D2A8B">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4.如果过程中出现招标文件更改，应以最后发布的招标答疑澄清文件中的模板制作本项目最新投标文件。</w:t>
            </w:r>
          </w:p>
          <w:p w14:paraId="58274C46">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5.投标人应当用本单位CA数字证书制作投标文件，制作成功后进行投标文件上传。 </w:t>
            </w:r>
          </w:p>
          <w:p w14:paraId="04CC29DF">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1452E129">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7.请投标人注意加密投标文件CA数字证书的有效期，不在有效期的CA数字证书无法解密投标文件。</w:t>
            </w:r>
          </w:p>
          <w:p w14:paraId="6098DED3">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8.投标人投标MAC地址一致或申请开具电子保函MAC地址一致的，由评标委员会否决其投标。</w:t>
            </w:r>
          </w:p>
          <w:p w14:paraId="774FB879">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9.投标人投标文件中单方面出现其他投标人材料的（依法组成联合体投标的除外），由评标委员会否决其投标。</w:t>
            </w:r>
          </w:p>
          <w:p w14:paraId="26A351BC">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1C8E9B05">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11.若存在不予退还投标人投标保证金的情形，银行转账的，由市公共资源交易中心代为收缴，递交保函的，由招标人予以追缴。</w:t>
            </w:r>
          </w:p>
          <w:p w14:paraId="2C077793">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08027FF6">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13.投标人联系人或联系电话相同的，由评标委员会否决其投标，并报告监管部门作不良行为处理和进一步调查。</w:t>
            </w:r>
          </w:p>
          <w:p w14:paraId="4C0B2692">
            <w:pPr>
              <w:spacing w:line="500" w:lineRule="exact"/>
              <w:jc w:val="left"/>
              <w:rPr>
                <w:rFonts w:ascii="宋体" w:hAnsi="宋体" w:cs="宋体"/>
                <w:b/>
                <w:bCs/>
                <w:color w:val="auto"/>
                <w:szCs w:val="21"/>
                <w:highlight w:val="none"/>
                <w:lang w:bidi="ar"/>
              </w:rPr>
            </w:pPr>
            <w:r>
              <w:rPr>
                <w:rFonts w:hint="eastAsia" w:ascii="宋体" w:hAnsi="宋体" w:cs="宋体"/>
                <w:color w:val="auto"/>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2D3B20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5C9122B9">
            <w:pPr>
              <w:spacing w:line="500" w:lineRule="exact"/>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其他</w:t>
            </w:r>
          </w:p>
        </w:tc>
        <w:tc>
          <w:tcPr>
            <w:tcW w:w="7872" w:type="dxa"/>
            <w:gridSpan w:val="2"/>
            <w:shd w:val="clear" w:color="auto" w:fill="auto"/>
          </w:tcPr>
          <w:p w14:paraId="4C68B2BE">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1.项目负责人必须是投标人本单位工作人员，提供虚假资料谋取中标将被依法处罚。投标人对所提交的投标人或拟派项目负责人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3E338327">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2.中标人未履行下述义务的，滁州市公共资源交易监督管理局将依法对中标人进行处理，追究相关责任：</w:t>
            </w:r>
          </w:p>
          <w:p w14:paraId="25FBF654">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26099394">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1A22FE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2A720CF1">
            <w:pPr>
              <w:adjustRightInd w:val="0"/>
              <w:snapToGrid w:val="0"/>
              <w:spacing w:line="500" w:lineRule="exact"/>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变更招标方式</w:t>
            </w:r>
          </w:p>
        </w:tc>
        <w:tc>
          <w:tcPr>
            <w:tcW w:w="7872" w:type="dxa"/>
            <w:gridSpan w:val="2"/>
            <w:shd w:val="clear" w:color="auto" w:fill="auto"/>
            <w:vAlign w:val="center"/>
          </w:tcPr>
          <w:p w14:paraId="63CED64B">
            <w:pPr>
              <w:pStyle w:val="17"/>
              <w:adjustRightInd w:val="0"/>
              <w:snapToGrid w:val="0"/>
              <w:spacing w:after="0" w:line="500" w:lineRule="exact"/>
              <w:rPr>
                <w:rFonts w:ascii="宋体" w:hAnsi="宋体" w:cs="宋体"/>
                <w:color w:val="auto"/>
                <w:szCs w:val="21"/>
                <w:highlight w:val="none"/>
              </w:rPr>
            </w:pPr>
            <w:r>
              <w:rPr>
                <w:rFonts w:hint="eastAsia" w:ascii="宋体" w:hAnsi="宋体" w:cs="宋体"/>
                <w:color w:val="auto"/>
                <w:szCs w:val="21"/>
                <w:highlight w:val="none"/>
              </w:rPr>
              <w:t>按照滁州市公共资源交易监督管理局现行规定执行。</w:t>
            </w:r>
          </w:p>
        </w:tc>
      </w:tr>
    </w:tbl>
    <w:p w14:paraId="2AB80FFF">
      <w:pPr>
        <w:pageBreakBefore/>
        <w:spacing w:before="312" w:beforeLines="100" w:after="312" w:afterLines="100" w:line="500" w:lineRule="exact"/>
        <w:jc w:val="center"/>
        <w:outlineLvl w:val="1"/>
        <w:rPr>
          <w:rFonts w:ascii="宋体"/>
          <w:b/>
          <w:color w:val="auto"/>
          <w:sz w:val="28"/>
          <w:szCs w:val="32"/>
          <w:highlight w:val="none"/>
        </w:rPr>
      </w:pPr>
      <w:bookmarkStart w:id="31" w:name="_Toc58430315"/>
      <w:bookmarkStart w:id="32" w:name="_Toc449028866"/>
      <w:bookmarkStart w:id="33" w:name="_Toc28397"/>
      <w:r>
        <w:rPr>
          <w:rFonts w:hint="eastAsia" w:ascii="宋体"/>
          <w:b/>
          <w:color w:val="auto"/>
          <w:sz w:val="28"/>
          <w:szCs w:val="28"/>
          <w:highlight w:val="none"/>
        </w:rPr>
        <w:t>二、投标人须知</w:t>
      </w:r>
      <w:bookmarkEnd w:id="31"/>
      <w:bookmarkEnd w:id="32"/>
      <w:bookmarkEnd w:id="33"/>
    </w:p>
    <w:p w14:paraId="641A5452">
      <w:pPr>
        <w:spacing w:before="156" w:beforeLines="50" w:after="156" w:afterLines="50" w:line="500" w:lineRule="exact"/>
        <w:jc w:val="center"/>
        <w:rPr>
          <w:rFonts w:ascii="宋体" w:hAnsi="宋体" w:cs="宋体"/>
          <w:color w:val="auto"/>
          <w:sz w:val="28"/>
          <w:szCs w:val="28"/>
          <w:highlight w:val="none"/>
        </w:rPr>
      </w:pPr>
      <w:bookmarkStart w:id="34" w:name="_Toc449028867"/>
      <w:r>
        <w:rPr>
          <w:rFonts w:hint="eastAsia" w:ascii="宋体" w:hAnsi="宋体" w:cs="宋体"/>
          <w:b/>
          <w:color w:val="auto"/>
          <w:sz w:val="28"/>
          <w:szCs w:val="28"/>
          <w:highlight w:val="none"/>
        </w:rPr>
        <w:t>（一）总  则</w:t>
      </w:r>
      <w:bookmarkEnd w:id="34"/>
    </w:p>
    <w:p w14:paraId="4523D574">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1.项目概况</w:t>
      </w:r>
    </w:p>
    <w:p w14:paraId="33B07B60">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691DAE93">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               项目编号：见投标人须知前附表。</w:t>
      </w:r>
    </w:p>
    <w:p w14:paraId="4AC9E00A">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7360E161">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               供货期：见投标人须知前附表。</w:t>
      </w:r>
    </w:p>
    <w:p w14:paraId="62738E11">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               供货地点：见投标人须知前附表。</w:t>
      </w:r>
    </w:p>
    <w:p w14:paraId="6E326D53">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1.2招标人及联系人: 见投标人须知前附表。</w:t>
      </w:r>
    </w:p>
    <w:p w14:paraId="18207DE5">
      <w:pPr>
        <w:snapToGrid w:val="0"/>
        <w:spacing w:line="50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42F5E045">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67ADFB05">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7025728F">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00A6C2AE">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2.招标范围：</w:t>
      </w:r>
    </w:p>
    <w:p w14:paraId="04302203">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2.1 采购内容：详见《采购内容与技术要求》。</w:t>
      </w:r>
    </w:p>
    <w:p w14:paraId="1FE19654">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 技术要求：详见《采购内容与技术要求》。</w:t>
      </w:r>
    </w:p>
    <w:p w14:paraId="0FEB5D47">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3.标包划分：</w:t>
      </w:r>
    </w:p>
    <w:p w14:paraId="5FF56492">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0AFA5745">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4.招标方式：</w:t>
      </w:r>
    </w:p>
    <w:p w14:paraId="74C1E57D">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33EACA23">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5.计价方式：</w:t>
      </w:r>
    </w:p>
    <w:p w14:paraId="10A7A376">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固定单价 。</w:t>
      </w:r>
    </w:p>
    <w:p w14:paraId="785365BB">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6.评标办法：</w:t>
      </w:r>
    </w:p>
    <w:p w14:paraId="538156A0">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（详见第三章评标办法）</w:t>
      </w:r>
    </w:p>
    <w:p w14:paraId="3B3D6123">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7.投标人资格：</w:t>
      </w:r>
    </w:p>
    <w:p w14:paraId="2D66DF45">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w:t>
      </w:r>
      <w:r>
        <w:rPr>
          <w:rFonts w:hint="eastAsia" w:ascii="宋体"/>
          <w:color w:val="auto"/>
          <w:szCs w:val="21"/>
          <w:highlight w:val="none"/>
        </w:rPr>
        <w:t>详见投标人须知前附表。</w:t>
      </w:r>
    </w:p>
    <w:p w14:paraId="3E2968D1">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7.2根据电子化采购的特点，投标人参加本项目投标，投标人参加本项目投标，需在安徽省公共资源交易市场主体库（http://61.190.70.20/ahggfwpt-zhutiku）登记并进行信息确认提交。</w:t>
      </w:r>
    </w:p>
    <w:p w14:paraId="37BF1234">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7.3投标人必须确保自己在信息库中注册的信息真实、准确，并保证投标文件中的有关信息与库中的信息相一致。否则，投标人因此蒙受损失，招标人概不负责。</w:t>
      </w:r>
    </w:p>
    <w:p w14:paraId="690111D4">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8. 投标费用</w:t>
      </w:r>
    </w:p>
    <w:p w14:paraId="5DB5E26D">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32D6E961">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9.</w:t>
      </w:r>
      <w:bookmarkStart w:id="35" w:name="_Toc296602429"/>
      <w:bookmarkStart w:id="36" w:name="_Toc247513962"/>
      <w:bookmarkStart w:id="37" w:name="_Toc247592876"/>
      <w:bookmarkStart w:id="38" w:name="_Toc152045539"/>
      <w:bookmarkStart w:id="39" w:name="_Toc152042315"/>
      <w:bookmarkStart w:id="40" w:name="_Toc144974507"/>
      <w:bookmarkStart w:id="41" w:name="_Toc247527563"/>
      <w:r>
        <w:rPr>
          <w:rFonts w:hint="eastAsia" w:ascii="宋体" w:hAnsi="宋体" w:cs="宋体"/>
          <w:b/>
          <w:color w:val="auto"/>
          <w:szCs w:val="21"/>
          <w:highlight w:val="none"/>
        </w:rPr>
        <w:t xml:space="preserve"> 踏勘现场</w:t>
      </w:r>
      <w:bookmarkEnd w:id="35"/>
      <w:bookmarkEnd w:id="36"/>
      <w:bookmarkEnd w:id="37"/>
      <w:bookmarkEnd w:id="38"/>
      <w:bookmarkEnd w:id="39"/>
      <w:bookmarkEnd w:id="40"/>
      <w:bookmarkEnd w:id="41"/>
    </w:p>
    <w:p w14:paraId="7A9E0ECF">
      <w:pPr>
        <w:spacing w:line="50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投标人须知前附表规定组织踏勘现场的，招标人按投标人须知前附表规定的时间、地点组织投标人踏勘项目现场。 </w:t>
      </w:r>
    </w:p>
    <w:p w14:paraId="1ACD264F">
      <w:pPr>
        <w:spacing w:line="50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32A9A657">
      <w:pPr>
        <w:spacing w:line="50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9.3 除招标人的原因外，投标人自行负责在踏勘现场中所发生的人员伤亡和财产损失。</w:t>
      </w:r>
    </w:p>
    <w:p w14:paraId="27568AA2">
      <w:pPr>
        <w:spacing w:line="50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9.4 招标人在踏勘现场中介绍的场地和相关的周边环境情况，供投标人在编制投标文件时参考，招标人不对投标人据此作出的判断和决策负责。</w:t>
      </w:r>
      <w:bookmarkStart w:id="42" w:name="_Toc247592877"/>
      <w:bookmarkStart w:id="43" w:name="_Toc247513963"/>
      <w:bookmarkStart w:id="44" w:name="_Toc144974508"/>
      <w:bookmarkStart w:id="45" w:name="_Toc152045540"/>
      <w:bookmarkStart w:id="46" w:name="_Toc247527564"/>
      <w:bookmarkStart w:id="47" w:name="_Toc152042316"/>
      <w:bookmarkStart w:id="48" w:name="_Toc296602430"/>
    </w:p>
    <w:p w14:paraId="3D432C69">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10. 投标预备会</w:t>
      </w:r>
      <w:bookmarkEnd w:id="42"/>
      <w:bookmarkEnd w:id="43"/>
      <w:bookmarkEnd w:id="44"/>
      <w:bookmarkEnd w:id="45"/>
      <w:bookmarkEnd w:id="46"/>
      <w:bookmarkEnd w:id="47"/>
      <w:bookmarkEnd w:id="48"/>
      <w:r>
        <w:rPr>
          <w:rFonts w:hint="eastAsia" w:ascii="宋体" w:hAnsi="宋体" w:cs="宋体"/>
          <w:b/>
          <w:color w:val="auto"/>
          <w:szCs w:val="21"/>
          <w:highlight w:val="none"/>
        </w:rPr>
        <w:t>（本项目不采用）</w:t>
      </w:r>
    </w:p>
    <w:p w14:paraId="677C24D9">
      <w:pPr>
        <w:spacing w:line="500" w:lineRule="exact"/>
        <w:ind w:firstLine="409" w:firstLineChars="195"/>
        <w:rPr>
          <w:rFonts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556D0C05">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11. 联合投标(本项目不采用）</w:t>
      </w:r>
    </w:p>
    <w:p w14:paraId="0CEC5FE9">
      <w:pPr>
        <w:spacing w:line="500" w:lineRule="exact"/>
        <w:ind w:firstLine="409" w:firstLineChars="195"/>
        <w:rPr>
          <w:rFonts w:ascii="宋体"/>
          <w:color w:val="auto"/>
          <w:szCs w:val="21"/>
          <w:highlight w:val="none"/>
        </w:rPr>
      </w:pPr>
      <w:r>
        <w:rPr>
          <w:rFonts w:hint="eastAsia" w:ascii="宋体" w:hAnsi="宋体" w:cs="宋体"/>
          <w:color w:val="auto"/>
          <w:szCs w:val="21"/>
          <w:highlight w:val="none"/>
        </w:rPr>
        <w:t xml:space="preserve">11.1 </w:t>
      </w:r>
      <w:r>
        <w:rPr>
          <w:rFonts w:hint="eastAsia" w:ascii="宋体"/>
          <w:bCs/>
          <w:color w:val="auto"/>
          <w:szCs w:val="21"/>
          <w:highlight w:val="none"/>
        </w:rPr>
        <w:t>本项</w:t>
      </w:r>
      <w:r>
        <w:rPr>
          <w:rFonts w:hint="eastAsia"/>
          <w:bCs/>
          <w:color w:val="auto"/>
          <w:szCs w:val="21"/>
          <w:highlight w:val="none"/>
        </w:rPr>
        <w:t>目不接受联合体投标。</w:t>
      </w:r>
    </w:p>
    <w:p w14:paraId="0B4226A9">
      <w:pPr>
        <w:spacing w:line="50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12.招标代理费</w:t>
      </w:r>
    </w:p>
    <w:p w14:paraId="45E6EF8C">
      <w:pPr>
        <w:spacing w:line="500" w:lineRule="exact"/>
        <w:ind w:firstLine="210" w:firstLineChars="100"/>
        <w:jc w:val="left"/>
        <w:rPr>
          <w:rFonts w:ascii="宋体"/>
          <w:color w:val="auto"/>
          <w:szCs w:val="21"/>
          <w:highlight w:val="none"/>
        </w:rPr>
      </w:pPr>
      <w:r>
        <w:rPr>
          <w:rFonts w:hint="eastAsia" w:ascii="宋体"/>
          <w:bCs/>
          <w:color w:val="auto"/>
          <w:szCs w:val="21"/>
          <w:highlight w:val="none"/>
        </w:rPr>
        <w:t xml:space="preserve">  12.1</w:t>
      </w:r>
      <w:r>
        <w:rPr>
          <w:rFonts w:ascii="宋体"/>
          <w:bCs/>
          <w:color w:val="auto"/>
          <w:szCs w:val="21"/>
          <w:highlight w:val="none"/>
        </w:rPr>
        <w:t xml:space="preserve"> </w:t>
      </w:r>
      <w:r>
        <w:rPr>
          <w:rFonts w:hint="eastAsia" w:ascii="宋体"/>
          <w:bCs/>
          <w:color w:val="auto"/>
          <w:szCs w:val="21"/>
          <w:highlight w:val="none"/>
        </w:rPr>
        <w:t>招标代理费：</w:t>
      </w:r>
      <w:r>
        <w:rPr>
          <w:rFonts w:hint="eastAsia" w:ascii="宋体"/>
          <w:color w:val="auto"/>
          <w:szCs w:val="21"/>
          <w:highlight w:val="none"/>
        </w:rPr>
        <w:t>见投标人须知前附表。</w:t>
      </w:r>
    </w:p>
    <w:p w14:paraId="6A5493A0">
      <w:pPr>
        <w:spacing w:line="500" w:lineRule="exact"/>
        <w:ind w:firstLine="420" w:firstLineChars="200"/>
        <w:jc w:val="left"/>
        <w:rPr>
          <w:rFonts w:ascii="宋体"/>
          <w:color w:val="auto"/>
          <w:szCs w:val="21"/>
          <w:highlight w:val="none"/>
        </w:rPr>
      </w:pPr>
      <w:r>
        <w:rPr>
          <w:rFonts w:hint="eastAsia" w:ascii="宋体"/>
          <w:bCs/>
          <w:color w:val="auto"/>
          <w:szCs w:val="21"/>
          <w:highlight w:val="none"/>
        </w:rPr>
        <w:t>12.2</w:t>
      </w:r>
      <w:r>
        <w:rPr>
          <w:rFonts w:ascii="宋体"/>
          <w:bCs/>
          <w:color w:val="auto"/>
          <w:szCs w:val="21"/>
          <w:highlight w:val="none"/>
        </w:rPr>
        <w:t xml:space="preserve"> </w:t>
      </w:r>
      <w:r>
        <w:rPr>
          <w:rFonts w:hint="eastAsia" w:ascii="宋体"/>
          <w:bCs/>
          <w:color w:val="auto"/>
          <w:szCs w:val="21"/>
          <w:highlight w:val="none"/>
        </w:rPr>
        <w:t>专家评审劳务费：</w:t>
      </w:r>
      <w:r>
        <w:rPr>
          <w:rFonts w:hint="eastAsia" w:ascii="宋体"/>
          <w:color w:val="auto"/>
          <w:szCs w:val="21"/>
          <w:highlight w:val="none"/>
        </w:rPr>
        <w:t>见投标人须知前附表。</w:t>
      </w:r>
    </w:p>
    <w:p w14:paraId="2981B30B">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13.投标人应注意的事项</w:t>
      </w:r>
    </w:p>
    <w:p w14:paraId="16DFBC8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25BDE9C4">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12B78AE6">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13.3推荐品牌有助于投标人选择所投产品，仅供参考，并无限制性，可以选择性能不低于推荐品牌的产品，但所投产品的技术参数，要最大限度满足招标文件提供的详细参数。</w:t>
      </w:r>
    </w:p>
    <w:p w14:paraId="32180E50">
      <w:pPr>
        <w:spacing w:line="5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13.4 所有投标人的投标保证金都应在投标文件规定的投标保证金缴纳截止时间前缴纳，以资金到账时间为准</w:t>
      </w:r>
      <w:r>
        <w:rPr>
          <w:rFonts w:hint="eastAsia" w:ascii="宋体" w:hAnsi="宋体" w:cs="宋体"/>
          <w:b/>
          <w:color w:val="auto"/>
          <w:szCs w:val="21"/>
          <w:highlight w:val="none"/>
        </w:rPr>
        <w:t>（采用支票、汇票、本票、保函等的，以支票、汇票、本票、保函等递交的时间为准）</w:t>
      </w:r>
      <w:r>
        <w:rPr>
          <w:rFonts w:hint="eastAsia" w:ascii="宋体" w:hAnsi="宋体" w:cs="宋体"/>
          <w:color w:val="auto"/>
          <w:szCs w:val="21"/>
          <w:highlight w:val="none"/>
        </w:rPr>
        <w:t>。</w:t>
      </w:r>
    </w:p>
    <w:p w14:paraId="76D00E39">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13.5</w:t>
      </w:r>
      <w:r>
        <w:rPr>
          <w:rFonts w:hint="eastAsia" w:ascii="宋体" w:hAnsi="宋体" w:cs="宋体"/>
          <w:bCs/>
          <w:color w:val="auto"/>
          <w:szCs w:val="21"/>
          <w:highlight w:val="none"/>
        </w:rPr>
        <w:t>单位负责人为同一人或者存在直接控股、管理关系的不同投标人，不得参加同一合同项下的采购活动。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37244206">
      <w:pPr>
        <w:spacing w:line="500" w:lineRule="exact"/>
        <w:ind w:firstLine="417" w:firstLineChars="199"/>
        <w:jc w:val="left"/>
        <w:rPr>
          <w:rFonts w:ascii="宋体" w:hAnsi="宋体" w:cs="宋体"/>
          <w:color w:val="auto"/>
          <w:szCs w:val="21"/>
          <w:highlight w:val="none"/>
        </w:rPr>
      </w:pPr>
      <w:r>
        <w:rPr>
          <w:rFonts w:hint="eastAsia" w:ascii="宋体" w:hAnsi="宋体" w:cs="宋体"/>
          <w:color w:val="auto"/>
          <w:szCs w:val="21"/>
          <w:highlight w:val="none"/>
        </w:rPr>
        <w:t>13.6投标人被视为充分熟悉本招标项目所在地的与履行合同有关的各种情况，包括但不限于：</w:t>
      </w:r>
    </w:p>
    <w:p w14:paraId="2FD5E135">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6E765E71">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043D726C">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（3）招标人的相关场地情况、基础建设、电力供应情况及相关设计标准。</w:t>
      </w:r>
    </w:p>
    <w:p w14:paraId="2D4168E2">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36FF99FF">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13.7凡投标人在我市公共资源交易活动中出现违法违规、破坏市场秩序等不良行为且被监管部门处罚的，一律在滁州市公共资源交易网等相关网站曝光。</w:t>
      </w:r>
    </w:p>
    <w:p w14:paraId="63149C75">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13.8投标人的不良行为、失信行为及行政处罚等效力不因企业名称的变更而改变。</w:t>
      </w:r>
    </w:p>
    <w:p w14:paraId="1B4A94E6">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13.9中标候选人无正当理由放弃中标候选人资格的，其保证金将不予退还，并被记不良信息记录。</w:t>
      </w:r>
    </w:p>
    <w:p w14:paraId="5F276A23">
      <w:pPr>
        <w:pStyle w:val="12"/>
        <w:spacing w:after="0" w:line="500" w:lineRule="exact"/>
        <w:ind w:left="0" w:leftChars="0"/>
        <w:jc w:val="left"/>
        <w:rPr>
          <w:rFonts w:ascii="宋体" w:hAnsi="宋体" w:cs="宋体"/>
          <w:color w:val="auto"/>
          <w:sz w:val="21"/>
          <w:szCs w:val="21"/>
          <w:highlight w:val="none"/>
        </w:rPr>
      </w:pPr>
      <w:r>
        <w:rPr>
          <w:rFonts w:hint="eastAsia" w:ascii="宋体" w:hAnsi="宋体" w:cs="宋体"/>
          <w:color w:val="auto"/>
          <w:sz w:val="21"/>
          <w:szCs w:val="21"/>
          <w:highlight w:val="none"/>
        </w:rPr>
        <w:t>13.10若存在不予退还投标人投标保证金的情形，银行转账的，由市公共资源交易中心代为收缴，递交保函、支票、汇票、本票的，由招标人予以追缴。</w:t>
      </w:r>
    </w:p>
    <w:p w14:paraId="6E8AF74C">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14.保密</w:t>
      </w:r>
    </w:p>
    <w:p w14:paraId="2115626D">
      <w:pPr>
        <w:pStyle w:val="12"/>
        <w:spacing w:after="0" w:line="500" w:lineRule="exact"/>
        <w:ind w:left="0" w:leftChars="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参与招标投标活动的各方应对招标文件和投标文件中的商业和技术等秘密保密，违者应对由此造成的后果承担法律责任。 </w:t>
      </w:r>
    </w:p>
    <w:p w14:paraId="175A6F01">
      <w:pPr>
        <w:spacing w:before="156" w:beforeLines="50" w:after="156" w:afterLines="50" w:line="500" w:lineRule="exact"/>
        <w:jc w:val="center"/>
        <w:rPr>
          <w:rFonts w:ascii="宋体" w:hAnsi="宋体" w:cs="宋体"/>
          <w:b/>
          <w:color w:val="auto"/>
          <w:sz w:val="28"/>
          <w:szCs w:val="28"/>
          <w:highlight w:val="none"/>
        </w:rPr>
      </w:pPr>
      <w:bookmarkStart w:id="49" w:name="_Toc449028868"/>
      <w:r>
        <w:rPr>
          <w:rFonts w:hint="eastAsia" w:ascii="宋体" w:hAnsi="宋体" w:cs="宋体"/>
          <w:b/>
          <w:color w:val="auto"/>
          <w:sz w:val="28"/>
          <w:szCs w:val="28"/>
          <w:highlight w:val="none"/>
        </w:rPr>
        <w:t>（二）</w:t>
      </w:r>
      <w:bookmarkEnd w:id="49"/>
      <w:r>
        <w:rPr>
          <w:rFonts w:hint="eastAsia" w:ascii="宋体" w:hAnsi="宋体" w:cs="宋体"/>
          <w:b/>
          <w:color w:val="auto"/>
          <w:sz w:val="28"/>
          <w:szCs w:val="28"/>
          <w:highlight w:val="none"/>
        </w:rPr>
        <w:t>招标文件</w:t>
      </w:r>
    </w:p>
    <w:p w14:paraId="3E301B31">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15. 招标文件的编制依据</w:t>
      </w:r>
    </w:p>
    <w:p w14:paraId="3FA80646">
      <w:pPr>
        <w:spacing w:line="500" w:lineRule="exact"/>
        <w:ind w:firstLine="420" w:firstLineChars="200"/>
        <w:rPr>
          <w:rFonts w:ascii="宋体"/>
          <w:color w:val="auto"/>
          <w:szCs w:val="21"/>
          <w:highlight w:val="none"/>
        </w:rPr>
      </w:pPr>
      <w:r>
        <w:rPr>
          <w:rFonts w:hint="eastAsia" w:ascii="宋体"/>
          <w:color w:val="auto"/>
          <w:szCs w:val="21"/>
          <w:highlight w:val="none"/>
        </w:rPr>
        <w:t>根据</w:t>
      </w:r>
      <w:r>
        <w:rPr>
          <w:rFonts w:hint="eastAsia"/>
          <w:color w:val="auto"/>
          <w:highlight w:val="none"/>
        </w:rPr>
        <w:t>《中华人民共和国招标投标法》、《中华人民共和国招标投标法实施条例》</w:t>
      </w:r>
      <w:r>
        <w:rPr>
          <w:rFonts w:hint="eastAsia" w:ascii="宋体"/>
          <w:color w:val="auto"/>
          <w:szCs w:val="21"/>
          <w:highlight w:val="none"/>
        </w:rPr>
        <w:t>和</w:t>
      </w:r>
      <w:r>
        <w:rPr>
          <w:rFonts w:hint="eastAsia"/>
          <w:color w:val="auto"/>
          <w:highlight w:val="none"/>
        </w:rPr>
        <w:t>《中华人民共和国民法典》</w:t>
      </w:r>
      <w:r>
        <w:rPr>
          <w:rFonts w:hint="eastAsia" w:ascii="宋体"/>
          <w:color w:val="auto"/>
          <w:spacing w:val="-2"/>
          <w:szCs w:val="21"/>
          <w:highlight w:val="none"/>
        </w:rPr>
        <w:t>等相关法律法规和规章及部、省、市级规范性文件的规定，编制本招标文件。</w:t>
      </w:r>
    </w:p>
    <w:p w14:paraId="59922CD9">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16. 招标文件的组成</w:t>
      </w:r>
    </w:p>
    <w:p w14:paraId="2E703F91">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 招标文件包括内容：</w:t>
      </w:r>
    </w:p>
    <w:p w14:paraId="5CFF919E">
      <w:pPr>
        <w:spacing w:line="500" w:lineRule="exact"/>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第一章  招标公告</w:t>
      </w:r>
    </w:p>
    <w:p w14:paraId="2E2ADC5B">
      <w:pPr>
        <w:spacing w:line="500" w:lineRule="exact"/>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第二章  投标人须知</w:t>
      </w:r>
    </w:p>
    <w:p w14:paraId="4AD6A8E7">
      <w:pPr>
        <w:spacing w:line="500" w:lineRule="exact"/>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第三章  评标办法</w:t>
      </w:r>
    </w:p>
    <w:p w14:paraId="26C09ECD">
      <w:pPr>
        <w:spacing w:line="500" w:lineRule="exact"/>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第四章  采购内容与技术要求</w:t>
      </w:r>
    </w:p>
    <w:p w14:paraId="44C0EF5F">
      <w:pPr>
        <w:spacing w:line="500" w:lineRule="exact"/>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4E20F926">
      <w:pPr>
        <w:spacing w:line="500" w:lineRule="exact"/>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1D4324A3">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16.2 除16.1款内容外，招标答疑亦为招标文件的组成部分，对招标人和投标人起约束作用。</w:t>
      </w:r>
    </w:p>
    <w:p w14:paraId="0D7D8CD4">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16.3投标人应仔细阅读和检查招标文件的全部内容。如发现缺页或附件不全，应及时向招标人提出，以便补齐。</w:t>
      </w:r>
    </w:p>
    <w:p w14:paraId="51C615C0">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16.4 投标人可以通过电子交易系统对招标文件提出澄清（质疑）。招标文件的澄清将在滁州市公共资源交易中心（</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Cs w:val="21"/>
          <w:highlight w:val="none"/>
        </w:rPr>
        <w:t>http:// ggzy.chuzhou.gov.cn/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）发布，但不指明澄清问题的来源。如果澄清内容影响投标文件编制的，将相应延长投标截止时间。</w:t>
      </w:r>
    </w:p>
    <w:p w14:paraId="362190CA">
      <w:pPr>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17. 招标文件的异议、澄清</w:t>
      </w:r>
    </w:p>
    <w:p w14:paraId="4684397A">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p>
    <w:p w14:paraId="1BAEC179">
      <w:pPr>
        <w:spacing w:line="5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17.2 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52B62C5C">
      <w:pPr>
        <w:spacing w:line="5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17.3招标文件的解释</w:t>
      </w:r>
    </w:p>
    <w:p w14:paraId="0CE18F8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3289ED2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2E13A5D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2377E733">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75407D73">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（5）按本款前述规定仍不能形成结论的，由招标人（或其委托的采购代理机构）负责解释。</w:t>
      </w:r>
    </w:p>
    <w:p w14:paraId="0363CB5E">
      <w:pPr>
        <w:spacing w:line="50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    18. 招标文件的发出</w:t>
      </w:r>
    </w:p>
    <w:p w14:paraId="05D8C721">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18.1招标文件、招标文件的澄清、修改、补充及招标答疑等均应报公共资源交易监督管理机构备案后，方可发出。</w:t>
      </w:r>
    </w:p>
    <w:p w14:paraId="6D70E563">
      <w:pPr>
        <w:spacing w:line="500" w:lineRule="exact"/>
        <w:ind w:left="-420" w:leftChars="-200" w:right="-420" w:rightChars="-200" w:firstLine="843" w:firstLineChars="400"/>
        <w:rPr>
          <w:rFonts w:ascii="宋体" w:hAnsi="宋体" w:cs="宋体"/>
          <w:b/>
          <w:bCs/>
          <w:color w:val="auto"/>
          <w:szCs w:val="21"/>
          <w:highlight w:val="none"/>
        </w:rPr>
      </w:pPr>
      <w:bookmarkStart w:id="50" w:name="_Toc449028869"/>
      <w:r>
        <w:rPr>
          <w:rFonts w:hint="eastAsia" w:ascii="宋体" w:hAnsi="宋体" w:cs="宋体"/>
          <w:b/>
          <w:bCs/>
          <w:color w:val="auto"/>
          <w:szCs w:val="21"/>
          <w:highlight w:val="none"/>
        </w:rPr>
        <w:t>19. 样品（本项目不采用）</w:t>
      </w:r>
    </w:p>
    <w:p w14:paraId="6C21D6B6">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19.1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招标人或代理机构发布中标（成交）结果公告。</w:t>
      </w:r>
    </w:p>
    <w:p w14:paraId="5810E55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19.2招标文件中应明确样品送检方式、检测费用支付方法、投标人在规定时间内无法提供第三方权威检测机构检测报告的处理方式。</w:t>
      </w:r>
    </w:p>
    <w:p w14:paraId="19520681">
      <w:pPr>
        <w:spacing w:before="156" w:beforeLines="50" w:after="156" w:afterLines="50"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（三）投标文件的编制</w:t>
      </w:r>
      <w:bookmarkEnd w:id="50"/>
    </w:p>
    <w:p w14:paraId="716C67B0">
      <w:pPr>
        <w:spacing w:line="500" w:lineRule="exact"/>
        <w:ind w:firstLine="306" w:firstLineChars="145"/>
        <w:jc w:val="left"/>
        <w:rPr>
          <w:rFonts w:ascii="宋体" w:hAnsi="宋体" w:cs="宋体"/>
          <w:b/>
          <w:color w:val="auto"/>
          <w:szCs w:val="21"/>
          <w:highlight w:val="none"/>
        </w:rPr>
      </w:pPr>
      <w:r>
        <w:rPr>
          <w:rFonts w:hint="eastAsia" w:ascii="宋体" w:hAnsi="宋体" w:cs="宋体"/>
          <w:b/>
          <w:color w:val="auto"/>
          <w:szCs w:val="21"/>
          <w:highlight w:val="none"/>
        </w:rPr>
        <w:t>20. 投标的语言及度量衡单位</w:t>
      </w:r>
    </w:p>
    <w:p w14:paraId="6EE62412">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20.1投标人的投标文件、以及投标人与招标人就投标的所有往来函电，均须使用简体中文。</w:t>
      </w:r>
    </w:p>
    <w:p w14:paraId="7118CE8E">
      <w:pPr>
        <w:spacing w:line="5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20.2除招标文件中另有规定外，投标文件所使用的度量衡均须采用法定计量单位。</w:t>
      </w:r>
    </w:p>
    <w:p w14:paraId="0BFE46C2">
      <w:pPr>
        <w:spacing w:line="500" w:lineRule="exact"/>
        <w:ind w:firstLine="211" w:firstLineChars="100"/>
        <w:jc w:val="left"/>
        <w:rPr>
          <w:rFonts w:ascii="宋体" w:hAnsi="宋体" w:cs="宋体"/>
          <w:b/>
          <w:color w:val="auto"/>
          <w:szCs w:val="21"/>
          <w:highlight w:val="none"/>
        </w:rPr>
      </w:pPr>
      <w:r>
        <w:rPr>
          <w:rFonts w:hint="eastAsia" w:ascii="宋体" w:hAnsi="宋体" w:cs="宋体"/>
          <w:b/>
          <w:color w:val="auto"/>
          <w:szCs w:val="21"/>
          <w:highlight w:val="none"/>
        </w:rPr>
        <w:t>21. 投标文件的组成、上传说明</w:t>
      </w:r>
    </w:p>
    <w:p w14:paraId="2C1270DF">
      <w:pPr>
        <w:spacing w:line="500" w:lineRule="exact"/>
        <w:ind w:firstLine="211" w:firstLineChars="100"/>
        <w:jc w:val="left"/>
        <w:rPr>
          <w:rFonts w:ascii="宋体" w:hAnsi="宋体" w:cs="宋体"/>
          <w:color w:val="auto"/>
          <w:szCs w:val="21"/>
          <w:highlight w:val="none"/>
        </w:rPr>
      </w:pPr>
      <w:r>
        <w:rPr>
          <w:rFonts w:hint="eastAsia" w:ascii="宋体" w:hAnsi="宋体" w:cs="宋体"/>
          <w:b/>
          <w:color w:val="auto"/>
          <w:szCs w:val="21"/>
          <w:highlight w:val="none"/>
        </w:rPr>
        <w:t>21.1投标文件的组成</w:t>
      </w:r>
    </w:p>
    <w:p w14:paraId="65F23829">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投标文件由投标文件一（资信证明文件）、投标文件二（技术标）和投标文件三（商务标）三部分组成。</w:t>
      </w:r>
      <w:r>
        <w:rPr>
          <w:rFonts w:hint="eastAsia" w:ascii="宋体" w:hAnsi="宋体" w:cs="宋体"/>
          <w:b/>
          <w:bCs/>
          <w:color w:val="auto"/>
          <w:szCs w:val="21"/>
          <w:highlight w:val="none"/>
        </w:rPr>
        <w:t>具体内容详见第六章投标文件格式内容。</w:t>
      </w:r>
    </w:p>
    <w:p w14:paraId="4E8B6B38">
      <w:pPr>
        <w:spacing w:line="500" w:lineRule="exact"/>
        <w:ind w:firstLine="211" w:firstLineChars="100"/>
        <w:jc w:val="left"/>
        <w:rPr>
          <w:rFonts w:ascii="宋体" w:hAnsi="宋体" w:cs="宋体"/>
          <w:b/>
          <w:color w:val="auto"/>
          <w:szCs w:val="21"/>
          <w:highlight w:val="none"/>
        </w:rPr>
      </w:pPr>
      <w:r>
        <w:rPr>
          <w:rFonts w:hint="eastAsia" w:ascii="宋体" w:hAnsi="宋体" w:cs="宋体"/>
          <w:b/>
          <w:color w:val="auto"/>
          <w:szCs w:val="21"/>
          <w:highlight w:val="none"/>
        </w:rPr>
        <w:t>21.2投标文件的上传</w:t>
      </w:r>
    </w:p>
    <w:p w14:paraId="28D79876">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1）投标人在滁州市公共资源交易中心网，利用用户名或CA数字证书登录下载招标文件(.czzf格式)后，在下载投标文件制作工具安装后，在线制作投标文件，制作好的投标文件格式有2种:第一种.cztf格式加密投标文件；第二种.ncztf格式是非加密投标文件。请投标人将第一种投标文件通过系统“上传投标文件”上传到系统中。</w:t>
      </w:r>
    </w:p>
    <w:p w14:paraId="6D19F19A">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（2）如果一个项目有多个标段，则需按标段下载对应标段招标文件分别生成对应的投标文件，通过系统“上传投标文件”按标段分别上传到系统中。</w:t>
      </w:r>
    </w:p>
    <w:p w14:paraId="66BD377F">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（3）请投标人通过系统下载投标工具制作投标文件，并利用CA数字证书进行上传投标文件，上传已加密的投标文件，务必通过此方式上传投标文件。</w:t>
      </w:r>
    </w:p>
    <w:p w14:paraId="474F3B59">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（4）投标人在投标文件编制、签章、上传过程中如有任何操作的疑问请及时联系技术支持，电话：0550-3801701。</w:t>
      </w:r>
    </w:p>
    <w:p w14:paraId="7D4E14C8">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5）如果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7C4F19C7">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21.3投标文件的编制</w:t>
      </w:r>
    </w:p>
    <w:p w14:paraId="62996FC7">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1700797C">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（2）本次招标投标不需要提供纸质投标文件，投标人应按照电子招标投标的要求，在投标人的会员系统中制作、电子签章、上传投标文件。</w:t>
      </w:r>
    </w:p>
    <w:p w14:paraId="7E205290">
      <w:pPr>
        <w:spacing w:line="500" w:lineRule="exact"/>
        <w:ind w:left="-9" w:right="-199" w:rightChars="-95" w:firstLine="420" w:firstLineChars="200"/>
        <w:jc w:val="left"/>
        <w:rPr>
          <w:rFonts w:ascii="宋体" w:hAnsi="宋体" w:cs="宋体"/>
          <w:color w:val="auto"/>
          <w:szCs w:val="21"/>
          <w:highlight w:val="none"/>
        </w:rPr>
      </w:pPr>
      <w:r>
        <w:rPr>
          <w:rFonts w:hint="eastAsia" w:ascii="宋体" w:hAnsi="宋体" w:cs="宋体"/>
          <w:color w:val="auto"/>
          <w:szCs w:val="21"/>
          <w:highlight w:val="none"/>
        </w:rPr>
        <w:t>（3）网上递交的电子投标文件制作工具等要求详见系统内帮助模块。</w:t>
      </w:r>
    </w:p>
    <w:p w14:paraId="7099A543">
      <w:pPr>
        <w:spacing w:line="5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（4）网上递交的电子投标文件应按招标文件规定的格式由投标人的法定代表人和投标人分别签章。</w:t>
      </w:r>
    </w:p>
    <w:p w14:paraId="216628B4">
      <w:pPr>
        <w:spacing w:line="50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22</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273404D4">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投标报价文件中的单价和总价全部采用人民币表示。投标人的报价应含有服务（货物）、利润、税金、政策性文件规定及合同包含的所有风险、责任、义务等，即为完成招标文件要求的服务（货物）内容所包含的一切应有费用，招标人后期不再追加费用，投标供应商自行考虑投标风险。</w:t>
      </w:r>
    </w:p>
    <w:p w14:paraId="75D8E8CB">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22.2投标报价表上应清楚地标明投标人拟提供货物的名称、型号、生产厂家、数量、单价和总价。</w:t>
      </w:r>
    </w:p>
    <w:p w14:paraId="530E0B5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22.3投标人只允许有一个方案、一个报价。</w:t>
      </w:r>
    </w:p>
    <w:p w14:paraId="2EABA3FF">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w:t>
      </w:r>
      <w:r>
        <w:rPr>
          <w:rFonts w:hint="eastAsia" w:ascii="宋体"/>
          <w:color w:val="auto"/>
          <w:szCs w:val="21"/>
          <w:highlight w:val="none"/>
        </w:rPr>
        <w:t>投标人应按“采购内容及技术要求”所列货物逐项进行单价报价，并最终按货物总量乘以货物单价报总价，不得采用总价下浮的方式进行报价。</w:t>
      </w:r>
      <w:r>
        <w:rPr>
          <w:rFonts w:hint="eastAsia" w:ascii="宋体" w:hAnsi="宋体" w:cs="宋体"/>
          <w:b/>
          <w:bCs/>
          <w:color w:val="auto"/>
          <w:szCs w:val="21"/>
          <w:highlight w:val="none"/>
        </w:rPr>
        <w:t>综合单价包括：设备费、材料费（主材和辅材）、质保期内的通讯费、装卸费、运输费（含转运费）、安装费、管理费、利润、风险费用、招标代理费、检测费、调试、验收、培训及后期服务及国家对中标单位征收的各种税费等所有一切费用，综合单价今后将不作任何调整。</w:t>
      </w:r>
      <w:r>
        <w:rPr>
          <w:rFonts w:hint="eastAsia" w:ascii="宋体" w:hAnsi="宋体"/>
          <w:color w:val="auto"/>
          <w:szCs w:val="21"/>
          <w:highlight w:val="none"/>
        </w:rPr>
        <w:t>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14:paraId="1FD63B8D">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22.5投标报价的价格是完成项目全部内容（包括后期的相关服务）交付验收的价格，其价格即为履行合同的固定价格。</w:t>
      </w:r>
    </w:p>
    <w:p w14:paraId="696ABF37">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22.6技术要求中规定的安装、调试和培训费用应包括在投标价格中。投标文件报价为含税价，采购人不再为此次招标支付任何费用。</w:t>
      </w:r>
    </w:p>
    <w:p w14:paraId="3C63E49F">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22.7投标报价应由法定代表人或被授权人签署。</w:t>
      </w:r>
    </w:p>
    <w:p w14:paraId="739AD4A8">
      <w:pPr>
        <w:spacing w:line="50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22.8投标人的报价（或单价）不得高于本次招标最高限价（或单价）</w:t>
      </w:r>
      <w:r>
        <w:rPr>
          <w:rFonts w:hint="eastAsia" w:ascii="宋体" w:hAnsi="宋体" w:cs="宋体"/>
          <w:b/>
          <w:color w:val="auto"/>
          <w:szCs w:val="21"/>
          <w:highlight w:val="none"/>
        </w:rPr>
        <w:t>，</w:t>
      </w:r>
      <w:r>
        <w:rPr>
          <w:rFonts w:hint="eastAsia" w:ascii="宋体" w:hAnsi="宋体" w:cs="宋体"/>
          <w:b/>
          <w:bCs/>
          <w:color w:val="auto"/>
          <w:szCs w:val="21"/>
          <w:highlight w:val="none"/>
        </w:rPr>
        <w:t>否则将作为无效投标处理。</w:t>
      </w:r>
    </w:p>
    <w:p w14:paraId="0CDFB098">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22.9如投标文件中未列明全面实现投标货物功能而必须配置的配套或辅助设施及相应技术措施的费用，这些费用将被视为已包含在总投标价中。</w:t>
      </w:r>
    </w:p>
    <w:p w14:paraId="42B8D00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22.10总投标价中不得包含招标文件要求以外的内容，否则，在评标时不予核减，但在授予合同时，采购人有权将这部分价格从其中标价格中扣除。</w:t>
      </w:r>
    </w:p>
    <w:p w14:paraId="78852D8B">
      <w:pPr>
        <w:spacing w:line="500" w:lineRule="exact"/>
        <w:ind w:firstLine="403" w:firstLineChars="192"/>
        <w:jc w:val="left"/>
        <w:rPr>
          <w:rFonts w:ascii="宋体" w:hAnsi="宋体" w:cs="宋体"/>
          <w:color w:val="auto"/>
          <w:szCs w:val="21"/>
          <w:highlight w:val="none"/>
        </w:rPr>
      </w:pPr>
      <w:r>
        <w:rPr>
          <w:rFonts w:hint="eastAsia" w:ascii="宋体" w:hAnsi="宋体" w:cs="宋体"/>
          <w:color w:val="auto"/>
          <w:szCs w:val="21"/>
          <w:highlight w:val="none"/>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544C2986">
      <w:pPr>
        <w:spacing w:line="500" w:lineRule="exact"/>
        <w:ind w:firstLine="403" w:firstLineChars="192"/>
        <w:jc w:val="left"/>
        <w:rPr>
          <w:rFonts w:ascii="宋体" w:hAnsi="宋体" w:cs="宋体"/>
          <w:color w:val="auto"/>
          <w:szCs w:val="21"/>
          <w:highlight w:val="none"/>
        </w:rPr>
      </w:pPr>
      <w:r>
        <w:rPr>
          <w:rFonts w:hint="eastAsia" w:ascii="宋体" w:hAnsi="宋体" w:cs="宋体"/>
          <w:color w:val="auto"/>
          <w:szCs w:val="21"/>
          <w:highlight w:val="none"/>
        </w:rPr>
        <w:t>22.12投标人不得对从第三方采购货物的随机备品、备件另行收费，否则在计算评标价时这部分费用将不予扣除，在授予合同时将从中标价格中扣除该部分费用。</w:t>
      </w:r>
    </w:p>
    <w:p w14:paraId="279818A6">
      <w:pPr>
        <w:spacing w:line="500" w:lineRule="exact"/>
        <w:ind w:firstLine="403" w:firstLineChars="192"/>
        <w:jc w:val="left"/>
        <w:rPr>
          <w:rFonts w:ascii="宋体" w:hAnsi="宋体" w:cs="宋体"/>
          <w:color w:val="auto"/>
          <w:szCs w:val="21"/>
          <w:highlight w:val="none"/>
        </w:rPr>
      </w:pPr>
      <w:r>
        <w:rPr>
          <w:rFonts w:hint="eastAsia" w:ascii="宋体" w:hAnsi="宋体" w:cs="宋体"/>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14:paraId="01ED3B6E">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23. 投标有效期</w:t>
      </w:r>
    </w:p>
    <w:p w14:paraId="1F09567B">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 除投标人须知前附表另有规定外，投标有效期为90天。</w:t>
      </w:r>
    </w:p>
    <w:p w14:paraId="7A31F2E8">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23.2在投标有效期内，投标人撤销或修改其投标文件的，应承担招标文件和法律规定的责任。</w:t>
      </w:r>
    </w:p>
    <w:p w14:paraId="6E0F59A5">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68CFC9A">
      <w:pPr>
        <w:spacing w:line="500" w:lineRule="exact"/>
        <w:ind w:firstLine="405" w:firstLineChars="192"/>
        <w:jc w:val="left"/>
        <w:rPr>
          <w:rFonts w:ascii="宋体" w:hAnsi="宋体" w:cs="宋体"/>
          <w:b/>
          <w:color w:val="auto"/>
          <w:szCs w:val="21"/>
          <w:highlight w:val="none"/>
        </w:rPr>
      </w:pPr>
      <w:r>
        <w:rPr>
          <w:rFonts w:hint="eastAsia" w:ascii="宋体" w:hAnsi="宋体" w:cs="宋体"/>
          <w:b/>
          <w:color w:val="auto"/>
          <w:szCs w:val="21"/>
          <w:highlight w:val="none"/>
        </w:rPr>
        <w:t>24. 投标保证金</w:t>
      </w:r>
    </w:p>
    <w:p w14:paraId="15BCAECA">
      <w:pPr>
        <w:spacing w:line="500" w:lineRule="exact"/>
        <w:ind w:firstLine="420" w:firstLineChars="200"/>
        <w:jc w:val="left"/>
        <w:rPr>
          <w:rFonts w:ascii="宋体" w:hAnsi="宋体" w:cs="宋体"/>
          <w:color w:val="auto"/>
          <w:szCs w:val="21"/>
          <w:highlight w:val="none"/>
        </w:rPr>
      </w:pPr>
      <w:bookmarkStart w:id="51" w:name="_Toc449028870"/>
      <w:r>
        <w:rPr>
          <w:rFonts w:hint="eastAsia" w:ascii="宋体" w:hAnsi="宋体" w:cs="宋体"/>
          <w:color w:val="auto"/>
          <w:szCs w:val="21"/>
          <w:highlight w:val="none"/>
        </w:rPr>
        <w:t>24.1投标人须知前附表规定递交投标保证金的，投标人在递交投标文件的同时，应按投标人须知前附表规定的金额、担保形式和招标文件规定的或者事先经过招标人认可的保证金格式递交保证金，并作为其投标文件的组成部分。</w:t>
      </w:r>
    </w:p>
    <w:p w14:paraId="7DB099F8">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无论采取何种形式的投标保证金，投标保证金有效期均应与投标有效期一致（采用投标电子保函的保证期截止时间不得早于该项目投标有效期的截止时间）。招标人如果按本章第23.3项的规定延长了投标有效期，则投标保证金的有效期也相应延长。</w:t>
      </w:r>
    </w:p>
    <w:p w14:paraId="232743E5">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24.2投标人不按本章第24.11项要求提交投标保证金的，评标委员会将否决其投标。</w:t>
      </w:r>
    </w:p>
    <w:p w14:paraId="0AB6AD7F">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24.3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3807B963">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24.4有下列情形之一的，投标保证金将不予退还： </w:t>
      </w:r>
    </w:p>
    <w:p w14:paraId="0B7C4226">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3577925B">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05C940BF">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24.5投标保证金按《</w:t>
      </w:r>
      <w:r>
        <w:rPr>
          <w:color w:val="auto"/>
          <w:highlight w:val="none"/>
        </w:rPr>
        <w:fldChar w:fldCharType="begin"/>
      </w:r>
      <w:r>
        <w:rPr>
          <w:color w:val="auto"/>
          <w:highlight w:val="none"/>
        </w:rPr>
        <w:instrText xml:space="preserve"> HYPERLINK "https://www.chuzhou.gov.cn/group1/M00/12/83/CpYI8mGDiKqAD_IkAAEIAMLVghw186.doc" \t "_blank" </w:instrText>
      </w:r>
      <w:r>
        <w:rPr>
          <w:color w:val="auto"/>
          <w:highlight w:val="none"/>
        </w:rPr>
        <w:fldChar w:fldCharType="separate"/>
      </w:r>
      <w:r>
        <w:rPr>
          <w:rFonts w:hint="eastAsia" w:ascii="宋体" w:hAnsi="宋体" w:cs="宋体"/>
          <w:color w:val="auto"/>
          <w:szCs w:val="21"/>
          <w:highlight w:val="none"/>
        </w:rPr>
        <w:t>滁州市公共资源交易投标保证金管理规定</w:t>
      </w:r>
      <w:r>
        <w:rPr>
          <w:rFonts w:hint="eastAsia"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2BC9BFEC">
      <w:pPr>
        <w:spacing w:before="156" w:beforeLines="50" w:after="156" w:afterLines="50"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（四）投标文件的递交</w:t>
      </w:r>
      <w:bookmarkEnd w:id="51"/>
    </w:p>
    <w:p w14:paraId="5B262D85">
      <w:pPr>
        <w:spacing w:line="50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   25. 投标文件的份数和签署</w:t>
      </w:r>
    </w:p>
    <w:p w14:paraId="00C97B31">
      <w:pPr>
        <w:spacing w:line="500" w:lineRule="exact"/>
        <w:ind w:firstLine="420" w:firstLineChars="200"/>
        <w:jc w:val="left"/>
        <w:rPr>
          <w:rFonts w:ascii="宋体" w:hAnsi="宋体" w:cs="宋体"/>
          <w:color w:val="auto"/>
          <w:szCs w:val="21"/>
          <w:highlight w:val="none"/>
        </w:rPr>
      </w:pPr>
      <w:bookmarkStart w:id="52" w:name="_Toc449028871"/>
      <w:r>
        <w:rPr>
          <w:rFonts w:hint="eastAsia" w:ascii="宋体" w:hAnsi="宋体" w:cs="宋体"/>
          <w:color w:val="auto"/>
          <w:szCs w:val="21"/>
          <w:highlight w:val="none"/>
        </w:rPr>
        <w:t>25.1投标人中标后须递交与网上电子投标文件完全一致的纸质版和电子版投标文件，在领取中标通知书时，一并递交给招标代理机构。</w:t>
      </w:r>
    </w:p>
    <w:p w14:paraId="71C73515">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25.2电子投标文件须按格式文件要求签字或盖章（电子签章），否则经评委会一致认定且经过公共资源交易监督部门批准后, 按照无效投标处理。</w:t>
      </w:r>
    </w:p>
    <w:p w14:paraId="5F3D974B">
      <w:pPr>
        <w:spacing w:line="500" w:lineRule="exact"/>
        <w:ind w:firstLine="312" w:firstLineChars="148"/>
        <w:jc w:val="left"/>
        <w:rPr>
          <w:rFonts w:ascii="宋体" w:hAnsi="宋体" w:cs="宋体"/>
          <w:b/>
          <w:color w:val="auto"/>
          <w:szCs w:val="21"/>
          <w:highlight w:val="none"/>
        </w:rPr>
      </w:pPr>
      <w:r>
        <w:rPr>
          <w:rFonts w:hint="eastAsia" w:ascii="宋体" w:hAnsi="宋体" w:cs="宋体"/>
          <w:b/>
          <w:color w:val="auto"/>
          <w:szCs w:val="21"/>
          <w:highlight w:val="none"/>
        </w:rPr>
        <w:t>26. 投标文件的提交</w:t>
      </w:r>
    </w:p>
    <w:p w14:paraId="10E065F1">
      <w:pPr>
        <w:spacing w:line="500" w:lineRule="exact"/>
        <w:ind w:firstLine="310" w:firstLineChars="148"/>
        <w:jc w:val="left"/>
        <w:rPr>
          <w:rFonts w:ascii="宋体" w:hAnsi="宋体" w:cs="宋体"/>
          <w:b/>
          <w:color w:val="auto"/>
          <w:szCs w:val="21"/>
          <w:highlight w:val="none"/>
        </w:rPr>
      </w:pPr>
      <w:r>
        <w:rPr>
          <w:rFonts w:hint="eastAsia" w:ascii="宋体" w:hAnsi="宋体" w:cs="宋体"/>
          <w:color w:val="auto"/>
          <w:szCs w:val="21"/>
          <w:highlight w:val="none"/>
        </w:rPr>
        <w:t>26.1 投标人应在投标人须知前附表规定的投标截止时间前在网上递交投标文件。未在开标截止时间前通过网上招标投标系统递交有效电子投标文件的，开标系统不予接收，投标将被拒绝。</w:t>
      </w:r>
    </w:p>
    <w:p w14:paraId="47218780">
      <w:pPr>
        <w:spacing w:line="500" w:lineRule="exact"/>
        <w:ind w:firstLine="314" w:firstLineChars="149"/>
        <w:jc w:val="left"/>
        <w:rPr>
          <w:rFonts w:ascii="宋体" w:hAnsi="宋体" w:cs="宋体"/>
          <w:b/>
          <w:color w:val="auto"/>
          <w:szCs w:val="21"/>
          <w:highlight w:val="none"/>
        </w:rPr>
      </w:pPr>
      <w:r>
        <w:rPr>
          <w:rFonts w:hint="eastAsia" w:ascii="宋体" w:hAnsi="宋体" w:cs="宋体"/>
          <w:b/>
          <w:color w:val="auto"/>
          <w:szCs w:val="21"/>
          <w:highlight w:val="none"/>
        </w:rPr>
        <w:t>27．投标文件的修改与撤回</w:t>
      </w:r>
    </w:p>
    <w:p w14:paraId="7E4F8E21">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27.1采用网上招投标的，在规定的投标截止时间前，投标人可以自行从网上招投标系统撤回已递交的投标文件，并可修改后重新上传，开标时以投标截止时间前投标人最终上传的投标文件为准。</w:t>
      </w:r>
    </w:p>
    <w:p w14:paraId="2F3B6777">
      <w:pPr>
        <w:spacing w:line="500" w:lineRule="exact"/>
        <w:ind w:firstLine="421"/>
        <w:jc w:val="left"/>
        <w:rPr>
          <w:rFonts w:ascii="宋体"/>
          <w:b/>
          <w:color w:val="auto"/>
          <w:szCs w:val="21"/>
          <w:highlight w:val="none"/>
        </w:rPr>
      </w:pPr>
      <w:r>
        <w:rPr>
          <w:rFonts w:hint="eastAsia" w:ascii="宋体"/>
          <w:b/>
          <w:color w:val="auto"/>
          <w:szCs w:val="21"/>
          <w:highlight w:val="none"/>
        </w:rPr>
        <w:t>28.偏离</w:t>
      </w:r>
    </w:p>
    <w:p w14:paraId="7B26403A">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28.1投标文件偏离招标文件某些要求，视为投标文件存在偏差。偏差包括重大偏差和细微偏差。</w:t>
      </w:r>
    </w:p>
    <w:p w14:paraId="5FAD154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28.1.1投标文件应对招标文件的实质性要求和条件作出满足性或更有利于招标人的响应，否则，视为投标文件存在重大偏差，投标人的投标将被否决。</w:t>
      </w:r>
    </w:p>
    <w:p w14:paraId="47663902">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投标文件存在第三章“评标办法”中所列任一无效投标情形的，均属于存在重大偏差。</w:t>
      </w:r>
    </w:p>
    <w:p w14:paraId="7E66F83B">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28.1.2投标文件中的下列偏差为细微偏差：</w:t>
      </w:r>
    </w:p>
    <w:p w14:paraId="381B7572">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46F27622">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7B4937CA">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28.1.3评标委员会对投标文件中的细微偏差按如下规定处理：</w:t>
      </w:r>
    </w:p>
    <w:p w14:paraId="07762791">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对于本章第28.1.2 项（1）目所述的细微偏差，按照第四章“评标办法”的规定予以修正并要求投标人进行澄清；</w:t>
      </w:r>
    </w:p>
    <w:p w14:paraId="53554EE7">
      <w:pPr>
        <w:spacing w:before="156" w:beforeLines="50" w:after="156" w:afterLines="50" w:line="500" w:lineRule="exact"/>
        <w:ind w:firstLine="420" w:firstLineChars="200"/>
        <w:rPr>
          <w:rFonts w:ascii="宋体" w:hAnsi="宋体" w:cs="宋体"/>
          <w:b/>
          <w:color w:val="auto"/>
          <w:sz w:val="28"/>
          <w:szCs w:val="28"/>
          <w:highlight w:val="none"/>
        </w:rPr>
      </w:pPr>
      <w:r>
        <w:rPr>
          <w:rFonts w:hint="eastAsia" w:ascii="宋体" w:hAnsi="宋体" w:cs="宋体"/>
          <w:color w:val="auto"/>
          <w:szCs w:val="21"/>
          <w:highlight w:val="none"/>
        </w:rPr>
        <w:t>对于本章第28.1.2 项（2）目所述的细微偏差，可要求投标人对细微偏差进行澄清。</w:t>
      </w:r>
    </w:p>
    <w:p w14:paraId="5FC9DC0D">
      <w:pPr>
        <w:spacing w:before="156" w:beforeLines="50" w:after="156" w:afterLines="50"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（五）开标、评标和定标</w:t>
      </w:r>
      <w:bookmarkEnd w:id="52"/>
    </w:p>
    <w:p w14:paraId="0A5DA03C">
      <w:pPr>
        <w:spacing w:line="500" w:lineRule="exact"/>
        <w:ind w:firstLine="421"/>
        <w:jc w:val="left"/>
        <w:rPr>
          <w:rFonts w:ascii="宋体"/>
          <w:b/>
          <w:color w:val="auto"/>
          <w:szCs w:val="21"/>
          <w:highlight w:val="none"/>
        </w:rPr>
      </w:pPr>
      <w:r>
        <w:rPr>
          <w:rFonts w:hint="eastAsia" w:ascii="宋体"/>
          <w:b/>
          <w:color w:val="auto"/>
          <w:szCs w:val="21"/>
          <w:highlight w:val="none"/>
        </w:rPr>
        <w:t>29. 开标</w:t>
      </w:r>
    </w:p>
    <w:p w14:paraId="0607E886">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29.1 开标的时间和地点</w:t>
      </w:r>
    </w:p>
    <w:p w14:paraId="7206563A">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29.1.1招标人</w:t>
      </w:r>
      <w:r>
        <w:rPr>
          <w:rFonts w:hint="eastAsia" w:ascii="宋体"/>
          <w:color w:val="auto"/>
          <w:szCs w:val="21"/>
          <w:highlight w:val="none"/>
        </w:rPr>
        <w:t>按招标公告中的开标时间和地点公开开标，并邀请所有投标人参加。</w:t>
      </w:r>
    </w:p>
    <w:p w14:paraId="363ABA8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 参与开标的监督部门</w:t>
      </w:r>
    </w:p>
    <w:p w14:paraId="00040354">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29.2.1招标人可以邀请相关监管部门参加。</w:t>
      </w:r>
    </w:p>
    <w:p w14:paraId="7D28647C">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29.3开标程序</w:t>
      </w:r>
    </w:p>
    <w:p w14:paraId="62F1EA8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开标会议由采购代理机构主持。</w:t>
      </w:r>
    </w:p>
    <w:p w14:paraId="25B25765">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3F26E8D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（2）宣布招标人、代理机构主持人、见证人等有关人员姓名；</w:t>
      </w:r>
    </w:p>
    <w:p w14:paraId="7713C549">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（3）公布投标截止时间前，通过滁州市公共资源交易中心网上招投标系统递交投标文件的投标人名称等； </w:t>
      </w:r>
    </w:p>
    <w:p w14:paraId="119F885B">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（4）投标人在投标截止时间后，规定时间内完成投标文件解密工作；</w:t>
      </w:r>
    </w:p>
    <w:p w14:paraId="01E2DD05">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（5）公布投标人投标报价、质量目标、供货期及其他内容，并记录在案；</w:t>
      </w:r>
    </w:p>
    <w:p w14:paraId="5DE2B5B6">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（6）开标结束。</w:t>
      </w:r>
    </w:p>
    <w:p w14:paraId="1666D839">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多标段项目按照标段顺序按以上程序依次开标。</w:t>
      </w:r>
    </w:p>
    <w:p w14:paraId="1E603FAF">
      <w:pPr>
        <w:spacing w:line="500" w:lineRule="exact"/>
        <w:ind w:right="-155" w:rightChars="-74" w:firstLine="420" w:firstLineChars="200"/>
        <w:jc w:val="left"/>
        <w:rPr>
          <w:rFonts w:ascii="宋体"/>
          <w:color w:val="auto"/>
          <w:szCs w:val="21"/>
          <w:highlight w:val="none"/>
        </w:rPr>
      </w:pPr>
      <w:r>
        <w:rPr>
          <w:rFonts w:hint="eastAsia" w:ascii="宋体"/>
          <w:color w:val="auto"/>
          <w:szCs w:val="21"/>
          <w:highlight w:val="none"/>
        </w:rPr>
        <w:t>29.4开标异议</w:t>
      </w:r>
    </w:p>
    <w:p w14:paraId="3F53E0E2">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投标人对开标有异议的，应当在开标现场提出，招标人当场作出答复，并制作记录。异议与答复应通过电子交易系统进行。</w:t>
      </w:r>
    </w:p>
    <w:p w14:paraId="199A7564">
      <w:pPr>
        <w:spacing w:line="500" w:lineRule="exact"/>
        <w:ind w:firstLine="421"/>
        <w:jc w:val="left"/>
        <w:rPr>
          <w:rFonts w:ascii="宋体"/>
          <w:b/>
          <w:color w:val="auto"/>
          <w:szCs w:val="21"/>
          <w:highlight w:val="none"/>
        </w:rPr>
      </w:pPr>
      <w:r>
        <w:rPr>
          <w:rFonts w:hint="eastAsia" w:ascii="宋体"/>
          <w:b/>
          <w:color w:val="auto"/>
          <w:szCs w:val="21"/>
          <w:highlight w:val="none"/>
        </w:rPr>
        <w:t>30.评标委员会</w:t>
      </w:r>
    </w:p>
    <w:p w14:paraId="2AE3FD4B">
      <w:pPr>
        <w:spacing w:line="500" w:lineRule="exact"/>
        <w:ind w:firstLine="420" w:firstLineChars="200"/>
        <w:jc w:val="left"/>
        <w:rPr>
          <w:rFonts w:ascii="宋体" w:cs="宋体"/>
          <w:color w:val="auto"/>
          <w:szCs w:val="21"/>
          <w:highlight w:val="none"/>
        </w:rPr>
      </w:pPr>
      <w:r>
        <w:rPr>
          <w:rFonts w:hint="eastAsia" w:ascii="宋体"/>
          <w:color w:val="auto"/>
          <w:szCs w:val="21"/>
          <w:highlight w:val="none"/>
        </w:rPr>
        <w:t>30.1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1E9D19">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30</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0856E397">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03E491C9">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1B139FDD">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03859C12">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057C14CF">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（5）存在其他法定回避情形的。</w:t>
      </w:r>
    </w:p>
    <w:p w14:paraId="6D63AD2B">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46FE027D">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36E2BE6F">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30.3评标过程中，评标委员会成员有回避事由、擅离职守或因健康等原因不能继续评标的， 招标人有权更换。被更换的评标委员会成员作出的评审结论无效，由更换后的评标委员会成员重新进行评审。</w:t>
      </w:r>
    </w:p>
    <w:p w14:paraId="71B394F5">
      <w:pPr>
        <w:spacing w:line="500" w:lineRule="exact"/>
        <w:ind w:firstLine="421"/>
        <w:jc w:val="left"/>
        <w:rPr>
          <w:rFonts w:ascii="宋体"/>
          <w:b/>
          <w:color w:val="auto"/>
          <w:szCs w:val="21"/>
          <w:highlight w:val="none"/>
        </w:rPr>
      </w:pPr>
      <w:r>
        <w:rPr>
          <w:rFonts w:hint="eastAsia" w:ascii="宋体"/>
          <w:b/>
          <w:color w:val="auto"/>
          <w:szCs w:val="21"/>
          <w:highlight w:val="none"/>
        </w:rPr>
        <w:t>31.评标</w:t>
      </w:r>
    </w:p>
    <w:p w14:paraId="3210B189">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31.1评标委员会按照第三章“评标办法”规定的方法、评审因素、标准和程序对投标文件进行评审。第三章“评标办法”没有规定的方法、评审因素和标准，不作为评标依据。</w:t>
      </w:r>
    </w:p>
    <w:p w14:paraId="20B6D7D0">
      <w:pPr>
        <w:spacing w:line="500" w:lineRule="exact"/>
        <w:ind w:firstLine="420" w:firstLineChars="200"/>
        <w:jc w:val="left"/>
        <w:rPr>
          <w:rFonts w:ascii="宋体" w:hAnsi="宋体" w:cs="宋体"/>
          <w:color w:val="auto"/>
          <w:szCs w:val="21"/>
          <w:highlight w:val="none"/>
        </w:rPr>
      </w:pPr>
      <w:bookmarkStart w:id="53" w:name="_Toc449028873"/>
      <w:r>
        <w:rPr>
          <w:rFonts w:hint="eastAsia" w:ascii="宋体" w:hAnsi="宋体" w:cs="宋体"/>
          <w:color w:val="auto"/>
          <w:szCs w:val="21"/>
          <w:highlight w:val="none"/>
        </w:rPr>
        <w:t>31.2评标完成后，评标委员会应向招标人提交书面评标报告和中标候选人名单。评标委员会推荐中标候选人的人数见投标人须知前附表。</w:t>
      </w:r>
    </w:p>
    <w:p w14:paraId="189AF9D2">
      <w:pPr>
        <w:spacing w:line="500" w:lineRule="exact"/>
        <w:ind w:firstLine="420" w:firstLineChars="200"/>
        <w:jc w:val="left"/>
        <w:rPr>
          <w:rFonts w:ascii="宋体"/>
          <w:color w:val="auto"/>
          <w:szCs w:val="21"/>
          <w:highlight w:val="none"/>
        </w:rPr>
      </w:pPr>
      <w:r>
        <w:rPr>
          <w:rFonts w:hint="eastAsia" w:ascii="宋体"/>
          <w:color w:val="auto"/>
          <w:szCs w:val="21"/>
          <w:highlight w:val="none"/>
        </w:rPr>
        <w:t>31.3评标原则：遵循公平、公正、科学和择优的原则。</w:t>
      </w:r>
    </w:p>
    <w:p w14:paraId="19289282">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31.4投标文件的澄清</w:t>
      </w:r>
    </w:p>
    <w:p w14:paraId="15EFC466">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31.4.1在评标过程中，评标委员会认为需要，在公共资源交易监督管理部门的监督下，可要求投标人对投标文件中的有关问题进行澄清或提供补充说明及有关资料，投标人应做出书面答复。</w:t>
      </w:r>
    </w:p>
    <w:p w14:paraId="1C173C44">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31.4.2书面答复须经投标人法定代表人或其委托代理人签字或盖章，签字或盖章的书面答复将被视为投标文件的组成部分。</w:t>
      </w:r>
    </w:p>
    <w:p w14:paraId="68606F30">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31.5报价合理性的判断</w:t>
      </w:r>
    </w:p>
    <w:p w14:paraId="101DF238">
      <w:pPr>
        <w:spacing w:line="5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5EA087">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31.6评审意见分歧的处理办法</w:t>
      </w:r>
    </w:p>
    <w:p w14:paraId="0BE28734">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59451A19">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2C61FF4">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31.7评标报告的签署</w:t>
      </w:r>
    </w:p>
    <w:p w14:paraId="75BF38AF">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31.7.1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56855158">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31.8评标过程的保密</w:t>
      </w:r>
    </w:p>
    <w:p w14:paraId="1D6A6CAC">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3D0E8608">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31.9评标结果公告</w:t>
      </w:r>
    </w:p>
    <w:p w14:paraId="0B1DCBC0">
      <w:pPr>
        <w:tabs>
          <w:tab w:val="left" w:pos="720"/>
        </w:tabs>
        <w:spacing w:line="500" w:lineRule="exact"/>
        <w:ind w:firstLine="420" w:firstLineChars="200"/>
        <w:jc w:val="left"/>
        <w:rPr>
          <w:color w:val="auto"/>
          <w:highlight w:val="none"/>
        </w:rPr>
      </w:pPr>
      <w:r>
        <w:rPr>
          <w:rFonts w:hint="eastAsia" w:ascii="宋体"/>
          <w:color w:val="auto"/>
          <w:szCs w:val="21"/>
          <w:highlight w:val="none"/>
        </w:rPr>
        <w:t>招标人应将中标人的情况在滁州市公共资源交易中心等网站上予以公告，公告期为3日。</w:t>
      </w:r>
    </w:p>
    <w:p w14:paraId="608C7C50">
      <w:pPr>
        <w:spacing w:line="500" w:lineRule="exact"/>
        <w:ind w:firstLine="421"/>
        <w:jc w:val="left"/>
        <w:rPr>
          <w:rFonts w:ascii="宋体"/>
          <w:b/>
          <w:color w:val="auto"/>
          <w:szCs w:val="21"/>
          <w:highlight w:val="none"/>
        </w:rPr>
      </w:pPr>
      <w:r>
        <w:rPr>
          <w:rFonts w:hint="eastAsia" w:ascii="宋体"/>
          <w:b/>
          <w:color w:val="auto"/>
          <w:szCs w:val="21"/>
          <w:highlight w:val="none"/>
        </w:rPr>
        <w:t>32.定标</w:t>
      </w:r>
    </w:p>
    <w:p w14:paraId="1019DA5F">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32.1 中标人的确定</w:t>
      </w:r>
    </w:p>
    <w:p w14:paraId="501E3673">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32.1.1招标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C83975E">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32.1.2中标人确定后，招标人应将中标信息在滁州市公共资源交易中心等网站上公告。</w:t>
      </w:r>
    </w:p>
    <w:p w14:paraId="46576F42">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32.2 中标通知书</w:t>
      </w:r>
    </w:p>
    <w:p w14:paraId="7E2D7523">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32.2.1招标人或代理机构应在中标人确定之日起2个工作日内，在滁州市公共资源交易中心等网站公告中标结果并同时向中标人发出中标通知书。</w:t>
      </w:r>
    </w:p>
    <w:p w14:paraId="3DF222E0">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32.2.2中标通知书须加盖招标人、代理机构公章并经公共资源交易中心加盖见证章后，方可发出。</w:t>
      </w:r>
    </w:p>
    <w:p w14:paraId="65AF9D17">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32.2.3招标人将在发出中标通知书的同时，向未通过资格审查的投标人告知其未通过的原因。</w:t>
      </w:r>
    </w:p>
    <w:p w14:paraId="2CFA01C6">
      <w:pPr>
        <w:spacing w:line="500" w:lineRule="exact"/>
        <w:ind w:firstLine="421"/>
        <w:jc w:val="left"/>
        <w:rPr>
          <w:rFonts w:ascii="宋体"/>
          <w:b/>
          <w:color w:val="auto"/>
          <w:szCs w:val="21"/>
          <w:highlight w:val="none"/>
        </w:rPr>
      </w:pPr>
      <w:r>
        <w:rPr>
          <w:rFonts w:hint="eastAsia" w:ascii="宋体"/>
          <w:b/>
          <w:color w:val="auto"/>
          <w:szCs w:val="21"/>
          <w:highlight w:val="none"/>
        </w:rPr>
        <w:t>33.开评标异常情况处理</w:t>
      </w:r>
    </w:p>
    <w:p w14:paraId="5A9F20BE">
      <w:pPr>
        <w:spacing w:line="500" w:lineRule="exact"/>
        <w:ind w:firstLine="421"/>
        <w:jc w:val="left"/>
        <w:rPr>
          <w:rFonts w:ascii="宋体"/>
          <w:b/>
          <w:color w:val="auto"/>
          <w:szCs w:val="21"/>
          <w:highlight w:val="none"/>
        </w:rPr>
      </w:pPr>
      <w:r>
        <w:rPr>
          <w:rFonts w:hint="eastAsia" w:ascii="宋体"/>
          <w:color w:val="auto"/>
          <w:kern w:val="10"/>
          <w:szCs w:val="21"/>
          <w:highlight w:val="none"/>
        </w:rPr>
        <w:t>33.1</w:t>
      </w:r>
      <w:r>
        <w:rPr>
          <w:rFonts w:hint="eastAsia" w:ascii="宋体"/>
          <w:b/>
          <w:color w:val="auto"/>
          <w:szCs w:val="21"/>
          <w:highlight w:val="none"/>
        </w:rPr>
        <w:t xml:space="preserve">重新招标 </w:t>
      </w:r>
    </w:p>
    <w:p w14:paraId="3D15DDF2">
      <w:pPr>
        <w:tabs>
          <w:tab w:val="left" w:pos="720"/>
        </w:tabs>
        <w:spacing w:line="500" w:lineRule="exact"/>
        <w:ind w:firstLine="420" w:firstLineChars="200"/>
        <w:jc w:val="left"/>
        <w:rPr>
          <w:rFonts w:ascii="宋体"/>
          <w:color w:val="auto"/>
          <w:szCs w:val="21"/>
          <w:highlight w:val="none"/>
        </w:rPr>
      </w:pPr>
      <w:r>
        <w:rPr>
          <w:rFonts w:hint="eastAsia" w:ascii="宋体"/>
          <w:color w:val="auto"/>
          <w:szCs w:val="21"/>
          <w:highlight w:val="none"/>
        </w:rPr>
        <w:t>项目有下列情形之一的，招标人将重新招标：</w:t>
      </w:r>
    </w:p>
    <w:p w14:paraId="20052200">
      <w:pPr>
        <w:adjustRightInd w:val="0"/>
        <w:snapToGrid w:val="0"/>
        <w:spacing w:line="500" w:lineRule="exact"/>
        <w:ind w:firstLine="420" w:firstLineChars="200"/>
        <w:rPr>
          <w:rFonts w:ascii="宋体"/>
          <w:color w:val="auto"/>
          <w:kern w:val="10"/>
          <w:szCs w:val="21"/>
          <w:highlight w:val="none"/>
        </w:rPr>
      </w:pPr>
      <w:r>
        <w:rPr>
          <w:rFonts w:hint="eastAsia" w:ascii="宋体"/>
          <w:color w:val="auto"/>
          <w:kern w:val="10"/>
          <w:szCs w:val="21"/>
          <w:highlight w:val="none"/>
        </w:rPr>
        <w:t xml:space="preserve">(1)投标截止时间止，投标人少于三个的； </w:t>
      </w:r>
    </w:p>
    <w:p w14:paraId="1ED041F4">
      <w:pPr>
        <w:adjustRightInd w:val="0"/>
        <w:snapToGrid w:val="0"/>
        <w:spacing w:line="500" w:lineRule="exact"/>
        <w:ind w:firstLine="420" w:firstLineChars="200"/>
        <w:rPr>
          <w:rFonts w:ascii="宋体"/>
          <w:color w:val="auto"/>
          <w:kern w:val="10"/>
          <w:szCs w:val="21"/>
          <w:highlight w:val="none"/>
        </w:rPr>
      </w:pPr>
      <w:r>
        <w:rPr>
          <w:rFonts w:hint="eastAsia" w:ascii="宋体"/>
          <w:color w:val="auto"/>
          <w:kern w:val="10"/>
          <w:szCs w:val="21"/>
          <w:highlight w:val="none"/>
        </w:rPr>
        <w:t>(2)符合专业条件的供应商或者对招标文件作实质响应的供应商不足三家的；</w:t>
      </w:r>
    </w:p>
    <w:p w14:paraId="40675912">
      <w:pPr>
        <w:adjustRightInd w:val="0"/>
        <w:snapToGrid w:val="0"/>
        <w:spacing w:line="500" w:lineRule="exact"/>
        <w:ind w:firstLine="420" w:firstLineChars="200"/>
        <w:rPr>
          <w:rFonts w:ascii="宋体"/>
          <w:color w:val="auto"/>
          <w:kern w:val="10"/>
          <w:szCs w:val="21"/>
          <w:highlight w:val="none"/>
        </w:rPr>
      </w:pPr>
      <w:r>
        <w:rPr>
          <w:rFonts w:hint="eastAsia" w:ascii="宋体"/>
          <w:color w:val="auto"/>
          <w:kern w:val="10"/>
          <w:szCs w:val="21"/>
          <w:highlight w:val="none"/>
        </w:rPr>
        <w:t>(3)出现影响招标公正的违法、违规行为的；</w:t>
      </w:r>
    </w:p>
    <w:p w14:paraId="74137B72">
      <w:pPr>
        <w:adjustRightInd w:val="0"/>
        <w:snapToGrid w:val="0"/>
        <w:spacing w:line="500" w:lineRule="exact"/>
        <w:ind w:firstLine="420" w:firstLineChars="200"/>
        <w:rPr>
          <w:rFonts w:ascii="宋体"/>
          <w:color w:val="auto"/>
          <w:kern w:val="10"/>
          <w:szCs w:val="21"/>
          <w:highlight w:val="none"/>
        </w:rPr>
      </w:pPr>
      <w:r>
        <w:rPr>
          <w:rFonts w:hint="eastAsia" w:ascii="宋体"/>
          <w:color w:val="auto"/>
          <w:kern w:val="10"/>
          <w:szCs w:val="21"/>
          <w:highlight w:val="none"/>
        </w:rPr>
        <w:t>(4)投标人的报价均脱离实际且无充分证据的；</w:t>
      </w:r>
    </w:p>
    <w:p w14:paraId="1E5345A0">
      <w:pPr>
        <w:adjustRightInd w:val="0"/>
        <w:snapToGrid w:val="0"/>
        <w:spacing w:line="500" w:lineRule="exact"/>
        <w:ind w:firstLine="420" w:firstLineChars="200"/>
        <w:rPr>
          <w:rFonts w:ascii="宋体"/>
          <w:color w:val="auto"/>
          <w:kern w:val="10"/>
          <w:szCs w:val="21"/>
          <w:highlight w:val="none"/>
        </w:rPr>
      </w:pPr>
      <w:r>
        <w:rPr>
          <w:rFonts w:hint="eastAsia" w:ascii="宋体"/>
          <w:color w:val="auto"/>
          <w:kern w:val="10"/>
          <w:szCs w:val="21"/>
          <w:highlight w:val="none"/>
        </w:rPr>
        <w:t>(5)技术标暗标项目，所有投标人的技术标均能反映投标人信息的；</w:t>
      </w:r>
    </w:p>
    <w:p w14:paraId="6E8FE141">
      <w:pPr>
        <w:adjustRightInd w:val="0"/>
        <w:snapToGrid w:val="0"/>
        <w:spacing w:line="500" w:lineRule="exact"/>
        <w:ind w:firstLine="420" w:firstLineChars="200"/>
        <w:rPr>
          <w:rFonts w:ascii="宋体"/>
          <w:color w:val="auto"/>
          <w:kern w:val="10"/>
          <w:szCs w:val="21"/>
          <w:highlight w:val="none"/>
        </w:rPr>
      </w:pPr>
      <w:r>
        <w:rPr>
          <w:rFonts w:hint="eastAsia" w:ascii="宋体"/>
          <w:color w:val="auto"/>
          <w:kern w:val="10"/>
          <w:szCs w:val="21"/>
          <w:highlight w:val="none"/>
        </w:rPr>
        <w:t>(6)因重大变故，采购任务取消的。</w:t>
      </w:r>
    </w:p>
    <w:p w14:paraId="5EE0F09E">
      <w:pPr>
        <w:adjustRightInd w:val="0"/>
        <w:snapToGrid w:val="0"/>
        <w:spacing w:line="500" w:lineRule="exact"/>
        <w:ind w:firstLine="420" w:firstLineChars="200"/>
        <w:rPr>
          <w:rFonts w:ascii="宋体"/>
          <w:color w:val="auto"/>
          <w:kern w:val="10"/>
          <w:szCs w:val="21"/>
          <w:highlight w:val="none"/>
        </w:rPr>
      </w:pPr>
      <w:r>
        <w:rPr>
          <w:rFonts w:hint="eastAsia" w:ascii="宋体"/>
          <w:color w:val="auto"/>
          <w:kern w:val="10"/>
          <w:szCs w:val="21"/>
          <w:highlight w:val="none"/>
        </w:rPr>
        <w:t>33.2变更采购方式</w:t>
      </w:r>
    </w:p>
    <w:p w14:paraId="0B41FD1E">
      <w:pPr>
        <w:tabs>
          <w:tab w:val="left" w:pos="720"/>
        </w:tabs>
        <w:spacing w:line="500" w:lineRule="exact"/>
        <w:ind w:firstLine="420" w:firstLineChars="200"/>
        <w:jc w:val="left"/>
        <w:rPr>
          <w:rFonts w:ascii="宋体"/>
          <w:color w:val="auto"/>
          <w:szCs w:val="21"/>
          <w:highlight w:val="none"/>
        </w:rPr>
      </w:pPr>
      <w:bookmarkStart w:id="54" w:name="_Toc449028872"/>
      <w:r>
        <w:rPr>
          <w:rFonts w:hint="eastAsia" w:ascii="宋体"/>
          <w:color w:val="auto"/>
          <w:szCs w:val="21"/>
          <w:highlight w:val="none"/>
        </w:rPr>
        <w:t>按照滁州市公管局相关规定执行。</w:t>
      </w:r>
      <w:bookmarkEnd w:id="54"/>
    </w:p>
    <w:p w14:paraId="16F3C947">
      <w:pPr>
        <w:spacing w:line="500" w:lineRule="exact"/>
        <w:jc w:val="center"/>
        <w:rPr>
          <w:rFonts w:ascii="黑体" w:eastAsia="黑体"/>
          <w:color w:val="auto"/>
          <w:sz w:val="24"/>
          <w:highlight w:val="none"/>
        </w:rPr>
      </w:pPr>
      <w:r>
        <w:rPr>
          <w:rFonts w:hint="eastAsia" w:ascii="黑体" w:eastAsia="黑体"/>
          <w:color w:val="auto"/>
          <w:sz w:val="28"/>
          <w:szCs w:val="28"/>
          <w:highlight w:val="none"/>
        </w:rPr>
        <w:t>（六）合同的授予</w:t>
      </w:r>
      <w:bookmarkEnd w:id="53"/>
    </w:p>
    <w:p w14:paraId="0637C40B">
      <w:pPr>
        <w:spacing w:line="500" w:lineRule="exact"/>
        <w:ind w:firstLine="521" w:firstLineChars="247"/>
        <w:jc w:val="left"/>
        <w:rPr>
          <w:rFonts w:ascii="宋体" w:hAnsi="宋体" w:cs="宋体"/>
          <w:b/>
          <w:color w:val="auto"/>
          <w:szCs w:val="21"/>
          <w:highlight w:val="none"/>
        </w:rPr>
      </w:pPr>
      <w:r>
        <w:rPr>
          <w:rFonts w:hint="eastAsia" w:ascii="宋体" w:hAnsi="宋体" w:cs="宋体"/>
          <w:b/>
          <w:color w:val="auto"/>
          <w:szCs w:val="21"/>
          <w:highlight w:val="none"/>
        </w:rPr>
        <w:t>34. 合同授予标准</w:t>
      </w:r>
    </w:p>
    <w:p w14:paraId="344F4EDE">
      <w:pPr>
        <w:spacing w:line="50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34.1 本招标项目的合同将授予按本投标须知第32.1.1条规定所确定的中标人。</w:t>
      </w:r>
    </w:p>
    <w:p w14:paraId="46607530">
      <w:pPr>
        <w:spacing w:line="500" w:lineRule="exact"/>
        <w:ind w:firstLine="521" w:firstLineChars="247"/>
        <w:jc w:val="left"/>
        <w:rPr>
          <w:rFonts w:ascii="宋体" w:hAnsi="宋体" w:cs="宋体"/>
          <w:b/>
          <w:color w:val="auto"/>
          <w:szCs w:val="21"/>
          <w:highlight w:val="none"/>
        </w:rPr>
      </w:pPr>
      <w:r>
        <w:rPr>
          <w:rFonts w:hint="eastAsia" w:ascii="宋体" w:hAnsi="宋体" w:cs="宋体"/>
          <w:b/>
          <w:color w:val="auto"/>
          <w:szCs w:val="21"/>
          <w:highlight w:val="none"/>
        </w:rPr>
        <w:t>35. 合同协议书的签订</w:t>
      </w:r>
    </w:p>
    <w:p w14:paraId="68E7E6FF">
      <w:pPr>
        <w:spacing w:line="50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35.1 招标人与中标人将于中标通知书发出之日起30日内，按照招标文件和中标人的投标文件订立书面采购合同。招标人和中标人不得再行订立背离合同实质性内容的其他协议。</w:t>
      </w:r>
    </w:p>
    <w:p w14:paraId="333A8394">
      <w:pPr>
        <w:spacing w:line="50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35.2发出中标通知书后，招标人无正当理由拒签合同的，招标人向中标人退还投标保证金；给中标人造成损失的，还应当赔偿损失。</w:t>
      </w:r>
    </w:p>
    <w:p w14:paraId="4F611FB3">
      <w:pPr>
        <w:spacing w:line="50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依法必须进行招标的项目，除中标人以外的其他投标人存在串通投标、弄虚作假、行贿情形且在评标过程中未被发现的，视为对中标结果没有造成实质性影响，招标人可以依法继续开展招标活动。</w:t>
      </w:r>
    </w:p>
    <w:p w14:paraId="00403CB4">
      <w:pPr>
        <w:spacing w:line="500" w:lineRule="exact"/>
        <w:rPr>
          <w:rFonts w:ascii="宋体" w:hAnsi="宋体" w:cs="宋体"/>
          <w:b/>
          <w:color w:val="auto"/>
          <w:szCs w:val="21"/>
          <w:highlight w:val="none"/>
        </w:rPr>
      </w:pPr>
      <w:r>
        <w:rPr>
          <w:rFonts w:hint="eastAsia" w:ascii="宋体" w:hAnsi="宋体" w:cs="宋体"/>
          <w:color w:val="auto"/>
          <w:szCs w:val="21"/>
          <w:highlight w:val="none"/>
        </w:rPr>
        <w:t xml:space="preserve">    36.</w:t>
      </w:r>
      <w:bookmarkStart w:id="55"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w:t>
      </w:r>
      <w:bookmarkEnd w:id="55"/>
      <w:r>
        <w:rPr>
          <w:rFonts w:hint="eastAsia" w:ascii="宋体" w:hAnsi="宋体" w:cs="宋体"/>
          <w:b/>
          <w:color w:val="auto"/>
          <w:szCs w:val="21"/>
          <w:highlight w:val="none"/>
        </w:rPr>
        <w:t>担保</w:t>
      </w:r>
    </w:p>
    <w:p w14:paraId="543C6EDD">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36.1在签订合同前，中标人应按投标人须知前附表规定的担保形式、金额和招标文件第五章“合同条款及格式”规定的或者事先经过招标人书面认可的履约担保格式向招标人提交履约担保。</w:t>
      </w:r>
    </w:p>
    <w:p w14:paraId="4C4986A7">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 中标人不能按本章第36.1项要求提交履约担保的，视为放弃中标，其投标保证金不予退还，</w:t>
      </w:r>
      <w:r>
        <w:rPr>
          <w:rFonts w:hint="eastAsia" w:ascii="宋体" w:hAnsi="宋体" w:cs="宋体"/>
          <w:color w:val="auto"/>
          <w:szCs w:val="21"/>
          <w:highlight w:val="none"/>
          <w:shd w:val="clear" w:color="auto" w:fill="FFFFFF"/>
        </w:rPr>
        <w:t>给招标人造成损失的，依法承担民事责任</w:t>
      </w:r>
      <w:r>
        <w:rPr>
          <w:rFonts w:hint="eastAsia" w:ascii="宋体" w:hAnsi="宋体" w:cs="宋体"/>
          <w:color w:val="auto"/>
          <w:szCs w:val="21"/>
          <w:highlight w:val="none"/>
        </w:rPr>
        <w:t>。</w:t>
      </w:r>
    </w:p>
    <w:p w14:paraId="4C0B4D1A">
      <w:pPr>
        <w:spacing w:before="312" w:beforeLines="100" w:after="312" w:afterLines="100" w:line="500" w:lineRule="exact"/>
        <w:jc w:val="center"/>
        <w:rPr>
          <w:rFonts w:ascii="宋体"/>
          <w:b/>
          <w:color w:val="auto"/>
          <w:sz w:val="28"/>
          <w:szCs w:val="28"/>
          <w:highlight w:val="none"/>
        </w:rPr>
      </w:pPr>
      <w:bookmarkStart w:id="56" w:name="_Toc449028874"/>
      <w:r>
        <w:rPr>
          <w:rFonts w:hint="eastAsia" w:ascii="宋体"/>
          <w:b/>
          <w:color w:val="auto"/>
          <w:sz w:val="28"/>
          <w:szCs w:val="28"/>
          <w:highlight w:val="none"/>
        </w:rPr>
        <w:t>（七）纪律和监督</w:t>
      </w:r>
      <w:bookmarkEnd w:id="56"/>
    </w:p>
    <w:p w14:paraId="1F901C93">
      <w:pPr>
        <w:spacing w:line="500" w:lineRule="exact"/>
        <w:ind w:firstLine="310" w:firstLineChars="147"/>
        <w:jc w:val="left"/>
        <w:rPr>
          <w:rFonts w:ascii="宋体"/>
          <w:b/>
          <w:color w:val="auto"/>
          <w:szCs w:val="21"/>
          <w:highlight w:val="none"/>
        </w:rPr>
      </w:pPr>
      <w:r>
        <w:rPr>
          <w:rFonts w:hint="eastAsia" w:ascii="宋体"/>
          <w:b/>
          <w:color w:val="auto"/>
          <w:szCs w:val="21"/>
          <w:highlight w:val="none"/>
        </w:rPr>
        <w:t xml:space="preserve">37. 对招标人的纪律要求 </w:t>
      </w:r>
    </w:p>
    <w:p w14:paraId="09E4C285">
      <w:pPr>
        <w:adjustRightInd w:val="0"/>
        <w:snapToGrid w:val="0"/>
        <w:spacing w:line="500" w:lineRule="exact"/>
        <w:ind w:firstLine="315" w:firstLineChars="150"/>
        <w:rPr>
          <w:rFonts w:ascii="宋体"/>
          <w:color w:val="auto"/>
          <w:kern w:val="10"/>
          <w:szCs w:val="21"/>
          <w:highlight w:val="none"/>
        </w:rPr>
      </w:pPr>
      <w:r>
        <w:rPr>
          <w:rFonts w:hint="eastAsia" w:ascii="宋体"/>
          <w:color w:val="auto"/>
          <w:kern w:val="10"/>
          <w:szCs w:val="21"/>
          <w:highlight w:val="none"/>
        </w:rPr>
        <w:t xml:space="preserve">37.1招标人不得泄漏招标投标活动中应当保密的情况和资料，不得与投标人串通损害国家利益，社会公共利益或者他人合法权益。 </w:t>
      </w:r>
    </w:p>
    <w:p w14:paraId="04095F83">
      <w:pPr>
        <w:spacing w:line="500" w:lineRule="exact"/>
        <w:ind w:firstLine="310" w:firstLineChars="147"/>
        <w:jc w:val="left"/>
        <w:rPr>
          <w:rFonts w:ascii="宋体"/>
          <w:b/>
          <w:color w:val="auto"/>
          <w:szCs w:val="21"/>
          <w:highlight w:val="none"/>
        </w:rPr>
      </w:pPr>
      <w:r>
        <w:rPr>
          <w:rFonts w:hint="eastAsia" w:ascii="宋体"/>
          <w:b/>
          <w:color w:val="auto"/>
          <w:szCs w:val="21"/>
          <w:highlight w:val="none"/>
        </w:rPr>
        <w:t xml:space="preserve">38. 对投标人的纪律要求 </w:t>
      </w:r>
    </w:p>
    <w:p w14:paraId="79C573F2">
      <w:pPr>
        <w:adjustRightInd w:val="0"/>
        <w:snapToGrid w:val="0"/>
        <w:spacing w:line="500" w:lineRule="exact"/>
        <w:ind w:firstLine="315" w:firstLineChars="150"/>
        <w:rPr>
          <w:rFonts w:ascii="宋体"/>
          <w:color w:val="auto"/>
          <w:kern w:val="10"/>
          <w:szCs w:val="21"/>
          <w:highlight w:val="none"/>
        </w:rPr>
      </w:pPr>
      <w:r>
        <w:rPr>
          <w:rFonts w:hint="eastAsia" w:ascii="宋体"/>
          <w:color w:val="auto"/>
          <w:kern w:val="10"/>
          <w:szCs w:val="21"/>
          <w:highlight w:val="none"/>
        </w:rPr>
        <w:t>38.1投标人不得相互串通投标或者与招标人串通投标，不得向招标人或者评标委员会成员行贿谋取中标，不得以他人名义投标或者以其他方式弄虚作假骗取中标；投标人不得以任何方式干扰、影响评标工作。</w:t>
      </w:r>
    </w:p>
    <w:p w14:paraId="46C0FF31">
      <w:pPr>
        <w:spacing w:line="500" w:lineRule="exact"/>
        <w:ind w:firstLine="310" w:firstLineChars="147"/>
        <w:jc w:val="left"/>
        <w:rPr>
          <w:rFonts w:ascii="宋体"/>
          <w:b/>
          <w:color w:val="auto"/>
          <w:szCs w:val="21"/>
          <w:highlight w:val="none"/>
        </w:rPr>
      </w:pPr>
      <w:r>
        <w:rPr>
          <w:rFonts w:hint="eastAsia" w:ascii="宋体"/>
          <w:b/>
          <w:color w:val="auto"/>
          <w:szCs w:val="21"/>
          <w:highlight w:val="none"/>
        </w:rPr>
        <w:t xml:space="preserve">39. 对评标委员会成员的纪律要求 </w:t>
      </w:r>
    </w:p>
    <w:p w14:paraId="13BEBCBF">
      <w:pPr>
        <w:adjustRightInd w:val="0"/>
        <w:snapToGrid w:val="0"/>
        <w:spacing w:line="500" w:lineRule="exact"/>
        <w:ind w:firstLine="315" w:firstLineChars="150"/>
        <w:rPr>
          <w:rFonts w:ascii="宋体"/>
          <w:color w:val="auto"/>
          <w:kern w:val="10"/>
          <w:szCs w:val="21"/>
          <w:highlight w:val="none"/>
        </w:rPr>
      </w:pPr>
      <w:r>
        <w:rPr>
          <w:rFonts w:hint="eastAsia" w:ascii="宋体"/>
          <w:color w:val="auto"/>
          <w:kern w:val="10"/>
          <w:szCs w:val="21"/>
          <w:highlight w:val="none"/>
        </w:rPr>
        <w:t>39.1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3ED8255">
      <w:pPr>
        <w:spacing w:line="500" w:lineRule="exact"/>
        <w:ind w:firstLine="310" w:firstLineChars="147"/>
        <w:jc w:val="left"/>
        <w:rPr>
          <w:rFonts w:ascii="宋体"/>
          <w:b/>
          <w:color w:val="auto"/>
          <w:szCs w:val="21"/>
          <w:highlight w:val="none"/>
        </w:rPr>
      </w:pPr>
      <w:r>
        <w:rPr>
          <w:rFonts w:hint="eastAsia" w:ascii="宋体"/>
          <w:b/>
          <w:color w:val="auto"/>
          <w:szCs w:val="21"/>
          <w:highlight w:val="none"/>
        </w:rPr>
        <w:t xml:space="preserve">40. 对与评标活动有关的工作人员的纪律要求 </w:t>
      </w:r>
    </w:p>
    <w:p w14:paraId="30255809">
      <w:pPr>
        <w:adjustRightInd w:val="0"/>
        <w:snapToGrid w:val="0"/>
        <w:spacing w:line="500" w:lineRule="exact"/>
        <w:ind w:firstLine="315" w:firstLineChars="150"/>
        <w:rPr>
          <w:rFonts w:ascii="宋体"/>
          <w:color w:val="auto"/>
          <w:kern w:val="10"/>
          <w:szCs w:val="21"/>
          <w:highlight w:val="none"/>
        </w:rPr>
      </w:pPr>
      <w:r>
        <w:rPr>
          <w:rFonts w:hint="eastAsia" w:ascii="宋体"/>
          <w:color w:val="auto"/>
          <w:kern w:val="10"/>
          <w:szCs w:val="21"/>
          <w:highlight w:val="none"/>
        </w:rPr>
        <w:t>40.1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14:paraId="3E1E07E8">
      <w:pPr>
        <w:spacing w:before="312" w:beforeLines="100" w:after="312" w:afterLines="100" w:line="500" w:lineRule="exact"/>
        <w:jc w:val="center"/>
        <w:rPr>
          <w:rFonts w:ascii="宋体"/>
          <w:b/>
          <w:color w:val="auto"/>
          <w:sz w:val="28"/>
          <w:szCs w:val="28"/>
          <w:highlight w:val="none"/>
        </w:rPr>
      </w:pPr>
      <w:r>
        <w:rPr>
          <w:rFonts w:hint="eastAsia" w:ascii="宋体"/>
          <w:b/>
          <w:color w:val="auto"/>
          <w:sz w:val="28"/>
          <w:szCs w:val="28"/>
          <w:highlight w:val="none"/>
        </w:rPr>
        <w:t>（八）投诉</w:t>
      </w:r>
    </w:p>
    <w:p w14:paraId="19FB63ED">
      <w:pPr>
        <w:spacing w:line="500" w:lineRule="exact"/>
        <w:ind w:firstLine="314" w:firstLineChars="149"/>
        <w:jc w:val="left"/>
        <w:rPr>
          <w:rFonts w:ascii="宋体" w:hAnsi="宋体"/>
          <w:b/>
          <w:color w:val="auto"/>
          <w:szCs w:val="21"/>
          <w:highlight w:val="none"/>
        </w:rPr>
      </w:pPr>
      <w:r>
        <w:rPr>
          <w:rFonts w:hint="eastAsia" w:ascii="宋体" w:hAnsi="宋体"/>
          <w:b/>
          <w:color w:val="auto"/>
          <w:szCs w:val="21"/>
          <w:highlight w:val="none"/>
        </w:rPr>
        <w:t>41. 投诉</w:t>
      </w:r>
    </w:p>
    <w:p w14:paraId="1C883C89">
      <w:pPr>
        <w:adjustRightInd w:val="0"/>
        <w:snapToGrid w:val="0"/>
        <w:spacing w:line="500" w:lineRule="exact"/>
        <w:ind w:firstLine="315" w:firstLineChars="150"/>
        <w:rPr>
          <w:rFonts w:ascii="宋体"/>
          <w:color w:val="auto"/>
          <w:kern w:val="10"/>
          <w:szCs w:val="21"/>
          <w:highlight w:val="none"/>
        </w:rPr>
      </w:pPr>
      <w:r>
        <w:rPr>
          <w:rFonts w:hint="eastAsia" w:ascii="宋体"/>
          <w:color w:val="auto"/>
          <w:kern w:val="10"/>
          <w:szCs w:val="21"/>
          <w:highlight w:val="none"/>
        </w:rPr>
        <w:t>41.1投标人或者其他利害关系人认为招标投标活动违反法律、法规和规章规定的，有权向相关行政监督部门投诉。投诉应当有明确的请求和必要的证明材料。</w:t>
      </w:r>
    </w:p>
    <w:p w14:paraId="27E08C67">
      <w:pPr>
        <w:adjustRightInd w:val="0"/>
        <w:snapToGrid w:val="0"/>
        <w:spacing w:line="500" w:lineRule="exact"/>
        <w:ind w:firstLine="315" w:firstLineChars="150"/>
        <w:rPr>
          <w:rFonts w:ascii="宋体"/>
          <w:color w:val="auto"/>
          <w:kern w:val="10"/>
          <w:szCs w:val="21"/>
          <w:highlight w:val="none"/>
        </w:rPr>
      </w:pPr>
      <w:r>
        <w:rPr>
          <w:rFonts w:hint="eastAsia" w:ascii="宋体"/>
          <w:color w:val="auto"/>
          <w:kern w:val="10"/>
          <w:szCs w:val="21"/>
          <w:highlight w:val="none"/>
        </w:rPr>
        <w:t>41.2投标人和其他利害关系人对招标文件、开标和评标结果事项投诉的，应当按照投标人须知的规定先向招标人提出异议。异议答复期间不计算在第41.1项规定的期限内。</w:t>
      </w:r>
    </w:p>
    <w:p w14:paraId="13D3B01F">
      <w:pPr>
        <w:spacing w:line="440" w:lineRule="exact"/>
        <w:ind w:firstLine="600" w:firstLineChars="200"/>
        <w:jc w:val="left"/>
        <w:rPr>
          <w:rFonts w:ascii="黑体" w:eastAsia="黑体"/>
          <w:color w:val="auto"/>
          <w:sz w:val="30"/>
          <w:szCs w:val="30"/>
          <w:highlight w:val="none"/>
        </w:rPr>
      </w:pPr>
    </w:p>
    <w:p w14:paraId="779260C8">
      <w:pPr>
        <w:spacing w:line="440" w:lineRule="exact"/>
        <w:ind w:firstLine="450" w:firstLineChars="150"/>
        <w:jc w:val="left"/>
        <w:rPr>
          <w:rFonts w:ascii="黑体" w:eastAsia="黑体"/>
          <w:color w:val="auto"/>
          <w:sz w:val="30"/>
          <w:szCs w:val="30"/>
          <w:highlight w:val="none"/>
        </w:rPr>
      </w:pPr>
    </w:p>
    <w:p w14:paraId="4925729A">
      <w:pPr>
        <w:pStyle w:val="2"/>
        <w:spacing w:line="280" w:lineRule="exact"/>
        <w:rPr>
          <w:rFonts w:ascii="宋体"/>
          <w:b w:val="0"/>
          <w:color w:val="auto"/>
          <w:szCs w:val="32"/>
          <w:highlight w:val="none"/>
        </w:rPr>
      </w:pPr>
      <w:r>
        <w:rPr>
          <w:rFonts w:ascii="宋体"/>
          <w:b w:val="0"/>
          <w:color w:val="auto"/>
          <w:szCs w:val="32"/>
          <w:highlight w:val="none"/>
        </w:rPr>
        <w:br w:type="page"/>
      </w:r>
      <w:bookmarkStart w:id="57" w:name="_Toc28871"/>
      <w:r>
        <w:rPr>
          <w:rFonts w:hint="eastAsia" w:ascii="宋体"/>
          <w:bCs w:val="0"/>
          <w:color w:val="auto"/>
          <w:szCs w:val="32"/>
          <w:highlight w:val="none"/>
        </w:rPr>
        <w:t>第三章 评标办法（综合评分法）</w:t>
      </w:r>
      <w:bookmarkEnd w:id="57"/>
    </w:p>
    <w:p w14:paraId="512131A4">
      <w:pPr>
        <w:spacing w:before="156" w:beforeLines="50" w:after="156" w:afterLines="50" w:line="500" w:lineRule="exact"/>
        <w:jc w:val="center"/>
        <w:outlineLvl w:val="1"/>
        <w:rPr>
          <w:rFonts w:ascii="宋体" w:hAnsi="宋体" w:cs="宋体"/>
          <w:b/>
          <w:color w:val="auto"/>
          <w:sz w:val="28"/>
          <w:szCs w:val="28"/>
          <w:highlight w:val="none"/>
        </w:rPr>
      </w:pPr>
      <w:bookmarkStart w:id="58" w:name="_Toc362983801"/>
      <w:bookmarkStart w:id="59" w:name="_Toc58430317"/>
      <w:bookmarkStart w:id="60" w:name="_Toc449028877"/>
      <w:bookmarkStart w:id="61" w:name="_Toc20697"/>
      <w:bookmarkStart w:id="62" w:name="_Toc267320058"/>
      <w:bookmarkStart w:id="63" w:name="_Toc363135205"/>
      <w:r>
        <w:rPr>
          <w:rFonts w:hint="eastAsia" w:ascii="宋体" w:hAnsi="宋体" w:cs="宋体"/>
          <w:b/>
          <w:color w:val="auto"/>
          <w:sz w:val="28"/>
          <w:szCs w:val="28"/>
          <w:highlight w:val="none"/>
        </w:rPr>
        <w:t>一、总则</w:t>
      </w:r>
      <w:bookmarkEnd w:id="58"/>
      <w:bookmarkEnd w:id="59"/>
      <w:bookmarkEnd w:id="60"/>
      <w:bookmarkEnd w:id="61"/>
    </w:p>
    <w:p w14:paraId="2A5769B8">
      <w:pPr>
        <w:spacing w:line="500" w:lineRule="exact"/>
        <w:ind w:firstLine="316" w:firstLineChars="150"/>
        <w:jc w:val="left"/>
        <w:rPr>
          <w:rFonts w:ascii="宋体" w:hAnsi="宋体" w:cs="宋体"/>
          <w:b/>
          <w:color w:val="auto"/>
          <w:szCs w:val="21"/>
          <w:highlight w:val="none"/>
        </w:rPr>
      </w:pPr>
      <w:r>
        <w:rPr>
          <w:rFonts w:hint="eastAsia" w:ascii="宋体" w:hAnsi="宋体" w:cs="宋体"/>
          <w:b/>
          <w:color w:val="auto"/>
          <w:szCs w:val="21"/>
          <w:highlight w:val="none"/>
        </w:rPr>
        <w:t xml:space="preserve"> 1. 本次评标采用综合评分法</w:t>
      </w:r>
    </w:p>
    <w:p w14:paraId="2D48D88C">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1.1综合评分法是指投标文件满足招标文件全部实质性要求且按照评审因素的量化指标评审总得分从高到低的供应商为中标候选人的评标方法。</w:t>
      </w:r>
    </w:p>
    <w:p w14:paraId="5C36A51A">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73E8D7EA">
      <w:pPr>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2．评标程序</w:t>
      </w:r>
    </w:p>
    <w:p w14:paraId="78410997">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2.1投标文件的初审</w:t>
      </w:r>
    </w:p>
    <w:p w14:paraId="2ED29659">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2.1.1资格性检查。依据法律法规和招标文件的规定，对投标文件中的资格证明、投标保证金等进行审查，以确定投标人是否具备投标资格。 </w:t>
      </w:r>
    </w:p>
    <w:p w14:paraId="656CA1A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2.1.2符合性检查。依据招标文件的规定，从投标文件的有效性、完整性和对招标文件的响应程度进行审查，以确定投标人是否对招标文件的实质性要求作出响应。</w:t>
      </w:r>
    </w:p>
    <w:p w14:paraId="74D2548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2.2投标文件的澄清</w:t>
      </w:r>
    </w:p>
    <w:p w14:paraId="48E8DD46">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36C2AEAC">
      <w:pPr>
        <w:wordWrap w:val="0"/>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本项目采用远程开标，具体操作方法详见服务指南&gt;交易须知&gt;开标大厅远程解密、质疑(异议)及回复以及评标过程中询标流程操作手册。</w:t>
      </w:r>
    </w:p>
    <w:p w14:paraId="7B57856F">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5543D361">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  招标人不接受投标人主动提出的澄清。</w:t>
      </w:r>
    </w:p>
    <w:p w14:paraId="56F55CA1">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2.3比较与评价</w:t>
      </w:r>
    </w:p>
    <w:p w14:paraId="20103940">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2．3.1按招标文件中规定的评标方法和标准，对资格性检查和符合性检查合格的投标文件进行资信、商务和技术评估，综合比较与评价。 </w:t>
      </w:r>
    </w:p>
    <w:p w14:paraId="082B99DC">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23DE54E">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0FEA3449">
      <w:pPr>
        <w:spacing w:line="5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2.5在投标文件的审查、澄清、评价和比较以及授予合同过程中，投标人对招标人和评标委员会成员施加影响的任何行为，都将导致取消其中标资格。</w:t>
      </w:r>
      <w:bookmarkStart w:id="64" w:name="_Toc362983802"/>
      <w:bookmarkStart w:id="65" w:name="_Toc449028878"/>
      <w:bookmarkStart w:id="66" w:name="_Toc58430318"/>
    </w:p>
    <w:p w14:paraId="51A634FF">
      <w:pPr>
        <w:spacing w:before="156" w:beforeLines="50" w:after="156" w:afterLines="50" w:line="50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二、投标文件初审</w:t>
      </w:r>
      <w:bookmarkEnd w:id="64"/>
      <w:bookmarkEnd w:id="65"/>
      <w:bookmarkEnd w:id="66"/>
    </w:p>
    <w:p w14:paraId="6D8CC56E">
      <w:pPr>
        <w:spacing w:line="50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3.资格性审查:</w:t>
      </w:r>
    </w:p>
    <w:p w14:paraId="79B6D8F0">
      <w:pPr>
        <w:spacing w:line="500" w:lineRule="exact"/>
        <w:ind w:firstLine="308" w:firstLineChars="147"/>
        <w:jc w:val="left"/>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35"/>
        <w:tblW w:w="9926"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5"/>
        <w:gridCol w:w="4305"/>
        <w:gridCol w:w="3176"/>
      </w:tblGrid>
      <w:tr w14:paraId="3C69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vAlign w:val="center"/>
          </w:tcPr>
          <w:p w14:paraId="6CDAEED1">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030" w:type="dxa"/>
            <w:gridSpan w:val="2"/>
            <w:vAlign w:val="center"/>
          </w:tcPr>
          <w:p w14:paraId="4C736979">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3176" w:type="dxa"/>
            <w:vAlign w:val="center"/>
          </w:tcPr>
          <w:p w14:paraId="4F1DC8F6">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r>
      <w:tr w14:paraId="6E54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vAlign w:val="center"/>
          </w:tcPr>
          <w:p w14:paraId="086AD635">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5" w:type="dxa"/>
            <w:vAlign w:val="center"/>
          </w:tcPr>
          <w:p w14:paraId="0F37F91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4305" w:type="dxa"/>
            <w:vAlign w:val="center"/>
          </w:tcPr>
          <w:p w14:paraId="40EEE13F">
            <w:pPr>
              <w:spacing w:line="500" w:lineRule="exac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3176" w:type="dxa"/>
            <w:vAlign w:val="center"/>
          </w:tcPr>
          <w:p w14:paraId="3E888FCB">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检验电子标书</w:t>
            </w:r>
          </w:p>
        </w:tc>
      </w:tr>
      <w:tr w14:paraId="0423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20" w:type="dxa"/>
            <w:vMerge w:val="restart"/>
            <w:vAlign w:val="center"/>
          </w:tcPr>
          <w:p w14:paraId="1C89C92B">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725" w:type="dxa"/>
            <w:vMerge w:val="restart"/>
            <w:vAlign w:val="center"/>
          </w:tcPr>
          <w:p w14:paraId="5FA5F034">
            <w:pPr>
              <w:spacing w:line="500" w:lineRule="exact"/>
              <w:rPr>
                <w:rFonts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4305" w:type="dxa"/>
            <w:vAlign w:val="center"/>
          </w:tcPr>
          <w:p w14:paraId="250B9627">
            <w:pPr>
              <w:spacing w:line="500" w:lineRule="exact"/>
              <w:rPr>
                <w:rFonts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3176" w:type="dxa"/>
            <w:vAlign w:val="center"/>
          </w:tcPr>
          <w:p w14:paraId="08591DAD">
            <w:pPr>
              <w:spacing w:line="500" w:lineRule="exact"/>
              <w:rPr>
                <w:rFonts w:ascii="宋体" w:hAnsi="宋体" w:cs="宋体"/>
                <w:color w:val="auto"/>
                <w:szCs w:val="21"/>
                <w:highlight w:val="none"/>
              </w:rPr>
            </w:pPr>
            <w:r>
              <w:rPr>
                <w:rFonts w:hint="eastAsia" w:ascii="宋体" w:hAnsi="宋体" w:cs="宋体"/>
                <w:b/>
                <w:color w:val="auto"/>
                <w:szCs w:val="21"/>
                <w:highlight w:val="none"/>
              </w:rPr>
              <w:t>评审核验电子标书中的下列证书、证明材料：</w:t>
            </w:r>
          </w:p>
          <w:p w14:paraId="5AD86302">
            <w:pPr>
              <w:spacing w:line="500" w:lineRule="exact"/>
              <w:rPr>
                <w:rFonts w:ascii="宋体" w:hAnsi="宋体" w:cs="宋体"/>
                <w:color w:val="auto"/>
                <w:szCs w:val="21"/>
                <w:highlight w:val="none"/>
              </w:rPr>
            </w:pPr>
            <w:r>
              <w:rPr>
                <w:rFonts w:hint="eastAsia" w:ascii="宋体" w:hAnsi="宋体" w:cs="宋体"/>
                <w:color w:val="auto"/>
                <w:szCs w:val="21"/>
                <w:highlight w:val="none"/>
              </w:rPr>
              <w:t>投标人有效的营业执照、税务登记证、组织机构码证（或“三证合一证书”）</w:t>
            </w:r>
          </w:p>
        </w:tc>
      </w:tr>
      <w:tr w14:paraId="063A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0" w:type="dxa"/>
            <w:vMerge w:val="continue"/>
            <w:vAlign w:val="center"/>
          </w:tcPr>
          <w:p w14:paraId="2FBB3EBC">
            <w:pPr>
              <w:spacing w:line="500" w:lineRule="exact"/>
              <w:jc w:val="center"/>
              <w:rPr>
                <w:rFonts w:ascii="宋体" w:hAnsi="宋体" w:cs="宋体"/>
                <w:color w:val="auto"/>
                <w:szCs w:val="21"/>
                <w:highlight w:val="none"/>
              </w:rPr>
            </w:pPr>
          </w:p>
        </w:tc>
        <w:tc>
          <w:tcPr>
            <w:tcW w:w="1725" w:type="dxa"/>
            <w:vMerge w:val="continue"/>
            <w:vAlign w:val="center"/>
          </w:tcPr>
          <w:p w14:paraId="011CCF2F">
            <w:pPr>
              <w:spacing w:line="500" w:lineRule="exact"/>
              <w:rPr>
                <w:rFonts w:ascii="宋体" w:hAnsi="宋体" w:cs="宋体"/>
                <w:color w:val="auto"/>
                <w:szCs w:val="21"/>
                <w:highlight w:val="none"/>
              </w:rPr>
            </w:pPr>
          </w:p>
        </w:tc>
        <w:tc>
          <w:tcPr>
            <w:tcW w:w="4305" w:type="dxa"/>
            <w:vAlign w:val="center"/>
          </w:tcPr>
          <w:p w14:paraId="5C46FEDD">
            <w:pPr>
              <w:spacing w:line="500" w:lineRule="exact"/>
              <w:rPr>
                <w:rFonts w:ascii="宋体" w:hAnsi="宋体" w:cs="宋体"/>
                <w:color w:val="auto"/>
                <w:szCs w:val="21"/>
                <w:highlight w:val="none"/>
              </w:rPr>
            </w:pPr>
            <w:r>
              <w:rPr>
                <w:rFonts w:hint="eastAsia" w:ascii="宋体" w:hAnsi="宋体" w:cs="宋体"/>
                <w:color w:val="auto"/>
                <w:szCs w:val="21"/>
                <w:highlight w:val="none"/>
              </w:rPr>
              <w:t>（3）具有省级及以上卫生主管部门颁发的涉及饮用水卫生安全产品的有效卫生许可批件或省级及以上疾病预防控制中心出具的涉及饮用水卫生安全产品检验报告</w:t>
            </w:r>
          </w:p>
        </w:tc>
        <w:tc>
          <w:tcPr>
            <w:tcW w:w="3176" w:type="dxa"/>
            <w:vMerge w:val="restart"/>
            <w:vAlign w:val="center"/>
          </w:tcPr>
          <w:p w14:paraId="69351E4D">
            <w:pPr>
              <w:spacing w:line="500" w:lineRule="exact"/>
              <w:rPr>
                <w:rFonts w:ascii="宋体" w:hAnsi="宋体" w:cs="宋体"/>
                <w:color w:val="auto"/>
                <w:szCs w:val="21"/>
                <w:highlight w:val="none"/>
              </w:rPr>
            </w:pPr>
            <w:r>
              <w:rPr>
                <w:rFonts w:hint="eastAsia" w:ascii="宋体" w:hAnsi="宋体" w:cs="宋体"/>
                <w:color w:val="auto"/>
                <w:szCs w:val="21"/>
                <w:highlight w:val="none"/>
              </w:rPr>
              <w:t>检验电子标书</w:t>
            </w:r>
          </w:p>
        </w:tc>
      </w:tr>
      <w:tr w14:paraId="79FB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0" w:type="dxa"/>
            <w:vMerge w:val="continue"/>
            <w:vAlign w:val="center"/>
          </w:tcPr>
          <w:p w14:paraId="03086186">
            <w:pPr>
              <w:spacing w:line="500" w:lineRule="exact"/>
              <w:jc w:val="center"/>
              <w:rPr>
                <w:rFonts w:ascii="宋体" w:hAnsi="宋体" w:cs="宋体"/>
                <w:color w:val="auto"/>
                <w:szCs w:val="21"/>
                <w:highlight w:val="none"/>
              </w:rPr>
            </w:pPr>
          </w:p>
        </w:tc>
        <w:tc>
          <w:tcPr>
            <w:tcW w:w="1725" w:type="dxa"/>
            <w:vMerge w:val="continue"/>
            <w:vAlign w:val="center"/>
          </w:tcPr>
          <w:p w14:paraId="574D1D33">
            <w:pPr>
              <w:spacing w:line="500" w:lineRule="exact"/>
              <w:rPr>
                <w:rFonts w:ascii="宋体" w:hAnsi="宋体" w:cs="宋体"/>
                <w:color w:val="auto"/>
                <w:szCs w:val="21"/>
                <w:highlight w:val="none"/>
              </w:rPr>
            </w:pPr>
          </w:p>
        </w:tc>
        <w:tc>
          <w:tcPr>
            <w:tcW w:w="4305" w:type="dxa"/>
            <w:vAlign w:val="center"/>
          </w:tcPr>
          <w:p w14:paraId="5FD7353E">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4）投标人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tc>
        <w:tc>
          <w:tcPr>
            <w:tcW w:w="3176" w:type="dxa"/>
            <w:vMerge w:val="continue"/>
            <w:vAlign w:val="center"/>
          </w:tcPr>
          <w:p w14:paraId="73CC38E1">
            <w:pPr>
              <w:spacing w:line="500" w:lineRule="exact"/>
              <w:rPr>
                <w:rFonts w:ascii="宋体" w:hAnsi="宋体" w:cs="宋体"/>
                <w:color w:val="auto"/>
                <w:szCs w:val="21"/>
                <w:highlight w:val="none"/>
              </w:rPr>
            </w:pPr>
          </w:p>
        </w:tc>
      </w:tr>
      <w:tr w14:paraId="492B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0" w:type="dxa"/>
            <w:vMerge w:val="continue"/>
            <w:vAlign w:val="center"/>
          </w:tcPr>
          <w:p w14:paraId="72DA5FBC">
            <w:pPr>
              <w:spacing w:line="500" w:lineRule="exact"/>
              <w:jc w:val="center"/>
              <w:rPr>
                <w:rFonts w:ascii="宋体" w:hAnsi="宋体" w:cs="宋体"/>
                <w:color w:val="auto"/>
                <w:szCs w:val="21"/>
                <w:highlight w:val="none"/>
              </w:rPr>
            </w:pPr>
          </w:p>
        </w:tc>
        <w:tc>
          <w:tcPr>
            <w:tcW w:w="1725" w:type="dxa"/>
            <w:vMerge w:val="continue"/>
            <w:vAlign w:val="center"/>
          </w:tcPr>
          <w:p w14:paraId="60F3040E">
            <w:pPr>
              <w:spacing w:line="500" w:lineRule="exact"/>
              <w:rPr>
                <w:rFonts w:ascii="宋体" w:hAnsi="宋体" w:cs="宋体"/>
                <w:color w:val="auto"/>
                <w:szCs w:val="21"/>
                <w:highlight w:val="none"/>
              </w:rPr>
            </w:pPr>
          </w:p>
        </w:tc>
        <w:tc>
          <w:tcPr>
            <w:tcW w:w="4305" w:type="dxa"/>
            <w:vAlign w:val="center"/>
          </w:tcPr>
          <w:p w14:paraId="6ADF7C06">
            <w:pPr>
              <w:spacing w:line="500" w:lineRule="exact"/>
              <w:jc w:val="left"/>
              <w:rPr>
                <w:rFonts w:ascii="宋体" w:hAnsi="宋体" w:cs="宋体"/>
                <w:b/>
                <w:color w:val="auto"/>
                <w:szCs w:val="21"/>
                <w:highlight w:val="none"/>
              </w:rPr>
            </w:pPr>
            <w:r>
              <w:rPr>
                <w:rFonts w:hint="eastAsia" w:ascii="宋体" w:hAnsi="宋体" w:cs="宋体"/>
                <w:color w:val="auto"/>
                <w:szCs w:val="21"/>
                <w:highlight w:val="none"/>
              </w:rPr>
              <w:t>（5）诚信投标承诺书或公共信用信息报告（无违法违规证明版或核查版）</w:t>
            </w:r>
          </w:p>
        </w:tc>
        <w:tc>
          <w:tcPr>
            <w:tcW w:w="3176" w:type="dxa"/>
            <w:vAlign w:val="center"/>
          </w:tcPr>
          <w:p w14:paraId="246275A6">
            <w:pPr>
              <w:spacing w:line="500" w:lineRule="exact"/>
              <w:jc w:val="left"/>
              <w:rPr>
                <w:rFonts w:ascii="宋体" w:hAnsi="宋体" w:cs="宋体"/>
                <w:b/>
                <w:color w:val="auto"/>
                <w:szCs w:val="21"/>
                <w:highlight w:val="none"/>
              </w:rPr>
            </w:pPr>
            <w:r>
              <w:rPr>
                <w:rFonts w:hint="eastAsia" w:ascii="宋体" w:hAnsi="宋体" w:cs="宋体"/>
                <w:color w:val="auto"/>
                <w:szCs w:val="21"/>
                <w:highlight w:val="none"/>
              </w:rPr>
              <w:t>格式见附件，检验电子标书</w:t>
            </w:r>
          </w:p>
        </w:tc>
      </w:tr>
    </w:tbl>
    <w:p w14:paraId="123E2869">
      <w:pPr>
        <w:spacing w:line="500" w:lineRule="exact"/>
        <w:ind w:right="-164" w:rightChars="-78" w:firstLine="508" w:firstLineChars="241"/>
        <w:jc w:val="left"/>
        <w:rPr>
          <w:rFonts w:ascii="宋体" w:hAnsi="宋体" w:cs="宋体"/>
          <w:b/>
          <w:color w:val="auto"/>
          <w:szCs w:val="21"/>
          <w:highlight w:val="none"/>
        </w:rPr>
      </w:pPr>
      <w:r>
        <w:rPr>
          <w:rFonts w:hint="eastAsia" w:ascii="宋体" w:hAnsi="宋体" w:cs="宋体"/>
          <w:b/>
          <w:color w:val="auto"/>
          <w:szCs w:val="21"/>
          <w:highlight w:val="none"/>
        </w:rPr>
        <w:t>3.2资格审查材料必须上传到投标人系统-安徽省公共资源交易市场主体库中对应栏目，制作资格审查文件时插上CA数字证书，从投标企业注册信息中挑选相关材料。若所需材料无对应栏目，则将该材料上传至“其他投标用证明材料”里或电子投标文件对应栏中，做电子投标文件时从“其他所需材料”里获取。请各投标人位自行完善主体库管理中的单位信息，保证信息最新且有效。</w:t>
      </w:r>
    </w:p>
    <w:p w14:paraId="38996DA5">
      <w:pPr>
        <w:spacing w:line="500" w:lineRule="exact"/>
        <w:ind w:right="-164" w:rightChars="-78" w:firstLine="508" w:firstLineChars="241"/>
        <w:jc w:val="left"/>
        <w:rPr>
          <w:rFonts w:ascii="宋体" w:hAnsi="宋体" w:cs="宋体"/>
          <w:b/>
          <w:color w:val="auto"/>
          <w:szCs w:val="21"/>
          <w:highlight w:val="none"/>
        </w:rPr>
      </w:pPr>
      <w:r>
        <w:rPr>
          <w:rFonts w:hint="eastAsia" w:ascii="宋体" w:hAnsi="宋体" w:cs="宋体"/>
          <w:b/>
          <w:color w:val="auto"/>
          <w:szCs w:val="21"/>
          <w:highlight w:val="none"/>
        </w:rPr>
        <w:t>3.3如评标专家在检验电子投标文件过程中，如果由于投标人自身原因导致评标专家无法查看并检验电子投标文件中相关资料的，否决其投标。即使投标人将原件携带至现场的，同样按否决投标处理。</w:t>
      </w:r>
    </w:p>
    <w:p w14:paraId="7BDB207C">
      <w:pPr>
        <w:spacing w:line="50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4.符合性审查</w:t>
      </w:r>
    </w:p>
    <w:p w14:paraId="527D650B">
      <w:pPr>
        <w:spacing w:line="5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4.1评审细则</w:t>
      </w:r>
    </w:p>
    <w:tbl>
      <w:tblPr>
        <w:tblStyle w:val="3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18"/>
        <w:gridCol w:w="2931"/>
        <w:gridCol w:w="4691"/>
      </w:tblGrid>
      <w:tr w14:paraId="752B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5" w:type="dxa"/>
            <w:vAlign w:val="center"/>
          </w:tcPr>
          <w:p w14:paraId="49993AC4">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249" w:type="dxa"/>
            <w:gridSpan w:val="2"/>
            <w:vAlign w:val="center"/>
          </w:tcPr>
          <w:p w14:paraId="1BB32DA0">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审查因素</w:t>
            </w:r>
          </w:p>
        </w:tc>
        <w:tc>
          <w:tcPr>
            <w:tcW w:w="4691" w:type="dxa"/>
            <w:vAlign w:val="center"/>
          </w:tcPr>
          <w:p w14:paraId="5636289F">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审查内容</w:t>
            </w:r>
          </w:p>
        </w:tc>
      </w:tr>
      <w:tr w14:paraId="5340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5" w:type="dxa"/>
            <w:vMerge w:val="restart"/>
            <w:vAlign w:val="center"/>
          </w:tcPr>
          <w:p w14:paraId="261A6895">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1</w:t>
            </w:r>
          </w:p>
        </w:tc>
        <w:tc>
          <w:tcPr>
            <w:tcW w:w="1318" w:type="dxa"/>
            <w:vMerge w:val="restart"/>
            <w:vAlign w:val="center"/>
          </w:tcPr>
          <w:p w14:paraId="46BA2FFD">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vAlign w:val="center"/>
          </w:tcPr>
          <w:p w14:paraId="502EC2BF">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691" w:type="dxa"/>
            <w:vAlign w:val="center"/>
          </w:tcPr>
          <w:p w14:paraId="12336015">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p w14:paraId="46F2E478">
            <w:pPr>
              <w:spacing w:line="500" w:lineRule="exact"/>
              <w:jc w:val="left"/>
              <w:rPr>
                <w:rFonts w:ascii="宋体" w:hAnsi="宋体" w:cs="宋体"/>
                <w:color w:val="auto"/>
                <w:szCs w:val="21"/>
                <w:highlight w:val="none"/>
              </w:rPr>
            </w:pP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注：技术标采用暗标，无需签字、盖章）</w:t>
            </w:r>
          </w:p>
        </w:tc>
      </w:tr>
      <w:tr w14:paraId="1352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35" w:type="dxa"/>
            <w:vMerge w:val="continue"/>
            <w:vAlign w:val="center"/>
          </w:tcPr>
          <w:p w14:paraId="764D7A21">
            <w:pPr>
              <w:spacing w:line="500" w:lineRule="exact"/>
              <w:jc w:val="left"/>
              <w:rPr>
                <w:rFonts w:ascii="宋体" w:hAnsi="宋体" w:cs="宋体"/>
                <w:color w:val="auto"/>
                <w:szCs w:val="21"/>
                <w:highlight w:val="none"/>
              </w:rPr>
            </w:pPr>
          </w:p>
        </w:tc>
        <w:tc>
          <w:tcPr>
            <w:tcW w:w="1318" w:type="dxa"/>
            <w:vMerge w:val="continue"/>
            <w:vAlign w:val="center"/>
          </w:tcPr>
          <w:p w14:paraId="441C4D06">
            <w:pPr>
              <w:spacing w:line="500" w:lineRule="exact"/>
              <w:jc w:val="left"/>
              <w:rPr>
                <w:rFonts w:ascii="宋体" w:hAnsi="宋体" w:cs="宋体"/>
                <w:color w:val="auto"/>
                <w:szCs w:val="21"/>
                <w:highlight w:val="none"/>
              </w:rPr>
            </w:pPr>
          </w:p>
        </w:tc>
        <w:tc>
          <w:tcPr>
            <w:tcW w:w="2931" w:type="dxa"/>
            <w:vAlign w:val="center"/>
          </w:tcPr>
          <w:p w14:paraId="4A99E96A">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691" w:type="dxa"/>
            <w:vAlign w:val="center"/>
          </w:tcPr>
          <w:p w14:paraId="0FB08359">
            <w:pPr>
              <w:spacing w:line="500" w:lineRule="exact"/>
              <w:jc w:val="lef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107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5" w:type="dxa"/>
            <w:vMerge w:val="continue"/>
            <w:vAlign w:val="center"/>
          </w:tcPr>
          <w:p w14:paraId="61EAC2E2">
            <w:pPr>
              <w:spacing w:line="500" w:lineRule="exact"/>
              <w:jc w:val="left"/>
              <w:rPr>
                <w:rFonts w:ascii="宋体" w:hAnsi="宋体" w:cs="宋体"/>
                <w:color w:val="auto"/>
                <w:szCs w:val="21"/>
                <w:highlight w:val="none"/>
              </w:rPr>
            </w:pPr>
          </w:p>
        </w:tc>
        <w:tc>
          <w:tcPr>
            <w:tcW w:w="1318" w:type="dxa"/>
            <w:vMerge w:val="continue"/>
            <w:vAlign w:val="center"/>
          </w:tcPr>
          <w:p w14:paraId="7B55FFD7">
            <w:pPr>
              <w:spacing w:line="500" w:lineRule="exact"/>
              <w:jc w:val="left"/>
              <w:rPr>
                <w:rFonts w:ascii="宋体" w:hAnsi="宋体" w:cs="宋体"/>
                <w:color w:val="auto"/>
                <w:szCs w:val="21"/>
                <w:highlight w:val="none"/>
              </w:rPr>
            </w:pPr>
          </w:p>
        </w:tc>
        <w:tc>
          <w:tcPr>
            <w:tcW w:w="2931" w:type="dxa"/>
            <w:vAlign w:val="center"/>
          </w:tcPr>
          <w:p w14:paraId="2FC44105">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4691" w:type="dxa"/>
            <w:vAlign w:val="center"/>
          </w:tcPr>
          <w:p w14:paraId="5836F0F4">
            <w:pPr>
              <w:spacing w:line="500" w:lineRule="exact"/>
              <w:jc w:val="lef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724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5" w:type="dxa"/>
            <w:vMerge w:val="continue"/>
            <w:vAlign w:val="center"/>
          </w:tcPr>
          <w:p w14:paraId="23FACB2B">
            <w:pPr>
              <w:spacing w:line="500" w:lineRule="exact"/>
              <w:jc w:val="left"/>
              <w:rPr>
                <w:rFonts w:ascii="宋体" w:hAnsi="宋体" w:cs="宋体"/>
                <w:color w:val="auto"/>
                <w:szCs w:val="21"/>
                <w:highlight w:val="none"/>
              </w:rPr>
            </w:pPr>
          </w:p>
        </w:tc>
        <w:tc>
          <w:tcPr>
            <w:tcW w:w="1318" w:type="dxa"/>
            <w:vMerge w:val="continue"/>
            <w:vAlign w:val="center"/>
          </w:tcPr>
          <w:p w14:paraId="6583FAB9">
            <w:pPr>
              <w:spacing w:line="500" w:lineRule="exact"/>
              <w:jc w:val="left"/>
              <w:rPr>
                <w:rFonts w:ascii="宋体" w:hAnsi="宋体" w:cs="宋体"/>
                <w:color w:val="auto"/>
                <w:szCs w:val="21"/>
                <w:highlight w:val="none"/>
              </w:rPr>
            </w:pPr>
          </w:p>
        </w:tc>
        <w:tc>
          <w:tcPr>
            <w:tcW w:w="2931" w:type="dxa"/>
            <w:vAlign w:val="center"/>
          </w:tcPr>
          <w:p w14:paraId="0EAC31BB">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691" w:type="dxa"/>
            <w:vAlign w:val="center"/>
          </w:tcPr>
          <w:p w14:paraId="03C2CD6F">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66C7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35" w:type="dxa"/>
            <w:vMerge w:val="restart"/>
            <w:vAlign w:val="center"/>
          </w:tcPr>
          <w:p w14:paraId="4A214BA0">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w:t>
            </w:r>
          </w:p>
        </w:tc>
        <w:tc>
          <w:tcPr>
            <w:tcW w:w="1318" w:type="dxa"/>
            <w:vMerge w:val="restart"/>
            <w:vAlign w:val="center"/>
          </w:tcPr>
          <w:p w14:paraId="722171E1">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vAlign w:val="center"/>
          </w:tcPr>
          <w:p w14:paraId="700ED12B">
            <w:pPr>
              <w:spacing w:line="500" w:lineRule="exact"/>
              <w:jc w:val="lef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691" w:type="dxa"/>
            <w:vAlign w:val="center"/>
          </w:tcPr>
          <w:p w14:paraId="6DB713DE">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网上递交的电子投标文件：一份； </w:t>
            </w:r>
          </w:p>
        </w:tc>
      </w:tr>
      <w:tr w14:paraId="2234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35" w:type="dxa"/>
            <w:vMerge w:val="continue"/>
            <w:vAlign w:val="center"/>
          </w:tcPr>
          <w:p w14:paraId="64861DC6">
            <w:pPr>
              <w:spacing w:line="500" w:lineRule="exact"/>
              <w:jc w:val="left"/>
              <w:rPr>
                <w:rFonts w:ascii="宋体" w:hAnsi="宋体" w:cs="宋体"/>
                <w:color w:val="auto"/>
                <w:szCs w:val="21"/>
                <w:highlight w:val="none"/>
              </w:rPr>
            </w:pPr>
          </w:p>
        </w:tc>
        <w:tc>
          <w:tcPr>
            <w:tcW w:w="1318" w:type="dxa"/>
            <w:vMerge w:val="continue"/>
            <w:vAlign w:val="center"/>
          </w:tcPr>
          <w:p w14:paraId="50DA4CEC">
            <w:pPr>
              <w:spacing w:line="500" w:lineRule="exact"/>
              <w:jc w:val="left"/>
              <w:rPr>
                <w:rFonts w:ascii="宋体" w:hAnsi="宋体" w:cs="宋体"/>
                <w:color w:val="auto"/>
                <w:szCs w:val="21"/>
                <w:highlight w:val="none"/>
              </w:rPr>
            </w:pPr>
          </w:p>
        </w:tc>
        <w:tc>
          <w:tcPr>
            <w:tcW w:w="2931" w:type="dxa"/>
            <w:vAlign w:val="center"/>
          </w:tcPr>
          <w:p w14:paraId="1F54978E">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691" w:type="dxa"/>
            <w:vAlign w:val="center"/>
          </w:tcPr>
          <w:p w14:paraId="2318CAEB">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2035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restart"/>
            <w:vAlign w:val="center"/>
          </w:tcPr>
          <w:p w14:paraId="72B7DC37">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3</w:t>
            </w:r>
          </w:p>
        </w:tc>
        <w:tc>
          <w:tcPr>
            <w:tcW w:w="1318" w:type="dxa"/>
            <w:vMerge w:val="restart"/>
            <w:vAlign w:val="center"/>
          </w:tcPr>
          <w:p w14:paraId="1F445382">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vAlign w:val="center"/>
          </w:tcPr>
          <w:p w14:paraId="2E4E2EA5">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4691" w:type="dxa"/>
            <w:vAlign w:val="center"/>
          </w:tcPr>
          <w:p w14:paraId="0E56B08C">
            <w:pPr>
              <w:spacing w:line="500" w:lineRule="exact"/>
              <w:jc w:val="left"/>
              <w:rPr>
                <w:rFonts w:ascii="宋体" w:hAnsi="宋体" w:cs="宋体"/>
                <w:color w:val="auto"/>
                <w:highlight w:val="none"/>
              </w:rPr>
            </w:pPr>
            <w:r>
              <w:rPr>
                <w:rFonts w:hint="eastAsia" w:ascii="宋体" w:hAnsi="宋体" w:cs="宋体"/>
                <w:color w:val="auto"/>
                <w:highlight w:val="none"/>
              </w:rPr>
              <w:t>最大限度响应</w:t>
            </w:r>
            <w:r>
              <w:rPr>
                <w:rFonts w:hint="eastAsia" w:ascii="宋体" w:hAnsi="宋体" w:cs="宋体"/>
                <w:color w:val="auto"/>
                <w:highlight w:val="none"/>
                <w:lang w:val="zh-CN"/>
              </w:rPr>
              <w:t>招标文件要求。</w:t>
            </w:r>
          </w:p>
        </w:tc>
      </w:tr>
      <w:tr w14:paraId="7144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5" w:type="dxa"/>
            <w:vMerge w:val="continue"/>
            <w:vAlign w:val="center"/>
          </w:tcPr>
          <w:p w14:paraId="35C235CD">
            <w:pPr>
              <w:spacing w:line="500" w:lineRule="exact"/>
              <w:jc w:val="left"/>
              <w:rPr>
                <w:rFonts w:ascii="宋体" w:hAnsi="宋体" w:cs="宋体"/>
                <w:color w:val="auto"/>
                <w:szCs w:val="21"/>
                <w:highlight w:val="none"/>
              </w:rPr>
            </w:pPr>
          </w:p>
        </w:tc>
        <w:tc>
          <w:tcPr>
            <w:tcW w:w="1318" w:type="dxa"/>
            <w:vMerge w:val="continue"/>
            <w:vAlign w:val="center"/>
          </w:tcPr>
          <w:p w14:paraId="71B07229">
            <w:pPr>
              <w:spacing w:line="500" w:lineRule="exact"/>
              <w:jc w:val="left"/>
              <w:rPr>
                <w:rFonts w:ascii="宋体" w:hAnsi="宋体" w:cs="宋体"/>
                <w:color w:val="auto"/>
                <w:szCs w:val="21"/>
                <w:highlight w:val="none"/>
              </w:rPr>
            </w:pPr>
          </w:p>
        </w:tc>
        <w:tc>
          <w:tcPr>
            <w:tcW w:w="2931" w:type="dxa"/>
            <w:vAlign w:val="center"/>
          </w:tcPr>
          <w:p w14:paraId="0CCC0804">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（8）商务条款响应程度（包括不限于业绩、</w:t>
            </w:r>
            <w:r>
              <w:rPr>
                <w:rFonts w:hint="eastAsia" w:ascii="宋体" w:hAnsi="宋体" w:cs="宋体"/>
                <w:color w:val="auto"/>
                <w:szCs w:val="21"/>
                <w:highlight w:val="none"/>
              </w:rPr>
              <w:t>供货</w:t>
            </w:r>
            <w:r>
              <w:rPr>
                <w:rFonts w:hint="eastAsia" w:ascii="宋体" w:hAnsi="宋体" w:cs="宋体"/>
                <w:color w:val="auto"/>
                <w:szCs w:val="21"/>
                <w:highlight w:val="none"/>
                <w:lang w:val="zh-CN"/>
              </w:rPr>
              <w:t>期、售后服务、技术培训等）</w:t>
            </w:r>
          </w:p>
        </w:tc>
        <w:tc>
          <w:tcPr>
            <w:tcW w:w="4691" w:type="dxa"/>
            <w:vAlign w:val="center"/>
          </w:tcPr>
          <w:p w14:paraId="68A084F6">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响应招标文件要求。</w:t>
            </w:r>
          </w:p>
        </w:tc>
      </w:tr>
    </w:tbl>
    <w:p w14:paraId="7B8E1F03">
      <w:pPr>
        <w:spacing w:line="500" w:lineRule="exact"/>
        <w:ind w:right="36" w:rightChars="17" w:firstLine="506" w:firstLineChars="241"/>
        <w:jc w:val="left"/>
        <w:rPr>
          <w:rFonts w:ascii="宋体" w:hAnsi="宋体" w:cs="宋体"/>
          <w:color w:val="auto"/>
          <w:szCs w:val="21"/>
          <w:highlight w:val="none"/>
        </w:rPr>
      </w:pPr>
      <w:r>
        <w:rPr>
          <w:rFonts w:hint="eastAsia" w:ascii="宋体" w:hAnsi="宋体" w:cs="宋体"/>
          <w:color w:val="auto"/>
          <w:szCs w:val="21"/>
          <w:highlight w:val="none"/>
        </w:rPr>
        <w:t>4.2资格审查及评分细则中涉及的有关证明材料及相关证书，电子投标文件中须按招标文件要求上传</w:t>
      </w:r>
      <w:r>
        <w:rPr>
          <w:rFonts w:hint="eastAsia" w:ascii="宋体" w:hAnsi="宋体" w:cs="宋体"/>
          <w:b/>
          <w:color w:val="auto"/>
          <w:szCs w:val="21"/>
          <w:highlight w:val="none"/>
        </w:rPr>
        <w:t>扫描件</w:t>
      </w:r>
      <w:r>
        <w:rPr>
          <w:rFonts w:hint="eastAsia" w:ascii="宋体" w:hAnsi="宋体" w:cs="宋体"/>
          <w:color w:val="auto"/>
          <w:szCs w:val="21"/>
          <w:highlight w:val="none"/>
        </w:rPr>
        <w:t>，以供审查。</w:t>
      </w:r>
    </w:p>
    <w:p w14:paraId="36F088EC">
      <w:pPr>
        <w:spacing w:line="500" w:lineRule="exact"/>
        <w:ind w:right="36" w:rightChars="17" w:firstLine="506" w:firstLineChars="241"/>
        <w:jc w:val="left"/>
        <w:rPr>
          <w:rFonts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164ED9C0">
      <w:pPr>
        <w:spacing w:line="500" w:lineRule="exact"/>
        <w:ind w:right="36" w:rightChars="17" w:firstLine="506" w:firstLineChars="241"/>
        <w:jc w:val="left"/>
        <w:rPr>
          <w:rFonts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059EDE82">
      <w:pPr>
        <w:spacing w:line="500" w:lineRule="exact"/>
        <w:ind w:right="36" w:rightChars="17"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4.5投标人可在现场20分钟内对评标委员会的评审结论提出质疑，评标委员会根据招标文件及有关规定对投标人的质疑进行复议。</w:t>
      </w:r>
    </w:p>
    <w:p w14:paraId="6BC8ADE2">
      <w:pPr>
        <w:spacing w:line="500" w:lineRule="exact"/>
        <w:ind w:right="36" w:rightChars="17" w:firstLine="525" w:firstLineChars="250"/>
        <w:jc w:val="left"/>
        <w:rPr>
          <w:rFonts w:ascii="宋体" w:hAnsi="宋体" w:cs="宋体"/>
          <w:color w:val="auto"/>
          <w:szCs w:val="21"/>
          <w:highlight w:val="none"/>
        </w:rPr>
      </w:pPr>
      <w:r>
        <w:rPr>
          <w:rFonts w:hint="eastAsia" w:ascii="宋体" w:hAnsi="宋体" w:cs="宋体"/>
          <w:color w:val="auto"/>
          <w:szCs w:val="21"/>
          <w:highlight w:val="none"/>
        </w:rPr>
        <w:t>4.6只有通过初审的投标人才能进入下一步程序。</w:t>
      </w:r>
    </w:p>
    <w:p w14:paraId="03D92F18">
      <w:pPr>
        <w:spacing w:line="500" w:lineRule="exact"/>
        <w:ind w:right="36" w:rightChars="17"/>
        <w:jc w:val="left"/>
        <w:rPr>
          <w:rFonts w:ascii="宋体" w:hAnsi="宋体" w:cs="宋体"/>
          <w:b/>
          <w:color w:val="auto"/>
          <w:szCs w:val="21"/>
          <w:highlight w:val="none"/>
        </w:rPr>
      </w:pPr>
      <w:r>
        <w:rPr>
          <w:rFonts w:hint="eastAsia" w:ascii="宋体" w:hAnsi="宋体" w:cs="宋体"/>
          <w:b/>
          <w:color w:val="auto"/>
          <w:szCs w:val="21"/>
          <w:highlight w:val="none"/>
        </w:rPr>
        <w:t>温馨提示：1.请各投标人自行完善安徽省公共资源交易市场主体库中的单位基本信息，保证信息最新且有效。</w:t>
      </w:r>
    </w:p>
    <w:p w14:paraId="756039F1">
      <w:pPr>
        <w:spacing w:line="500" w:lineRule="exact"/>
        <w:ind w:right="36" w:rightChars="17"/>
        <w:jc w:val="left"/>
        <w:rPr>
          <w:rFonts w:ascii="宋体" w:hAnsi="宋体" w:cs="宋体"/>
          <w:color w:val="auto"/>
          <w:szCs w:val="21"/>
          <w:highlight w:val="none"/>
        </w:rPr>
      </w:pPr>
      <w:r>
        <w:rPr>
          <w:rFonts w:hint="eastAsia" w:ascii="宋体" w:hAnsi="宋体" w:cs="宋体"/>
          <w:b/>
          <w:color w:val="auto"/>
          <w:szCs w:val="21"/>
          <w:highlight w:val="none"/>
        </w:rPr>
        <w:t>2.投标文件资格审查资料请精心准备,如评标专家在检验电子投标文件过程中，如果由于投标人自身原因导致评标专家无法查看并检验电子投标文件中以上相关资料的，按无效投标处理。即使投标人将原件携带至现场的，同样按无效投标处理。</w:t>
      </w:r>
    </w:p>
    <w:p w14:paraId="64E50E4C">
      <w:pPr>
        <w:spacing w:before="156" w:beforeLines="50" w:after="156" w:afterLines="50"/>
        <w:jc w:val="center"/>
        <w:outlineLvl w:val="1"/>
        <w:rPr>
          <w:rFonts w:ascii="宋体"/>
          <w:b/>
          <w:color w:val="auto"/>
          <w:sz w:val="28"/>
          <w:szCs w:val="28"/>
          <w:highlight w:val="none"/>
        </w:rPr>
      </w:pPr>
      <w:bookmarkStart w:id="67" w:name="_Toc14002"/>
      <w:bookmarkStart w:id="68" w:name="_Toc58430319"/>
      <w:bookmarkStart w:id="69" w:name="_Toc449028879"/>
      <w:bookmarkStart w:id="70" w:name="_Toc362983803"/>
      <w:r>
        <w:rPr>
          <w:rFonts w:hint="eastAsia" w:ascii="宋体"/>
          <w:b/>
          <w:color w:val="auto"/>
          <w:sz w:val="28"/>
          <w:szCs w:val="28"/>
          <w:highlight w:val="none"/>
        </w:rPr>
        <w:t>三、投标文件的澄清和补正</w:t>
      </w:r>
      <w:bookmarkEnd w:id="67"/>
      <w:bookmarkEnd w:id="68"/>
      <w:bookmarkEnd w:id="69"/>
      <w:bookmarkEnd w:id="70"/>
    </w:p>
    <w:p w14:paraId="4954B7C1">
      <w:pPr>
        <w:spacing w:line="500" w:lineRule="exact"/>
        <w:ind w:right="36" w:rightChars="17"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55EC0638">
      <w:pPr>
        <w:spacing w:line="500" w:lineRule="exact"/>
        <w:ind w:right="36" w:rightChars="17" w:firstLine="525" w:firstLineChars="250"/>
        <w:jc w:val="left"/>
        <w:rPr>
          <w:rFonts w:ascii="宋体" w:hAnsi="宋体" w:cs="宋体"/>
          <w:color w:val="auto"/>
          <w:szCs w:val="21"/>
          <w:highlight w:val="none"/>
        </w:rPr>
      </w:pPr>
      <w:r>
        <w:rPr>
          <w:rFonts w:hint="eastAsia" w:ascii="宋体" w:hAnsi="宋体" w:cs="宋体"/>
          <w:color w:val="auto"/>
          <w:szCs w:val="21"/>
          <w:highlight w:val="none"/>
        </w:rPr>
        <w:t>5.2本项目采用远程开标，投标人的澄清、说明或者补正应当在系统进行，但不得超出投标书的范围或者改变投标书的实质性内容。具体操作方法详见服务指南&gt;交易须知&gt;开标大厅远程解密、质疑(异议)及回复以及评标过程中询标流程操作手册。</w:t>
      </w:r>
    </w:p>
    <w:p w14:paraId="78544B74">
      <w:pPr>
        <w:spacing w:line="500" w:lineRule="exact"/>
        <w:ind w:right="36" w:rightChars="17" w:firstLine="525" w:firstLineChars="250"/>
        <w:jc w:val="left"/>
        <w:rPr>
          <w:rFonts w:ascii="宋体" w:hAnsi="宋体" w:cs="宋体"/>
          <w:color w:val="auto"/>
          <w:szCs w:val="21"/>
          <w:highlight w:val="none"/>
        </w:rPr>
      </w:pPr>
      <w:r>
        <w:rPr>
          <w:rFonts w:hint="eastAsia" w:ascii="宋体" w:hAnsi="宋体" w:cs="宋体"/>
          <w:color w:val="auto"/>
          <w:szCs w:val="21"/>
          <w:highlight w:val="none"/>
        </w:rPr>
        <w:t>5.3评委会修正错误的原则：</w:t>
      </w:r>
    </w:p>
    <w:p w14:paraId="1AF6DFCE">
      <w:pPr>
        <w:spacing w:line="500" w:lineRule="exact"/>
        <w:ind w:right="36" w:rightChars="17" w:firstLine="525" w:firstLineChars="250"/>
        <w:jc w:val="left"/>
        <w:rPr>
          <w:rFonts w:ascii="宋体" w:hAnsi="宋体" w:cs="宋体"/>
          <w:color w:val="auto"/>
          <w:szCs w:val="21"/>
          <w:highlight w:val="none"/>
        </w:rPr>
      </w:pPr>
      <w:r>
        <w:rPr>
          <w:rFonts w:hint="eastAsia" w:ascii="宋体" w:hAnsi="宋体" w:cs="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565C6525">
      <w:pPr>
        <w:spacing w:line="500" w:lineRule="exact"/>
        <w:ind w:right="36" w:rightChars="17" w:firstLine="525" w:firstLineChars="250"/>
        <w:jc w:val="left"/>
        <w:rPr>
          <w:rFonts w:ascii="宋体" w:hAnsi="宋体" w:cs="宋体"/>
          <w:color w:val="auto"/>
          <w:szCs w:val="21"/>
          <w:highlight w:val="none"/>
        </w:rPr>
      </w:pPr>
      <w:r>
        <w:rPr>
          <w:rFonts w:hint="eastAsia" w:ascii="宋体" w:hAns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45A64345">
      <w:pPr>
        <w:spacing w:line="500" w:lineRule="exact"/>
        <w:ind w:right="36" w:rightChars="17" w:firstLine="403" w:firstLineChars="192"/>
        <w:jc w:val="left"/>
        <w:rPr>
          <w:rFonts w:ascii="宋体" w:hAnsi="宋体" w:cs="宋体"/>
          <w:color w:val="auto"/>
          <w:szCs w:val="21"/>
          <w:highlight w:val="none"/>
        </w:rPr>
      </w:pPr>
      <w:r>
        <w:rPr>
          <w:rFonts w:hint="eastAsia" w:ascii="宋体" w:hAnsi="宋体" w:cs="宋体"/>
          <w:color w:val="auto"/>
          <w:szCs w:val="21"/>
          <w:highlight w:val="none"/>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62"/>
    <w:p w14:paraId="675FCDA9">
      <w:pPr>
        <w:spacing w:before="156" w:beforeLines="50" w:after="156" w:afterLines="50"/>
        <w:jc w:val="center"/>
        <w:outlineLvl w:val="1"/>
        <w:rPr>
          <w:rFonts w:ascii="宋体"/>
          <w:b/>
          <w:color w:val="auto"/>
          <w:sz w:val="28"/>
          <w:szCs w:val="28"/>
          <w:highlight w:val="none"/>
        </w:rPr>
      </w:pPr>
      <w:bookmarkStart w:id="71" w:name="_Toc58430320"/>
      <w:bookmarkStart w:id="72" w:name="_Toc3630"/>
      <w:bookmarkStart w:id="73" w:name="_Toc449028880"/>
      <w:bookmarkStart w:id="74" w:name="_Hlk101517174"/>
      <w:r>
        <w:rPr>
          <w:rFonts w:hint="eastAsia" w:ascii="宋体"/>
          <w:b/>
          <w:color w:val="auto"/>
          <w:sz w:val="28"/>
          <w:szCs w:val="28"/>
          <w:highlight w:val="none"/>
        </w:rPr>
        <w:t>四、比较与评价</w:t>
      </w:r>
      <w:bookmarkEnd w:id="71"/>
      <w:bookmarkEnd w:id="72"/>
      <w:bookmarkEnd w:id="73"/>
    </w:p>
    <w:p w14:paraId="79EB45B1">
      <w:pPr>
        <w:spacing w:line="500" w:lineRule="exact"/>
        <w:ind w:right="36" w:rightChars="17" w:firstLine="417" w:firstLineChars="198"/>
        <w:jc w:val="left"/>
        <w:rPr>
          <w:rFonts w:ascii="宋体" w:hAnsi="宋体" w:cs="宋体"/>
          <w:b/>
          <w:color w:val="auto"/>
          <w:szCs w:val="21"/>
          <w:highlight w:val="none"/>
        </w:rPr>
      </w:pPr>
      <w:r>
        <w:rPr>
          <w:rFonts w:hint="eastAsia" w:ascii="宋体" w:hAnsi="宋体" w:cs="宋体"/>
          <w:b/>
          <w:color w:val="auto"/>
          <w:szCs w:val="21"/>
          <w:highlight w:val="none"/>
        </w:rPr>
        <w:t xml:space="preserve"> 6.</w:t>
      </w:r>
      <w:bookmarkStart w:id="75" w:name="_Toc362983805"/>
      <w:r>
        <w:rPr>
          <w:rFonts w:hint="eastAsia" w:ascii="宋体" w:hAnsi="宋体" w:cs="宋体"/>
          <w:b/>
          <w:color w:val="auto"/>
          <w:szCs w:val="21"/>
          <w:highlight w:val="none"/>
        </w:rPr>
        <w:t>详细评审即按招标文件中规定的评标方法和标准，评标委员会将对通过初审的投标文件，进行资信、技术和商务部分评估、综合比较与评价。</w:t>
      </w:r>
    </w:p>
    <w:p w14:paraId="507F3F37">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6.1资信标评分细则（54分）</w:t>
      </w:r>
    </w:p>
    <w:tbl>
      <w:tblPr>
        <w:tblStyle w:val="35"/>
        <w:tblW w:w="1019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4274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2AFFA014">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45" w:type="dxa"/>
            <w:vAlign w:val="center"/>
          </w:tcPr>
          <w:p w14:paraId="344AE4BC">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tc>
        <w:tc>
          <w:tcPr>
            <w:tcW w:w="900" w:type="dxa"/>
            <w:vAlign w:val="center"/>
          </w:tcPr>
          <w:p w14:paraId="0645DDE9">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7350" w:type="dxa"/>
            <w:vAlign w:val="center"/>
          </w:tcPr>
          <w:p w14:paraId="1B2CBC03">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评审细则</w:t>
            </w:r>
          </w:p>
        </w:tc>
      </w:tr>
      <w:tr w14:paraId="2FF0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4DBD7136">
            <w:pPr>
              <w:pStyle w:val="17"/>
              <w:spacing w:line="500" w:lineRule="exact"/>
              <w:jc w:val="center"/>
              <w:rPr>
                <w:rFonts w:ascii="宋体" w:hAnsi="宋体" w:cs="宋体"/>
                <w:color w:val="auto"/>
                <w:highlight w:val="none"/>
              </w:rPr>
            </w:pPr>
            <w:r>
              <w:rPr>
                <w:rFonts w:hint="eastAsia" w:ascii="宋体" w:hAnsi="宋体" w:cs="宋体"/>
                <w:color w:val="auto"/>
                <w:highlight w:val="none"/>
              </w:rPr>
              <w:t>1</w:t>
            </w:r>
          </w:p>
        </w:tc>
        <w:tc>
          <w:tcPr>
            <w:tcW w:w="1245" w:type="dxa"/>
            <w:vAlign w:val="center"/>
          </w:tcPr>
          <w:p w14:paraId="138DA84A">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企业业绩</w:t>
            </w:r>
          </w:p>
        </w:tc>
        <w:tc>
          <w:tcPr>
            <w:tcW w:w="900" w:type="dxa"/>
            <w:vAlign w:val="center"/>
          </w:tcPr>
          <w:p w14:paraId="1F5C5A01">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10</w:t>
            </w:r>
          </w:p>
        </w:tc>
        <w:tc>
          <w:tcPr>
            <w:tcW w:w="7350" w:type="dxa"/>
            <w:vAlign w:val="center"/>
          </w:tcPr>
          <w:p w14:paraId="1BAD9C80">
            <w:pPr>
              <w:spacing w:line="500" w:lineRule="exact"/>
              <w:ind w:hanging="10"/>
              <w:jc w:val="left"/>
              <w:rPr>
                <w:rFonts w:ascii="宋体" w:hAnsi="宋体" w:cs="宋体"/>
                <w:color w:val="auto"/>
                <w:szCs w:val="21"/>
                <w:highlight w:val="none"/>
              </w:rPr>
            </w:pPr>
            <w:r>
              <w:rPr>
                <w:rFonts w:hint="eastAsia" w:ascii="宋体" w:hAnsi="宋体" w:cs="宋体"/>
                <w:color w:val="auto"/>
                <w:szCs w:val="21"/>
                <w:highlight w:val="none"/>
              </w:rPr>
              <w:t>2022年1月1日至投标截止时间，投标人具有供水企业的NB水表供货业绩，每提供1项得5分，满分为10分。</w:t>
            </w:r>
          </w:p>
          <w:p w14:paraId="40E46FA6">
            <w:pPr>
              <w:spacing w:line="500" w:lineRule="exact"/>
              <w:jc w:val="left"/>
              <w:rPr>
                <w:rFonts w:ascii="宋体" w:hAnsi="宋体" w:cs="宋体"/>
                <w:color w:val="auto"/>
                <w:highlight w:val="none"/>
              </w:rPr>
            </w:pPr>
            <w:r>
              <w:rPr>
                <w:rFonts w:hint="eastAsia" w:ascii="宋体" w:hAnsi="宋体" w:cs="宋体"/>
                <w:b/>
                <w:bCs/>
                <w:color w:val="auto"/>
                <w:highlight w:val="none"/>
              </w:rPr>
              <w:t>注：同时提供发票（字迹清晰可见，合计金额不可遮挡，否则视为未提供）、中标通知书和合同。业绩有效时间以合同为准。</w:t>
            </w:r>
          </w:p>
        </w:tc>
      </w:tr>
      <w:tr w14:paraId="6562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697" w:type="dxa"/>
            <w:vAlign w:val="center"/>
          </w:tcPr>
          <w:p w14:paraId="457BE9D3">
            <w:pPr>
              <w:pStyle w:val="17"/>
              <w:spacing w:line="500" w:lineRule="exact"/>
              <w:jc w:val="center"/>
              <w:rPr>
                <w:rFonts w:ascii="宋体" w:hAnsi="宋体" w:cs="宋体"/>
                <w:color w:val="auto"/>
                <w:highlight w:val="none"/>
              </w:rPr>
            </w:pPr>
            <w:r>
              <w:rPr>
                <w:rFonts w:hint="eastAsia" w:ascii="宋体" w:hAnsi="宋体" w:cs="宋体"/>
                <w:color w:val="auto"/>
                <w:highlight w:val="none"/>
              </w:rPr>
              <w:t>2</w:t>
            </w:r>
          </w:p>
        </w:tc>
        <w:tc>
          <w:tcPr>
            <w:tcW w:w="1245" w:type="dxa"/>
            <w:vAlign w:val="center"/>
          </w:tcPr>
          <w:p w14:paraId="3580988F">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企业认证</w:t>
            </w:r>
          </w:p>
        </w:tc>
        <w:tc>
          <w:tcPr>
            <w:tcW w:w="900" w:type="dxa"/>
            <w:vAlign w:val="center"/>
          </w:tcPr>
          <w:p w14:paraId="4567C538">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26分</w:t>
            </w:r>
          </w:p>
        </w:tc>
        <w:tc>
          <w:tcPr>
            <w:tcW w:w="7350" w:type="dxa"/>
            <w:vAlign w:val="center"/>
          </w:tcPr>
          <w:p w14:paraId="52E4E0B0">
            <w:pPr>
              <w:spacing w:line="500" w:lineRule="exact"/>
              <w:jc w:val="left"/>
              <w:rPr>
                <w:rFonts w:ascii="宋体" w:hAnsi="宋体" w:cs="宋体"/>
                <w:color w:val="auto"/>
                <w:highlight w:val="none"/>
              </w:rPr>
            </w:pPr>
            <w:r>
              <w:rPr>
                <w:rFonts w:hint="eastAsia" w:ascii="宋体" w:hAnsi="宋体" w:cs="宋体"/>
                <w:color w:val="auto"/>
                <w:highlight w:val="none"/>
              </w:rPr>
              <w:t>1.投标人具有经中国国家认证认可监督管理委员会认证机构颁发的质量管理体系认证证书、环境管理体系认证证书、</w:t>
            </w:r>
            <w:r>
              <w:rPr>
                <w:rFonts w:hint="eastAsia" w:ascii="宋体" w:hAnsi="宋体" w:cs="宋体"/>
                <w:color w:val="auto"/>
                <w:kern w:val="0"/>
                <w:szCs w:val="21"/>
                <w:highlight w:val="none"/>
              </w:rPr>
              <w:t>测量管理体系证书，信息安全管理体系证书</w:t>
            </w:r>
            <w:r>
              <w:rPr>
                <w:rFonts w:hint="eastAsia" w:ascii="宋体" w:hAnsi="宋体" w:cs="宋体"/>
                <w:color w:val="auto"/>
                <w:highlight w:val="none"/>
              </w:rPr>
              <w:t>，</w:t>
            </w:r>
            <w:r>
              <w:rPr>
                <w:rFonts w:hint="eastAsia" w:ascii="宋体" w:hAnsi="宋体" w:cs="宋体"/>
                <w:color w:val="auto"/>
                <w:kern w:val="0"/>
                <w:szCs w:val="21"/>
                <w:highlight w:val="none"/>
              </w:rPr>
              <w:t>每提供一个证书得2.5分，满分为10分。</w:t>
            </w:r>
          </w:p>
          <w:p w14:paraId="2BB2034D">
            <w:pPr>
              <w:spacing w:line="500" w:lineRule="exact"/>
              <w:jc w:val="left"/>
              <w:rPr>
                <w:rFonts w:ascii="宋体" w:hAnsi="宋体" w:cs="宋体"/>
                <w:color w:val="auto"/>
                <w:highlight w:val="none"/>
              </w:rPr>
            </w:pPr>
            <w:r>
              <w:rPr>
                <w:rFonts w:hint="eastAsia" w:ascii="宋体" w:hAnsi="宋体" w:cs="宋体"/>
                <w:b/>
                <w:bCs/>
                <w:color w:val="auto"/>
                <w:highlight w:val="none"/>
              </w:rPr>
              <w:t>注：提供证书（证书获得单位名称必须与投标单位完全一致，并在有效期内）扫描件和在国家认证认可监督管理委员会网站全国认证认可信息公共服务平台的查询截图作为评审依据。</w:t>
            </w:r>
          </w:p>
          <w:p w14:paraId="4FB0C9C2">
            <w:pPr>
              <w:spacing w:line="500" w:lineRule="exact"/>
              <w:jc w:val="left"/>
              <w:rPr>
                <w:rFonts w:ascii="宋体" w:hAnsi="宋体" w:cs="宋体"/>
                <w:color w:val="auto"/>
                <w:highlight w:val="none"/>
              </w:rPr>
            </w:pPr>
            <w:r>
              <w:rPr>
                <w:rFonts w:hint="eastAsia" w:ascii="宋体" w:hAnsi="宋体" w:cs="宋体"/>
                <w:color w:val="auto"/>
                <w:highlight w:val="none"/>
              </w:rPr>
              <w:t>2.投标人具有经中国国家认证认可监督管理委员会认可的认证机构颁发的五星级或以上售后服务认证证书，得2分。</w:t>
            </w:r>
          </w:p>
          <w:p w14:paraId="5D385428">
            <w:pPr>
              <w:spacing w:line="500" w:lineRule="exact"/>
              <w:jc w:val="left"/>
              <w:rPr>
                <w:rFonts w:ascii="宋体" w:hAnsi="宋体" w:cs="宋体"/>
                <w:b/>
                <w:bCs/>
                <w:color w:val="auto"/>
                <w:highlight w:val="none"/>
              </w:rPr>
            </w:pPr>
            <w:r>
              <w:rPr>
                <w:rFonts w:hint="eastAsia" w:ascii="宋体" w:hAnsi="宋体" w:cs="宋体"/>
                <w:b/>
                <w:bCs/>
                <w:color w:val="auto"/>
                <w:highlight w:val="none"/>
              </w:rPr>
              <w:t>注：提供证书（证书获得单位名称必须与投标单位完全一致，并在有效期内）扫描件和在国家认证认可监督管理委员会网站全国认证认可信息公共服务平台的查询截图作为评审依据。</w:t>
            </w:r>
          </w:p>
          <w:p w14:paraId="2F9E9A22">
            <w:pPr>
              <w:spacing w:line="440" w:lineRule="exact"/>
              <w:jc w:val="left"/>
              <w:rPr>
                <w:color w:val="auto"/>
                <w:highlight w:val="none"/>
              </w:rPr>
            </w:pPr>
            <w:r>
              <w:rPr>
                <w:rFonts w:hint="eastAsia" w:ascii="宋体" w:hAnsi="宋体" w:cs="宋体"/>
                <w:color w:val="auto"/>
                <w:kern w:val="0"/>
                <w:szCs w:val="21"/>
                <w:highlight w:val="none"/>
              </w:rPr>
              <w:t>3.投标人具有</w:t>
            </w:r>
            <w:r>
              <w:rPr>
                <w:rFonts w:hint="eastAsia" w:ascii="宋体" w:hAnsi="宋体" w:cs="宋体"/>
                <w:color w:val="auto"/>
                <w:highlight w:val="none"/>
              </w:rPr>
              <w:t>能源管理体系认证或节能产品认证，得3分。</w:t>
            </w:r>
          </w:p>
          <w:p w14:paraId="68DA9BF8">
            <w:pPr>
              <w:spacing w:line="500" w:lineRule="exact"/>
              <w:jc w:val="left"/>
              <w:rPr>
                <w:rFonts w:ascii="宋体" w:hAnsi="宋体" w:cs="宋体"/>
                <w:b/>
                <w:bCs/>
                <w:color w:val="auto"/>
                <w:highlight w:val="none"/>
              </w:rPr>
            </w:pPr>
            <w:r>
              <w:rPr>
                <w:rFonts w:hint="eastAsia" w:ascii="宋体" w:hAnsi="宋体" w:cs="宋体"/>
                <w:b/>
                <w:bCs/>
                <w:color w:val="auto"/>
                <w:highlight w:val="none"/>
              </w:rPr>
              <w:t>注：提供证书（证书获得单位名称必须与投标单位完全一致，并在有效期内）扫描件和在国家认证认可监督管理委员会网站全国认证认可信息公共服务平台的查询截图作为评审依据。</w:t>
            </w:r>
          </w:p>
          <w:p w14:paraId="62102B39">
            <w:pPr>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4.投标人获得地市级及以上政府部门认定的绿色工厂(或绿色设计产品或绿色供应链管理示范企业）的得3分。</w:t>
            </w:r>
          </w:p>
          <w:p w14:paraId="6D6A39C2">
            <w:pPr>
              <w:spacing w:line="440" w:lineRule="exact"/>
              <w:jc w:val="left"/>
              <w:rPr>
                <w:rFonts w:ascii="宋体" w:hAnsi="宋体" w:cs="宋体"/>
                <w:b/>
                <w:bCs/>
                <w:color w:val="auto"/>
                <w:sz w:val="18"/>
                <w:szCs w:val="18"/>
                <w:highlight w:val="none"/>
              </w:rPr>
            </w:pPr>
            <w:r>
              <w:rPr>
                <w:rFonts w:hint="eastAsia" w:ascii="宋体" w:hAnsi="宋体" w:cs="宋体"/>
                <w:b/>
                <w:bCs/>
                <w:color w:val="auto"/>
                <w:kern w:val="0"/>
                <w:szCs w:val="21"/>
                <w:highlight w:val="none"/>
              </w:rPr>
              <w:t>注：同时提供证书（或牌匾）和政府官网发文公示（或绿色制造公共服务平台官网查询截图）（须显示投标人名称，否则不予认</w:t>
            </w:r>
            <w:r>
              <w:rPr>
                <w:rFonts w:hint="eastAsia" w:ascii="宋体" w:hAnsi="宋体" w:cs="宋体"/>
                <w:b/>
                <w:bCs/>
                <w:color w:val="auto"/>
                <w:kern w:val="0"/>
                <w:sz w:val="18"/>
                <w:szCs w:val="18"/>
                <w:highlight w:val="none"/>
              </w:rPr>
              <w:t>可）。</w:t>
            </w:r>
          </w:p>
          <w:p w14:paraId="02D759F1">
            <w:pPr>
              <w:spacing w:line="500" w:lineRule="exact"/>
              <w:jc w:val="left"/>
              <w:rPr>
                <w:rFonts w:ascii="宋体" w:hAnsi="宋体" w:cs="宋体"/>
                <w:b/>
                <w:bCs/>
                <w:color w:val="auto"/>
                <w:highlight w:val="none"/>
              </w:rPr>
            </w:pPr>
            <w:r>
              <w:rPr>
                <w:rFonts w:hint="eastAsia" w:ascii="宋体" w:hAnsi="宋体" w:cs="宋体"/>
                <w:color w:val="auto"/>
                <w:kern w:val="0"/>
                <w:szCs w:val="21"/>
                <w:highlight w:val="none"/>
              </w:rPr>
              <w:t>5.投标人具有专精特新或专精特新“小巨人”称号的得3分。</w:t>
            </w:r>
            <w:r>
              <w:rPr>
                <w:rFonts w:hint="eastAsia" w:ascii="宋体" w:hAnsi="宋体" w:cs="宋体"/>
                <w:b/>
                <w:bCs/>
                <w:color w:val="auto"/>
                <w:sz w:val="18"/>
                <w:szCs w:val="18"/>
                <w:highlight w:val="none"/>
              </w:rPr>
              <w:t>注：</w:t>
            </w:r>
            <w:r>
              <w:rPr>
                <w:rFonts w:hint="eastAsia" w:ascii="宋体" w:hAnsi="宋体" w:cs="宋体"/>
                <w:b/>
                <w:bCs/>
                <w:color w:val="auto"/>
                <w:highlight w:val="none"/>
              </w:rPr>
              <w:t>提供证书扫描件或网站公示名单截图（显示网址）。</w:t>
            </w:r>
          </w:p>
          <w:p w14:paraId="124C362B">
            <w:pPr>
              <w:spacing w:line="500" w:lineRule="exact"/>
              <w:jc w:val="left"/>
              <w:rPr>
                <w:rFonts w:ascii="宋体" w:hAnsi="宋体" w:cs="宋体"/>
                <w:b/>
                <w:bCs/>
                <w:color w:val="auto"/>
                <w:highlight w:val="none"/>
              </w:rPr>
            </w:pPr>
            <w:r>
              <w:rPr>
                <w:rFonts w:hint="eastAsia" w:ascii="宋体" w:hAnsi="宋体" w:cs="宋体"/>
                <w:color w:val="auto"/>
                <w:kern w:val="0"/>
                <w:szCs w:val="21"/>
                <w:highlight w:val="none"/>
              </w:rPr>
              <w:t>6.投标人具有两化融合管理体系认证的得2分。</w:t>
            </w:r>
            <w:r>
              <w:rPr>
                <w:rFonts w:hint="eastAsia" w:ascii="宋体" w:hAnsi="宋体" w:cs="宋体"/>
                <w:b/>
                <w:bCs/>
                <w:color w:val="auto"/>
                <w:sz w:val="18"/>
                <w:szCs w:val="18"/>
                <w:highlight w:val="none"/>
              </w:rPr>
              <w:t>注：提供证书扫描件。</w:t>
            </w:r>
          </w:p>
          <w:p w14:paraId="556D6318">
            <w:pPr>
              <w:spacing w:line="500" w:lineRule="exact"/>
              <w:jc w:val="left"/>
              <w:rPr>
                <w:rFonts w:eastAsia="楷体_GB2312"/>
                <w:color w:val="auto"/>
                <w:highlight w:val="none"/>
              </w:rPr>
            </w:pPr>
            <w:r>
              <w:rPr>
                <w:rFonts w:hint="eastAsia" w:ascii="宋体" w:hAnsi="宋体" w:cs="宋体"/>
                <w:color w:val="auto"/>
                <w:highlight w:val="none"/>
              </w:rPr>
              <w:t>7.投标人具有中国合格评定国家认可委员会实验室认可证书的得3分。</w:t>
            </w:r>
            <w:r>
              <w:rPr>
                <w:rFonts w:hint="eastAsia" w:ascii="宋体" w:hAnsi="宋体" w:cs="宋体"/>
                <w:b/>
                <w:bCs/>
                <w:color w:val="auto"/>
                <w:highlight w:val="none"/>
              </w:rPr>
              <w:t>注：提供证书扫描件。</w:t>
            </w:r>
          </w:p>
        </w:tc>
      </w:tr>
      <w:tr w14:paraId="17CD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11A5740F">
            <w:pPr>
              <w:pStyle w:val="17"/>
              <w:spacing w:line="500" w:lineRule="exact"/>
              <w:jc w:val="center"/>
              <w:rPr>
                <w:rFonts w:ascii="宋体" w:hAnsi="宋体" w:cs="宋体"/>
                <w:color w:val="auto"/>
                <w:highlight w:val="none"/>
              </w:rPr>
            </w:pPr>
            <w:r>
              <w:rPr>
                <w:rFonts w:hint="eastAsia" w:ascii="宋体" w:hAnsi="宋体" w:cs="宋体"/>
                <w:color w:val="auto"/>
                <w:highlight w:val="none"/>
              </w:rPr>
              <w:t>3</w:t>
            </w:r>
          </w:p>
        </w:tc>
        <w:tc>
          <w:tcPr>
            <w:tcW w:w="1245" w:type="dxa"/>
            <w:vAlign w:val="center"/>
          </w:tcPr>
          <w:p w14:paraId="5792AA02">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产品实力</w:t>
            </w:r>
          </w:p>
        </w:tc>
        <w:tc>
          <w:tcPr>
            <w:tcW w:w="900" w:type="dxa"/>
            <w:vAlign w:val="center"/>
          </w:tcPr>
          <w:p w14:paraId="6AA2D382">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9分</w:t>
            </w:r>
          </w:p>
        </w:tc>
        <w:tc>
          <w:tcPr>
            <w:tcW w:w="7350" w:type="dxa"/>
            <w:vAlign w:val="center"/>
          </w:tcPr>
          <w:p w14:paraId="59E27A63">
            <w:pPr>
              <w:spacing w:line="500" w:lineRule="exact"/>
              <w:jc w:val="left"/>
              <w:rPr>
                <w:color w:val="auto"/>
                <w:highlight w:val="none"/>
              </w:rPr>
            </w:pPr>
            <w:r>
              <w:rPr>
                <w:rFonts w:hint="eastAsia"/>
                <w:color w:val="auto"/>
                <w:highlight w:val="none"/>
              </w:rPr>
              <w:t>1.投标人所投产品具有自主知识产权，提供NB-IoT物联网软件著作或参编权的得3分；</w:t>
            </w:r>
          </w:p>
          <w:p w14:paraId="15AC5B98">
            <w:pPr>
              <w:spacing w:line="500" w:lineRule="exact"/>
              <w:jc w:val="left"/>
              <w:rPr>
                <w:b/>
                <w:bCs/>
                <w:color w:val="auto"/>
                <w:highlight w:val="none"/>
              </w:rPr>
            </w:pPr>
            <w:r>
              <w:rPr>
                <w:rFonts w:hint="eastAsia"/>
                <w:b/>
                <w:bCs/>
                <w:color w:val="auto"/>
                <w:highlight w:val="none"/>
              </w:rPr>
              <w:t>注：提供证书扫描件。</w:t>
            </w:r>
          </w:p>
          <w:p w14:paraId="5A937070">
            <w:pPr>
              <w:numPr>
                <w:ilvl w:val="0"/>
                <w:numId w:val="0"/>
              </w:numPr>
              <w:spacing w:line="500" w:lineRule="exact"/>
              <w:jc w:val="left"/>
              <w:rPr>
                <w:rFonts w:hint="eastAsia"/>
                <w:color w:val="auto"/>
                <w:highlight w:val="none"/>
              </w:rPr>
            </w:pPr>
            <w:r>
              <w:rPr>
                <w:rFonts w:hint="eastAsia"/>
                <w:color w:val="auto"/>
                <w:highlight w:val="none"/>
                <w:lang w:val="en-US" w:eastAsia="zh-CN"/>
              </w:rPr>
              <w:t>2.</w:t>
            </w:r>
            <w:r>
              <w:rPr>
                <w:rFonts w:hint="eastAsia"/>
                <w:color w:val="auto"/>
                <w:highlight w:val="none"/>
              </w:rPr>
              <w:t>投标人所投产品具有进网许可证的得3分；</w:t>
            </w:r>
          </w:p>
          <w:p w14:paraId="59E83BD2">
            <w:pPr>
              <w:spacing w:line="500" w:lineRule="exact"/>
              <w:jc w:val="left"/>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提供证书扫描件。</w:t>
            </w:r>
          </w:p>
          <w:p w14:paraId="2BF59805">
            <w:pPr>
              <w:spacing w:line="440" w:lineRule="exact"/>
              <w:rPr>
                <w:color w:val="auto"/>
                <w:highlight w:val="none"/>
              </w:rPr>
            </w:pPr>
            <w:r>
              <w:rPr>
                <w:rFonts w:hint="eastAsia"/>
                <w:color w:val="auto"/>
                <w:highlight w:val="none"/>
              </w:rPr>
              <w:t>3.投标人所投产品取得省级或以上计量科学院出具的产品IP68检测报告得3分。</w:t>
            </w:r>
          </w:p>
          <w:p w14:paraId="695E0FBF">
            <w:pPr>
              <w:spacing w:line="440" w:lineRule="exact"/>
              <w:rPr>
                <w:rFonts w:ascii="宋体" w:hAnsi="宋体" w:cs="宋体"/>
                <w:b/>
                <w:bCs/>
                <w:color w:val="auto"/>
                <w:szCs w:val="21"/>
                <w:highlight w:val="none"/>
              </w:rPr>
            </w:pPr>
            <w:r>
              <w:rPr>
                <w:rFonts w:hint="eastAsia"/>
                <w:b/>
                <w:bCs/>
                <w:color w:val="auto"/>
                <w:highlight w:val="none"/>
              </w:rPr>
              <w:t>注：提供报告扫描件。</w:t>
            </w:r>
          </w:p>
        </w:tc>
      </w:tr>
      <w:tr w14:paraId="4E68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207AEDB7">
            <w:pPr>
              <w:pStyle w:val="17"/>
              <w:spacing w:line="500" w:lineRule="exact"/>
              <w:jc w:val="center"/>
              <w:rPr>
                <w:rFonts w:ascii="宋体" w:hAnsi="宋体" w:cs="宋体"/>
                <w:color w:val="auto"/>
                <w:highlight w:val="none"/>
              </w:rPr>
            </w:pPr>
            <w:r>
              <w:rPr>
                <w:rFonts w:hint="eastAsia" w:ascii="宋体" w:hAnsi="宋体" w:cs="宋体"/>
                <w:color w:val="auto"/>
                <w:highlight w:val="none"/>
              </w:rPr>
              <w:t>4</w:t>
            </w:r>
          </w:p>
        </w:tc>
        <w:tc>
          <w:tcPr>
            <w:tcW w:w="1245" w:type="dxa"/>
            <w:vAlign w:val="center"/>
          </w:tcPr>
          <w:p w14:paraId="0FAB7C03">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售后服务</w:t>
            </w:r>
          </w:p>
        </w:tc>
        <w:tc>
          <w:tcPr>
            <w:tcW w:w="900" w:type="dxa"/>
            <w:vAlign w:val="center"/>
          </w:tcPr>
          <w:p w14:paraId="476BEA62">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5分</w:t>
            </w:r>
          </w:p>
        </w:tc>
        <w:tc>
          <w:tcPr>
            <w:tcW w:w="7350" w:type="dxa"/>
            <w:vAlign w:val="center"/>
          </w:tcPr>
          <w:p w14:paraId="0D768AC0">
            <w:pPr>
              <w:spacing w:line="440" w:lineRule="exact"/>
              <w:jc w:val="left"/>
              <w:rPr>
                <w:rFonts w:ascii="宋体" w:hAnsi="宋体"/>
                <w:bCs/>
                <w:color w:val="auto"/>
                <w:szCs w:val="21"/>
                <w:highlight w:val="none"/>
              </w:rPr>
            </w:pPr>
            <w:r>
              <w:rPr>
                <w:rFonts w:hint="eastAsia" w:ascii="宋体" w:hAnsi="宋体"/>
                <w:bCs/>
                <w:color w:val="auto"/>
                <w:szCs w:val="21"/>
                <w:highlight w:val="none"/>
              </w:rPr>
              <w:t>投标人须承诺未本项目所配置的技术服务人员达到4人及以上的得3分；其中项目负责人具有高级工程师及以上职称证书的得2分；本项满分5分。</w:t>
            </w:r>
          </w:p>
          <w:p w14:paraId="06A9280B">
            <w:pPr>
              <w:spacing w:line="440" w:lineRule="exact"/>
              <w:jc w:val="left"/>
              <w:rPr>
                <w:b/>
                <w:bCs/>
                <w:color w:val="auto"/>
                <w:highlight w:val="none"/>
              </w:rPr>
            </w:pPr>
            <w:r>
              <w:rPr>
                <w:rFonts w:hint="eastAsia" w:ascii="宋体" w:hAnsi="宋体"/>
                <w:b/>
                <w:color w:val="auto"/>
                <w:szCs w:val="21"/>
                <w:highlight w:val="none"/>
              </w:rPr>
              <w:t>注：同时提供人员配置表、投标人为其相应人员连续缴纳3个月的社保证明及项目负责人职称证书扫描件，否则不得分</w:t>
            </w:r>
            <w:r>
              <w:rPr>
                <w:rFonts w:hint="eastAsia" w:ascii="宋体" w:hAnsi="宋体"/>
                <w:bCs/>
                <w:color w:val="auto"/>
                <w:szCs w:val="21"/>
                <w:highlight w:val="none"/>
              </w:rPr>
              <w:t>。</w:t>
            </w:r>
          </w:p>
        </w:tc>
      </w:tr>
      <w:tr w14:paraId="1763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2CF4AB04">
            <w:pPr>
              <w:pStyle w:val="17"/>
              <w:spacing w:line="500" w:lineRule="exact"/>
              <w:jc w:val="center"/>
              <w:rPr>
                <w:rFonts w:ascii="宋体" w:hAnsi="宋体" w:cs="宋体"/>
                <w:color w:val="auto"/>
                <w:highlight w:val="none"/>
              </w:rPr>
            </w:pPr>
            <w:r>
              <w:rPr>
                <w:rFonts w:hint="eastAsia" w:ascii="宋体" w:hAnsi="宋体" w:cs="宋体"/>
                <w:b/>
                <w:bCs/>
                <w:color w:val="auto"/>
                <w:szCs w:val="21"/>
                <w:highlight w:val="none"/>
              </w:rPr>
              <w:t>4</w:t>
            </w:r>
          </w:p>
        </w:tc>
        <w:tc>
          <w:tcPr>
            <w:tcW w:w="1245" w:type="dxa"/>
            <w:vAlign w:val="center"/>
          </w:tcPr>
          <w:p w14:paraId="541DEB03">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质保期</w:t>
            </w:r>
          </w:p>
        </w:tc>
        <w:tc>
          <w:tcPr>
            <w:tcW w:w="900" w:type="dxa"/>
            <w:vAlign w:val="center"/>
          </w:tcPr>
          <w:p w14:paraId="6FA2864A">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4分</w:t>
            </w:r>
          </w:p>
        </w:tc>
        <w:tc>
          <w:tcPr>
            <w:tcW w:w="7350" w:type="dxa"/>
            <w:vAlign w:val="center"/>
          </w:tcPr>
          <w:p w14:paraId="2A7FE52D">
            <w:pPr>
              <w:pStyle w:val="97"/>
              <w:ind w:left="0" w:firstLine="0"/>
              <w:rPr>
                <w:rFonts w:ascii="宋体" w:hAnsi="宋体" w:cs="宋体"/>
                <w:color w:val="auto"/>
                <w:highlight w:val="none"/>
              </w:rPr>
            </w:pPr>
            <w:r>
              <w:rPr>
                <w:rFonts w:hint="eastAsia" w:ascii="宋体" w:hAnsi="宋体" w:cs="宋体"/>
                <w:color w:val="auto"/>
                <w:szCs w:val="21"/>
                <w:highlight w:val="none"/>
              </w:rPr>
              <w:t>1.投标人自行承诺NB水表表电池的质保期在六年的基础上</w:t>
            </w:r>
            <w:r>
              <w:rPr>
                <w:rFonts w:hint="eastAsia" w:ascii="宋体" w:hAnsi="宋体" w:cs="宋体"/>
                <w:color w:val="auto"/>
                <w:highlight w:val="none"/>
              </w:rPr>
              <w:t>每增加1年加 1分，满分2分。</w:t>
            </w:r>
          </w:p>
          <w:p w14:paraId="5B5A75A0">
            <w:pPr>
              <w:pStyle w:val="97"/>
              <w:ind w:left="0" w:firstLine="0"/>
              <w:rPr>
                <w:rFonts w:ascii="宋体" w:hAnsi="宋体" w:cs="宋体"/>
                <w:color w:val="auto"/>
                <w:szCs w:val="21"/>
                <w:highlight w:val="none"/>
              </w:rPr>
            </w:pPr>
            <w:r>
              <w:rPr>
                <w:rFonts w:hint="eastAsia" w:ascii="宋体" w:hAnsi="宋体" w:cs="宋体"/>
                <w:color w:val="auto"/>
                <w:szCs w:val="21"/>
                <w:highlight w:val="none"/>
              </w:rPr>
              <w:t>2.本项目所投产品的质保期为六年，投标人自行承诺在招标文件要求的基础上每增加1年加1分，满分2分。</w:t>
            </w:r>
          </w:p>
          <w:p w14:paraId="58CFD4C0">
            <w:pPr>
              <w:spacing w:line="500" w:lineRule="exact"/>
              <w:rPr>
                <w:color w:val="auto"/>
                <w:highlight w:val="none"/>
              </w:rPr>
            </w:pPr>
            <w:r>
              <w:rPr>
                <w:rFonts w:hint="eastAsia" w:ascii="宋体" w:hAnsi="宋体" w:cs="宋体"/>
                <w:b/>
                <w:bCs/>
                <w:color w:val="auto"/>
                <w:szCs w:val="21"/>
                <w:highlight w:val="none"/>
              </w:rPr>
              <w:t>投标单位须自行承诺（格式自拟），</w:t>
            </w:r>
            <w:r>
              <w:rPr>
                <w:rFonts w:hint="eastAsia" w:ascii="宋体" w:hAnsi="宋体"/>
                <w:b/>
                <w:bCs/>
                <w:color w:val="auto"/>
                <w:szCs w:val="21"/>
                <w:highlight w:val="none"/>
              </w:rPr>
              <w:t>不提供不得分，</w:t>
            </w:r>
            <w:r>
              <w:rPr>
                <w:rFonts w:hint="eastAsia" w:ascii="宋体" w:hAnsi="宋体" w:cs="宋体"/>
                <w:b/>
                <w:bCs/>
                <w:color w:val="auto"/>
                <w:szCs w:val="21"/>
                <w:highlight w:val="none"/>
              </w:rPr>
              <w:t>在合同履行过程中的所涉及到的质保期时间均按自行承诺的期限执行。</w:t>
            </w:r>
          </w:p>
        </w:tc>
      </w:tr>
      <w:bookmarkEnd w:id="74"/>
    </w:tbl>
    <w:p w14:paraId="1D9ED517">
      <w:pPr>
        <w:adjustRightInd w:val="0"/>
        <w:snapToGri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6.2技术标评审细则（16分）</w:t>
      </w:r>
    </w:p>
    <w:tbl>
      <w:tblPr>
        <w:tblStyle w:val="35"/>
        <w:tblW w:w="1019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7840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4833BB31">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45" w:type="dxa"/>
            <w:vAlign w:val="center"/>
          </w:tcPr>
          <w:p w14:paraId="34531DD4">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tc>
        <w:tc>
          <w:tcPr>
            <w:tcW w:w="900" w:type="dxa"/>
            <w:vAlign w:val="center"/>
          </w:tcPr>
          <w:p w14:paraId="48885CC3">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7350" w:type="dxa"/>
            <w:vAlign w:val="center"/>
          </w:tcPr>
          <w:p w14:paraId="4390ACB4">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评审细则</w:t>
            </w:r>
          </w:p>
        </w:tc>
      </w:tr>
      <w:tr w14:paraId="3C2A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13A8C5B2">
            <w:pPr>
              <w:pStyle w:val="17"/>
              <w:spacing w:after="0" w:line="5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45" w:type="dxa"/>
            <w:vAlign w:val="center"/>
          </w:tcPr>
          <w:p w14:paraId="7B583DC2">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实施方案</w:t>
            </w:r>
          </w:p>
        </w:tc>
        <w:tc>
          <w:tcPr>
            <w:tcW w:w="900" w:type="dxa"/>
            <w:vAlign w:val="center"/>
          </w:tcPr>
          <w:p w14:paraId="77AE2172">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8分</w:t>
            </w:r>
          </w:p>
        </w:tc>
        <w:tc>
          <w:tcPr>
            <w:tcW w:w="7350" w:type="dxa"/>
            <w:vAlign w:val="center"/>
          </w:tcPr>
          <w:p w14:paraId="7E6DD3C1">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供货、安装配合、质量、安全保证体系及控制措施等科学可行。评委根据各投标人提供的方案的完整性、合理性、针对性进行横向比较打分，优秀得8分，良好得</w:t>
            </w:r>
            <w:r>
              <w:rPr>
                <w:rFonts w:hint="eastAsia" w:ascii="宋体" w:hAnsi="宋体" w:cs="宋体"/>
                <w:color w:val="auto"/>
                <w:szCs w:val="21"/>
                <w:highlight w:val="none"/>
                <w:lang w:val="en-US" w:eastAsia="zh-CN"/>
              </w:rPr>
              <w:t>7.2</w:t>
            </w:r>
            <w:r>
              <w:rPr>
                <w:rFonts w:hint="eastAsia" w:ascii="宋体" w:hAnsi="宋体" w:cs="宋体"/>
                <w:color w:val="auto"/>
                <w:szCs w:val="21"/>
                <w:highlight w:val="none"/>
              </w:rPr>
              <w:t>分，一般得</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分，合格得</w:t>
            </w:r>
            <w:r>
              <w:rPr>
                <w:rFonts w:hint="eastAsia" w:ascii="宋体" w:hAnsi="宋体" w:cs="宋体"/>
                <w:color w:val="auto"/>
                <w:szCs w:val="21"/>
                <w:highlight w:val="none"/>
                <w:lang w:val="en-US" w:eastAsia="zh-CN"/>
              </w:rPr>
              <w:t>5.6</w:t>
            </w:r>
            <w:r>
              <w:rPr>
                <w:rFonts w:hint="eastAsia" w:ascii="宋体" w:hAnsi="宋体" w:cs="宋体"/>
                <w:color w:val="auto"/>
                <w:szCs w:val="21"/>
                <w:highlight w:val="none"/>
              </w:rPr>
              <w:t xml:space="preserve">分，不合格或未提供或差的不得分。 </w:t>
            </w:r>
          </w:p>
        </w:tc>
      </w:tr>
      <w:tr w14:paraId="3FD1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316C2A0E">
            <w:pPr>
              <w:pStyle w:val="17"/>
              <w:spacing w:after="0" w:line="5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45" w:type="dxa"/>
            <w:vAlign w:val="center"/>
          </w:tcPr>
          <w:p w14:paraId="752BB39E">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调试组织方案</w:t>
            </w:r>
          </w:p>
        </w:tc>
        <w:tc>
          <w:tcPr>
            <w:tcW w:w="900" w:type="dxa"/>
            <w:vAlign w:val="center"/>
          </w:tcPr>
          <w:p w14:paraId="4EF4951E">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8分</w:t>
            </w:r>
          </w:p>
        </w:tc>
        <w:tc>
          <w:tcPr>
            <w:tcW w:w="7350" w:type="dxa"/>
            <w:vAlign w:val="center"/>
          </w:tcPr>
          <w:p w14:paraId="0F13D5EB">
            <w:pPr>
              <w:spacing w:line="500" w:lineRule="exact"/>
              <w:rPr>
                <w:rFonts w:ascii="宋体" w:hAnsi="宋体" w:cs="宋体"/>
                <w:color w:val="auto"/>
                <w:szCs w:val="21"/>
                <w:highlight w:val="none"/>
              </w:rPr>
            </w:pPr>
            <w:r>
              <w:rPr>
                <w:rFonts w:hint="eastAsia" w:ascii="宋体" w:hAnsi="宋体" w:cs="宋体"/>
                <w:color w:val="auto"/>
                <w:highlight w:val="none"/>
                <w:lang w:val="zh-CN"/>
              </w:rPr>
              <w:t>评</w:t>
            </w:r>
            <w:r>
              <w:rPr>
                <w:rFonts w:hint="eastAsia" w:ascii="宋体" w:hAnsi="宋体" w:cs="宋体"/>
                <w:color w:val="auto"/>
                <w:highlight w:val="none"/>
              </w:rPr>
              <w:t>标</w:t>
            </w:r>
            <w:r>
              <w:rPr>
                <w:rFonts w:hint="eastAsia" w:ascii="宋体" w:hAnsi="宋体" w:cs="宋体"/>
                <w:color w:val="auto"/>
                <w:highlight w:val="none"/>
                <w:lang w:val="zh-CN"/>
              </w:rPr>
              <w:t>委</w:t>
            </w:r>
            <w:r>
              <w:rPr>
                <w:rFonts w:hint="eastAsia" w:ascii="宋体" w:hAnsi="宋体" w:cs="宋体"/>
                <w:color w:val="auto"/>
                <w:highlight w:val="none"/>
              </w:rPr>
              <w:t>员</w:t>
            </w:r>
            <w:r>
              <w:rPr>
                <w:rFonts w:hint="eastAsia" w:ascii="宋体" w:hAnsi="宋体" w:cs="宋体"/>
                <w:color w:val="auto"/>
                <w:highlight w:val="none"/>
                <w:lang w:val="zh-CN"/>
              </w:rPr>
              <w:t>会</w:t>
            </w:r>
            <w:r>
              <w:rPr>
                <w:rFonts w:hint="eastAsia" w:ascii="宋体" w:hAnsi="宋体" w:cs="宋体"/>
                <w:color w:val="auto"/>
                <w:highlight w:val="none"/>
              </w:rPr>
              <w:t>依据投标人的方案</w:t>
            </w:r>
            <w:r>
              <w:rPr>
                <w:rFonts w:hint="eastAsia" w:ascii="宋体" w:hAnsi="宋体" w:cs="宋体"/>
                <w:color w:val="auto"/>
                <w:highlight w:val="none"/>
                <w:lang w:val="zh-CN"/>
              </w:rPr>
              <w:t>综合比较，投标</w:t>
            </w:r>
            <w:r>
              <w:rPr>
                <w:rFonts w:hint="eastAsia" w:ascii="宋体" w:hAnsi="宋体" w:cs="宋体"/>
                <w:color w:val="auto"/>
                <w:highlight w:val="none"/>
              </w:rPr>
              <w:t>人</w:t>
            </w:r>
            <w:r>
              <w:rPr>
                <w:rFonts w:hint="eastAsia" w:ascii="宋体" w:hAnsi="宋体" w:cs="宋体"/>
                <w:color w:val="auto"/>
                <w:highlight w:val="none"/>
                <w:lang w:val="zh-CN"/>
              </w:rPr>
              <w:t>对</w:t>
            </w:r>
            <w:r>
              <w:rPr>
                <w:rFonts w:hint="eastAsia" w:ascii="宋体" w:hAnsi="宋体" w:cs="宋体"/>
                <w:color w:val="auto"/>
                <w:highlight w:val="none"/>
              </w:rPr>
              <w:t>本项目</w:t>
            </w:r>
            <w:r>
              <w:rPr>
                <w:rFonts w:hint="eastAsia" w:ascii="宋体" w:hAnsi="宋体" w:cs="宋体"/>
                <w:color w:val="auto"/>
                <w:highlight w:val="none"/>
                <w:lang w:val="zh-CN"/>
              </w:rPr>
              <w:t>制定的</w:t>
            </w:r>
            <w:r>
              <w:rPr>
                <w:rFonts w:hint="eastAsia" w:ascii="宋体" w:hAnsi="宋体"/>
                <w:color w:val="auto"/>
                <w:szCs w:val="21"/>
                <w:highlight w:val="none"/>
              </w:rPr>
              <w:t>调</w:t>
            </w:r>
            <w:r>
              <w:rPr>
                <w:rFonts w:ascii="宋体" w:hAnsi="宋体"/>
                <w:color w:val="auto"/>
                <w:szCs w:val="21"/>
                <w:highlight w:val="none"/>
              </w:rPr>
              <w:t>试</w:t>
            </w:r>
            <w:r>
              <w:rPr>
                <w:rFonts w:hint="eastAsia" w:ascii="宋体" w:hAnsi="宋体" w:cs="宋体"/>
                <w:color w:val="auto"/>
                <w:highlight w:val="none"/>
                <w:lang w:val="zh-CN"/>
              </w:rPr>
              <w:t>组织方案分析文件内容完整性和编制水平、</w:t>
            </w:r>
            <w:r>
              <w:rPr>
                <w:rFonts w:hint="eastAsia" w:ascii="宋体" w:hAnsi="宋体"/>
                <w:color w:val="auto"/>
                <w:szCs w:val="21"/>
                <w:highlight w:val="none"/>
              </w:rPr>
              <w:t>调</w:t>
            </w:r>
            <w:r>
              <w:rPr>
                <w:rFonts w:ascii="宋体" w:hAnsi="宋体"/>
                <w:color w:val="auto"/>
                <w:szCs w:val="21"/>
                <w:highlight w:val="none"/>
              </w:rPr>
              <w:t>试</w:t>
            </w:r>
            <w:r>
              <w:rPr>
                <w:rFonts w:hint="eastAsia" w:ascii="宋体" w:hAnsi="宋体" w:cs="宋体"/>
                <w:color w:val="auto"/>
                <w:highlight w:val="none"/>
                <w:lang w:val="zh-CN"/>
              </w:rPr>
              <w:t>方案与技术措施、质量管理体系与措施、安全管理体系与措施、进度计划与措施、资源配备计划</w:t>
            </w:r>
            <w:r>
              <w:rPr>
                <w:rFonts w:hint="eastAsia" w:ascii="宋体" w:hAnsi="宋体" w:cs="宋体"/>
                <w:color w:val="auto"/>
                <w:highlight w:val="none"/>
              </w:rPr>
              <w:t>等</w:t>
            </w:r>
            <w:r>
              <w:rPr>
                <w:rFonts w:hint="eastAsia" w:ascii="宋体" w:hAnsi="宋体" w:cs="宋体"/>
                <w:color w:val="auto"/>
                <w:highlight w:val="none"/>
                <w:lang w:val="zh-CN"/>
              </w:rPr>
              <w:t>情况，综合</w:t>
            </w:r>
            <w:r>
              <w:rPr>
                <w:rFonts w:hint="eastAsia" w:ascii="宋体" w:hAnsi="宋体" w:cs="宋体"/>
                <w:color w:val="auto"/>
                <w:highlight w:val="none"/>
              </w:rPr>
              <w:t>评审</w:t>
            </w:r>
            <w:r>
              <w:rPr>
                <w:rFonts w:hint="eastAsia" w:ascii="宋体" w:hAnsi="宋体" w:cs="宋体"/>
                <w:color w:val="auto"/>
                <w:highlight w:val="none"/>
                <w:lang w:val="zh-CN"/>
              </w:rPr>
              <w:t>，</w:t>
            </w:r>
            <w:r>
              <w:rPr>
                <w:rFonts w:hint="eastAsia" w:ascii="宋体" w:hAnsi="宋体" w:cs="宋体"/>
                <w:color w:val="auto"/>
                <w:szCs w:val="21"/>
                <w:highlight w:val="none"/>
              </w:rPr>
              <w:t>优秀得8分，良好得</w:t>
            </w:r>
            <w:r>
              <w:rPr>
                <w:rFonts w:hint="eastAsia" w:ascii="宋体" w:hAnsi="宋体" w:cs="宋体"/>
                <w:color w:val="auto"/>
                <w:szCs w:val="21"/>
                <w:highlight w:val="none"/>
                <w:lang w:val="en-US" w:eastAsia="zh-CN"/>
              </w:rPr>
              <w:t>7.2</w:t>
            </w:r>
            <w:r>
              <w:rPr>
                <w:rFonts w:hint="eastAsia" w:ascii="宋体" w:hAnsi="宋体" w:cs="宋体"/>
                <w:color w:val="auto"/>
                <w:szCs w:val="21"/>
                <w:highlight w:val="none"/>
              </w:rPr>
              <w:t>分，一般得</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分，合格得</w:t>
            </w:r>
            <w:r>
              <w:rPr>
                <w:rFonts w:hint="eastAsia" w:ascii="宋体" w:hAnsi="宋体" w:cs="宋体"/>
                <w:color w:val="auto"/>
                <w:szCs w:val="21"/>
                <w:highlight w:val="none"/>
                <w:lang w:val="en-US" w:eastAsia="zh-CN"/>
              </w:rPr>
              <w:t>5.6</w:t>
            </w:r>
            <w:r>
              <w:rPr>
                <w:rFonts w:hint="eastAsia" w:ascii="宋体" w:hAnsi="宋体" w:cs="宋体"/>
                <w:color w:val="auto"/>
                <w:szCs w:val="21"/>
                <w:highlight w:val="none"/>
              </w:rPr>
              <w:t>分，不合格或未提供或差的不得分。</w:t>
            </w:r>
          </w:p>
        </w:tc>
      </w:tr>
      <w:tr w14:paraId="4614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192" w:type="dxa"/>
            <w:gridSpan w:val="4"/>
            <w:vAlign w:val="center"/>
          </w:tcPr>
          <w:p w14:paraId="227832E6">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注：1.该项由专家评委评审打分，取所有评委评分中分别去掉一个最高和最低评分后的平均值为最终得分，保留两位小数点，第三位四舍五入。</w:t>
            </w:r>
          </w:p>
          <w:p w14:paraId="13AC3092">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263588BB">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 技术标暗标不设空白页。技术标投标文件封面不出现投标人、法定代表人签章内容，格式以系统设置为准。正文必须按招标文件要求的顺序进行排版；</w:t>
            </w:r>
          </w:p>
          <w:p w14:paraId="2637FE93">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114BAE7A">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646C8783">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3.技术标暗标文件的格式、制作不符合上述要求的，每一分项扣0.2分。技术标实行暗标的，对技术标（暗标）部分不予澄清、说明或者补正。</w:t>
            </w:r>
          </w:p>
          <w:p w14:paraId="713E0E7B">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rPr>
              <w:t>技术标的</w:t>
            </w:r>
            <w:r>
              <w:rPr>
                <w:rFonts w:hint="eastAsia" w:ascii="宋体" w:hAnsi="宋体" w:cs="宋体"/>
                <w:color w:val="auto"/>
                <w:kern w:val="0"/>
                <w:szCs w:val="21"/>
                <w:highlight w:val="none"/>
                <w:lang w:val="en-US" w:eastAsia="zh-CN"/>
              </w:rPr>
              <w:t>每个评分点</w:t>
            </w:r>
            <w:r>
              <w:rPr>
                <w:rFonts w:hint="eastAsia" w:ascii="宋体" w:hAnsi="宋体" w:cs="宋体"/>
                <w:color w:val="auto"/>
                <w:kern w:val="0"/>
                <w:szCs w:val="21"/>
                <w:highlight w:val="none"/>
              </w:rPr>
              <w:t>页数不多于10页</w:t>
            </w:r>
            <w:r>
              <w:rPr>
                <w:rFonts w:hint="eastAsia" w:ascii="宋体" w:hAnsi="宋体" w:cs="宋体"/>
                <w:color w:val="auto"/>
                <w:kern w:val="0"/>
                <w:szCs w:val="21"/>
                <w:highlight w:val="none"/>
                <w:lang w:bidi="ar"/>
              </w:rPr>
              <w:t>。</w:t>
            </w:r>
            <w:r>
              <w:rPr>
                <w:rFonts w:hint="eastAsia" w:ascii="宋体" w:hAnsi="宋体"/>
                <w:color w:val="auto"/>
                <w:szCs w:val="21"/>
                <w:highlight w:val="none"/>
              </w:rPr>
              <w:t>具体篇幅(字数)要求及扣分标准（扣分值为0.2分）。偏离规定标准的，评标委员会应酌情扣分。</w:t>
            </w:r>
          </w:p>
          <w:p w14:paraId="4193321E">
            <w:pPr>
              <w:widowControl/>
              <w:spacing w:line="5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r>
              <w:rPr>
                <w:rFonts w:hint="eastAsia" w:ascii="宋体" w:hAnsi="宋体" w:cs="宋体"/>
                <w:color w:val="auto"/>
                <w:szCs w:val="21"/>
                <w:highlight w:val="none"/>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4DAE828D">
            <w:pPr>
              <w:spacing w:line="500" w:lineRule="exact"/>
              <w:jc w:val="left"/>
              <w:rPr>
                <w:rFonts w:ascii="宋体" w:hAnsi="宋体" w:cs="宋体"/>
                <w:b/>
                <w:bCs/>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szCs w:val="21"/>
                <w:highlight w:val="none"/>
              </w:rPr>
              <w:t>如所有投标企业技术标都出现能反映企业信息等相关内容的，该项目流标。</w:t>
            </w:r>
          </w:p>
        </w:tc>
      </w:tr>
    </w:tbl>
    <w:p w14:paraId="6A7849FD">
      <w:pPr>
        <w:adjustRightInd w:val="0"/>
        <w:snapToGrid w:val="0"/>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6.3商务标评审细则（30分）</w:t>
      </w:r>
    </w:p>
    <w:tbl>
      <w:tblPr>
        <w:tblStyle w:val="35"/>
        <w:tblW w:w="9929"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584"/>
      </w:tblGrid>
      <w:tr w14:paraId="73D9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14:paraId="449DBDFE">
            <w:pPr>
              <w:spacing w:line="500" w:lineRule="exact"/>
              <w:jc w:val="center"/>
              <w:rPr>
                <w:rFonts w:ascii="宋体" w:hAnsi="宋体" w:cs="宋体"/>
                <w:b/>
                <w:bCs/>
                <w:color w:val="auto"/>
                <w:highlight w:val="none"/>
              </w:rPr>
            </w:pPr>
            <w:bookmarkStart w:id="76" w:name="_Toc23311"/>
            <w:bookmarkStart w:id="77" w:name="_Toc449028881"/>
            <w:bookmarkStart w:id="78" w:name="_Toc58430321"/>
            <w:r>
              <w:rPr>
                <w:rFonts w:hint="eastAsia" w:ascii="宋体" w:hAnsi="宋体" w:cs="宋体"/>
                <w:b/>
                <w:bCs/>
                <w:color w:val="auto"/>
                <w:highlight w:val="none"/>
              </w:rPr>
              <w:t>评分因素</w:t>
            </w:r>
          </w:p>
        </w:tc>
        <w:tc>
          <w:tcPr>
            <w:tcW w:w="8584" w:type="dxa"/>
            <w:vAlign w:val="center"/>
          </w:tcPr>
          <w:p w14:paraId="501FA1D1">
            <w:pPr>
              <w:spacing w:line="500" w:lineRule="exact"/>
              <w:jc w:val="center"/>
              <w:rPr>
                <w:rFonts w:ascii="宋体" w:hAnsi="宋体" w:cs="宋体"/>
                <w:b/>
                <w:bCs/>
                <w:color w:val="auto"/>
                <w:highlight w:val="none"/>
              </w:rPr>
            </w:pPr>
            <w:r>
              <w:rPr>
                <w:rFonts w:hint="eastAsia" w:ascii="宋体" w:hAnsi="宋体" w:cs="宋体"/>
                <w:b/>
                <w:bCs/>
                <w:color w:val="auto"/>
                <w:highlight w:val="none"/>
              </w:rPr>
              <w:t>评审细则</w:t>
            </w:r>
          </w:p>
        </w:tc>
      </w:tr>
      <w:tr w14:paraId="643D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5" w:type="dxa"/>
            <w:vAlign w:val="center"/>
          </w:tcPr>
          <w:p w14:paraId="307D7666">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商务标</w:t>
            </w:r>
          </w:p>
          <w:p w14:paraId="37ED3458">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8584" w:type="dxa"/>
          </w:tcPr>
          <w:p w14:paraId="2CB22052">
            <w:pPr>
              <w:tabs>
                <w:tab w:val="left" w:pos="1080"/>
              </w:tabs>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招标人设置投标报价最高限价，各投标人有效报价不得高于最高限价，否则，其投标文件按无效标处理。</w:t>
            </w:r>
          </w:p>
          <w:p w14:paraId="546965FF">
            <w:pPr>
              <w:tabs>
                <w:tab w:val="left" w:pos="1080"/>
              </w:tabs>
              <w:spacing w:line="500" w:lineRule="exact"/>
              <w:jc w:val="left"/>
              <w:rPr>
                <w:rFonts w:ascii="宋体" w:hAnsi="宋体" w:cs="宋体"/>
                <w:color w:val="auto"/>
                <w:szCs w:val="21"/>
                <w:highlight w:val="none"/>
              </w:rPr>
            </w:pPr>
            <w:r>
              <w:rPr>
                <w:rFonts w:hint="eastAsia" w:ascii="宋体" w:hAnsi="宋体" w:cs="宋体"/>
                <w:color w:val="auto"/>
                <w:szCs w:val="21"/>
                <w:highlight w:val="none"/>
              </w:rPr>
              <w:t>1、评审基准价=所有有效投标人的最低报价；其得分为满分；</w:t>
            </w:r>
          </w:p>
          <w:p w14:paraId="186F9358">
            <w:pPr>
              <w:tabs>
                <w:tab w:val="left" w:pos="1080"/>
              </w:tabs>
              <w:spacing w:line="500" w:lineRule="exact"/>
              <w:jc w:val="left"/>
              <w:rPr>
                <w:rFonts w:ascii="宋体" w:hAnsi="宋体" w:cs="宋体"/>
                <w:color w:val="auto"/>
                <w:szCs w:val="21"/>
                <w:highlight w:val="none"/>
              </w:rPr>
            </w:pPr>
            <w:r>
              <w:rPr>
                <w:rFonts w:hint="eastAsia" w:ascii="宋体" w:hAnsi="宋体" w:cs="宋体"/>
                <w:color w:val="auto"/>
                <w:szCs w:val="21"/>
                <w:highlight w:val="none"/>
              </w:rPr>
              <w:t>2、其它报价得分=评审基准价/投标报价*满分，小数点后保留两位小数，第三位四舍五入；</w:t>
            </w:r>
          </w:p>
          <w:p w14:paraId="4FDC7C25">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3、本项分值由评审委员会负责组织计算。</w:t>
            </w:r>
          </w:p>
        </w:tc>
      </w:tr>
    </w:tbl>
    <w:p w14:paraId="647BF181">
      <w:pPr>
        <w:spacing w:before="156" w:beforeLines="50" w:after="156" w:afterLines="50" w:line="50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五、推荐中标候选人</w:t>
      </w:r>
      <w:bookmarkEnd w:id="75"/>
      <w:bookmarkEnd w:id="76"/>
      <w:bookmarkEnd w:id="77"/>
      <w:bookmarkEnd w:id="78"/>
    </w:p>
    <w:p w14:paraId="6C62FC26">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7.评标委员会按资信、技术及商务三部分得分之和从高到低按顺序，推荐3名中标候选人。 </w:t>
      </w:r>
    </w:p>
    <w:p w14:paraId="37B9EDAE">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7.1总得分相同的，按报价由低到高顺序排列。总得分且报价相同的并列，由招标人现场采取随机摇号的方式确定中标候选人。</w:t>
      </w:r>
    </w:p>
    <w:p w14:paraId="0CA40311">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7.2在同等条件、同等价格的情况下，所投产品为节能产品、环境标志产品或节能产品、环境标志产品数量多者优先。（本项目不采用）</w:t>
      </w:r>
    </w:p>
    <w:p w14:paraId="5E52D297">
      <w:pPr>
        <w:snapToGrid w:val="0"/>
        <w:spacing w:line="500" w:lineRule="exact"/>
        <w:ind w:right="-420" w:rightChars="-200" w:firstLine="422" w:firstLineChars="200"/>
        <w:rPr>
          <w:rFonts w:ascii="宋体" w:hAnsi="宋体" w:cs="宋体"/>
          <w:b/>
          <w:color w:val="auto"/>
          <w:szCs w:val="21"/>
          <w:highlight w:val="none"/>
        </w:rPr>
      </w:pPr>
      <w:r>
        <w:rPr>
          <w:rFonts w:hint="eastAsia" w:ascii="宋体" w:hAnsi="宋体" w:cs="宋体"/>
          <w:b/>
          <w:color w:val="auto"/>
          <w:szCs w:val="21"/>
          <w:highlight w:val="none"/>
        </w:rPr>
        <w:t>在专家评审结束后，根据评标委员会评审初步结论，招标人（代理机构）将对推荐的中标候选人、法定代表人及其项目负责人是否存在联合惩戒失信行为进行网上核查（网上查询要求及渠道按附件1执行）。若核查结果与投标人承诺不一致，则提交评标委员会取消其预中标候选人资格，依次替补，并再次对替补单位进行核查。核查结果不改变原评标基准值。</w:t>
      </w:r>
    </w:p>
    <w:p w14:paraId="6BB828D4">
      <w:pPr>
        <w:snapToGrid w:val="0"/>
        <w:spacing w:line="500" w:lineRule="exact"/>
        <w:ind w:right="-212" w:rightChars="-10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8.无效投标条款</w:t>
      </w:r>
    </w:p>
    <w:p w14:paraId="5D4FE9CC">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8.1投标文件有下列情形之一的,其投标文件拒收:</w:t>
      </w:r>
    </w:p>
    <w:p w14:paraId="58AE26C1">
      <w:pPr>
        <w:spacing w:line="500" w:lineRule="exact"/>
        <w:ind w:right="-212" w:rightChars="-101"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未在开标截止时间前通过网上招标投标系统递交有效电子投标文件的，开标系统不予接收，投标将被拒绝。</w:t>
      </w:r>
    </w:p>
    <w:p w14:paraId="154D0183">
      <w:pPr>
        <w:spacing w:line="500" w:lineRule="exact"/>
        <w:ind w:right="-212" w:rightChars="-101"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企业接到远程解密指令后，须在规定时间内解密。因投标人自身原因导致投标文件在规定时间内未能解密、解密失败或解密超时，投标文件无效；解密时间：从本项目网上招投标系统解密倒计时开始，至完成投标文件解密时间，不得超过60分钟，否则投标文件将被拒绝。</w:t>
      </w:r>
    </w:p>
    <w:p w14:paraId="63FDAE1F">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8.2投标人有下列情形之一的,资格审查后其投标作无效投标处理：</w:t>
      </w:r>
    </w:p>
    <w:p w14:paraId="5EF1262F">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18436E5B">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72466F8A">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(3)评标专家无法查看并检验电子投标文件中相关资料的；</w:t>
      </w:r>
    </w:p>
    <w:p w14:paraId="32AFCDBC">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(4)联合体投标未提交联合体协议的；</w:t>
      </w:r>
    </w:p>
    <w:p w14:paraId="690CEA21">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56351AE5">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(6)被暂停或取消投标资格的；</w:t>
      </w:r>
    </w:p>
    <w:p w14:paraId="4442BA52">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68DC7073">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(8)投标人单位负责人为同一人或者存在控股、管理关系的不同单位的；</w:t>
      </w:r>
    </w:p>
    <w:p w14:paraId="289C01F6">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(9)保证金不按第二章“投标人须知”及其前附表要求提交投标保证金的；</w:t>
      </w:r>
    </w:p>
    <w:p w14:paraId="7574FDAC">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(10)投标人未办理省主体库登记入库手续的；</w:t>
      </w:r>
    </w:p>
    <w:p w14:paraId="071541A2">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(11)投标人申请开具电子保函 MAC 地址一致的；</w:t>
      </w:r>
    </w:p>
    <w:p w14:paraId="1B9485C4">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(12)投标人基本资格条件和特定资格条件中有一项及以上不符合要求的；</w:t>
      </w:r>
    </w:p>
    <w:p w14:paraId="7A8ABA9C">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(13)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1FB15149">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(14)其它情形，经评标委员会委提出按无效投标处理，并经公共资源交易监督部门核准的；</w:t>
      </w:r>
    </w:p>
    <w:p w14:paraId="7B128401">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(15)投标人投标MAC地址或投标人联系人或联系电话相同的，由评标委员会否决其投标，并报告监管部门作不良行为处理和进一步调查；</w:t>
      </w:r>
    </w:p>
    <w:p w14:paraId="6D1A392F">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(16)投标人单方面出现其他投标人材料的；</w:t>
      </w:r>
    </w:p>
    <w:p w14:paraId="7C4973BF">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(17)招标文件规定的其它无效投标情形。</w:t>
      </w:r>
    </w:p>
    <w:p w14:paraId="398BCF37">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32EC0C40">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(1)投标文件签字、盖章不全，经评标委员会一致认定对开评标内容有实质性影响并经公共资源交易监督部门核准的；</w:t>
      </w:r>
    </w:p>
    <w:p w14:paraId="791BDFAE">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经公共资源交易监督部门核准的；</w:t>
      </w:r>
    </w:p>
    <w:p w14:paraId="52CB13BB">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17C98921">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58FD56A4">
      <w:pPr>
        <w:spacing w:line="500" w:lineRule="exact"/>
        <w:ind w:right="-212" w:rightChars="-101"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(5)投标报价超出规定的投标限价或公布的采购预算的或投标人的投标报价各项单价高于招标文件给定的单价最高限价；</w:t>
      </w:r>
    </w:p>
    <w:p w14:paraId="1B870A7A">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6D1D488B">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26003E82">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3D53EC8A">
      <w:pPr>
        <w:tabs>
          <w:tab w:val="left" w:pos="1123"/>
        </w:tabs>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7DB57E4E">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275FB221">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0DFF3F67">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58EB06AD">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(3)投标文件含有违反国家法律、法规的内容，或附有招标人不能接受的条件的；</w:t>
      </w:r>
    </w:p>
    <w:p w14:paraId="32C669F8">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（4）报价明显低于其他投标人，且不能证明报价合理性的投标无效；</w:t>
      </w:r>
    </w:p>
    <w:p w14:paraId="3E0EE12F">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（5）拒不确认评标委员会评审修正的投标无效；</w:t>
      </w:r>
    </w:p>
    <w:p w14:paraId="03540B67">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（6）其它情形，经评标委员会委提出按无效投标处理，并经公共资源交易监督部门核准的；</w:t>
      </w:r>
    </w:p>
    <w:p w14:paraId="6348D5DD">
      <w:pPr>
        <w:snapToGrid w:val="0"/>
        <w:spacing w:line="500" w:lineRule="exact"/>
        <w:ind w:right="-212" w:rightChars="-101" w:firstLine="420" w:firstLineChars="200"/>
        <w:jc w:val="left"/>
        <w:rPr>
          <w:rFonts w:ascii="宋体" w:hAnsi="宋体" w:cs="宋体"/>
          <w:color w:val="auto"/>
          <w:szCs w:val="21"/>
          <w:highlight w:val="none"/>
        </w:rPr>
      </w:pPr>
      <w:r>
        <w:rPr>
          <w:rFonts w:hint="eastAsia" w:ascii="宋体" w:hAnsi="宋体" w:cs="宋体"/>
          <w:color w:val="auto"/>
          <w:szCs w:val="21"/>
          <w:highlight w:val="none"/>
        </w:rPr>
        <w:t>（8）招标文件规定的其它无效投标情形。</w:t>
      </w:r>
    </w:p>
    <w:bookmarkEnd w:id="63"/>
    <w:p w14:paraId="1525D758">
      <w:pPr>
        <w:numPr>
          <w:ilvl w:val="0"/>
          <w:numId w:val="8"/>
        </w:numPr>
        <w:snapToGrid w:val="0"/>
        <w:spacing w:line="440" w:lineRule="exact"/>
        <w:ind w:left="-10" w:leftChars="-5" w:right="-334" w:rightChars="-159" w:firstLine="14"/>
        <w:jc w:val="center"/>
        <w:outlineLvl w:val="0"/>
        <w:rPr>
          <w:rFonts w:hAnsi="宋体"/>
          <w:b/>
          <w:bCs/>
          <w:color w:val="auto"/>
          <w:sz w:val="32"/>
          <w:szCs w:val="32"/>
          <w:highlight w:val="none"/>
        </w:rPr>
      </w:pPr>
      <w:bookmarkStart w:id="79" w:name="_Toc30417"/>
      <w:bookmarkStart w:id="80" w:name="_Toc449028945"/>
      <w:bookmarkStart w:id="81" w:name="_Toc22340"/>
      <w:r>
        <w:rPr>
          <w:rFonts w:hint="eastAsia" w:ascii="宋体"/>
          <w:b/>
          <w:color w:val="auto"/>
          <w:sz w:val="32"/>
          <w:szCs w:val="32"/>
          <w:highlight w:val="none"/>
        </w:rPr>
        <w:br w:type="page"/>
      </w:r>
      <w:r>
        <w:rPr>
          <w:rFonts w:hint="eastAsia" w:ascii="宋体"/>
          <w:b/>
          <w:color w:val="auto"/>
          <w:sz w:val="32"/>
          <w:szCs w:val="32"/>
          <w:highlight w:val="none"/>
        </w:rPr>
        <w:t xml:space="preserve"> </w:t>
      </w:r>
      <w:r>
        <w:rPr>
          <w:rFonts w:hint="eastAsia" w:hAnsi="宋体"/>
          <w:b/>
          <w:bCs/>
          <w:color w:val="auto"/>
          <w:sz w:val="32"/>
          <w:szCs w:val="32"/>
          <w:highlight w:val="none"/>
        </w:rPr>
        <w:t>采购内容及技术要求</w:t>
      </w:r>
      <w:bookmarkEnd w:id="79"/>
    </w:p>
    <w:p w14:paraId="0C7186CB">
      <w:pPr>
        <w:pStyle w:val="3"/>
        <w:numPr>
          <w:ilvl w:val="0"/>
          <w:numId w:val="9"/>
        </w:numPr>
        <w:spacing w:before="93" w:beforeLines="30" w:after="93" w:afterLines="30" w:line="440" w:lineRule="exact"/>
        <w:ind w:left="11"/>
        <w:jc w:val="center"/>
        <w:rPr>
          <w:b/>
          <w:bCs/>
          <w:color w:val="auto"/>
          <w:highlight w:val="none"/>
        </w:rPr>
      </w:pPr>
      <w:r>
        <w:rPr>
          <w:rFonts w:hint="eastAsia"/>
          <w:b/>
          <w:bCs/>
          <w:color w:val="auto"/>
          <w:highlight w:val="none"/>
        </w:rPr>
        <w:t>采购内容</w:t>
      </w:r>
    </w:p>
    <w:tbl>
      <w:tblPr>
        <w:tblStyle w:val="35"/>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244"/>
        <w:gridCol w:w="1275"/>
        <w:gridCol w:w="1155"/>
        <w:gridCol w:w="1197"/>
        <w:gridCol w:w="1783"/>
        <w:gridCol w:w="1727"/>
      </w:tblGrid>
      <w:tr w14:paraId="287B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14:paraId="0C34BE37">
            <w:pPr>
              <w:spacing w:line="440" w:lineRule="exact"/>
              <w:ind w:left="-197" w:leftChars="-94" w:right="-313" w:rightChars="-149"/>
              <w:jc w:val="center"/>
              <w:textAlignment w:val="center"/>
              <w:rPr>
                <w:rFonts w:ascii="宋体" w:hAnsi="宋体" w:cs="宋体"/>
                <w:b/>
                <w:color w:val="auto"/>
                <w:szCs w:val="21"/>
                <w:highlight w:val="none"/>
              </w:rPr>
            </w:pPr>
            <w:r>
              <w:rPr>
                <w:rFonts w:hint="eastAsia" w:ascii="宋体" w:hAnsi="宋体" w:cs="宋体"/>
                <w:color w:val="auto"/>
                <w:szCs w:val="21"/>
                <w:highlight w:val="none"/>
              </w:rPr>
              <w:t>序号</w:t>
            </w:r>
          </w:p>
        </w:tc>
        <w:tc>
          <w:tcPr>
            <w:tcW w:w="2244" w:type="dxa"/>
            <w:vAlign w:val="center"/>
          </w:tcPr>
          <w:p w14:paraId="3A09FDB8">
            <w:pPr>
              <w:spacing w:line="440" w:lineRule="exact"/>
              <w:ind w:left="-197" w:leftChars="-94" w:right="-313" w:rightChars="-149"/>
              <w:jc w:val="center"/>
              <w:textAlignment w:val="center"/>
              <w:rPr>
                <w:rFonts w:ascii="宋体" w:hAnsi="宋体" w:cs="宋体"/>
                <w:b/>
                <w:color w:val="auto"/>
                <w:szCs w:val="21"/>
                <w:highlight w:val="none"/>
              </w:rPr>
            </w:pPr>
            <w:r>
              <w:rPr>
                <w:rFonts w:hint="eastAsia" w:ascii="宋体" w:hAnsi="宋体" w:cs="宋体"/>
                <w:b/>
                <w:color w:val="auto"/>
                <w:szCs w:val="21"/>
                <w:highlight w:val="none"/>
              </w:rPr>
              <w:t>设备名称</w:t>
            </w:r>
          </w:p>
        </w:tc>
        <w:tc>
          <w:tcPr>
            <w:tcW w:w="1275" w:type="dxa"/>
            <w:vAlign w:val="center"/>
          </w:tcPr>
          <w:p w14:paraId="1FE6BDBC">
            <w:pPr>
              <w:spacing w:line="400" w:lineRule="exact"/>
              <w:jc w:val="center"/>
              <w:outlineLvl w:val="0"/>
              <w:rPr>
                <w:rFonts w:ascii="宋体" w:cs="宋体"/>
                <w:color w:val="auto"/>
                <w:szCs w:val="21"/>
                <w:highlight w:val="none"/>
              </w:rPr>
            </w:pPr>
            <w:r>
              <w:rPr>
                <w:rFonts w:hint="eastAsia" w:ascii="宋体" w:hAnsi="宋体" w:cs="宋体"/>
                <w:color w:val="auto"/>
                <w:szCs w:val="21"/>
                <w:highlight w:val="none"/>
              </w:rPr>
              <w:t>规格、型号</w:t>
            </w:r>
          </w:p>
        </w:tc>
        <w:tc>
          <w:tcPr>
            <w:tcW w:w="1155" w:type="dxa"/>
            <w:vAlign w:val="center"/>
          </w:tcPr>
          <w:p w14:paraId="16C7D267">
            <w:pPr>
              <w:spacing w:line="440" w:lineRule="exact"/>
              <w:ind w:left="-197" w:leftChars="-94" w:right="-313" w:rightChars="-149"/>
              <w:jc w:val="center"/>
              <w:textAlignment w:val="center"/>
              <w:rPr>
                <w:rFonts w:ascii="宋体" w:hAnsi="宋体" w:cs="宋体"/>
                <w:b/>
                <w:color w:val="auto"/>
                <w:szCs w:val="21"/>
                <w:highlight w:val="none"/>
              </w:rPr>
            </w:pPr>
            <w:r>
              <w:rPr>
                <w:rFonts w:hint="eastAsia" w:ascii="宋体" w:hAnsi="宋体" w:cs="宋体"/>
                <w:color w:val="auto"/>
                <w:szCs w:val="21"/>
                <w:highlight w:val="none"/>
              </w:rPr>
              <w:t>单位</w:t>
            </w:r>
          </w:p>
        </w:tc>
        <w:tc>
          <w:tcPr>
            <w:tcW w:w="1197" w:type="dxa"/>
            <w:vAlign w:val="center"/>
          </w:tcPr>
          <w:p w14:paraId="2B7D0F56">
            <w:pPr>
              <w:spacing w:line="440" w:lineRule="exact"/>
              <w:ind w:left="-197" w:leftChars="-94" w:right="-313" w:rightChars="-149"/>
              <w:jc w:val="center"/>
              <w:textAlignment w:val="center"/>
              <w:rPr>
                <w:rFonts w:ascii="宋体" w:hAnsi="宋体" w:cs="宋体"/>
                <w:b/>
                <w:color w:val="auto"/>
                <w:szCs w:val="21"/>
                <w:highlight w:val="none"/>
              </w:rPr>
            </w:pPr>
            <w:r>
              <w:rPr>
                <w:rFonts w:hint="eastAsia" w:ascii="宋体" w:hAnsi="宋体" w:cs="宋体"/>
                <w:color w:val="auto"/>
                <w:szCs w:val="21"/>
                <w:highlight w:val="none"/>
              </w:rPr>
              <w:t>数量</w:t>
            </w:r>
          </w:p>
        </w:tc>
        <w:tc>
          <w:tcPr>
            <w:tcW w:w="1783" w:type="dxa"/>
            <w:vAlign w:val="center"/>
          </w:tcPr>
          <w:p w14:paraId="53C2C29F">
            <w:pPr>
              <w:spacing w:line="440" w:lineRule="exact"/>
              <w:ind w:left="-197" w:leftChars="-94" w:right="-313" w:rightChars="-149"/>
              <w:jc w:val="center"/>
              <w:textAlignment w:val="center"/>
              <w:rPr>
                <w:rFonts w:ascii="宋体" w:hAnsi="宋体" w:cs="宋体"/>
                <w:b/>
                <w:color w:val="auto"/>
                <w:szCs w:val="21"/>
                <w:highlight w:val="none"/>
              </w:rPr>
            </w:pPr>
            <w:r>
              <w:rPr>
                <w:rFonts w:hint="eastAsia" w:ascii="宋体" w:hAnsi="宋体" w:cs="宋体"/>
                <w:color w:val="auto"/>
                <w:szCs w:val="21"/>
                <w:highlight w:val="none"/>
              </w:rPr>
              <w:t>最高综合单价（元）</w:t>
            </w:r>
          </w:p>
        </w:tc>
        <w:tc>
          <w:tcPr>
            <w:tcW w:w="1727" w:type="dxa"/>
            <w:vAlign w:val="center"/>
          </w:tcPr>
          <w:p w14:paraId="108A3DF4">
            <w:pPr>
              <w:spacing w:line="440" w:lineRule="exact"/>
              <w:ind w:left="-197" w:leftChars="-94" w:right="-313" w:rightChars="-149"/>
              <w:jc w:val="center"/>
              <w:textAlignment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60E1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14:paraId="492B092B">
            <w:pPr>
              <w:spacing w:line="440" w:lineRule="exact"/>
              <w:ind w:left="-197" w:leftChars="-94" w:right="-313" w:rightChars="-149"/>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2244" w:type="dxa"/>
            <w:vAlign w:val="center"/>
          </w:tcPr>
          <w:p w14:paraId="2F2E202B">
            <w:pPr>
              <w:spacing w:line="400" w:lineRule="exact"/>
              <w:jc w:val="center"/>
              <w:outlineLvl w:val="0"/>
              <w:rPr>
                <w:rFonts w:ascii="宋体" w:cs="宋体"/>
                <w:color w:val="auto"/>
                <w:szCs w:val="21"/>
                <w:highlight w:val="none"/>
              </w:rPr>
            </w:pPr>
            <w:r>
              <w:rPr>
                <w:rFonts w:hint="eastAsia"/>
                <w:color w:val="auto"/>
                <w:highlight w:val="none"/>
              </w:rPr>
              <w:t xml:space="preserve">NB水表  </w:t>
            </w:r>
          </w:p>
        </w:tc>
        <w:tc>
          <w:tcPr>
            <w:tcW w:w="1275" w:type="dxa"/>
            <w:vAlign w:val="center"/>
          </w:tcPr>
          <w:p w14:paraId="5E27288C">
            <w:pPr>
              <w:spacing w:line="400" w:lineRule="exact"/>
              <w:jc w:val="center"/>
              <w:outlineLvl w:val="0"/>
              <w:rPr>
                <w:rFonts w:ascii="宋体" w:cs="宋体"/>
                <w:color w:val="auto"/>
                <w:szCs w:val="21"/>
                <w:highlight w:val="none"/>
              </w:rPr>
            </w:pPr>
            <w:r>
              <w:rPr>
                <w:rFonts w:hint="eastAsia"/>
                <w:color w:val="auto"/>
                <w:highlight w:val="none"/>
              </w:rPr>
              <w:t xml:space="preserve">DN15    </w:t>
            </w:r>
          </w:p>
        </w:tc>
        <w:tc>
          <w:tcPr>
            <w:tcW w:w="1155" w:type="dxa"/>
            <w:vAlign w:val="center"/>
          </w:tcPr>
          <w:p w14:paraId="61559575">
            <w:pPr>
              <w:spacing w:line="440" w:lineRule="exact"/>
              <w:ind w:left="-197" w:leftChars="-94" w:right="-313" w:rightChars="-149"/>
              <w:jc w:val="center"/>
              <w:textAlignment w:val="center"/>
              <w:rPr>
                <w:rFonts w:ascii="宋体" w:hAnsi="宋体" w:cs="宋体"/>
                <w:b/>
                <w:color w:val="auto"/>
                <w:szCs w:val="21"/>
                <w:highlight w:val="none"/>
              </w:rPr>
            </w:pPr>
            <w:r>
              <w:rPr>
                <w:rFonts w:hint="eastAsia"/>
                <w:color w:val="auto"/>
                <w:highlight w:val="none"/>
              </w:rPr>
              <w:t>台</w:t>
            </w:r>
          </w:p>
        </w:tc>
        <w:tc>
          <w:tcPr>
            <w:tcW w:w="1197" w:type="dxa"/>
            <w:vAlign w:val="center"/>
          </w:tcPr>
          <w:p w14:paraId="5DC7E2E5">
            <w:pPr>
              <w:widowControl/>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30000只</w:t>
            </w:r>
          </w:p>
        </w:tc>
        <w:tc>
          <w:tcPr>
            <w:tcW w:w="1783" w:type="dxa"/>
            <w:vAlign w:val="center"/>
          </w:tcPr>
          <w:p w14:paraId="1EA3F08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727" w:type="dxa"/>
            <w:vAlign w:val="center"/>
          </w:tcPr>
          <w:p w14:paraId="6EB3A00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5730000</w:t>
            </w:r>
          </w:p>
        </w:tc>
      </w:tr>
      <w:tr w14:paraId="7A2C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7" w:type="dxa"/>
            <w:gridSpan w:val="2"/>
            <w:vAlign w:val="center"/>
          </w:tcPr>
          <w:p w14:paraId="6B186D3E">
            <w:pPr>
              <w:widowControl/>
              <w:spacing w:line="440" w:lineRule="exact"/>
              <w:ind w:left="-197" w:leftChars="-94" w:right="-313" w:rightChars="-149"/>
              <w:jc w:val="center"/>
              <w:textAlignment w:val="center"/>
              <w:rPr>
                <w:rFonts w:ascii="宋体" w:hAnsi="宋体" w:cs="宋体"/>
                <w:b/>
                <w:color w:val="auto"/>
                <w:szCs w:val="21"/>
                <w:highlight w:val="none"/>
              </w:rPr>
            </w:pPr>
            <w:r>
              <w:rPr>
                <w:rFonts w:hint="eastAsia" w:ascii="宋体" w:hAnsi="宋体" w:cs="宋体"/>
                <w:b/>
                <w:color w:val="auto"/>
                <w:szCs w:val="21"/>
                <w:highlight w:val="none"/>
              </w:rPr>
              <w:t>最高投标限价</w:t>
            </w:r>
          </w:p>
        </w:tc>
        <w:tc>
          <w:tcPr>
            <w:tcW w:w="7137" w:type="dxa"/>
            <w:gridSpan w:val="5"/>
            <w:vAlign w:val="center"/>
          </w:tcPr>
          <w:p w14:paraId="7D8A469E">
            <w:pPr>
              <w:widowControl/>
              <w:jc w:val="center"/>
              <w:textAlignment w:val="center"/>
              <w:rPr>
                <w:rFonts w:ascii="宋体" w:hAnsi="宋体" w:cs="宋体"/>
                <w:color w:val="auto"/>
                <w:kern w:val="0"/>
                <w:szCs w:val="21"/>
                <w:highlight w:val="none"/>
              </w:rPr>
            </w:pPr>
            <w:r>
              <w:rPr>
                <w:rFonts w:hint="eastAsia" w:ascii="宋体" w:hAnsi="宋体" w:cs="宋体"/>
                <w:b/>
                <w:color w:val="auto"/>
                <w:szCs w:val="21"/>
                <w:highlight w:val="none"/>
              </w:rPr>
              <w:t xml:space="preserve">伍佰柒拾叁万元整（5730000.00元） </w:t>
            </w:r>
          </w:p>
        </w:tc>
      </w:tr>
    </w:tbl>
    <w:p w14:paraId="0B20A2C7">
      <w:pPr>
        <w:widowControl/>
        <w:autoSpaceDE w:val="0"/>
        <w:autoSpaceDN w:val="0"/>
        <w:spacing w:line="440" w:lineRule="exact"/>
        <w:ind w:firstLine="422" w:firstLineChars="2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注：1.</w:t>
      </w:r>
      <w:r>
        <w:rPr>
          <w:rFonts w:hint="eastAsia" w:ascii="宋体" w:hAnsi="宋体" w:cs="宋体"/>
          <w:b/>
          <w:bCs/>
          <w:color w:val="auto"/>
          <w:spacing w:val="5"/>
          <w:szCs w:val="21"/>
          <w:highlight w:val="none"/>
        </w:rPr>
        <w:t>以上采购数量为暂定数量，仅供评标用，实际供货与结算时有可能发生变化，实际供货以招标人通知为准，结算时以实际供货数量为准</w:t>
      </w:r>
      <w:r>
        <w:rPr>
          <w:rFonts w:hint="eastAsia" w:ascii="宋体" w:hAnsi="宋体"/>
          <w:b/>
          <w:color w:val="auto"/>
          <w:kern w:val="0"/>
          <w:szCs w:val="21"/>
          <w:highlight w:val="none"/>
        </w:rPr>
        <w:t>。投标报价均保留两位小数点。中标后所报综合单价不予调整。综合单价中包含质保期内通讯费用。</w:t>
      </w:r>
    </w:p>
    <w:p w14:paraId="764E49B7">
      <w:pPr>
        <w:widowControl/>
        <w:autoSpaceDE w:val="0"/>
        <w:autoSpaceDN w:val="0"/>
        <w:spacing w:line="440" w:lineRule="exact"/>
        <w:ind w:firstLine="422" w:firstLineChars="2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2.采购内容不含铜接头和连接螺母，免费提供配套的接口垫圈。</w:t>
      </w:r>
    </w:p>
    <w:p w14:paraId="0D7A80D9">
      <w:pPr>
        <w:widowControl/>
        <w:autoSpaceDE w:val="0"/>
        <w:autoSpaceDN w:val="0"/>
        <w:spacing w:line="440" w:lineRule="exact"/>
        <w:ind w:firstLine="422" w:firstLineChars="2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3.在后续实施过程中，如产生不在本次招标清单里的材料，由中标单位按照投标报价同比例换算，和业主双方协商确定单价。</w:t>
      </w:r>
    </w:p>
    <w:p w14:paraId="1E9843A7">
      <w:pPr>
        <w:spacing w:before="93" w:beforeLines="30" w:after="93" w:afterLines="30" w:line="440" w:lineRule="exact"/>
        <w:jc w:val="center"/>
        <w:rPr>
          <w:b/>
          <w:bCs/>
          <w:color w:val="auto"/>
          <w:kern w:val="0"/>
          <w:sz w:val="24"/>
          <w:highlight w:val="none"/>
        </w:rPr>
      </w:pPr>
      <w:r>
        <w:rPr>
          <w:rFonts w:hint="eastAsia"/>
          <w:b/>
          <w:bCs/>
          <w:color w:val="auto"/>
          <w:kern w:val="0"/>
          <w:sz w:val="24"/>
          <w:highlight w:val="none"/>
        </w:rPr>
        <w:t>二、技术参数要求</w:t>
      </w:r>
    </w:p>
    <w:p w14:paraId="16F91DFD">
      <w:pPr>
        <w:pStyle w:val="102"/>
        <w:spacing w:line="440" w:lineRule="exact"/>
        <w:jc w:val="left"/>
        <w:rPr>
          <w:rFonts w:hAnsi="宋体" w:cs="宋体"/>
          <w:color w:val="auto"/>
          <w:szCs w:val="21"/>
          <w:highlight w:val="none"/>
        </w:rPr>
      </w:pPr>
      <w:r>
        <w:rPr>
          <w:rFonts w:hint="eastAsia" w:hAnsi="宋体" w:cs="宋体"/>
          <w:color w:val="auto"/>
          <w:szCs w:val="21"/>
          <w:highlight w:val="none"/>
        </w:rPr>
        <w:t>特别说明：投标人需在投标文件中明确所选用的通信技术（NB-IoT或4G Cat 1）</w:t>
      </w:r>
    </w:p>
    <w:p w14:paraId="09945192">
      <w:pPr>
        <w:pStyle w:val="102"/>
        <w:spacing w:line="440" w:lineRule="exact"/>
        <w:jc w:val="left"/>
        <w:rPr>
          <w:rFonts w:hAnsi="宋体" w:cs="宋体"/>
          <w:color w:val="auto"/>
          <w:szCs w:val="21"/>
          <w:highlight w:val="none"/>
        </w:rPr>
      </w:pPr>
      <w:r>
        <w:rPr>
          <w:rFonts w:hint="eastAsia" w:hAnsi="宋体" w:cs="宋体"/>
          <w:color w:val="auto"/>
          <w:szCs w:val="21"/>
          <w:highlight w:val="none"/>
        </w:rPr>
        <w:t>1.本项目物联网水表需支持蜂窝物联网通信功能，投标人可根据终端应用场景需求及自身技术储备，在以下两种技术中任选其一：</w:t>
      </w:r>
    </w:p>
    <w:p w14:paraId="6CBD2BA8">
      <w:pPr>
        <w:pStyle w:val="102"/>
        <w:spacing w:line="440" w:lineRule="exact"/>
        <w:jc w:val="left"/>
        <w:rPr>
          <w:rFonts w:hAnsi="宋体" w:cs="宋体"/>
          <w:color w:val="auto"/>
          <w:szCs w:val="21"/>
          <w:highlight w:val="none"/>
        </w:rPr>
      </w:pPr>
      <w:r>
        <w:rPr>
          <w:rFonts w:hint="eastAsia" w:hAnsi="宋体" w:cs="宋体"/>
          <w:color w:val="auto"/>
          <w:szCs w:val="21"/>
          <w:highlight w:val="none"/>
        </w:rPr>
        <w:t>- 窄带物联网（NB-IoT）技术，需满足3GPP R14及以上标准，支持低功耗、广覆盖特性，适应小数据量（≤100KB/次）、低频次（≤10次/天）传输场景；</w:t>
      </w:r>
    </w:p>
    <w:p w14:paraId="71A608CC">
      <w:pPr>
        <w:pStyle w:val="102"/>
        <w:spacing w:line="440" w:lineRule="exact"/>
        <w:jc w:val="left"/>
        <w:rPr>
          <w:rFonts w:hAnsi="宋体" w:cs="宋体"/>
          <w:color w:val="auto"/>
          <w:szCs w:val="21"/>
          <w:highlight w:val="none"/>
        </w:rPr>
      </w:pPr>
      <w:r>
        <w:rPr>
          <w:rFonts w:hint="eastAsia" w:hAnsi="宋体" w:cs="宋体"/>
          <w:color w:val="auto"/>
          <w:szCs w:val="21"/>
          <w:highlight w:val="none"/>
        </w:rPr>
        <w:t>- 4G Cat 1技术，需满足3GPP R13及以上标准，支持中等速率（上行≥5Mbps、下行≥10Mbps）传输，可适应中等数据量（≤1MB/次）、较高频次（≤100次/天）传输或简单交互场景。</w:t>
      </w:r>
    </w:p>
    <w:p w14:paraId="1053F68E">
      <w:pPr>
        <w:pStyle w:val="102"/>
        <w:spacing w:line="440" w:lineRule="exact"/>
        <w:jc w:val="left"/>
        <w:rPr>
          <w:rFonts w:hAnsi="宋体" w:cs="宋体"/>
          <w:color w:val="auto"/>
          <w:szCs w:val="21"/>
          <w:highlight w:val="none"/>
        </w:rPr>
      </w:pPr>
      <w:r>
        <w:rPr>
          <w:rFonts w:hint="eastAsia" w:hAnsi="宋体" w:cs="宋体"/>
          <w:color w:val="auto"/>
          <w:szCs w:val="21"/>
          <w:highlight w:val="none"/>
        </w:rPr>
        <w:t>2.共性要求：无论选择上述哪种技术，均需满足以下共性指标：</w:t>
      </w:r>
    </w:p>
    <w:p w14:paraId="248EE7B7">
      <w:pPr>
        <w:pStyle w:val="102"/>
        <w:spacing w:line="440" w:lineRule="exact"/>
        <w:jc w:val="left"/>
        <w:rPr>
          <w:rFonts w:hAnsi="宋体" w:cs="宋体"/>
          <w:color w:val="auto"/>
          <w:szCs w:val="21"/>
          <w:highlight w:val="none"/>
        </w:rPr>
      </w:pPr>
      <w:r>
        <w:rPr>
          <w:rFonts w:hint="eastAsia" w:hAnsi="宋体" w:cs="宋体"/>
          <w:color w:val="auto"/>
          <w:szCs w:val="21"/>
          <w:highlight w:val="none"/>
        </w:rPr>
        <w:t>- 通信稳定性：终端在线率≥99%，数据传输成功率≥99.5%；</w:t>
      </w:r>
    </w:p>
    <w:p w14:paraId="72176CB5">
      <w:pPr>
        <w:pStyle w:val="102"/>
        <w:spacing w:line="440" w:lineRule="exact"/>
        <w:jc w:val="left"/>
        <w:rPr>
          <w:rFonts w:hAnsi="宋体" w:cs="宋体"/>
          <w:color w:val="auto"/>
          <w:szCs w:val="21"/>
          <w:highlight w:val="none"/>
        </w:rPr>
      </w:pPr>
      <w:r>
        <w:rPr>
          <w:rFonts w:hint="eastAsia" w:hAnsi="宋体" w:cs="宋体"/>
          <w:color w:val="auto"/>
          <w:szCs w:val="21"/>
          <w:highlight w:val="none"/>
        </w:rPr>
        <w:t>- 网络兼容性：支持国内主流运营商（中国移动、中国联通、中国电信）网络接入；</w:t>
      </w:r>
    </w:p>
    <w:p w14:paraId="7C1EDBF2">
      <w:pPr>
        <w:pStyle w:val="102"/>
        <w:spacing w:line="440" w:lineRule="exact"/>
        <w:jc w:val="left"/>
        <w:rPr>
          <w:rFonts w:hAnsi="宋体" w:cs="宋体"/>
          <w:color w:val="auto"/>
          <w:szCs w:val="21"/>
          <w:highlight w:val="none"/>
        </w:rPr>
      </w:pPr>
      <w:r>
        <w:rPr>
          <w:rFonts w:hint="eastAsia" w:hAnsi="宋体" w:cs="宋体"/>
          <w:color w:val="auto"/>
          <w:szCs w:val="21"/>
          <w:highlight w:val="none"/>
        </w:rPr>
        <w:t>- 安全性：具备数据加密传输（如支持TLS 1.2及以上协议）、设备身份认证功能。</w:t>
      </w:r>
    </w:p>
    <w:p w14:paraId="1F474005">
      <w:pPr>
        <w:pStyle w:val="102"/>
        <w:spacing w:line="440" w:lineRule="exact"/>
        <w:jc w:val="left"/>
        <w:rPr>
          <w:rFonts w:hAnsi="宋体" w:cs="宋体"/>
          <w:color w:val="auto"/>
          <w:szCs w:val="21"/>
          <w:highlight w:val="none"/>
        </w:rPr>
      </w:pPr>
      <w:r>
        <w:rPr>
          <w:rFonts w:hint="eastAsia" w:hAnsi="宋体" w:cs="宋体"/>
          <w:color w:val="auto"/>
          <w:szCs w:val="21"/>
          <w:highlight w:val="none"/>
        </w:rPr>
        <w:t>★声明：本次公开招标的小口径（NB-IoT）远传水表采用分体结构设计，电子部分与基表满足电子部分或基表的分别可更换要求，机电转换技术采取无磁传感数据采集技术。</w:t>
      </w:r>
    </w:p>
    <w:p w14:paraId="3D536A68">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1、技术标准</w:t>
      </w:r>
    </w:p>
    <w:p w14:paraId="4B6E526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货物所有指标应符合以下国家或行业相关标准的最新版本:</w:t>
      </w:r>
    </w:p>
    <w:p w14:paraId="56CD34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1）GB/T778  《饮用冷水水表和热水水表》</w:t>
      </w:r>
    </w:p>
    <w:p w14:paraId="2DB330E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2）JJG162《冷水水表》</w:t>
      </w:r>
    </w:p>
    <w:p w14:paraId="21921C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CJ/T224  《电子远传水表》</w:t>
      </w:r>
    </w:p>
    <w:p w14:paraId="5292E1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5）CMA/WM778《小口径饮用水冷水表表壳技术规范》</w:t>
      </w:r>
    </w:p>
    <w:p w14:paraId="21B15F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6）JG/T162  《住宅远传抄表系统》</w:t>
      </w:r>
    </w:p>
    <w:p w14:paraId="1D275208">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2、水表基表要求</w:t>
      </w:r>
    </w:p>
    <w:p w14:paraId="5824E34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▲2.1流量参数：</w:t>
      </w:r>
    </w:p>
    <w:p w14:paraId="27B2C54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表1 基表流量参数</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0"/>
        <w:gridCol w:w="1620"/>
        <w:gridCol w:w="1502"/>
        <w:gridCol w:w="1609"/>
        <w:gridCol w:w="1611"/>
      </w:tblGrid>
      <w:tr w14:paraId="1345C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60" w:type="dxa"/>
            <w:vAlign w:val="center"/>
          </w:tcPr>
          <w:p w14:paraId="36A0803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口径</w:t>
            </w:r>
          </w:p>
          <w:p w14:paraId="73031EB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（mm）</w:t>
            </w:r>
          </w:p>
        </w:tc>
        <w:tc>
          <w:tcPr>
            <w:tcW w:w="1620" w:type="dxa"/>
            <w:vAlign w:val="center"/>
          </w:tcPr>
          <w:p w14:paraId="0CD8CF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常用流量</w:t>
            </w:r>
            <w:r>
              <w:rPr>
                <w:rFonts w:hint="eastAsia" w:ascii="宋体" w:hAnsi="宋体" w:cs="宋体"/>
                <w:color w:val="auto"/>
                <w:position w:val="-20"/>
                <w:szCs w:val="21"/>
                <w:highlight w:val="none"/>
              </w:rPr>
              <w:object>
                <v:shape id="_x0000_i1025" o:spt="75" type="#_x0000_t75" style="height:27pt;width:63.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1502" w:type="dxa"/>
            <w:vAlign w:val="center"/>
          </w:tcPr>
          <w:p w14:paraId="5279975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position w:val="-26"/>
                <w:szCs w:val="21"/>
                <w:highlight w:val="none"/>
              </w:rPr>
              <w:object>
                <v:shape id="_x0000_i1026" o:spt="75" type="#_x0000_t75" style="height:33pt;width:26.2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tc>
        <w:tc>
          <w:tcPr>
            <w:tcW w:w="1609" w:type="dxa"/>
            <w:vAlign w:val="center"/>
          </w:tcPr>
          <w:p w14:paraId="4B7EFB2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position w:val="-26"/>
                <w:szCs w:val="21"/>
                <w:highlight w:val="none"/>
              </w:rPr>
              <w:object>
                <v:shape id="_x0000_i1027" o:spt="75" type="#_x0000_t75" style="height:33pt;width:29.2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tc>
        <w:tc>
          <w:tcPr>
            <w:tcW w:w="1611" w:type="dxa"/>
            <w:vAlign w:val="center"/>
          </w:tcPr>
          <w:p w14:paraId="2B25B3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position w:val="-26"/>
                <w:szCs w:val="21"/>
                <w:highlight w:val="none"/>
              </w:rPr>
              <w:object>
                <v:shape id="_x0000_i1028" o:spt="75" type="#_x0000_t75" style="height:33pt;width:26.2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r>
      <w:tr w14:paraId="7FB5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60" w:type="dxa"/>
            <w:vAlign w:val="center"/>
          </w:tcPr>
          <w:p w14:paraId="059B0C4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DN</w:t>
            </w:r>
            <w:r>
              <w:rPr>
                <w:rFonts w:hint="eastAsia" w:ascii="宋体" w:hAnsi="宋体" w:cs="宋体"/>
                <w:color w:val="auto"/>
                <w:szCs w:val="21"/>
                <w:highlight w:val="none"/>
              </w:rPr>
              <w:t>15</w:t>
            </w:r>
          </w:p>
        </w:tc>
        <w:tc>
          <w:tcPr>
            <w:tcW w:w="1620" w:type="dxa"/>
            <w:vAlign w:val="center"/>
          </w:tcPr>
          <w:p w14:paraId="20FF750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w:t>
            </w:r>
          </w:p>
        </w:tc>
        <w:tc>
          <w:tcPr>
            <w:tcW w:w="1502" w:type="dxa"/>
            <w:vAlign w:val="center"/>
          </w:tcPr>
          <w:p w14:paraId="69C1A21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≥80</w:t>
            </w:r>
          </w:p>
        </w:tc>
        <w:tc>
          <w:tcPr>
            <w:tcW w:w="1609" w:type="dxa"/>
            <w:vAlign w:val="center"/>
          </w:tcPr>
          <w:p w14:paraId="5C67FE1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1.25</w:t>
            </w:r>
          </w:p>
        </w:tc>
        <w:tc>
          <w:tcPr>
            <w:tcW w:w="1611" w:type="dxa"/>
            <w:vAlign w:val="center"/>
          </w:tcPr>
          <w:p w14:paraId="3600766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w:t>
            </w:r>
          </w:p>
        </w:tc>
      </w:tr>
    </w:tbl>
    <w:p w14:paraId="1934518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2.2准确度等级：2级</w:t>
      </w:r>
    </w:p>
    <w:p w14:paraId="42F212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2.3压力等级：≥1.6MPa</w:t>
      </w:r>
    </w:p>
    <w:p w14:paraId="18FE61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2.4防护等级：IP68，不进灰尘，满足长期浸水的要求。</w:t>
      </w:r>
    </w:p>
    <w:p w14:paraId="03A09AA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▲2.5水表尺寸（含电子设备）：</w:t>
      </w:r>
    </w:p>
    <w:p w14:paraId="5402A3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表2 水表尺寸</w:t>
      </w:r>
    </w:p>
    <w:tbl>
      <w:tblPr>
        <w:tblStyle w:val="35"/>
        <w:tblpPr w:leftFromText="45" w:rightFromText="45" w:vertAnchor="text" w:horzAnchor="margin" w:tblpXSpec="center" w:tblpY="6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0"/>
        <w:gridCol w:w="1746"/>
        <w:gridCol w:w="1797"/>
        <w:gridCol w:w="1792"/>
      </w:tblGrid>
      <w:tr w14:paraId="1871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blCellSpacing w:w="0" w:type="dxa"/>
        </w:trPr>
        <w:tc>
          <w:tcPr>
            <w:tcW w:w="2580" w:type="dxa"/>
            <w:tcBorders>
              <w:top w:val="single" w:color="auto" w:sz="4" w:space="0"/>
              <w:left w:val="single" w:color="auto" w:sz="4" w:space="0"/>
              <w:bottom w:val="single" w:color="auto" w:sz="4" w:space="0"/>
              <w:right w:val="single" w:color="auto" w:sz="4" w:space="0"/>
            </w:tcBorders>
            <w:vAlign w:val="center"/>
          </w:tcPr>
          <w:p w14:paraId="69617EB8">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口径（mm）</w:t>
            </w:r>
          </w:p>
        </w:tc>
        <w:tc>
          <w:tcPr>
            <w:tcW w:w="1746" w:type="dxa"/>
            <w:tcBorders>
              <w:top w:val="single" w:color="auto" w:sz="4" w:space="0"/>
              <w:left w:val="single" w:color="auto" w:sz="4" w:space="0"/>
              <w:bottom w:val="single" w:color="auto" w:sz="4" w:space="0"/>
              <w:right w:val="single" w:color="auto" w:sz="4" w:space="0"/>
            </w:tcBorders>
            <w:vAlign w:val="center"/>
          </w:tcPr>
          <w:p w14:paraId="55BE856F">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长（mm）</w:t>
            </w:r>
          </w:p>
        </w:tc>
        <w:tc>
          <w:tcPr>
            <w:tcW w:w="1797" w:type="dxa"/>
            <w:tcBorders>
              <w:top w:val="single" w:color="auto" w:sz="4" w:space="0"/>
              <w:left w:val="single" w:color="auto" w:sz="4" w:space="0"/>
              <w:bottom w:val="single" w:color="auto" w:sz="4" w:space="0"/>
              <w:right w:val="single" w:color="auto" w:sz="4" w:space="0"/>
            </w:tcBorders>
            <w:vAlign w:val="center"/>
          </w:tcPr>
          <w:p w14:paraId="098DD6B0">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宽（mm）</w:t>
            </w:r>
          </w:p>
        </w:tc>
        <w:tc>
          <w:tcPr>
            <w:tcW w:w="1792" w:type="dxa"/>
            <w:tcBorders>
              <w:top w:val="single" w:color="auto" w:sz="4" w:space="0"/>
              <w:left w:val="single" w:color="auto" w:sz="4" w:space="0"/>
              <w:bottom w:val="single" w:color="auto" w:sz="4" w:space="0"/>
              <w:right w:val="single" w:color="auto" w:sz="4" w:space="0"/>
            </w:tcBorders>
            <w:vAlign w:val="center"/>
          </w:tcPr>
          <w:p w14:paraId="71973C45">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高（mm）</w:t>
            </w:r>
          </w:p>
        </w:tc>
      </w:tr>
      <w:tr w14:paraId="33C2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580" w:type="dxa"/>
            <w:tcBorders>
              <w:top w:val="single" w:color="auto" w:sz="4" w:space="0"/>
              <w:left w:val="single" w:color="auto" w:sz="4" w:space="0"/>
              <w:bottom w:val="single" w:color="auto" w:sz="4" w:space="0"/>
              <w:right w:val="single" w:color="auto" w:sz="4" w:space="0"/>
            </w:tcBorders>
            <w:vAlign w:val="center"/>
          </w:tcPr>
          <w:p w14:paraId="1D680082">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46" w:type="dxa"/>
            <w:tcBorders>
              <w:top w:val="single" w:color="auto" w:sz="4" w:space="0"/>
              <w:left w:val="single" w:color="auto" w:sz="4" w:space="0"/>
              <w:bottom w:val="single" w:color="auto" w:sz="4" w:space="0"/>
              <w:right w:val="single" w:color="auto" w:sz="4" w:space="0"/>
            </w:tcBorders>
            <w:vAlign w:val="center"/>
          </w:tcPr>
          <w:p w14:paraId="75760C30">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165</w:t>
            </w:r>
          </w:p>
        </w:tc>
        <w:tc>
          <w:tcPr>
            <w:tcW w:w="1797" w:type="dxa"/>
            <w:tcBorders>
              <w:top w:val="single" w:color="auto" w:sz="4" w:space="0"/>
              <w:left w:val="single" w:color="auto" w:sz="4" w:space="0"/>
              <w:bottom w:val="single" w:color="auto" w:sz="4" w:space="0"/>
              <w:right w:val="single" w:color="auto" w:sz="4" w:space="0"/>
            </w:tcBorders>
            <w:vAlign w:val="center"/>
          </w:tcPr>
          <w:p w14:paraId="39C7F4FF">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≤108</w:t>
            </w:r>
          </w:p>
        </w:tc>
        <w:tc>
          <w:tcPr>
            <w:tcW w:w="1792" w:type="dxa"/>
            <w:tcBorders>
              <w:top w:val="single" w:color="auto" w:sz="4" w:space="0"/>
              <w:left w:val="single" w:color="auto" w:sz="4" w:space="0"/>
              <w:bottom w:val="single" w:color="auto" w:sz="4" w:space="0"/>
              <w:right w:val="single" w:color="auto" w:sz="4" w:space="0"/>
            </w:tcBorders>
            <w:vAlign w:val="center"/>
          </w:tcPr>
          <w:p w14:paraId="1C32906F">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≤140</w:t>
            </w:r>
          </w:p>
        </w:tc>
      </w:tr>
    </w:tbl>
    <w:p w14:paraId="17294A60">
      <w:pPr>
        <w:spacing w:line="440" w:lineRule="exact"/>
        <w:ind w:firstLine="422" w:firstLineChars="200"/>
        <w:jc w:val="left"/>
        <w:rPr>
          <w:rFonts w:ascii="宋体" w:hAnsi="宋体" w:cs="宋体"/>
          <w:b/>
          <w:color w:val="auto"/>
          <w:szCs w:val="21"/>
          <w:highlight w:val="none"/>
        </w:rPr>
      </w:pPr>
    </w:p>
    <w:p w14:paraId="3BC7B958">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备注：高度是指表盖掀起时水表整体的最高高度。</w:t>
      </w:r>
    </w:p>
    <w:p w14:paraId="5442169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2.6连接件：不低于59铜。</w:t>
      </w:r>
    </w:p>
    <w:p w14:paraId="576C95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2.7计数器：数字外观高度≥4mm，宽度≥2mm，度盘长期清晰。</w:t>
      </w:r>
    </w:p>
    <w:p w14:paraId="7B8D951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 机械字轮位数：指示到m³的位数为5位，即满行度99999m³。</w:t>
      </w:r>
    </w:p>
    <w:p w14:paraId="4426E3D5">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2.9水表预留铅封口，口</w:t>
      </w:r>
      <w:r>
        <w:rPr>
          <w:rFonts w:hint="eastAsia" w:ascii="宋体" w:hAnsi="宋体" w:eastAsia="宋体" w:cs="宋体"/>
          <w:color w:val="auto"/>
          <w:szCs w:val="21"/>
          <w:highlight w:val="none"/>
        </w:rPr>
        <w:t>径不小于2mm。</w:t>
      </w:r>
    </w:p>
    <w:p w14:paraId="4BF159AD">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2.10标志：在水表表盘上按招标方要求印制相关字样和二维码。</w:t>
      </w:r>
    </w:p>
    <w:p w14:paraId="25983704">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表二维码采用AES-CBC-PKCS7加密，加密后进行base64编码，样例加密密钥以及偏移量皆为JvqO23aE/dyb62fY，明文字符串格式为：水表ID|水表钢印号|水表口径|水表厂家|水表生产日期，日期格式为yyyymmdd。以下为样例字符串明文：123456789|54231|25|水表厂家|20250818，得到密文为KlITj/XJS13zpZU1Njm0LDZIiaf0rpwg/9n4b4qefX33VQG5ApJoR54FNliSj/M0，样例</w:t>
      </w:r>
    </w:p>
    <w:p w14:paraId="02EAAC3B">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二维码由此密文生成为：</w:t>
      </w:r>
    </w:p>
    <w:p w14:paraId="6FC15F1C">
      <w:pPr>
        <w:rPr>
          <w:color w:val="auto"/>
          <w:highlight w:val="none"/>
        </w:rPr>
      </w:pPr>
      <w:r>
        <w:rPr>
          <w:color w:val="auto"/>
          <w:highlight w:val="none"/>
        </w:rPr>
        <w:drawing>
          <wp:inline distT="0" distB="0" distL="0" distR="0">
            <wp:extent cx="839470" cy="839470"/>
            <wp:effectExtent l="0" t="0" r="0" b="0"/>
            <wp:docPr id="2060582839"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82839" name="图片 1" descr="QR 代码&#10;&#10;AI 生成的内容可能不正确。"/>
                    <pic:cNvPicPr>
                      <a:picLocks noChangeAspect="1"/>
                    </pic:cNvPicPr>
                  </pic:nvPicPr>
                  <pic:blipFill>
                    <a:blip r:embed="rId16"/>
                    <a:stretch>
                      <a:fillRect/>
                    </a:stretch>
                  </pic:blipFill>
                  <pic:spPr>
                    <a:xfrm>
                      <a:off x="0" y="0"/>
                      <a:ext cx="894753" cy="894753"/>
                    </a:xfrm>
                    <a:prstGeom prst="rect">
                      <a:avLst/>
                    </a:prstGeom>
                  </pic:spPr>
                </pic:pic>
              </a:graphicData>
            </a:graphic>
          </wp:inline>
        </w:drawing>
      </w:r>
    </w:p>
    <w:p w14:paraId="1A502AC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▲2.11表壳为球墨铸铁或铜，且符合CMA/WM778《小口径饮用水冷水表表壳技术规范》相关要求。</w:t>
      </w:r>
    </w:p>
    <w:p w14:paraId="59FDE2B6">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▲2.12表内所有接触水的零部件应采用无毒、无污染、无生物活性的材料。</w:t>
      </w:r>
      <w:r>
        <w:rPr>
          <w:rFonts w:hint="eastAsia" w:ascii="宋体" w:hAnsi="宋体" w:cs="宋体"/>
          <w:b/>
          <w:bCs/>
          <w:color w:val="auto"/>
          <w:szCs w:val="21"/>
          <w:highlight w:val="none"/>
        </w:rPr>
        <w:t>（投标时，投标人提供相关的检测报告）</w:t>
      </w:r>
    </w:p>
    <w:p w14:paraId="3F1E941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2.13计数器工作环境：无要求，但是必须说明投标货物的干/湿式类型，以及计量机构设计的特点。</w:t>
      </w:r>
    </w:p>
    <w:p w14:paraId="618FCD7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2.14招标方有权根据实际情况对水表参数及要求进行合理调整。</w:t>
      </w:r>
    </w:p>
    <w:p w14:paraId="53DD9043">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3、水表电子设备要求</w:t>
      </w:r>
    </w:p>
    <w:p w14:paraId="2F3D536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 日上报成功率：≥99.5% ，机电转换误差精确至升位时，抄读准确率：≥99%，机电转换误差精确至吨位时，抄读准确率：≥99.99%。</w:t>
      </w:r>
      <w:r>
        <w:rPr>
          <w:rFonts w:hint="eastAsia" w:ascii="宋体" w:hAnsi="宋体" w:cs="宋体"/>
          <w:b/>
          <w:bCs/>
          <w:color w:val="auto"/>
          <w:szCs w:val="21"/>
          <w:highlight w:val="none"/>
        </w:rPr>
        <w:t>（投标时，投标人提供相关的证明材料）</w:t>
      </w:r>
      <w:r>
        <w:rPr>
          <w:rFonts w:hint="eastAsia" w:ascii="宋体" w:hAnsi="宋体" w:cs="宋体"/>
          <w:color w:val="auto"/>
          <w:szCs w:val="21"/>
          <w:highlight w:val="none"/>
        </w:rPr>
        <w:t>。</w:t>
      </w:r>
    </w:p>
    <w:p w14:paraId="03CA090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3.2年故障率≤1%</w:t>
      </w:r>
      <w:r>
        <w:rPr>
          <w:rFonts w:hint="eastAsia" w:ascii="宋体" w:hAnsi="宋体" w:cs="宋体"/>
          <w:b/>
          <w:bCs/>
          <w:color w:val="auto"/>
          <w:szCs w:val="21"/>
          <w:highlight w:val="none"/>
        </w:rPr>
        <w:t>（投标时，投标人提供相关的证明材料）。</w:t>
      </w:r>
    </w:p>
    <w:p w14:paraId="0B735C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温度范围：适应工作环境温度范围，0.1℃～55℃。</w:t>
      </w:r>
    </w:p>
    <w:p w14:paraId="4979AC2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湿度范围：水表适应工作环境湿度范围， 40℃时为0%～100%，远传读数装置在40℃至少为93%。</w:t>
      </w:r>
    </w:p>
    <w:p w14:paraId="5EC525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 安装环境等级：户外C级、建筑物类B级。</w:t>
      </w:r>
    </w:p>
    <w:p w14:paraId="7E13C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3.6电磁环境等级：E1级。</w:t>
      </w:r>
    </w:p>
    <w:p w14:paraId="2AF250C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3.7防护等级：IP68，不进灰尘，满足长期浸水的要求。</w:t>
      </w:r>
    </w:p>
    <w:p w14:paraId="0D15D36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▲3.8数据采集精度：精确到L位，即满行度99999.999m³。</w:t>
      </w:r>
    </w:p>
    <w:p w14:paraId="77DC2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▲3.9内置电池：锂电池且可独立更换，在上报频次为1次/日时，保证可连续使用≥6年。</w:t>
      </w:r>
    </w:p>
    <w:p w14:paraId="32814A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3.10使用寿命：电子设备的使用寿命≥6年</w:t>
      </w:r>
      <w:r>
        <w:rPr>
          <w:rFonts w:hint="eastAsia" w:ascii="宋体" w:hAnsi="宋体" w:cs="宋体"/>
          <w:b/>
          <w:bCs/>
          <w:color w:val="auto"/>
          <w:szCs w:val="21"/>
          <w:highlight w:val="none"/>
        </w:rPr>
        <w:t>（投标时，投标人提供承诺书，格式自拟）。</w:t>
      </w:r>
    </w:p>
    <w:p w14:paraId="1838EA3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3.10数据存储：可存储数据≥30天，当存满存储介质时，新采集的数据自动覆盖最早数据</w:t>
      </w:r>
    </w:p>
    <w:p w14:paraId="5DED63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▲3.11水表电子设备不得破坏基表结构，不得影响人工抄读到升位。</w:t>
      </w:r>
    </w:p>
    <w:p w14:paraId="70044E13">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★3.12通讯方式：通信模组采用UDP协议且入网时要具备空闲态重选功能，避免单一锁频。 如采用窄带物联网(NB-IOT)技术，须通过滁州本地通信运营商的NB-IoT网络实现数据传输，并提供属地化日常通信运维服务。(中标后，订合同前提供通信运营商出具并加盖公章的服务承诺函和滁州本地NB-IoT网络商用开通、覆盖情况的证明材料；如采用4G Cat1 技术，可不提供滁州本地NB-IoT网络商用开通、覆盖情况的证明材料)。</w:t>
      </w:r>
    </w:p>
    <w:p w14:paraId="5B2EBF6D">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★3.13投标方须支持《滁州市自来水有限公司NB-Iot远传表通信协议》，</w:t>
      </w:r>
      <w:r>
        <w:rPr>
          <w:rFonts w:hint="eastAsia" w:ascii="宋体" w:hAnsi="宋体" w:cs="宋体"/>
          <w:b/>
          <w:bCs/>
          <w:color w:val="auto"/>
          <w:szCs w:val="21"/>
          <w:highlight w:val="none"/>
        </w:rPr>
        <w:t>投标时提供可无缝接入滁州市自来水公司指定平台的承诺函（格式自拟）。</w:t>
      </w:r>
    </w:p>
    <w:p w14:paraId="5A5E971E">
      <w:pPr>
        <w:pStyle w:val="34"/>
        <w:spacing w:after="0" w:line="440" w:lineRule="exact"/>
        <w:ind w:firstLineChars="200"/>
        <w:jc w:val="left"/>
        <w:rPr>
          <w:rFonts w:ascii="宋体" w:hAnsi="宋体" w:cs="宋体"/>
          <w:color w:val="auto"/>
          <w:szCs w:val="21"/>
          <w:highlight w:val="none"/>
        </w:rPr>
      </w:pPr>
      <w:r>
        <w:rPr>
          <w:rFonts w:hint="eastAsia" w:ascii="宋体" w:hAnsi="宋体" w:cs="宋体"/>
          <w:color w:val="auto"/>
          <w:szCs w:val="21"/>
          <w:highlight w:val="none"/>
        </w:rPr>
        <w:t>3.14中标人中标后必须在30天内按照《滁州市自来水有限公司NB-Iot远传表通信协议》完成招标人抄表平台对接</w:t>
      </w:r>
    </w:p>
    <w:p w14:paraId="25432EA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3.14模块标识的印刷：在电子模块上按招标方要求印制相关标识和条形码。</w:t>
      </w:r>
    </w:p>
    <w:p w14:paraId="7163116F">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4、电子设备功能要求</w:t>
      </w:r>
    </w:p>
    <w:p w14:paraId="143FDF8B">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▲电子设备功能应满足以下要求：</w:t>
      </w:r>
    </w:p>
    <w:p w14:paraId="393190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 数据上报：</w:t>
      </w:r>
    </w:p>
    <w:p w14:paraId="1CB43DC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4.1.1 每日周期上报：上报前一天24小时数据，数据包含每30分钟记录一次的数据，共48个记录信息等。</w:t>
      </w:r>
    </w:p>
    <w:p w14:paraId="3949A3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 密集周期上报：从设置的起始时间算起4个小时，每5分钟一个点，共48个点正负累计流量。</w:t>
      </w:r>
    </w:p>
    <w:p w14:paraId="4E66C31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补包功能：当本次数据上报不成功时，下个上报周期数据自动补包，在数据有效保存期内的数据都可以补包。</w:t>
      </w:r>
    </w:p>
    <w:p w14:paraId="70A4202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 数据上报消息：数据上报消息要求在一个完整的消息报文中上送。</w:t>
      </w:r>
    </w:p>
    <w:p w14:paraId="44EE3D0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设置功能：可通过红外手持设备进行设置。</w:t>
      </w:r>
    </w:p>
    <w:p w14:paraId="4A48F9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4.4.1高频率周期上报设置：通过应用平台设置更改发送频率，最小做到1小时周期上报。</w:t>
      </w:r>
    </w:p>
    <w:p w14:paraId="3CC75E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4.4.2 水表底数设置：通过近端手持终端设备，设置水表初始读数，保证电子读数与水表机械读数同步。</w:t>
      </w:r>
    </w:p>
    <w:p w14:paraId="273BFBE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4.4.3 水表编号设置：通过近端手持终端设备，设置水表内电子编号。</w:t>
      </w:r>
    </w:p>
    <w:p w14:paraId="0D385A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4.4.4 IP、端口设置：可通过近端手持设备，设置IP、端口。</w:t>
      </w:r>
    </w:p>
    <w:p w14:paraId="685D15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4.4.5周期上报离散设置：通过水表电子地址号随机离散，把上报的时间点离散，10S最小估长，默认0点到8点内离散。</w:t>
      </w:r>
    </w:p>
    <w:p w14:paraId="07BB58C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4.4.6 上报重发机制设置：上报不成功，水表数据进行重发，重发次数可设，默认2次，最大可设置为4次。</w:t>
      </w:r>
    </w:p>
    <w:p w14:paraId="7DF8CD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4.4.7告警设置：对电压告警、磁干扰告警、电子模块分离告警、过流流量告警、反流流量告警均可设置立即告警或周期告警（默认周期告警）。且可设置过流流量告警、反流流量告警持续时间和告警阀值。</w:t>
      </w:r>
    </w:p>
    <w:p w14:paraId="01CAF4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 告警功能：可对电池欠压、磁干扰、电子模块分离、过流流量、反流流量进行告警。</w:t>
      </w:r>
    </w:p>
    <w:p w14:paraId="0BFB825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电压告警：水表电池欠压时，默认随周期上报数据进行告警，支持上报当前电池电压。当开启立即告警时，每日仅在首次发生时立即唤醒水表主动上报一次，并且随周期上报数据一起上报。</w:t>
      </w:r>
    </w:p>
    <w:p w14:paraId="113EEB5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4.5.2磁干扰告警：水表受到磁干扰时，默认随周期上报数据进行告警。当开启立即告警时，每日仅在首次发生时立即唤醒水表主动上报一次，并且随周期上报数据一起上报。</w:t>
      </w:r>
    </w:p>
    <w:p w14:paraId="741CD14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4.5.3电子模块分离告警：水表电子模块与基表分离时，默认随周期上报数据进行告警。当开启立即告警时，每日仅在首次发生时立即唤醒水表主动上报一次，并且随周期上报数据一起上报。</w:t>
      </w:r>
    </w:p>
    <w:p w14:paraId="2753188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4.5.4过流流量告警：水表（默认30分钟）持续流量＞过流告警阀值（默认Q4），默认随周期上报数据进行告警。当开启立即告警时，每日仅在首次发生时立即唤醒水表主动上报一次，并且随周期上报数据一起上报。</w:t>
      </w:r>
    </w:p>
    <w:p w14:paraId="116C8A2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反流流量告警：水表（默认30分钟）持续反流流量＞反流告警阀值（默认Q2），默认随周期上报数据进行告警。当开启立即告警时，每日仅在首次发生时立即唤醒水表主动上报一次，并且随周期上报数据一起上报。</w:t>
      </w:r>
    </w:p>
    <w:p w14:paraId="052D3AD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 时间校对：数据周期上报时，通过NB-IoT芯片进行校对。</w:t>
      </w:r>
    </w:p>
    <w:p w14:paraId="54825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 数据加密：水表终端应用平台可选128位高级加密标准，AES-128加密、解密算法，或支持Sha2签名。</w:t>
      </w:r>
    </w:p>
    <w:p w14:paraId="10A82180">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5、近端手持设备要求</w:t>
      </w:r>
    </w:p>
    <w:p w14:paraId="7D9F300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 通讯要求：采用红外通讯，非调制型接口，非调制式缺省值为2400 bps；</w:t>
      </w:r>
    </w:p>
    <w:p w14:paraId="7C5FCB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功能要求：具备红外扫条形码功能（可外配设备），可进行抄读、数据存储、编程且与滁州市自来水公司应用平台通讯。须支持现场手持设备对水表进行通讯、触发上线、抄读、设置、编程等功能。</w:t>
      </w:r>
    </w:p>
    <w:p w14:paraId="58936C92">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6、验收及售后约定</w:t>
      </w:r>
    </w:p>
    <w:p w14:paraId="4EE9757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6.1安装及验收标准：</w:t>
      </w:r>
    </w:p>
    <w:p w14:paraId="06A3FF9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验收依据参照和引用的相关国家和行业标准</w:t>
      </w:r>
    </w:p>
    <w:p w14:paraId="29EEC86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6.1.1《住宅远传抄表系统数据专线传输》（JG/T162-2004）</w:t>
      </w:r>
    </w:p>
    <w:p w14:paraId="1961D8E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6.1.3《饮用冷水水表和热水水表》（GB/T778.1.2.3-2007）</w:t>
      </w:r>
    </w:p>
    <w:p w14:paraId="4019DB0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6.1.4《电子远传水表》（CJ/T224）</w:t>
      </w:r>
    </w:p>
    <w:p w14:paraId="5B01FC9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6.1.5《电气装置安装工程施工及验收规范》（GB50254-50259-2006）</w:t>
      </w:r>
    </w:p>
    <w:p w14:paraId="0A94DE4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6.1.6《低压配电设计规范》（GB50054-2009）</w:t>
      </w:r>
    </w:p>
    <w:p w14:paraId="3FDECC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6.1.7《建筑工程施工质量验收统一标准》（GB50300-2001）</w:t>
      </w:r>
    </w:p>
    <w:p w14:paraId="7249924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6.1.8《施工现场临时用电安全技术规范》（JGJ46-2005）</w:t>
      </w:r>
    </w:p>
    <w:p w14:paraId="08E2FC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6.1.9《安全防范工程程序与要求》（GB50348-2004）</w:t>
      </w:r>
    </w:p>
    <w:p w14:paraId="3A835895">
      <w:pPr>
        <w:pStyle w:val="34"/>
        <w:spacing w:after="0" w:line="440" w:lineRule="exact"/>
        <w:ind w:firstLineChars="200"/>
        <w:jc w:val="left"/>
        <w:rPr>
          <w:rFonts w:ascii="宋体" w:hAnsi="宋体" w:cs="宋体"/>
          <w:color w:val="auto"/>
          <w:szCs w:val="21"/>
          <w:highlight w:val="none"/>
        </w:rPr>
      </w:pPr>
      <w:r>
        <w:rPr>
          <w:rFonts w:hint="eastAsia" w:ascii="宋体" w:hAnsi="宋体" w:cs="宋体"/>
          <w:color w:val="auto"/>
          <w:szCs w:val="21"/>
          <w:highlight w:val="none"/>
        </w:rPr>
        <w:t>6.1.10《滁州市自来水有限公司NB-Iot远传表通信协议》</w:t>
      </w:r>
    </w:p>
    <w:p w14:paraId="0BC725E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6.2水表安装验收</w:t>
      </w:r>
    </w:p>
    <w:p w14:paraId="35F18A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水表安装质量应满足相关规范、标准规定。</w:t>
      </w:r>
    </w:p>
    <w:p w14:paraId="4A8E7FE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6.2.1水表安装必须水平、无倾斜、无倒装。</w:t>
      </w:r>
    </w:p>
    <w:p w14:paraId="31EEBA8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6.2.2 电子装置（数据采集和数据传输）必须与基表结合牢固且不影响基表抄读。</w:t>
      </w:r>
    </w:p>
    <w:p w14:paraId="614A89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 电子装置初始底度与基表行度一致，并且入网成功可进行数据传输。</w:t>
      </w:r>
    </w:p>
    <w:p w14:paraId="63E4D39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6.3工程资料验收</w:t>
      </w:r>
    </w:p>
    <w:p w14:paraId="53FA4B5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工程资料验收前，应准备安装施工验收记录、水表安装清单。</w:t>
      </w:r>
    </w:p>
    <w:p w14:paraId="6604DA4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6.3.1现场安装的水表与水表安装清单一致。</w:t>
      </w:r>
    </w:p>
    <w:p w14:paraId="0570444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6.3.2如发现资料不吻合，应及时补充、修改、完善。</w:t>
      </w:r>
    </w:p>
    <w:p w14:paraId="2642D7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6.4水表运行验收</w:t>
      </w:r>
    </w:p>
    <w:p w14:paraId="54535AA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应开展水表上报数据与现场人工抄表数据核对工作，不满足要求应及时进行整改。</w:t>
      </w:r>
    </w:p>
    <w:p w14:paraId="5928EF4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6.5 售后约定</w:t>
      </w:r>
    </w:p>
    <w:p w14:paraId="7E2C441A">
      <w:pPr>
        <w:spacing w:line="44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6.5.1招标方将在小口径（NB-IoT）智慧水表安装验收合格后12个月内对</w:t>
      </w:r>
      <w:r>
        <w:rPr>
          <w:rFonts w:hint="eastAsia" w:ascii="宋体" w:hAnsi="宋体" w:cs="宋体"/>
          <w:bCs/>
          <w:color w:val="auto"/>
          <w:szCs w:val="21"/>
          <w:highlight w:val="none"/>
        </w:rPr>
        <w:t>机械水表部分按照现行水表检定规程随机抽样检定以及对电子设备的上报成功率和抄读准确率进行统计，若所抽检的机械水表示值误差不合格率＞5%或日上报成功率、抄读准确率（机电转换误差精确至升位）＜99%和抄读准确率（机电转换误差精确至吨位）＜99.5%，招标方有权取消投标人的预选供应商和年度供应商资格</w:t>
      </w:r>
      <w:r>
        <w:rPr>
          <w:rFonts w:hint="eastAsia" w:ascii="宋体" w:hAnsi="宋体" w:cs="宋体"/>
          <w:b/>
          <w:color w:val="auto"/>
          <w:szCs w:val="21"/>
          <w:highlight w:val="none"/>
        </w:rPr>
        <w:t>（投标时，投标人提供保证函，格式自拟）。</w:t>
      </w:r>
    </w:p>
    <w:p w14:paraId="0F158A09">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6.5.2招标方将在</w:t>
      </w:r>
      <w:r>
        <w:rPr>
          <w:rFonts w:hint="eastAsia" w:ascii="宋体" w:hAnsi="宋体" w:cs="宋体"/>
          <w:color w:val="auto"/>
          <w:szCs w:val="21"/>
          <w:highlight w:val="none"/>
        </w:rPr>
        <w:t>投标方的小口径（NB-IoT）智慧水表安装验收合格后进行故障率统计，若年故障率＞1%，</w:t>
      </w:r>
      <w:r>
        <w:rPr>
          <w:rFonts w:hint="eastAsia" w:ascii="宋体" w:hAnsi="宋体" w:cs="宋体"/>
          <w:bCs/>
          <w:color w:val="auto"/>
          <w:szCs w:val="21"/>
          <w:highlight w:val="none"/>
        </w:rPr>
        <w:t>招标方有权取消投标人的预选供应商和年度供应商资格</w:t>
      </w:r>
      <w:r>
        <w:rPr>
          <w:rFonts w:hint="eastAsia" w:ascii="宋体" w:hAnsi="宋体" w:cs="宋体"/>
          <w:b/>
          <w:color w:val="auto"/>
          <w:szCs w:val="21"/>
          <w:highlight w:val="none"/>
        </w:rPr>
        <w:t>（投标时，投标人提供保证函，格式自拟）</w:t>
      </w:r>
      <w:r>
        <w:rPr>
          <w:rFonts w:hint="eastAsia" w:ascii="宋体" w:hAnsi="宋体" w:cs="宋体"/>
          <w:bCs/>
          <w:color w:val="auto"/>
          <w:szCs w:val="21"/>
          <w:highlight w:val="none"/>
        </w:rPr>
        <w:t>。</w:t>
      </w:r>
    </w:p>
    <w:p w14:paraId="0FA69D0B">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▲7.其他要求</w:t>
      </w:r>
    </w:p>
    <w:p w14:paraId="27BC9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7.1列出水表主要部件的生产厂家，包括基表、电池、MCU芯片、晶振、集成电路等电子元器件。</w:t>
      </w:r>
    </w:p>
    <w:p w14:paraId="6DAF2B4B">
      <w:pPr>
        <w:pStyle w:val="34"/>
        <w:ind w:firstLine="0" w:firstLineChars="0"/>
        <w:rPr>
          <w:color w:val="auto"/>
          <w:highlight w:val="none"/>
        </w:rPr>
      </w:pPr>
    </w:p>
    <w:p w14:paraId="73566A0E">
      <w:pPr>
        <w:spacing w:line="440" w:lineRule="exact"/>
        <w:jc w:val="center"/>
        <w:rPr>
          <w:rFonts w:ascii="宋体" w:hAnsi="宋体" w:cs="宋体"/>
          <w:color w:val="auto"/>
          <w:szCs w:val="21"/>
          <w:highlight w:val="none"/>
        </w:rPr>
      </w:pPr>
      <w:r>
        <w:rPr>
          <w:rFonts w:hint="eastAsia"/>
          <w:color w:val="auto"/>
          <w:highlight w:val="none"/>
        </w:rPr>
        <w:br w:type="page"/>
      </w:r>
      <w:r>
        <w:rPr>
          <w:rFonts w:hint="eastAsia" w:ascii="宋体" w:hAnsi="宋体" w:cs="宋体"/>
          <w:color w:val="auto"/>
          <w:szCs w:val="21"/>
          <w:highlight w:val="none"/>
        </w:rPr>
        <w:t>附：滁州市自来水有限公司NB-Iot远传表</w:t>
      </w:r>
    </w:p>
    <w:p w14:paraId="0414C96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通信协议</w:t>
      </w:r>
    </w:p>
    <w:p w14:paraId="6CF7BEB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V1.1</w:t>
      </w:r>
    </w:p>
    <w:p w14:paraId="0FE99E3C">
      <w:pPr>
        <w:widowControl/>
        <w:spacing w:line="440" w:lineRule="exact"/>
        <w:jc w:val="left"/>
        <w:rPr>
          <w:rFonts w:ascii="宋体" w:hAnsi="宋体" w:cs="宋体"/>
          <w:color w:val="auto"/>
          <w:szCs w:val="21"/>
          <w:highlight w:val="none"/>
        </w:rPr>
      </w:pPr>
    </w:p>
    <w:p w14:paraId="3170E268">
      <w:pPr>
        <w:pStyle w:val="25"/>
        <w:tabs>
          <w:tab w:val="left" w:pos="840"/>
          <w:tab w:val="right" w:leader="dot" w:pos="8296"/>
        </w:tabs>
        <w:spacing w:line="440" w:lineRule="exact"/>
        <w:rPr>
          <w:rFonts w:ascii="宋体" w:hAnsi="宋体" w:cs="宋体"/>
          <w:color w:val="auto"/>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kern w:val="0"/>
          <w:szCs w:val="21"/>
          <w:highlight w:val="none"/>
        </w:rPr>
        <w:fldChar w:fldCharType="separate"/>
      </w:r>
      <w:r>
        <w:rPr>
          <w:color w:val="auto"/>
          <w:highlight w:val="none"/>
        </w:rPr>
        <w:fldChar w:fldCharType="begin"/>
      </w:r>
      <w:r>
        <w:rPr>
          <w:color w:val="auto"/>
          <w:highlight w:val="none"/>
        </w:rPr>
        <w:instrText xml:space="preserve"> HYPERLINK \l "_Toc46351121" </w:instrText>
      </w:r>
      <w:r>
        <w:rPr>
          <w:color w:val="auto"/>
          <w:highlight w:val="none"/>
        </w:rPr>
        <w:fldChar w:fldCharType="separate"/>
      </w:r>
      <w:r>
        <w:rPr>
          <w:rStyle w:val="46"/>
          <w:rFonts w:hint="eastAsia" w:ascii="宋体" w:hAnsi="宋体" w:cs="宋体"/>
          <w:color w:val="auto"/>
          <w:szCs w:val="21"/>
          <w:highlight w:val="none"/>
        </w:rPr>
        <w:t>一、</w:t>
      </w:r>
      <w:r>
        <w:rPr>
          <w:rFonts w:hint="eastAsia" w:ascii="宋体" w:hAnsi="宋体" w:cs="宋体"/>
          <w:color w:val="auto"/>
          <w:szCs w:val="21"/>
          <w:highlight w:val="none"/>
        </w:rPr>
        <w:tab/>
      </w:r>
      <w:r>
        <w:rPr>
          <w:rStyle w:val="46"/>
          <w:rFonts w:hint="eastAsia" w:ascii="宋体" w:hAnsi="宋体" w:cs="宋体"/>
          <w:color w:val="auto"/>
          <w:szCs w:val="21"/>
          <w:highlight w:val="none"/>
        </w:rPr>
        <w:t>通信方式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_Toc46351121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- 34 -</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DBD3036">
      <w:pPr>
        <w:pStyle w:val="25"/>
        <w:tabs>
          <w:tab w:val="left" w:pos="840"/>
          <w:tab w:val="right" w:leader="dot" w:pos="8296"/>
        </w:tabs>
        <w:spacing w:line="440" w:lineRule="exact"/>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"_Toc46351122" </w:instrText>
      </w:r>
      <w:r>
        <w:rPr>
          <w:color w:val="auto"/>
          <w:highlight w:val="none"/>
        </w:rPr>
        <w:fldChar w:fldCharType="separate"/>
      </w:r>
      <w:r>
        <w:rPr>
          <w:rStyle w:val="46"/>
          <w:rFonts w:hint="eastAsia" w:ascii="宋体" w:hAnsi="宋体" w:cs="宋体"/>
          <w:color w:val="auto"/>
          <w:szCs w:val="21"/>
          <w:highlight w:val="none"/>
        </w:rPr>
        <w:t>二、</w:t>
      </w:r>
      <w:r>
        <w:rPr>
          <w:rFonts w:hint="eastAsia" w:ascii="宋体" w:hAnsi="宋体" w:cs="宋体"/>
          <w:color w:val="auto"/>
          <w:szCs w:val="21"/>
          <w:highlight w:val="none"/>
        </w:rPr>
        <w:tab/>
      </w:r>
      <w:r>
        <w:rPr>
          <w:rStyle w:val="46"/>
          <w:rFonts w:hint="eastAsia" w:ascii="宋体" w:hAnsi="宋体" w:cs="宋体"/>
          <w:color w:val="auto"/>
          <w:szCs w:val="21"/>
          <w:highlight w:val="none"/>
        </w:rPr>
        <w:t>JSON格式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_Toc46351122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- 34 -</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EE5A18A">
      <w:pPr>
        <w:pStyle w:val="25"/>
        <w:tabs>
          <w:tab w:val="left" w:pos="840"/>
          <w:tab w:val="right" w:leader="dot" w:pos="8296"/>
        </w:tabs>
        <w:spacing w:line="440" w:lineRule="exact"/>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"_Toc46351123" </w:instrText>
      </w:r>
      <w:r>
        <w:rPr>
          <w:color w:val="auto"/>
          <w:highlight w:val="none"/>
        </w:rPr>
        <w:fldChar w:fldCharType="separate"/>
      </w:r>
      <w:r>
        <w:rPr>
          <w:rStyle w:val="46"/>
          <w:rFonts w:hint="eastAsia" w:ascii="宋体" w:hAnsi="宋体" w:cs="宋体"/>
          <w:color w:val="auto"/>
          <w:szCs w:val="21"/>
          <w:highlight w:val="none"/>
        </w:rPr>
        <w:t>三、</w:t>
      </w:r>
      <w:r>
        <w:rPr>
          <w:rFonts w:hint="eastAsia" w:ascii="宋体" w:hAnsi="宋体" w:cs="宋体"/>
          <w:color w:val="auto"/>
          <w:szCs w:val="21"/>
          <w:highlight w:val="none"/>
        </w:rPr>
        <w:tab/>
      </w:r>
      <w:r>
        <w:rPr>
          <w:rStyle w:val="46"/>
          <w:rFonts w:hint="eastAsia" w:ascii="宋体" w:hAnsi="宋体" w:cs="宋体"/>
          <w:color w:val="auto"/>
          <w:szCs w:val="21"/>
          <w:highlight w:val="none"/>
        </w:rPr>
        <w:t>业务接口</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_Toc46351123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- 35 -</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5EB93DC">
      <w:pPr>
        <w:pStyle w:val="25"/>
        <w:tabs>
          <w:tab w:val="right" w:leader="dot" w:pos="8296"/>
        </w:tabs>
        <w:spacing w:line="440" w:lineRule="exact"/>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"_Toc46351124" </w:instrText>
      </w:r>
      <w:r>
        <w:rPr>
          <w:color w:val="auto"/>
          <w:highlight w:val="none"/>
        </w:rPr>
        <w:fldChar w:fldCharType="separate"/>
      </w:r>
      <w:r>
        <w:rPr>
          <w:rStyle w:val="46"/>
          <w:rFonts w:hint="eastAsia" w:ascii="宋体" w:hAnsi="宋体" w:cs="宋体"/>
          <w:color w:val="auto"/>
          <w:szCs w:val="21"/>
          <w:highlight w:val="none"/>
        </w:rPr>
        <w:t>上报数据</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_Toc46351124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- 35 -</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0C69B7F">
      <w:pPr>
        <w:pStyle w:val="25"/>
        <w:tabs>
          <w:tab w:val="right" w:leader="dot" w:pos="8296"/>
        </w:tabs>
        <w:spacing w:line="440" w:lineRule="exact"/>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"_Toc46351125" </w:instrText>
      </w:r>
      <w:r>
        <w:rPr>
          <w:color w:val="auto"/>
          <w:highlight w:val="none"/>
        </w:rPr>
        <w:fldChar w:fldCharType="separate"/>
      </w:r>
      <w:r>
        <w:rPr>
          <w:rStyle w:val="46"/>
          <w:rFonts w:hint="eastAsia" w:ascii="宋体" w:hAnsi="宋体" w:cs="宋体"/>
          <w:color w:val="auto"/>
          <w:szCs w:val="21"/>
          <w:highlight w:val="none"/>
        </w:rPr>
        <w:t>下发数据</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_Toc46351125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- 35 -</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125F388">
      <w:pPr>
        <w:spacing w:line="440" w:lineRule="exact"/>
        <w:rPr>
          <w:rFonts w:ascii="宋体" w:hAnsi="宋体" w:cs="宋体"/>
          <w:color w:val="auto"/>
          <w:szCs w:val="21"/>
          <w:highlight w:val="none"/>
        </w:rPr>
      </w:pPr>
      <w:r>
        <w:rPr>
          <w:rFonts w:hint="eastAsia" w:ascii="宋体" w:hAnsi="宋体" w:cs="宋体"/>
          <w:color w:val="auto"/>
          <w:szCs w:val="21"/>
          <w:highlight w:val="none"/>
        </w:rPr>
        <w:fldChar w:fldCharType="end"/>
      </w:r>
    </w:p>
    <w:p w14:paraId="0E84923D">
      <w:pPr>
        <w:pStyle w:val="2"/>
        <w:spacing w:before="120" w:after="120" w:line="240" w:lineRule="auto"/>
        <w:ind w:left="420" w:hanging="420"/>
        <w:jc w:val="left"/>
        <w:rPr>
          <w:color w:val="auto"/>
          <w:highlight w:val="none"/>
        </w:rPr>
      </w:pPr>
      <w:r>
        <w:rPr>
          <w:rFonts w:ascii="黑体" w:hAnsi="黑体" w:eastAsia="黑体"/>
          <w:color w:val="auto"/>
          <w:szCs w:val="32"/>
          <w:highlight w:val="none"/>
        </w:rPr>
        <w:br w:type="page"/>
      </w:r>
      <w:bookmarkStart w:id="82" w:name="_Toc46351121"/>
      <w:bookmarkStart w:id="83" w:name="_Toc375311925"/>
      <w:bookmarkStart w:id="84" w:name="_Toc290676984"/>
      <w:r>
        <w:rPr>
          <w:rFonts w:hint="eastAsia"/>
          <w:color w:val="auto"/>
          <w:highlight w:val="none"/>
        </w:rPr>
        <w:t>通信方式</w:t>
      </w:r>
      <w:bookmarkEnd w:id="82"/>
    </w:p>
    <w:p w14:paraId="7D7250DA">
      <w:pPr>
        <w:widowControl/>
        <w:jc w:val="left"/>
        <w:rPr>
          <w:color w:val="auto"/>
          <w:highlight w:val="none"/>
        </w:rPr>
      </w:pPr>
    </w:p>
    <w:p w14:paraId="1A52A530">
      <w:pPr>
        <w:pStyle w:val="34"/>
        <w:spacing w:after="0"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通信方式支持UDP/CoAP或TCP。支持水表或后台直接上报至公司的服务器。</w:t>
      </w:r>
    </w:p>
    <w:p w14:paraId="0ADCAC95">
      <w:pPr>
        <w:pStyle w:val="34"/>
        <w:spacing w:after="0"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水表上线上报数据后，服务器下发给水表命令。</w:t>
      </w:r>
    </w:p>
    <w:p w14:paraId="248A600E">
      <w:pPr>
        <w:pStyle w:val="34"/>
        <w:spacing w:after="0"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请求和应答的数据格式均为在Json加7个字节的识别符（SCIJSON）和六个字节的ASCII码数字的json数据长度。如SCIJSON00456{…}</w:t>
      </w:r>
    </w:p>
    <w:p w14:paraId="4C297AC0">
      <w:pPr>
        <w:pStyle w:val="34"/>
        <w:spacing w:after="0" w:line="440" w:lineRule="exact"/>
        <w:ind w:firstLine="0" w:firstLineChars="0"/>
        <w:rPr>
          <w:rFonts w:ascii="宋体" w:hAnsi="宋体" w:cs="宋体"/>
          <w:color w:val="auto"/>
          <w:szCs w:val="21"/>
          <w:highlight w:val="none"/>
        </w:rPr>
      </w:pPr>
    </w:p>
    <w:p w14:paraId="76890DCE">
      <w:pPr>
        <w:widowControl/>
        <w:spacing w:line="440" w:lineRule="exact"/>
        <w:jc w:val="left"/>
        <w:rPr>
          <w:rFonts w:ascii="宋体" w:hAnsi="宋体" w:cs="宋体"/>
          <w:color w:val="auto"/>
          <w:szCs w:val="21"/>
          <w:highlight w:val="none"/>
        </w:rPr>
      </w:pPr>
      <w:bookmarkStart w:id="85" w:name="_Toc46351122"/>
      <w:r>
        <w:rPr>
          <w:rFonts w:hint="eastAsia" w:ascii="宋体" w:hAnsi="宋体" w:cs="宋体"/>
          <w:color w:val="auto"/>
          <w:szCs w:val="21"/>
          <w:highlight w:val="none"/>
        </w:rPr>
        <w:t>JSON格式</w:t>
      </w:r>
      <w:bookmarkEnd w:id="83"/>
      <w:bookmarkEnd w:id="84"/>
      <w:bookmarkEnd w:id="85"/>
    </w:p>
    <w:p w14:paraId="24753D7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param1":"values1" },{" param2":"values2" },……{"paramn":"valuesn" }</w:t>
      </w:r>
    </w:p>
    <w:p w14:paraId="4B82A412">
      <w:pPr>
        <w:pStyle w:val="34"/>
        <w:numPr>
          <w:ilvl w:val="0"/>
          <w:numId w:val="10"/>
        </w:numPr>
        <w:tabs>
          <w:tab w:val="left" w:pos="284"/>
        </w:tabs>
        <w:spacing w:after="0" w:line="440" w:lineRule="exact"/>
        <w:ind w:left="845" w:firstLineChars="0"/>
        <w:rPr>
          <w:rFonts w:ascii="宋体" w:hAnsi="宋体" w:cs="宋体"/>
          <w:color w:val="auto"/>
          <w:szCs w:val="21"/>
          <w:highlight w:val="none"/>
        </w:rPr>
      </w:pPr>
      <w:r>
        <w:rPr>
          <w:rFonts w:hint="eastAsia" w:ascii="宋体" w:hAnsi="宋体" w:cs="宋体"/>
          <w:color w:val="auto"/>
          <w:szCs w:val="21"/>
          <w:highlight w:val="none"/>
        </w:rPr>
        <w:t>param1为Key</w:t>
      </w:r>
    </w:p>
    <w:p w14:paraId="2B7331EB">
      <w:pPr>
        <w:pStyle w:val="34"/>
        <w:numPr>
          <w:ilvl w:val="0"/>
          <w:numId w:val="10"/>
        </w:numPr>
        <w:tabs>
          <w:tab w:val="left" w:pos="284"/>
        </w:tabs>
        <w:spacing w:after="0" w:line="440" w:lineRule="exact"/>
        <w:ind w:left="845" w:firstLineChars="0"/>
        <w:rPr>
          <w:rFonts w:ascii="宋体" w:hAnsi="宋体" w:cs="宋体"/>
          <w:color w:val="auto"/>
          <w:szCs w:val="21"/>
          <w:highlight w:val="none"/>
        </w:rPr>
      </w:pPr>
      <w:r>
        <w:rPr>
          <w:rFonts w:hint="eastAsia" w:ascii="宋体" w:hAnsi="宋体" w:cs="宋体"/>
          <w:color w:val="auto"/>
          <w:szCs w:val="21"/>
          <w:highlight w:val="none"/>
        </w:rPr>
        <w:t>values1为值，为通用起见，全部为字符型。</w:t>
      </w:r>
    </w:p>
    <w:p w14:paraId="4F5ECAAD">
      <w:pPr>
        <w:pStyle w:val="34"/>
        <w:tabs>
          <w:tab w:val="left" w:pos="284"/>
        </w:tabs>
        <w:spacing w:after="0" w:line="440" w:lineRule="exact"/>
        <w:ind w:left="845" w:firstLine="0" w:firstLineChars="0"/>
        <w:rPr>
          <w:rFonts w:ascii="宋体" w:hAnsi="宋体" w:cs="宋体"/>
          <w:color w:val="auto"/>
          <w:szCs w:val="21"/>
          <w:highlight w:val="none"/>
        </w:rPr>
      </w:pPr>
      <w:r>
        <w:rPr>
          <w:rFonts w:hint="eastAsia" w:ascii="宋体" w:hAnsi="宋体" w:cs="宋体"/>
          <w:color w:val="auto"/>
          <w:szCs w:val="21"/>
          <w:highlight w:val="none"/>
        </w:rPr>
        <w:t>格式：</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6606"/>
      </w:tblGrid>
      <w:tr w14:paraId="2468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682" w:type="dxa"/>
            <w:vAlign w:val="center"/>
          </w:tcPr>
          <w:p w14:paraId="296EBEE1">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Key</w:t>
            </w:r>
          </w:p>
        </w:tc>
        <w:tc>
          <w:tcPr>
            <w:tcW w:w="6606" w:type="dxa"/>
            <w:vAlign w:val="center"/>
          </w:tcPr>
          <w:p w14:paraId="56931AF8">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参数值含义</w:t>
            </w:r>
          </w:p>
        </w:tc>
      </w:tr>
      <w:tr w14:paraId="653A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682" w:type="dxa"/>
            <w:vAlign w:val="center"/>
          </w:tcPr>
          <w:p w14:paraId="6305A06E">
            <w:pPr>
              <w:spacing w:line="440" w:lineRule="exact"/>
              <w:rPr>
                <w:rFonts w:ascii="宋体" w:hAnsi="宋体" w:cs="宋体"/>
                <w:color w:val="auto"/>
                <w:szCs w:val="21"/>
                <w:highlight w:val="none"/>
              </w:rPr>
            </w:pPr>
            <w:r>
              <w:rPr>
                <w:rFonts w:hint="eastAsia" w:ascii="宋体" w:hAnsi="宋体" w:cs="宋体"/>
                <w:color w:val="auto"/>
                <w:szCs w:val="21"/>
                <w:highlight w:val="none"/>
              </w:rPr>
              <w:t>SC</w:t>
            </w:r>
          </w:p>
        </w:tc>
        <w:tc>
          <w:tcPr>
            <w:tcW w:w="6606" w:type="dxa"/>
            <w:vAlign w:val="center"/>
          </w:tcPr>
          <w:p w14:paraId="44DA4B45">
            <w:pPr>
              <w:spacing w:line="440" w:lineRule="exact"/>
              <w:rPr>
                <w:rFonts w:ascii="宋体" w:hAnsi="宋体" w:cs="宋体"/>
                <w:color w:val="auto"/>
                <w:szCs w:val="21"/>
                <w:highlight w:val="none"/>
              </w:rPr>
            </w:pPr>
            <w:r>
              <w:rPr>
                <w:rFonts w:hint="eastAsia" w:ascii="宋体" w:hAnsi="宋体" w:cs="宋体"/>
                <w:color w:val="auto"/>
                <w:szCs w:val="21"/>
                <w:highlight w:val="none"/>
              </w:rPr>
              <w:t>服务代码，1001为上报数据,2001为下发配置</w:t>
            </w:r>
          </w:p>
        </w:tc>
      </w:tr>
      <w:tr w14:paraId="55F5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682" w:type="dxa"/>
            <w:vAlign w:val="center"/>
          </w:tcPr>
          <w:p w14:paraId="6F7D27F8">
            <w:pPr>
              <w:spacing w:line="440" w:lineRule="exact"/>
              <w:rPr>
                <w:rFonts w:ascii="宋体" w:hAnsi="宋体" w:cs="宋体"/>
                <w:color w:val="auto"/>
                <w:szCs w:val="21"/>
                <w:highlight w:val="none"/>
              </w:rPr>
            </w:pPr>
            <w:r>
              <w:rPr>
                <w:rFonts w:hint="eastAsia" w:ascii="宋体" w:hAnsi="宋体" w:cs="宋体"/>
                <w:color w:val="auto"/>
                <w:szCs w:val="21"/>
                <w:highlight w:val="none"/>
              </w:rPr>
              <w:t>TM</w:t>
            </w:r>
          </w:p>
        </w:tc>
        <w:tc>
          <w:tcPr>
            <w:tcW w:w="6606" w:type="dxa"/>
            <w:vAlign w:val="center"/>
          </w:tcPr>
          <w:p w14:paraId="398573DB">
            <w:pPr>
              <w:spacing w:line="440" w:lineRule="exact"/>
              <w:rPr>
                <w:rFonts w:ascii="宋体" w:hAnsi="宋体" w:cs="宋体"/>
                <w:color w:val="auto"/>
                <w:szCs w:val="21"/>
                <w:highlight w:val="none"/>
              </w:rPr>
            </w:pPr>
            <w:r>
              <w:rPr>
                <w:rFonts w:hint="eastAsia" w:ascii="宋体" w:hAnsi="宋体" w:cs="宋体"/>
                <w:color w:val="auto"/>
                <w:szCs w:val="21"/>
                <w:highlight w:val="none"/>
              </w:rPr>
              <w:t>当前时间：2020-07-22 23:02:11</w:t>
            </w:r>
          </w:p>
        </w:tc>
      </w:tr>
      <w:tr w14:paraId="3121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682" w:type="dxa"/>
            <w:vAlign w:val="center"/>
          </w:tcPr>
          <w:p w14:paraId="3561E6A2">
            <w:pPr>
              <w:spacing w:line="440" w:lineRule="exact"/>
              <w:rPr>
                <w:rFonts w:ascii="宋体" w:hAnsi="宋体" w:cs="宋体"/>
                <w:color w:val="auto"/>
                <w:szCs w:val="21"/>
                <w:highlight w:val="none"/>
              </w:rPr>
            </w:pPr>
            <w:r>
              <w:rPr>
                <w:rFonts w:hint="eastAsia" w:ascii="宋体" w:hAnsi="宋体" w:cs="宋体"/>
                <w:color w:val="auto"/>
                <w:szCs w:val="21"/>
                <w:highlight w:val="none"/>
              </w:rPr>
              <w:t>SG</w:t>
            </w:r>
          </w:p>
        </w:tc>
        <w:tc>
          <w:tcPr>
            <w:tcW w:w="6606" w:type="dxa"/>
            <w:vAlign w:val="center"/>
          </w:tcPr>
          <w:p w14:paraId="3E036E23">
            <w:pPr>
              <w:spacing w:line="440" w:lineRule="exact"/>
              <w:rPr>
                <w:rFonts w:ascii="宋体" w:hAnsi="宋体" w:cs="宋体"/>
                <w:color w:val="auto"/>
                <w:szCs w:val="21"/>
                <w:highlight w:val="none"/>
              </w:rPr>
            </w:pPr>
            <w:r>
              <w:rPr>
                <w:rFonts w:hint="eastAsia" w:ascii="宋体" w:hAnsi="宋体" w:cs="宋体"/>
                <w:color w:val="auto"/>
                <w:szCs w:val="21"/>
                <w:highlight w:val="none"/>
              </w:rPr>
              <w:t>Sha2签名，后面所有数据值的签名，可选</w:t>
            </w:r>
          </w:p>
        </w:tc>
      </w:tr>
      <w:tr w14:paraId="55F2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682" w:type="dxa"/>
            <w:vAlign w:val="center"/>
          </w:tcPr>
          <w:p w14:paraId="226AC25E">
            <w:pPr>
              <w:spacing w:line="440" w:lineRule="exact"/>
              <w:rPr>
                <w:rFonts w:ascii="宋体" w:hAnsi="宋体" w:cs="宋体"/>
                <w:color w:val="auto"/>
                <w:szCs w:val="21"/>
                <w:highlight w:val="none"/>
              </w:rPr>
            </w:pPr>
            <w:r>
              <w:rPr>
                <w:rFonts w:hint="eastAsia" w:ascii="宋体" w:hAnsi="宋体" w:cs="宋体"/>
                <w:color w:val="auto"/>
                <w:szCs w:val="21"/>
                <w:highlight w:val="none"/>
              </w:rPr>
              <w:t>其他参数</w:t>
            </w:r>
          </w:p>
        </w:tc>
        <w:tc>
          <w:tcPr>
            <w:tcW w:w="6606" w:type="dxa"/>
            <w:vAlign w:val="center"/>
          </w:tcPr>
          <w:p w14:paraId="5E2626B6">
            <w:pPr>
              <w:spacing w:line="440" w:lineRule="exact"/>
              <w:rPr>
                <w:rFonts w:ascii="宋体" w:hAnsi="宋体" w:cs="宋体"/>
                <w:color w:val="auto"/>
                <w:szCs w:val="21"/>
                <w:highlight w:val="none"/>
              </w:rPr>
            </w:pPr>
            <w:r>
              <w:rPr>
                <w:rFonts w:hint="eastAsia" w:ascii="宋体" w:hAnsi="宋体" w:cs="宋体"/>
                <w:color w:val="auto"/>
                <w:szCs w:val="21"/>
                <w:highlight w:val="none"/>
              </w:rPr>
              <w:t>见后</w:t>
            </w:r>
          </w:p>
        </w:tc>
      </w:tr>
    </w:tbl>
    <w:p w14:paraId="190ECC13">
      <w:pPr>
        <w:pStyle w:val="34"/>
        <w:tabs>
          <w:tab w:val="left" w:pos="284"/>
        </w:tabs>
        <w:spacing w:after="0" w:line="440" w:lineRule="exact"/>
        <w:ind w:left="845" w:firstLine="0" w:firstLineChars="0"/>
        <w:rPr>
          <w:rFonts w:ascii="宋体" w:hAnsi="宋体" w:cs="宋体"/>
          <w:color w:val="auto"/>
          <w:szCs w:val="21"/>
          <w:highlight w:val="none"/>
        </w:rPr>
      </w:pPr>
    </w:p>
    <w:p w14:paraId="1ED786E6">
      <w:pPr>
        <w:pStyle w:val="34"/>
        <w:spacing w:after="0" w:line="440" w:lineRule="exact"/>
        <w:ind w:firstLine="210"/>
        <w:rPr>
          <w:rFonts w:ascii="宋体" w:hAnsi="宋体" w:cs="宋体"/>
          <w:color w:val="auto"/>
          <w:szCs w:val="21"/>
          <w:highlight w:val="none"/>
        </w:rPr>
      </w:pPr>
      <w:bookmarkStart w:id="86" w:name="_Toc354517906"/>
      <w:r>
        <w:rPr>
          <w:rFonts w:hint="eastAsia" w:ascii="宋体" w:hAnsi="宋体" w:cs="宋体"/>
          <w:color w:val="auto"/>
          <w:szCs w:val="21"/>
          <w:highlight w:val="none"/>
        </w:rPr>
        <w:t>Json方式简单明了，解析时不需要对齐数据，因为全部采用ASCII码，所以也不会有数据类型的歧义。如果有不需要参数，则不用加入json中，这就是json的最大优点。</w:t>
      </w:r>
    </w:p>
    <w:p w14:paraId="23475AC8">
      <w:pPr>
        <w:pStyle w:val="34"/>
        <w:spacing w:after="0" w:line="440" w:lineRule="exact"/>
        <w:ind w:firstLine="0" w:firstLineChars="0"/>
        <w:rPr>
          <w:color w:val="auto"/>
          <w:highlight w:val="none"/>
        </w:rPr>
      </w:pPr>
      <w:r>
        <w:rPr>
          <w:rFonts w:hint="eastAsia" w:ascii="宋体" w:hAnsi="宋体" w:cs="宋体"/>
          <w:color w:val="auto"/>
          <w:szCs w:val="21"/>
          <w:highlight w:val="none"/>
        </w:rPr>
        <w:br w:type="page"/>
      </w:r>
    </w:p>
    <w:p w14:paraId="3D3C9D95">
      <w:pPr>
        <w:pStyle w:val="2"/>
        <w:spacing w:before="120" w:after="120" w:line="240" w:lineRule="auto"/>
        <w:ind w:left="420" w:hanging="420"/>
        <w:jc w:val="left"/>
        <w:rPr>
          <w:color w:val="auto"/>
          <w:highlight w:val="none"/>
        </w:rPr>
      </w:pPr>
      <w:bookmarkStart w:id="87" w:name="_Toc46351123"/>
      <w:r>
        <w:rPr>
          <w:rFonts w:hint="eastAsia"/>
          <w:color w:val="auto"/>
          <w:highlight w:val="none"/>
        </w:rPr>
        <w:t>业务接口</w:t>
      </w:r>
      <w:bookmarkEnd w:id="87"/>
    </w:p>
    <w:bookmarkEnd w:id="86"/>
    <w:p w14:paraId="2747F63E">
      <w:pPr>
        <w:pStyle w:val="32"/>
        <w:rPr>
          <w:color w:val="auto"/>
          <w:highlight w:val="none"/>
        </w:rPr>
      </w:pPr>
      <w:bookmarkStart w:id="88" w:name="_Toc46351124"/>
      <w:bookmarkStart w:id="89" w:name="_Toc407029134"/>
      <w:r>
        <w:rPr>
          <w:rFonts w:hint="eastAsia"/>
          <w:color w:val="auto"/>
          <w:highlight w:val="none"/>
        </w:rPr>
        <w:t>上报数据</w:t>
      </w:r>
      <w:bookmarkEnd w:id="88"/>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15"/>
        <w:gridCol w:w="6174"/>
        <w:gridCol w:w="15"/>
      </w:tblGrid>
      <w:tr w14:paraId="371C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3102" w:type="dxa"/>
            <w:gridSpan w:val="2"/>
            <w:vAlign w:val="center"/>
          </w:tcPr>
          <w:p w14:paraId="75D99EB4">
            <w:pPr>
              <w:jc w:val="center"/>
              <w:rPr>
                <w:rFonts w:ascii="微软雅黑" w:hAnsi="微软雅黑" w:eastAsia="微软雅黑"/>
                <w:b/>
                <w:color w:val="auto"/>
                <w:sz w:val="20"/>
                <w:szCs w:val="20"/>
                <w:highlight w:val="none"/>
              </w:rPr>
            </w:pPr>
            <w:r>
              <w:rPr>
                <w:rFonts w:hint="eastAsia" w:ascii="微软雅黑" w:hAnsi="微软雅黑" w:eastAsia="微软雅黑"/>
                <w:b/>
                <w:color w:val="auto"/>
                <w:sz w:val="20"/>
                <w:szCs w:val="20"/>
                <w:highlight w:val="none"/>
              </w:rPr>
              <w:t>参数名称</w:t>
            </w:r>
          </w:p>
        </w:tc>
        <w:tc>
          <w:tcPr>
            <w:tcW w:w="6186" w:type="dxa"/>
            <w:gridSpan w:val="2"/>
            <w:vAlign w:val="center"/>
          </w:tcPr>
          <w:p w14:paraId="476D41C4">
            <w:pPr>
              <w:jc w:val="center"/>
              <w:rPr>
                <w:rFonts w:ascii="微软雅黑" w:hAnsi="微软雅黑" w:eastAsia="微软雅黑"/>
                <w:b/>
                <w:color w:val="auto"/>
                <w:sz w:val="20"/>
                <w:szCs w:val="20"/>
                <w:highlight w:val="none"/>
              </w:rPr>
            </w:pPr>
            <w:r>
              <w:rPr>
                <w:rFonts w:hint="eastAsia" w:ascii="微软雅黑" w:hAnsi="微软雅黑" w:eastAsia="微软雅黑"/>
                <w:b/>
                <w:color w:val="auto"/>
                <w:sz w:val="20"/>
                <w:szCs w:val="20"/>
                <w:highlight w:val="none"/>
              </w:rPr>
              <w:t>含义</w:t>
            </w:r>
          </w:p>
        </w:tc>
      </w:tr>
      <w:tr w14:paraId="3F0D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2" w:type="dxa"/>
            <w:gridSpan w:val="2"/>
            <w:vAlign w:val="center"/>
          </w:tcPr>
          <w:p w14:paraId="2FC7E5C9">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MA</w:t>
            </w:r>
          </w:p>
        </w:tc>
        <w:tc>
          <w:tcPr>
            <w:tcW w:w="6186" w:type="dxa"/>
            <w:gridSpan w:val="2"/>
            <w:vAlign w:val="center"/>
          </w:tcPr>
          <w:p w14:paraId="4368077A">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表地址，唯一号，必须</w:t>
            </w:r>
          </w:p>
        </w:tc>
      </w:tr>
      <w:tr w14:paraId="7A19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29749FFB">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BV</w:t>
            </w:r>
          </w:p>
        </w:tc>
        <w:tc>
          <w:tcPr>
            <w:tcW w:w="6186" w:type="dxa"/>
            <w:gridSpan w:val="2"/>
          </w:tcPr>
          <w:p w14:paraId="6F064C1C">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电池电压,</w:t>
            </w:r>
            <w:r>
              <w:rPr>
                <w:rFonts w:ascii="微软雅黑" w:hAnsi="微软雅黑" w:eastAsia="微软雅黑"/>
                <w:color w:val="auto"/>
                <w:sz w:val="20"/>
                <w:szCs w:val="20"/>
                <w:highlight w:val="none"/>
              </w:rPr>
              <w:t>V</w:t>
            </w:r>
            <w:r>
              <w:rPr>
                <w:rFonts w:hint="eastAsia" w:ascii="微软雅黑" w:hAnsi="微软雅黑" w:eastAsia="微软雅黑"/>
                <w:color w:val="auto"/>
                <w:sz w:val="20"/>
                <w:szCs w:val="20"/>
                <w:highlight w:val="none"/>
              </w:rPr>
              <w:t>，可选</w:t>
            </w:r>
          </w:p>
        </w:tc>
      </w:tr>
      <w:tr w14:paraId="3140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194BE492">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BV</w:t>
            </w:r>
            <w:r>
              <w:rPr>
                <w:rFonts w:hint="eastAsia" w:ascii="微软雅黑" w:hAnsi="微软雅黑" w:eastAsia="微软雅黑"/>
                <w:color w:val="auto"/>
                <w:sz w:val="20"/>
                <w:szCs w:val="20"/>
                <w:highlight w:val="none"/>
              </w:rPr>
              <w:t>2</w:t>
            </w:r>
          </w:p>
        </w:tc>
        <w:tc>
          <w:tcPr>
            <w:tcW w:w="6186" w:type="dxa"/>
            <w:gridSpan w:val="2"/>
          </w:tcPr>
          <w:p w14:paraId="4F10051E">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第二组电池电压,</w:t>
            </w:r>
            <w:r>
              <w:rPr>
                <w:rFonts w:ascii="微软雅黑" w:hAnsi="微软雅黑" w:eastAsia="微软雅黑"/>
                <w:color w:val="auto"/>
                <w:sz w:val="20"/>
                <w:szCs w:val="20"/>
                <w:highlight w:val="none"/>
              </w:rPr>
              <w:t>V</w:t>
            </w:r>
            <w:r>
              <w:rPr>
                <w:rFonts w:hint="eastAsia" w:ascii="微软雅黑" w:hAnsi="微软雅黑" w:eastAsia="微软雅黑"/>
                <w:color w:val="auto"/>
                <w:sz w:val="20"/>
                <w:szCs w:val="20"/>
                <w:highlight w:val="none"/>
              </w:rPr>
              <w:t>，可选</w:t>
            </w:r>
          </w:p>
        </w:tc>
      </w:tr>
      <w:tr w14:paraId="4D9A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20DB23DA">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MG</w:t>
            </w:r>
          </w:p>
        </w:tc>
        <w:tc>
          <w:tcPr>
            <w:tcW w:w="6186" w:type="dxa"/>
            <w:gridSpan w:val="2"/>
          </w:tcPr>
          <w:p w14:paraId="68D78CA3">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磁场,</w:t>
            </w:r>
            <w:r>
              <w:rPr>
                <w:rFonts w:ascii="微软雅黑" w:hAnsi="微软雅黑" w:eastAsia="微软雅黑"/>
                <w:color w:val="auto"/>
                <w:sz w:val="20"/>
                <w:szCs w:val="20"/>
                <w:highlight w:val="none"/>
              </w:rPr>
              <w:t>GS</w:t>
            </w:r>
            <w:r>
              <w:rPr>
                <w:rFonts w:hint="eastAsia" w:ascii="微软雅黑" w:hAnsi="微软雅黑" w:eastAsia="微软雅黑"/>
                <w:color w:val="auto"/>
                <w:sz w:val="20"/>
                <w:szCs w:val="20"/>
                <w:highlight w:val="none"/>
              </w:rPr>
              <w:t>，可选</w:t>
            </w:r>
          </w:p>
        </w:tc>
      </w:tr>
      <w:tr w14:paraId="3C1B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016768FB">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VS</w:t>
            </w:r>
          </w:p>
        </w:tc>
        <w:tc>
          <w:tcPr>
            <w:tcW w:w="6186" w:type="dxa"/>
            <w:gridSpan w:val="2"/>
          </w:tcPr>
          <w:p w14:paraId="3708ECEB">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阀门状态，0-开，1-关，2-故障，可选</w:t>
            </w:r>
          </w:p>
        </w:tc>
      </w:tr>
      <w:tr w14:paraId="0166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608A110C">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SN</w:t>
            </w:r>
          </w:p>
        </w:tc>
        <w:tc>
          <w:tcPr>
            <w:tcW w:w="6186" w:type="dxa"/>
            <w:gridSpan w:val="2"/>
          </w:tcPr>
          <w:p w14:paraId="45B8CEF9">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信号强度，可选</w:t>
            </w:r>
          </w:p>
        </w:tc>
      </w:tr>
      <w:tr w14:paraId="6773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474F9E22">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ST</w:t>
            </w:r>
          </w:p>
        </w:tc>
        <w:tc>
          <w:tcPr>
            <w:tcW w:w="6186" w:type="dxa"/>
            <w:gridSpan w:val="2"/>
          </w:tcPr>
          <w:p w14:paraId="00E6D4E1">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0正常，非0故障，可选</w:t>
            </w:r>
          </w:p>
        </w:tc>
      </w:tr>
      <w:tr w14:paraId="7A45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785D6B11">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EM</w:t>
            </w:r>
          </w:p>
        </w:tc>
        <w:tc>
          <w:tcPr>
            <w:tcW w:w="6186" w:type="dxa"/>
            <w:gridSpan w:val="2"/>
          </w:tcPr>
          <w:p w14:paraId="3B8853B2">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故障信息，可选</w:t>
            </w:r>
          </w:p>
        </w:tc>
      </w:tr>
      <w:tr w14:paraId="6146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102" w:type="dxa"/>
            <w:gridSpan w:val="2"/>
            <w:vAlign w:val="center"/>
          </w:tcPr>
          <w:p w14:paraId="7E6616C4">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R</w:t>
            </w:r>
            <w:r>
              <w:rPr>
                <w:rFonts w:ascii="微软雅黑" w:hAnsi="微软雅黑" w:eastAsia="微软雅黑"/>
                <w:color w:val="auto"/>
                <w:sz w:val="20"/>
                <w:szCs w:val="20"/>
                <w:highlight w:val="none"/>
              </w:rPr>
              <w:t>C</w:t>
            </w:r>
          </w:p>
        </w:tc>
        <w:tc>
          <w:tcPr>
            <w:tcW w:w="6186" w:type="dxa"/>
            <w:gridSpan w:val="2"/>
            <w:vAlign w:val="center"/>
          </w:tcPr>
          <w:p w14:paraId="63093EB6">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上报周期（分钟）</w:t>
            </w:r>
          </w:p>
        </w:tc>
      </w:tr>
      <w:tr w14:paraId="037D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102" w:type="dxa"/>
            <w:gridSpan w:val="2"/>
            <w:vAlign w:val="center"/>
          </w:tcPr>
          <w:p w14:paraId="0300CC97">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R</w:t>
            </w:r>
            <w:r>
              <w:rPr>
                <w:rFonts w:hint="eastAsia" w:ascii="微软雅黑" w:hAnsi="微软雅黑" w:eastAsia="微软雅黑"/>
                <w:color w:val="auto"/>
                <w:sz w:val="20"/>
                <w:szCs w:val="20"/>
                <w:highlight w:val="none"/>
              </w:rPr>
              <w:t>S</w:t>
            </w:r>
          </w:p>
        </w:tc>
        <w:tc>
          <w:tcPr>
            <w:tcW w:w="6186" w:type="dxa"/>
            <w:gridSpan w:val="2"/>
            <w:vAlign w:val="center"/>
          </w:tcPr>
          <w:p w14:paraId="24B8CE43">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起始时间</w:t>
            </w:r>
          </w:p>
        </w:tc>
      </w:tr>
      <w:tr w14:paraId="64BE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2" w:type="dxa"/>
            <w:gridSpan w:val="2"/>
            <w:vAlign w:val="center"/>
          </w:tcPr>
          <w:p w14:paraId="5B8F516C">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BM</w:t>
            </w:r>
          </w:p>
        </w:tc>
        <w:tc>
          <w:tcPr>
            <w:tcW w:w="6186" w:type="dxa"/>
            <w:gridSpan w:val="2"/>
            <w:vAlign w:val="center"/>
          </w:tcPr>
          <w:p w14:paraId="612F89F9">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水量余额</w:t>
            </w:r>
          </w:p>
        </w:tc>
      </w:tr>
      <w:tr w14:paraId="6B4F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2" w:type="dxa"/>
            <w:gridSpan w:val="2"/>
            <w:vAlign w:val="center"/>
          </w:tcPr>
          <w:p w14:paraId="0203500C">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BB</w:t>
            </w:r>
          </w:p>
        </w:tc>
        <w:tc>
          <w:tcPr>
            <w:tcW w:w="6186" w:type="dxa"/>
            <w:gridSpan w:val="2"/>
            <w:vAlign w:val="center"/>
          </w:tcPr>
          <w:p w14:paraId="014BB11E">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费用余额</w:t>
            </w:r>
          </w:p>
        </w:tc>
      </w:tr>
      <w:tr w14:paraId="4BD3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4C619D64">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P</w:t>
            </w:r>
            <w:r>
              <w:rPr>
                <w:rFonts w:ascii="微软雅黑" w:hAnsi="微软雅黑" w:eastAsia="微软雅黑"/>
                <w:color w:val="auto"/>
                <w:sz w:val="20"/>
                <w:szCs w:val="20"/>
                <w:highlight w:val="none"/>
              </w:rPr>
              <w:t>E</w:t>
            </w:r>
          </w:p>
        </w:tc>
        <w:tc>
          <w:tcPr>
            <w:tcW w:w="6186" w:type="dxa"/>
            <w:gridSpan w:val="2"/>
            <w:vAlign w:val="center"/>
          </w:tcPr>
          <w:p w14:paraId="5ACE171A">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阀门开关故障次数</w:t>
            </w:r>
          </w:p>
        </w:tc>
      </w:tr>
      <w:tr w14:paraId="4C52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9273" w:type="dxa"/>
            <w:gridSpan w:val="3"/>
            <w:vAlign w:val="center"/>
          </w:tcPr>
          <w:p w14:paraId="6870683E">
            <w:pPr>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M</w:t>
            </w:r>
            <w:r>
              <w:rPr>
                <w:rFonts w:hint="eastAsia" w:ascii="微软雅黑" w:hAnsi="微软雅黑" w:eastAsia="微软雅黑"/>
                <w:color w:val="auto"/>
                <w:sz w:val="20"/>
                <w:szCs w:val="20"/>
                <w:highlight w:val="none"/>
              </w:rPr>
              <w:t>L数组，可以多数据，也可以单条数据</w:t>
            </w:r>
          </w:p>
        </w:tc>
      </w:tr>
      <w:tr w14:paraId="0606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57081F0C">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T</w:t>
            </w:r>
            <w:r>
              <w:rPr>
                <w:rFonts w:ascii="微软雅黑" w:hAnsi="微软雅黑" w:eastAsia="微软雅黑"/>
                <w:color w:val="auto"/>
                <w:sz w:val="20"/>
                <w:szCs w:val="20"/>
                <w:highlight w:val="none"/>
              </w:rPr>
              <w:t>T</w:t>
            </w:r>
          </w:p>
        </w:tc>
        <w:tc>
          <w:tcPr>
            <w:tcW w:w="6186" w:type="dxa"/>
            <w:gridSpan w:val="2"/>
            <w:vAlign w:val="center"/>
          </w:tcPr>
          <w:p w14:paraId="4636B9B9">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时间</w:t>
            </w:r>
          </w:p>
        </w:tc>
      </w:tr>
      <w:tr w14:paraId="6C8D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4C18CBAC">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SF</w:t>
            </w:r>
          </w:p>
        </w:tc>
        <w:tc>
          <w:tcPr>
            <w:tcW w:w="6186" w:type="dxa"/>
            <w:gridSpan w:val="2"/>
            <w:vAlign w:val="center"/>
          </w:tcPr>
          <w:p w14:paraId="4AF29717">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累计流量，立方米，必须</w:t>
            </w:r>
          </w:p>
        </w:tc>
      </w:tr>
      <w:tr w14:paraId="65CA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5AD0C6BB">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IF</w:t>
            </w:r>
          </w:p>
        </w:tc>
        <w:tc>
          <w:tcPr>
            <w:tcW w:w="6186" w:type="dxa"/>
            <w:gridSpan w:val="2"/>
            <w:vAlign w:val="center"/>
          </w:tcPr>
          <w:p w14:paraId="1A453678">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瞬时流量，立方米/小时，可选</w:t>
            </w:r>
          </w:p>
        </w:tc>
      </w:tr>
      <w:tr w14:paraId="4CF2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38B0CCD8">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FF</w:t>
            </w:r>
          </w:p>
        </w:tc>
        <w:tc>
          <w:tcPr>
            <w:tcW w:w="6186" w:type="dxa"/>
            <w:gridSpan w:val="2"/>
            <w:vAlign w:val="center"/>
          </w:tcPr>
          <w:p w14:paraId="0CFC0669">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正向流量，立方米/小时，可选</w:t>
            </w:r>
          </w:p>
        </w:tc>
      </w:tr>
      <w:tr w14:paraId="7555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21846FD4">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RF</w:t>
            </w:r>
          </w:p>
        </w:tc>
        <w:tc>
          <w:tcPr>
            <w:tcW w:w="6186" w:type="dxa"/>
            <w:gridSpan w:val="2"/>
          </w:tcPr>
          <w:p w14:paraId="2F476772">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反向流量，立方米/小时，可选</w:t>
            </w:r>
          </w:p>
        </w:tc>
      </w:tr>
      <w:tr w14:paraId="031E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15" w:hRule="atLeast"/>
        </w:trPr>
        <w:tc>
          <w:tcPr>
            <w:tcW w:w="3087" w:type="dxa"/>
            <w:vAlign w:val="center"/>
          </w:tcPr>
          <w:p w14:paraId="3E79D273">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PR</w:t>
            </w:r>
          </w:p>
        </w:tc>
        <w:tc>
          <w:tcPr>
            <w:tcW w:w="6186" w:type="dxa"/>
            <w:gridSpan w:val="2"/>
          </w:tcPr>
          <w:p w14:paraId="35DB7CB0">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压力,M</w:t>
            </w:r>
            <w:r>
              <w:rPr>
                <w:rFonts w:ascii="微软雅黑" w:hAnsi="微软雅黑" w:eastAsia="微软雅黑"/>
                <w:color w:val="auto"/>
                <w:sz w:val="20"/>
                <w:szCs w:val="20"/>
                <w:highlight w:val="none"/>
              </w:rPr>
              <w:t>pa</w:t>
            </w:r>
            <w:r>
              <w:rPr>
                <w:rFonts w:hint="eastAsia" w:ascii="微软雅黑" w:hAnsi="微软雅黑" w:eastAsia="微软雅黑"/>
                <w:color w:val="auto"/>
                <w:sz w:val="20"/>
                <w:szCs w:val="20"/>
                <w:highlight w:val="none"/>
              </w:rPr>
              <w:t>，可选</w:t>
            </w:r>
          </w:p>
        </w:tc>
      </w:tr>
    </w:tbl>
    <w:p w14:paraId="600C0AD1">
      <w:pPr>
        <w:rPr>
          <w:b/>
          <w:bCs/>
          <w:color w:val="auto"/>
          <w:highlight w:val="none"/>
        </w:rPr>
      </w:pPr>
      <w:r>
        <w:rPr>
          <w:rFonts w:hint="eastAsia"/>
          <w:b/>
          <w:bCs/>
          <w:color w:val="auto"/>
          <w:highlight w:val="none"/>
        </w:rPr>
        <w:t>说明：为节约流量，若可选项没有数据，则该可选项整个字段不需要上传。</w:t>
      </w:r>
    </w:p>
    <w:p w14:paraId="13D844A3">
      <w:pPr>
        <w:rPr>
          <w:bCs/>
          <w:color w:val="auto"/>
          <w:highlight w:val="none"/>
        </w:rPr>
      </w:pPr>
      <w:r>
        <w:rPr>
          <w:rFonts w:hint="eastAsia"/>
          <w:bCs/>
          <w:color w:val="auto"/>
          <w:highlight w:val="none"/>
        </w:rPr>
        <w:t>例：</w:t>
      </w:r>
    </w:p>
    <w:p w14:paraId="25D9A26B">
      <w:pPr>
        <w:rPr>
          <w:bCs/>
          <w:color w:val="auto"/>
          <w:highlight w:val="none"/>
        </w:rPr>
      </w:pPr>
      <w:r>
        <w:rPr>
          <w:rFonts w:hint="eastAsia"/>
          <w:bCs/>
          <w:color w:val="auto"/>
          <w:highlight w:val="none"/>
        </w:rPr>
        <w:t>上报：</w:t>
      </w:r>
    </w:p>
    <w:p w14:paraId="5E29D3BC">
      <w:pPr>
        <w:widowControl/>
        <w:jc w:val="left"/>
        <w:rPr>
          <w:bCs/>
          <w:color w:val="auto"/>
          <w:highlight w:val="none"/>
        </w:rPr>
      </w:pPr>
      <w:r>
        <w:rPr>
          <w:bCs/>
          <w:color w:val="auto"/>
          <w:highlight w:val="none"/>
        </w:rPr>
        <w:t>SCIJSON000120{"SC": "1001","TM": "2018-07-12 03:04:05","MA": "1234567819","BV": "3.3","VS": "0","SN": "33","ST": "0","RC": "1440","ML": [{"T</w:t>
      </w:r>
      <w:r>
        <w:rPr>
          <w:rFonts w:hint="eastAsia"/>
          <w:bCs/>
          <w:color w:val="auto"/>
          <w:highlight w:val="none"/>
        </w:rPr>
        <w:t>T</w:t>
      </w:r>
      <w:r>
        <w:rPr>
          <w:bCs/>
          <w:color w:val="auto"/>
          <w:highlight w:val="none"/>
        </w:rPr>
        <w:t>": "2018-07-12 03:04:05","SF": "2562.11"}, {"T</w:t>
      </w:r>
      <w:r>
        <w:rPr>
          <w:rFonts w:hint="eastAsia"/>
          <w:bCs/>
          <w:color w:val="auto"/>
          <w:highlight w:val="none"/>
        </w:rPr>
        <w:t>T</w:t>
      </w:r>
      <w:r>
        <w:rPr>
          <w:bCs/>
          <w:color w:val="auto"/>
          <w:highlight w:val="none"/>
        </w:rPr>
        <w:t>": "2018-07-12 02:04:05","SF": "2562.11"}]}</w:t>
      </w:r>
    </w:p>
    <w:p w14:paraId="1816461D">
      <w:pPr>
        <w:widowControl/>
        <w:jc w:val="left"/>
        <w:rPr>
          <w:bCs/>
          <w:color w:val="auto"/>
          <w:highlight w:val="none"/>
        </w:rPr>
      </w:pPr>
    </w:p>
    <w:p w14:paraId="4BFC023F">
      <w:pPr>
        <w:widowControl/>
        <w:jc w:val="left"/>
        <w:rPr>
          <w:color w:val="auto"/>
          <w:highlight w:val="none"/>
        </w:rPr>
      </w:pPr>
      <w:bookmarkStart w:id="90" w:name="_Toc46351125"/>
      <w:r>
        <w:rPr>
          <w:rFonts w:hint="eastAsia"/>
          <w:color w:val="auto"/>
          <w:highlight w:val="none"/>
        </w:rPr>
        <w:t>下发数据</w:t>
      </w:r>
      <w:bookmarkEnd w:id="90"/>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6184"/>
      </w:tblGrid>
      <w:tr w14:paraId="4265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3104" w:type="dxa"/>
            <w:vAlign w:val="center"/>
          </w:tcPr>
          <w:p w14:paraId="7535B4E8">
            <w:pPr>
              <w:jc w:val="center"/>
              <w:rPr>
                <w:rFonts w:ascii="微软雅黑" w:hAnsi="微软雅黑" w:eastAsia="微软雅黑"/>
                <w:b/>
                <w:color w:val="auto"/>
                <w:sz w:val="20"/>
                <w:szCs w:val="20"/>
                <w:highlight w:val="none"/>
              </w:rPr>
            </w:pPr>
            <w:r>
              <w:rPr>
                <w:rFonts w:hint="eastAsia" w:ascii="微软雅黑" w:hAnsi="微软雅黑" w:eastAsia="微软雅黑"/>
                <w:b/>
                <w:color w:val="auto"/>
                <w:sz w:val="20"/>
                <w:szCs w:val="20"/>
                <w:highlight w:val="none"/>
              </w:rPr>
              <w:t>参数名称</w:t>
            </w:r>
          </w:p>
        </w:tc>
        <w:tc>
          <w:tcPr>
            <w:tcW w:w="6184" w:type="dxa"/>
            <w:vAlign w:val="center"/>
          </w:tcPr>
          <w:p w14:paraId="61F34ADF">
            <w:pPr>
              <w:jc w:val="center"/>
              <w:rPr>
                <w:rFonts w:ascii="微软雅黑" w:hAnsi="微软雅黑" w:eastAsia="微软雅黑"/>
                <w:b/>
                <w:color w:val="auto"/>
                <w:sz w:val="20"/>
                <w:szCs w:val="20"/>
                <w:highlight w:val="none"/>
              </w:rPr>
            </w:pPr>
            <w:r>
              <w:rPr>
                <w:rFonts w:hint="eastAsia" w:ascii="微软雅黑" w:hAnsi="微软雅黑" w:eastAsia="微软雅黑"/>
                <w:b/>
                <w:color w:val="auto"/>
                <w:sz w:val="20"/>
                <w:szCs w:val="20"/>
                <w:highlight w:val="none"/>
              </w:rPr>
              <w:t>含义</w:t>
            </w:r>
          </w:p>
        </w:tc>
      </w:tr>
      <w:tr w14:paraId="5D03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3104" w:type="dxa"/>
            <w:vAlign w:val="center"/>
          </w:tcPr>
          <w:p w14:paraId="1A840623">
            <w:pPr>
              <w:jc w:val="left"/>
              <w:rPr>
                <w:rFonts w:ascii="微软雅黑" w:hAnsi="微软雅黑" w:eastAsia="微软雅黑"/>
                <w:bCs/>
                <w:color w:val="auto"/>
                <w:sz w:val="20"/>
                <w:szCs w:val="20"/>
                <w:highlight w:val="none"/>
              </w:rPr>
            </w:pPr>
            <w:r>
              <w:rPr>
                <w:rFonts w:hint="eastAsia" w:ascii="微软雅黑" w:hAnsi="微软雅黑" w:eastAsia="微软雅黑"/>
                <w:bCs/>
                <w:color w:val="auto"/>
                <w:sz w:val="20"/>
                <w:szCs w:val="20"/>
                <w:highlight w:val="none"/>
              </w:rPr>
              <w:t>R</w:t>
            </w:r>
            <w:r>
              <w:rPr>
                <w:rFonts w:ascii="微软雅黑" w:hAnsi="微软雅黑" w:eastAsia="微软雅黑"/>
                <w:bCs/>
                <w:color w:val="auto"/>
                <w:sz w:val="20"/>
                <w:szCs w:val="20"/>
                <w:highlight w:val="none"/>
              </w:rPr>
              <w:t>T</w:t>
            </w:r>
          </w:p>
        </w:tc>
        <w:tc>
          <w:tcPr>
            <w:tcW w:w="6184" w:type="dxa"/>
            <w:vAlign w:val="center"/>
          </w:tcPr>
          <w:p w14:paraId="2969D82D">
            <w:pPr>
              <w:rPr>
                <w:rFonts w:ascii="微软雅黑" w:hAnsi="微软雅黑" w:eastAsia="微软雅黑"/>
                <w:bCs/>
                <w:color w:val="auto"/>
                <w:sz w:val="20"/>
                <w:szCs w:val="20"/>
                <w:highlight w:val="none"/>
              </w:rPr>
            </w:pPr>
            <w:r>
              <w:rPr>
                <w:rFonts w:hint="eastAsia" w:ascii="微软雅黑" w:hAnsi="微软雅黑" w:eastAsia="微软雅黑"/>
                <w:bCs/>
                <w:color w:val="auto"/>
                <w:sz w:val="20"/>
                <w:szCs w:val="20"/>
                <w:highlight w:val="none"/>
              </w:rPr>
              <w:t>接收上报结果，0成功，非0失败</w:t>
            </w:r>
          </w:p>
        </w:tc>
      </w:tr>
      <w:tr w14:paraId="2A5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blHeader/>
        </w:trPr>
        <w:tc>
          <w:tcPr>
            <w:tcW w:w="3104" w:type="dxa"/>
            <w:vAlign w:val="center"/>
          </w:tcPr>
          <w:p w14:paraId="15057D54">
            <w:pPr>
              <w:jc w:val="left"/>
              <w:rPr>
                <w:rFonts w:ascii="微软雅黑" w:hAnsi="微软雅黑" w:eastAsia="微软雅黑"/>
                <w:bCs/>
                <w:color w:val="auto"/>
                <w:sz w:val="20"/>
                <w:szCs w:val="20"/>
                <w:highlight w:val="none"/>
              </w:rPr>
            </w:pPr>
            <w:r>
              <w:rPr>
                <w:rFonts w:hint="eastAsia" w:ascii="微软雅黑" w:hAnsi="微软雅黑" w:eastAsia="微软雅黑"/>
                <w:bCs/>
                <w:color w:val="auto"/>
                <w:sz w:val="20"/>
                <w:szCs w:val="20"/>
                <w:highlight w:val="none"/>
              </w:rPr>
              <w:t>MS</w:t>
            </w:r>
          </w:p>
        </w:tc>
        <w:tc>
          <w:tcPr>
            <w:tcW w:w="6184" w:type="dxa"/>
            <w:vAlign w:val="center"/>
          </w:tcPr>
          <w:p w14:paraId="116705DC">
            <w:pPr>
              <w:rPr>
                <w:rFonts w:ascii="微软雅黑" w:hAnsi="微软雅黑" w:eastAsia="微软雅黑"/>
                <w:bCs/>
                <w:color w:val="auto"/>
                <w:sz w:val="20"/>
                <w:szCs w:val="20"/>
                <w:highlight w:val="none"/>
              </w:rPr>
            </w:pPr>
            <w:r>
              <w:rPr>
                <w:rFonts w:hint="eastAsia" w:ascii="微软雅黑" w:hAnsi="微软雅黑" w:eastAsia="微软雅黑"/>
                <w:bCs/>
                <w:color w:val="auto"/>
                <w:sz w:val="20"/>
                <w:szCs w:val="20"/>
                <w:highlight w:val="none"/>
              </w:rPr>
              <w:t>结果信息</w:t>
            </w:r>
          </w:p>
        </w:tc>
      </w:tr>
      <w:tr w14:paraId="3901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4" w:type="dxa"/>
            <w:vAlign w:val="center"/>
          </w:tcPr>
          <w:p w14:paraId="563DE131">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MA</w:t>
            </w:r>
          </w:p>
        </w:tc>
        <w:tc>
          <w:tcPr>
            <w:tcW w:w="6184" w:type="dxa"/>
            <w:vAlign w:val="center"/>
          </w:tcPr>
          <w:p w14:paraId="65AA7FEC">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表地址，唯一号，必须</w:t>
            </w:r>
          </w:p>
        </w:tc>
      </w:tr>
      <w:tr w14:paraId="1D0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3104" w:type="dxa"/>
            <w:vAlign w:val="center"/>
          </w:tcPr>
          <w:p w14:paraId="2AEFEA9E">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O</w:t>
            </w:r>
            <w:r>
              <w:rPr>
                <w:rFonts w:ascii="微软雅黑" w:hAnsi="微软雅黑" w:eastAsia="微软雅黑"/>
                <w:color w:val="auto"/>
                <w:sz w:val="20"/>
                <w:szCs w:val="20"/>
                <w:highlight w:val="none"/>
              </w:rPr>
              <w:t>P</w:t>
            </w:r>
          </w:p>
        </w:tc>
        <w:tc>
          <w:tcPr>
            <w:tcW w:w="6184" w:type="dxa"/>
            <w:vAlign w:val="center"/>
          </w:tcPr>
          <w:p w14:paraId="105D7E53">
            <w:pPr>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阀控指令，0-开阀，1-关阀</w:t>
            </w:r>
          </w:p>
        </w:tc>
      </w:tr>
      <w:tr w14:paraId="730C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104" w:type="dxa"/>
            <w:vAlign w:val="center"/>
          </w:tcPr>
          <w:p w14:paraId="36CFA3F4">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R</w:t>
            </w:r>
            <w:r>
              <w:rPr>
                <w:rFonts w:ascii="微软雅黑" w:hAnsi="微软雅黑" w:eastAsia="微软雅黑"/>
                <w:color w:val="auto"/>
                <w:sz w:val="20"/>
                <w:szCs w:val="20"/>
                <w:highlight w:val="none"/>
              </w:rPr>
              <w:t>C</w:t>
            </w:r>
          </w:p>
        </w:tc>
        <w:tc>
          <w:tcPr>
            <w:tcW w:w="6184" w:type="dxa"/>
            <w:vAlign w:val="center"/>
          </w:tcPr>
          <w:p w14:paraId="62141CD6">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上报周期（分钟）</w:t>
            </w:r>
          </w:p>
        </w:tc>
      </w:tr>
      <w:tr w14:paraId="1AEF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104" w:type="dxa"/>
            <w:vAlign w:val="center"/>
          </w:tcPr>
          <w:p w14:paraId="4BE5828B">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S</w:t>
            </w:r>
            <w:r>
              <w:rPr>
                <w:rFonts w:ascii="微软雅黑" w:hAnsi="微软雅黑" w:eastAsia="微软雅黑"/>
                <w:color w:val="auto"/>
                <w:sz w:val="20"/>
                <w:szCs w:val="20"/>
                <w:highlight w:val="none"/>
              </w:rPr>
              <w:t>T</w:t>
            </w:r>
          </w:p>
        </w:tc>
        <w:tc>
          <w:tcPr>
            <w:tcW w:w="6184" w:type="dxa"/>
            <w:vAlign w:val="center"/>
          </w:tcPr>
          <w:p w14:paraId="7D39D098">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存储周期（保存在水表的数据的周期，0不保存，上报后清除）</w:t>
            </w:r>
          </w:p>
        </w:tc>
      </w:tr>
      <w:tr w14:paraId="0D2F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104" w:type="dxa"/>
            <w:vAlign w:val="center"/>
          </w:tcPr>
          <w:p w14:paraId="5541AFB6">
            <w:pPr>
              <w:jc w:val="left"/>
              <w:rPr>
                <w:rFonts w:ascii="微软雅黑" w:hAnsi="微软雅黑" w:eastAsia="微软雅黑"/>
                <w:color w:val="auto"/>
                <w:sz w:val="20"/>
                <w:szCs w:val="20"/>
                <w:highlight w:val="none"/>
              </w:rPr>
            </w:pPr>
            <w:r>
              <w:rPr>
                <w:rFonts w:ascii="微软雅黑" w:hAnsi="微软雅黑" w:eastAsia="微软雅黑"/>
                <w:color w:val="auto"/>
                <w:sz w:val="20"/>
                <w:szCs w:val="20"/>
                <w:highlight w:val="none"/>
              </w:rPr>
              <w:t>R</w:t>
            </w:r>
            <w:r>
              <w:rPr>
                <w:rFonts w:hint="eastAsia" w:ascii="微软雅黑" w:hAnsi="微软雅黑" w:eastAsia="微软雅黑"/>
                <w:color w:val="auto"/>
                <w:sz w:val="20"/>
                <w:szCs w:val="20"/>
                <w:highlight w:val="none"/>
              </w:rPr>
              <w:t>S</w:t>
            </w:r>
          </w:p>
        </w:tc>
        <w:tc>
          <w:tcPr>
            <w:tcW w:w="6184" w:type="dxa"/>
            <w:vAlign w:val="center"/>
          </w:tcPr>
          <w:p w14:paraId="02398603">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起始时间</w:t>
            </w:r>
          </w:p>
        </w:tc>
      </w:tr>
      <w:tr w14:paraId="0F1A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4" w:type="dxa"/>
            <w:vAlign w:val="center"/>
          </w:tcPr>
          <w:p w14:paraId="5D1764B6">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BB</w:t>
            </w:r>
          </w:p>
        </w:tc>
        <w:tc>
          <w:tcPr>
            <w:tcW w:w="6184" w:type="dxa"/>
            <w:vAlign w:val="center"/>
          </w:tcPr>
          <w:p w14:paraId="08D6EB80">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用户预存余额</w:t>
            </w:r>
          </w:p>
        </w:tc>
      </w:tr>
      <w:tr w14:paraId="3AF3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4" w:type="dxa"/>
            <w:vAlign w:val="center"/>
          </w:tcPr>
          <w:p w14:paraId="3734B96C">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CM</w:t>
            </w:r>
          </w:p>
        </w:tc>
        <w:tc>
          <w:tcPr>
            <w:tcW w:w="6184" w:type="dxa"/>
            <w:vAlign w:val="center"/>
          </w:tcPr>
          <w:p w14:paraId="280249B7">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关阀水量</w:t>
            </w:r>
          </w:p>
        </w:tc>
      </w:tr>
      <w:tr w14:paraId="72F9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4" w:type="dxa"/>
            <w:vAlign w:val="center"/>
          </w:tcPr>
          <w:p w14:paraId="7DF5D76C">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OM</w:t>
            </w:r>
          </w:p>
        </w:tc>
        <w:tc>
          <w:tcPr>
            <w:tcW w:w="6184" w:type="dxa"/>
            <w:vAlign w:val="center"/>
          </w:tcPr>
          <w:p w14:paraId="2DEE1830">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开阀水量</w:t>
            </w:r>
          </w:p>
        </w:tc>
      </w:tr>
      <w:tr w14:paraId="0D30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4" w:type="dxa"/>
            <w:vAlign w:val="center"/>
          </w:tcPr>
          <w:p w14:paraId="137990CD">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IP</w:t>
            </w:r>
          </w:p>
        </w:tc>
        <w:tc>
          <w:tcPr>
            <w:tcW w:w="6184" w:type="dxa"/>
            <w:vAlign w:val="center"/>
          </w:tcPr>
          <w:p w14:paraId="5FC0D349">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服务器IP地址</w:t>
            </w:r>
          </w:p>
        </w:tc>
      </w:tr>
      <w:tr w14:paraId="573C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4" w:type="dxa"/>
            <w:vAlign w:val="center"/>
          </w:tcPr>
          <w:p w14:paraId="50514540">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PT</w:t>
            </w:r>
          </w:p>
        </w:tc>
        <w:tc>
          <w:tcPr>
            <w:tcW w:w="6184" w:type="dxa"/>
            <w:vAlign w:val="center"/>
          </w:tcPr>
          <w:p w14:paraId="14EBA9F6">
            <w:pPr>
              <w:jc w:val="left"/>
              <w:rPr>
                <w:rFonts w:ascii="微软雅黑" w:hAnsi="微软雅黑" w:eastAsia="微软雅黑"/>
                <w:color w:val="auto"/>
                <w:sz w:val="20"/>
                <w:szCs w:val="20"/>
                <w:highlight w:val="none"/>
              </w:rPr>
            </w:pPr>
            <w:r>
              <w:rPr>
                <w:rFonts w:hint="eastAsia" w:ascii="微软雅黑" w:hAnsi="微软雅黑" w:eastAsia="微软雅黑"/>
                <w:color w:val="auto"/>
                <w:sz w:val="20"/>
                <w:szCs w:val="20"/>
                <w:highlight w:val="none"/>
              </w:rPr>
              <w:t>服务器端口</w:t>
            </w:r>
          </w:p>
        </w:tc>
      </w:tr>
    </w:tbl>
    <w:p w14:paraId="5E5D3804">
      <w:pPr>
        <w:rPr>
          <w:bCs/>
          <w:color w:val="auto"/>
          <w:highlight w:val="none"/>
        </w:rPr>
      </w:pPr>
      <w:r>
        <w:rPr>
          <w:rFonts w:hint="eastAsia"/>
          <w:bCs/>
          <w:color w:val="auto"/>
          <w:highlight w:val="none"/>
        </w:rPr>
        <w:t>说明：设置项有则设置，无则保持原值。</w:t>
      </w:r>
    </w:p>
    <w:p w14:paraId="5D7CA654">
      <w:pPr>
        <w:rPr>
          <w:bCs/>
          <w:color w:val="auto"/>
          <w:highlight w:val="none"/>
        </w:rPr>
      </w:pPr>
      <w:r>
        <w:rPr>
          <w:rFonts w:hint="eastAsia"/>
          <w:bCs/>
          <w:color w:val="auto"/>
          <w:highlight w:val="none"/>
        </w:rPr>
        <w:t>下发：</w:t>
      </w:r>
    </w:p>
    <w:p w14:paraId="4F564D86">
      <w:pPr>
        <w:widowControl/>
        <w:jc w:val="left"/>
        <w:rPr>
          <w:bCs/>
          <w:color w:val="auto"/>
          <w:highlight w:val="none"/>
        </w:rPr>
      </w:pPr>
      <w:r>
        <w:rPr>
          <w:bCs/>
          <w:color w:val="auto"/>
          <w:highlight w:val="none"/>
        </w:rPr>
        <w:t>SCIJSON000120{"SC": "</w:t>
      </w:r>
      <w:r>
        <w:rPr>
          <w:rFonts w:hint="eastAsia"/>
          <w:bCs/>
          <w:color w:val="auto"/>
          <w:highlight w:val="none"/>
        </w:rPr>
        <w:t>2</w:t>
      </w:r>
      <w:r>
        <w:rPr>
          <w:bCs/>
          <w:color w:val="auto"/>
          <w:highlight w:val="none"/>
        </w:rPr>
        <w:t>001", "</w:t>
      </w:r>
      <w:r>
        <w:rPr>
          <w:rFonts w:hint="eastAsia"/>
          <w:bCs/>
          <w:color w:val="auto"/>
          <w:highlight w:val="none"/>
        </w:rPr>
        <w:t>T</w:t>
      </w:r>
      <w:r>
        <w:rPr>
          <w:bCs/>
          <w:color w:val="auto"/>
          <w:highlight w:val="none"/>
        </w:rPr>
        <w:t>M": "2018-07-12 03:04:05", "MA": "1234567819", "RC": "1440", "RS": "2018-07-12 06:00:00", "BB": "100.23"}</w:t>
      </w:r>
      <w:bookmarkEnd w:id="89"/>
    </w:p>
    <w:p w14:paraId="37191C8C">
      <w:pPr>
        <w:rPr>
          <w:bCs/>
          <w:color w:val="auto"/>
          <w:highlight w:val="none"/>
        </w:rPr>
      </w:pPr>
      <w:r>
        <w:rPr>
          <w:bCs/>
          <w:color w:val="auto"/>
          <w:highlight w:val="none"/>
        </w:rPr>
        <w:br w:type="page"/>
      </w:r>
    </w:p>
    <w:p w14:paraId="6C1CD095">
      <w:pPr>
        <w:pStyle w:val="3"/>
        <w:numPr>
          <w:ilvl w:val="1"/>
          <w:numId w:val="0"/>
        </w:numPr>
        <w:spacing w:before="93" w:beforeLines="30" w:after="93" w:afterLines="30" w:line="440" w:lineRule="exact"/>
        <w:ind w:left="11"/>
        <w:jc w:val="center"/>
        <w:rPr>
          <w:b/>
          <w:bCs/>
          <w:color w:val="auto"/>
          <w:highlight w:val="none"/>
        </w:rPr>
      </w:pPr>
      <w:r>
        <w:rPr>
          <w:rFonts w:hint="eastAsia"/>
          <w:b/>
          <w:bCs/>
          <w:color w:val="auto"/>
          <w:highlight w:val="none"/>
        </w:rPr>
        <w:t>四、商务要求</w:t>
      </w:r>
    </w:p>
    <w:p w14:paraId="7830DCDB">
      <w:pPr>
        <w:tabs>
          <w:tab w:val="left" w:pos="2127"/>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（一）货物的生产、安装、维修、检验、验收等按照以下原则执行：有国家标准的执行国家标准；无国家标准的执行行业标准；无行业标准的执行地方标准；无地方标准的执行企业标准。</w:t>
      </w:r>
    </w:p>
    <w:p w14:paraId="1E9263E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必须由详实的相关证明材料支撑。</w:t>
      </w:r>
    </w:p>
    <w:p w14:paraId="406A519C">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（三）</w:t>
      </w:r>
      <w:r>
        <w:rPr>
          <w:rFonts w:hint="eastAsia" w:ascii="宋体" w:hAnsi="宋体" w:cs="宋体"/>
          <w:b/>
          <w:color w:val="auto"/>
          <w:szCs w:val="21"/>
          <w:highlight w:val="none"/>
        </w:rPr>
        <w:t>供货时</w:t>
      </w:r>
      <w:r>
        <w:rPr>
          <w:rFonts w:hint="eastAsia" w:ascii="宋体" w:hAnsi="宋体" w:cs="宋体"/>
          <w:bCs/>
          <w:color w:val="auto"/>
          <w:szCs w:val="21"/>
          <w:highlight w:val="none"/>
        </w:rPr>
        <w:t>所有货物</w:t>
      </w:r>
      <w:r>
        <w:rPr>
          <w:rFonts w:hint="eastAsia" w:ascii="宋体" w:hAnsi="宋体" w:cs="宋体"/>
          <w:color w:val="auto"/>
          <w:szCs w:val="21"/>
          <w:highlight w:val="none"/>
        </w:rPr>
        <w:t>（包括零部件）</w:t>
      </w:r>
      <w:r>
        <w:rPr>
          <w:rFonts w:hint="eastAsia" w:ascii="宋体" w:hAnsi="宋体" w:cs="宋体"/>
          <w:bCs/>
          <w:color w:val="auto"/>
          <w:szCs w:val="21"/>
          <w:highlight w:val="none"/>
        </w:rPr>
        <w:t>须为</w:t>
      </w:r>
      <w:r>
        <w:rPr>
          <w:rFonts w:hint="eastAsia" w:ascii="宋体" w:hAnsi="宋体" w:cs="宋体"/>
          <w:color w:val="auto"/>
          <w:szCs w:val="21"/>
          <w:highlight w:val="none"/>
        </w:rPr>
        <w:t>全新的、未使用过的</w:t>
      </w:r>
      <w:r>
        <w:rPr>
          <w:rFonts w:hint="eastAsia" w:ascii="宋体" w:hAnsi="宋体" w:cs="宋体"/>
          <w:bCs/>
          <w:color w:val="auto"/>
          <w:szCs w:val="21"/>
          <w:highlight w:val="none"/>
        </w:rPr>
        <w:t>原装正品，</w:t>
      </w:r>
      <w:r>
        <w:rPr>
          <w:rFonts w:hint="eastAsia" w:ascii="宋体" w:hAnsi="宋体" w:cs="宋体"/>
          <w:color w:val="auto"/>
          <w:szCs w:val="21"/>
          <w:highlight w:val="none"/>
        </w:rPr>
        <w:t>并完全符合国家质量标准，</w:t>
      </w:r>
      <w:r>
        <w:rPr>
          <w:rFonts w:hint="eastAsia" w:ascii="宋体" w:hAnsi="宋体" w:cs="宋体"/>
          <w:bCs/>
          <w:color w:val="auto"/>
          <w:szCs w:val="21"/>
          <w:highlight w:val="none"/>
        </w:rPr>
        <w:t>提供厂家出具的合格证书、有国家强制性认证要求的产品须提供相应证书，</w:t>
      </w:r>
      <w:r>
        <w:rPr>
          <w:rFonts w:hint="eastAsia" w:ascii="宋体" w:hAnsi="宋体" w:cs="宋体"/>
          <w:color w:val="auto"/>
          <w:szCs w:val="21"/>
          <w:highlight w:val="none"/>
        </w:rPr>
        <w:t xml:space="preserve">货物的技术参数及配置情况必须由投标人提供国家相关检测机构出具的检验报告、生产厂家公开发布的印刷资料等技术资料予以支持。没有技术资料支持的技术参数及配置不能视为响应。 </w:t>
      </w:r>
      <w:r>
        <w:rPr>
          <w:rFonts w:hint="eastAsia" w:ascii="宋体" w:hAnsi="宋体" w:cs="宋体"/>
          <w:b/>
          <w:color w:val="auto"/>
          <w:szCs w:val="21"/>
          <w:highlight w:val="none"/>
        </w:rPr>
        <w:t>(厂家出具的合格证书供货时提供)</w:t>
      </w:r>
    </w:p>
    <w:p w14:paraId="5E4ED91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（四）技术支持</w:t>
      </w:r>
    </w:p>
    <w:p w14:paraId="6D072519">
      <w:pPr>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1、中标供应商应向采购人提供全方位、及时而有效的技术支持和服务。</w:t>
      </w:r>
    </w:p>
    <w:p w14:paraId="4756600A">
      <w:pPr>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2、中标供应商负责供货、安装、调试。</w:t>
      </w:r>
    </w:p>
    <w:p w14:paraId="691C3E34">
      <w:pPr>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中标供应商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538A28E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（五）质保及售后服务：</w:t>
      </w:r>
    </w:p>
    <w:p w14:paraId="26FE0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1、中标供应商须提供</w:t>
      </w:r>
      <w:r>
        <w:rPr>
          <w:rFonts w:hint="eastAsia" w:ascii="宋体" w:hAnsi="宋体" w:cs="宋体"/>
          <w:color w:val="auto"/>
          <w:szCs w:val="21"/>
          <w:highlight w:val="none"/>
          <w:u w:val="single"/>
        </w:rPr>
        <w:t>至少六年</w:t>
      </w:r>
      <w:r>
        <w:rPr>
          <w:rFonts w:hint="eastAsia" w:ascii="宋体" w:hAnsi="宋体" w:cs="宋体"/>
          <w:color w:val="auto"/>
          <w:szCs w:val="21"/>
          <w:highlight w:val="none"/>
        </w:rPr>
        <w:t>的免费质保服务（质保期从合同最后一批货验收合格起开始计算，质保期为六年（具体以标书中自行承诺的期限为准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），所有质保费用</w:t>
      </w:r>
      <w:bookmarkStart w:id="132" w:name="_GoBack"/>
      <w:bookmarkEnd w:id="132"/>
      <w:r>
        <w:rPr>
          <w:rFonts w:hint="eastAsia" w:ascii="宋体" w:hAnsi="宋体" w:cs="宋体"/>
          <w:color w:val="auto"/>
          <w:szCs w:val="21"/>
          <w:highlight w:val="none"/>
        </w:rPr>
        <w:t>均已包含在投标报价中，质保期满后，应提供优先的有偿售后服务及按不高于投标文件中主要配件、易损件清单所报价格供应原厂零配件等。软件终身免费升级服务。</w:t>
      </w:r>
    </w:p>
    <w:p w14:paraId="612AB77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2、中标供应商须设有维修服务电话，负责解答用户在货物使用中遇到的问题，及时提出解决问题的建议和操作方法。</w:t>
      </w:r>
    </w:p>
    <w:p w14:paraId="0D620922">
      <w:pPr>
        <w:numPr>
          <w:ilvl w:val="0"/>
          <w:numId w:val="11"/>
        </w:num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培训：中标供应商应免费对相关专业人员进行专门培训，并提供培训资料。培训的时间安排和培训内容应由招标人确认，培训发生的全部费用及在培训期间货物出现任何损坏均由中标供应商承担。</w:t>
      </w:r>
    </w:p>
    <w:p w14:paraId="1F08B3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（七）交货期:本项目分批次供货，中标人收到招标人供货通知之日起7个历天内完成供货。</w:t>
      </w:r>
    </w:p>
    <w:p w14:paraId="36A48CA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（八）交货地点：招标人指定地点 </w:t>
      </w:r>
    </w:p>
    <w:p w14:paraId="21F9B1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（九）验收：</w:t>
      </w:r>
    </w:p>
    <w:p w14:paraId="1D6794E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人和相关部门按照国家规定标准验收，没有国家标准的按行业标准验收，无行业标准的按地方或企业标准验收，中标供应商予以配合。涉及安全、消防、环保等其他需要由质检或行业主管部门验收的项目，采购人须约请相关部门和专家参加项目验收。</w:t>
      </w:r>
    </w:p>
    <w:p w14:paraId="583D3885">
      <w:pPr>
        <w:rPr>
          <w:rFonts w:ascii="宋体" w:hAnsi="宋体" w:cs="宋体"/>
          <w:color w:val="auto"/>
          <w:szCs w:val="21"/>
          <w:highlight w:val="none"/>
        </w:rPr>
      </w:pPr>
      <w:r>
        <w:rPr>
          <w:rFonts w:hint="eastAsia" w:ascii="宋体" w:hAnsi="宋体" w:cs="宋体"/>
          <w:color w:val="auto"/>
          <w:szCs w:val="21"/>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61771051">
      <w:pPr>
        <w:rPr>
          <w:rFonts w:ascii="宋体"/>
          <w:b/>
          <w:bCs/>
          <w:color w:val="auto"/>
          <w:sz w:val="36"/>
          <w:szCs w:val="52"/>
          <w:highlight w:val="none"/>
        </w:rPr>
      </w:pPr>
      <w:r>
        <w:rPr>
          <w:rFonts w:hint="eastAsia" w:ascii="宋体"/>
          <w:b/>
          <w:bCs/>
          <w:color w:val="auto"/>
          <w:sz w:val="36"/>
          <w:szCs w:val="52"/>
          <w:highlight w:val="none"/>
        </w:rPr>
        <w:br w:type="page"/>
      </w:r>
    </w:p>
    <w:p w14:paraId="600BE527">
      <w:pPr>
        <w:spacing w:line="440" w:lineRule="exact"/>
        <w:ind w:firstLine="542" w:firstLineChars="150"/>
        <w:jc w:val="center"/>
        <w:rPr>
          <w:rFonts w:ascii="宋体"/>
          <w:color w:val="auto"/>
          <w:szCs w:val="32"/>
          <w:highlight w:val="none"/>
        </w:rPr>
      </w:pPr>
      <w:r>
        <w:rPr>
          <w:rFonts w:hint="eastAsia" w:ascii="宋体"/>
          <w:b/>
          <w:bCs/>
          <w:color w:val="auto"/>
          <w:sz w:val="36"/>
          <w:szCs w:val="52"/>
          <w:highlight w:val="none"/>
        </w:rPr>
        <w:t>第五章  合同条款及格式</w:t>
      </w:r>
      <w:bookmarkEnd w:id="80"/>
      <w:bookmarkEnd w:id="81"/>
    </w:p>
    <w:p w14:paraId="08C2EA82">
      <w:pPr>
        <w:pStyle w:val="3"/>
        <w:numPr>
          <w:ilvl w:val="0"/>
          <w:numId w:val="12"/>
        </w:numPr>
        <w:ind w:left="1260" w:hanging="420"/>
        <w:jc w:val="center"/>
        <w:rPr>
          <w:b/>
          <w:bCs/>
          <w:color w:val="auto"/>
          <w:szCs w:val="24"/>
          <w:highlight w:val="none"/>
        </w:rPr>
      </w:pPr>
      <w:bookmarkStart w:id="91" w:name="_Toc11690"/>
      <w:bookmarkStart w:id="92" w:name="_Toc29433"/>
      <w:bookmarkStart w:id="93" w:name="_Toc4982"/>
      <w:bookmarkStart w:id="94" w:name="_Toc449028948"/>
      <w:r>
        <w:rPr>
          <w:rFonts w:hint="eastAsia"/>
          <w:b/>
          <w:bCs/>
          <w:color w:val="auto"/>
          <w:szCs w:val="24"/>
          <w:highlight w:val="none"/>
        </w:rPr>
        <w:t>合同协议书（格式）</w:t>
      </w:r>
      <w:bookmarkEnd w:id="91"/>
      <w:bookmarkEnd w:id="92"/>
      <w:bookmarkEnd w:id="93"/>
    </w:p>
    <w:p w14:paraId="2F6F72A4">
      <w:pPr>
        <w:rPr>
          <w:color w:val="auto"/>
          <w:highlight w:val="none"/>
        </w:rPr>
      </w:pPr>
    </w:p>
    <w:p w14:paraId="007DCCB4">
      <w:pPr>
        <w:spacing w:line="440" w:lineRule="exact"/>
        <w:ind w:firstLine="2932" w:firstLineChars="1043"/>
        <w:rPr>
          <w:rFonts w:ascii="宋体" w:hAnsi="宋体" w:cs="宋体"/>
          <w:color w:val="auto"/>
          <w:sz w:val="24"/>
          <w:highlight w:val="none"/>
        </w:rPr>
      </w:pPr>
      <w:r>
        <w:rPr>
          <w:rFonts w:hint="eastAsia" w:ascii="宋体" w:hAnsi="宋体" w:cs="宋体"/>
          <w:b/>
          <w:color w:val="auto"/>
          <w:sz w:val="28"/>
          <w:szCs w:val="28"/>
          <w:highlight w:val="none"/>
        </w:rPr>
        <w:t xml:space="preserve">合同名称 </w:t>
      </w: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编号</w:t>
      </w:r>
    </w:p>
    <w:p w14:paraId="022535A9">
      <w:pPr>
        <w:spacing w:line="440" w:lineRule="exact"/>
        <w:ind w:firstLine="420" w:firstLineChars="200"/>
        <w:rPr>
          <w:rFonts w:ascii="宋体" w:hAnsi="宋体" w:cs="宋体"/>
          <w:color w:val="auto"/>
          <w:szCs w:val="21"/>
          <w:highlight w:val="none"/>
        </w:rPr>
      </w:pPr>
      <w:bookmarkStart w:id="95" w:name="_Toc246996996"/>
      <w:bookmarkStart w:id="96" w:name="_Toc179632628"/>
      <w:bookmarkStart w:id="97" w:name="_Toc296602498"/>
      <w:bookmarkStart w:id="98" w:name="_Toc144974578"/>
      <w:bookmarkStart w:id="99" w:name="_Toc469495742"/>
      <w:bookmarkStart w:id="100" w:name="_Toc152045610"/>
      <w:bookmarkStart w:id="101" w:name="_Toc247085768"/>
      <w:bookmarkStart w:id="102" w:name="_Toc152042388"/>
      <w:bookmarkStart w:id="103" w:name="_Toc246996253"/>
      <w:r>
        <w:rPr>
          <w:rFonts w:hint="eastAsia" w:ascii="宋体" w:hAnsi="宋体" w:cs="宋体"/>
          <w:color w:val="auto"/>
          <w:szCs w:val="21"/>
          <w:highlight w:val="none"/>
        </w:rPr>
        <w:t>买    方：                                   卖    方：</w:t>
      </w:r>
    </w:p>
    <w:p w14:paraId="2D5798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6E0E4C0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94B38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3A1A69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本合同文件</w:t>
      </w:r>
    </w:p>
    <w:p w14:paraId="7957BAC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5199F80B">
      <w:pPr>
        <w:numPr>
          <w:ilvl w:val="0"/>
          <w:numId w:val="13"/>
        </w:num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招标文件；</w:t>
      </w:r>
    </w:p>
    <w:p w14:paraId="074DB85F">
      <w:pPr>
        <w:numPr>
          <w:ilvl w:val="0"/>
          <w:numId w:val="13"/>
        </w:num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投标文件；</w:t>
      </w:r>
    </w:p>
    <w:p w14:paraId="4B13BD8D">
      <w:pPr>
        <w:numPr>
          <w:ilvl w:val="0"/>
          <w:numId w:val="13"/>
        </w:num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中标通知书；</w:t>
      </w:r>
    </w:p>
    <w:p w14:paraId="31CF207C">
      <w:pPr>
        <w:spacing w:line="440" w:lineRule="exact"/>
        <w:ind w:left="210" w:leftChars="100"/>
        <w:rPr>
          <w:rFonts w:ascii="宋体" w:hAnsi="宋体" w:cs="宋体"/>
          <w:color w:val="auto"/>
          <w:szCs w:val="21"/>
          <w:highlight w:val="none"/>
        </w:rPr>
      </w:pPr>
      <w:r>
        <w:rPr>
          <w:rFonts w:hint="eastAsia" w:ascii="宋体" w:hAnsi="宋体" w:cs="宋体"/>
          <w:color w:val="auto"/>
          <w:szCs w:val="21"/>
          <w:highlight w:val="none"/>
        </w:rPr>
        <w:t>（4）经双方确认进入合同的其它文件、补充条款或说明。</w:t>
      </w:r>
    </w:p>
    <w:p w14:paraId="77E5AA2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采购标的、数量、质量要求</w:t>
      </w:r>
    </w:p>
    <w:p w14:paraId="2B548EC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综合单价合同</w:t>
      </w:r>
    </w:p>
    <w:p w14:paraId="0C090066">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5D1A632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注：1）实际供货与结算时有可能发生变化，实际供货以采购人通知数量，结算时以实际供货数量为准，请供应商在报价时考虑，供货期内中标综合单价不予调整。</w:t>
      </w:r>
    </w:p>
    <w:p w14:paraId="0618FE2A">
      <w:pPr>
        <w:numPr>
          <w:ilvl w:val="0"/>
          <w:numId w:val="14"/>
        </w:num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在后续实施过程中，如产生不在本次招标清单里的材料，由中标单位按比例核算和业主双方协商确定单价。</w:t>
      </w:r>
    </w:p>
    <w:p w14:paraId="12780A88">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4、付款方式</w:t>
      </w:r>
      <w:r>
        <w:rPr>
          <w:rFonts w:hint="eastAsia" w:ascii="宋体" w:hAnsi="宋体" w:cs="宋体"/>
          <w:b/>
          <w:bCs/>
          <w:color w:val="auto"/>
          <w:szCs w:val="21"/>
          <w:highlight w:val="none"/>
        </w:rPr>
        <w:t>：</w:t>
      </w:r>
      <w:r>
        <w:rPr>
          <w:rFonts w:hint="eastAsia" w:ascii="宋体" w:hAnsi="宋体" w:eastAsia="宋体" w:cs="宋体"/>
          <w:color w:val="auto"/>
          <w:szCs w:val="21"/>
          <w:highlight w:val="none"/>
        </w:rPr>
        <w:t>合同履行期间，中标人将货物运至指定地点并验收合格后，招标人将于90个工作日内支付验收合格且入库货物货款的100%。本项目供货完成后履约保证金直接转为质保金，质保期从合同最后一批货验收合格起开始计算，质保期为六年（具体以标书中自行承诺的期限为准），质保期满后一个月内一次性付清。</w:t>
      </w:r>
    </w:p>
    <w:p w14:paraId="5A5F64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合同供货期限：本项目分批次供货，中标人收到招标人供货通知之日起7个历天内完成供货。</w:t>
      </w:r>
    </w:p>
    <w:p w14:paraId="6B983B54">
      <w:pPr>
        <w:spacing w:line="440" w:lineRule="exact"/>
        <w:ind w:left="416" w:leftChars="198"/>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供货地点：货物运至招标人指定地点。</w:t>
      </w:r>
    </w:p>
    <w:p w14:paraId="0D70919F">
      <w:pPr>
        <w:spacing w:line="440" w:lineRule="exact"/>
        <w:ind w:left="420" w:leftChars="200"/>
        <w:rPr>
          <w:rFonts w:ascii="宋体" w:hAnsi="宋体" w:cs="宋体"/>
          <w:b/>
          <w:bCs/>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验收要求及违约责任：材料运至指定地点后，招标人将组织验收，若所供货物质量、规格、参数等任意一项与招标文件不符的，将扣除质保金的50%作为违约金；第二次随机抽样后发现仍有不合格的，质保金将不予支付，同时招标人有权单方解除合同，并报送滁州市公共资源交易监督管理局加入滁州市招投标黑名单。</w:t>
      </w:r>
    </w:p>
    <w:p w14:paraId="5C3886F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cs="宋体"/>
          <w:color w:val="auto"/>
          <w:szCs w:val="21"/>
          <w:highlight w:val="none"/>
        </w:rPr>
        <w:t>违约责任及解决争议方法</w:t>
      </w:r>
    </w:p>
    <w:p w14:paraId="67049CD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合同的生效</w:t>
      </w:r>
    </w:p>
    <w:p w14:paraId="632F1295">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合同经双方授权代表签署，买卖双方加盖印章之后生效。</w:t>
      </w:r>
    </w:p>
    <w:p w14:paraId="17105E4C">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本合同一式     份，双方各执     份。</w:t>
      </w:r>
    </w:p>
    <w:p w14:paraId="4611904D">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买  方：                          卖  方：</w:t>
      </w:r>
    </w:p>
    <w:p w14:paraId="0AAD23AB">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名  称：（盖章）                   名  称：（盖章）</w:t>
      </w:r>
    </w:p>
    <w:p w14:paraId="05DC866C">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法定代表人（或委托代理人）：       法定代表人（或委托代理人）：</w:t>
      </w:r>
    </w:p>
    <w:p w14:paraId="3ABF43EC">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（签字）                        （签字）</w:t>
      </w:r>
    </w:p>
    <w:p w14:paraId="63AC3F9A">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地    址：                        地    址：</w:t>
      </w:r>
    </w:p>
    <w:p w14:paraId="71BD4254">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邮政编码：                        邮政编码：</w:t>
      </w:r>
    </w:p>
    <w:p w14:paraId="4CB60C26">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电    话：                        电    话：</w:t>
      </w:r>
    </w:p>
    <w:p w14:paraId="240F4F8B">
      <w:pPr>
        <w:pStyle w:val="13"/>
        <w:spacing w:after="0" w:line="440" w:lineRule="exact"/>
        <w:ind w:left="0" w:leftChars="0" w:firstLine="420" w:firstLineChars="200"/>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开户银行：                        开户银行：</w:t>
      </w:r>
    </w:p>
    <w:p w14:paraId="6F5153AF">
      <w:pPr>
        <w:pStyle w:val="13"/>
        <w:spacing w:after="0" w:line="440" w:lineRule="exact"/>
        <w:ind w:left="0" w:leftChars="0" w:firstLine="420" w:firstLineChars="200"/>
        <w:rPr>
          <w:rFonts w:ascii="宋体" w:hAnsi="宋体" w:cs="宋体"/>
          <w:b/>
          <w:color w:val="auto"/>
          <w:sz w:val="30"/>
          <w:szCs w:val="30"/>
          <w:highlight w:val="none"/>
        </w:rPr>
      </w:pPr>
      <w:r>
        <w:rPr>
          <w:rFonts w:hint="eastAsia" w:ascii="宋体" w:hAnsi="宋体" w:cs="宋体"/>
          <w:color w:val="auto"/>
          <w:kern w:val="0"/>
          <w:szCs w:val="21"/>
          <w:highlight w:val="none"/>
          <w:u w:color="000000"/>
        </w:rPr>
        <w:t>帐    号：                        帐    号：</w:t>
      </w:r>
    </w:p>
    <w:p w14:paraId="54DCB26B">
      <w:pPr>
        <w:rPr>
          <w:color w:val="auto"/>
          <w:highlight w:val="none"/>
        </w:rPr>
      </w:pPr>
      <w:r>
        <w:rPr>
          <w:rFonts w:hint="eastAsia"/>
          <w:color w:val="auto"/>
          <w:highlight w:val="none"/>
        </w:rPr>
        <w:br w:type="page"/>
      </w:r>
    </w:p>
    <w:p w14:paraId="07842D99">
      <w:pPr>
        <w:pStyle w:val="3"/>
        <w:numPr>
          <w:ilvl w:val="0"/>
          <w:numId w:val="12"/>
        </w:numPr>
        <w:ind w:left="1260" w:hanging="420"/>
        <w:jc w:val="center"/>
        <w:rPr>
          <w:b/>
          <w:bCs/>
          <w:color w:val="auto"/>
          <w:szCs w:val="24"/>
          <w:highlight w:val="none"/>
        </w:rPr>
      </w:pPr>
      <w:bookmarkStart w:id="104" w:name="_Toc16580"/>
      <w:bookmarkStart w:id="105" w:name="_Toc8755"/>
      <w:bookmarkStart w:id="106" w:name="_Toc4456"/>
      <w:r>
        <w:rPr>
          <w:rFonts w:hint="eastAsia"/>
          <w:b/>
          <w:bCs/>
          <w:color w:val="auto"/>
          <w:szCs w:val="24"/>
          <w:highlight w:val="none"/>
        </w:rPr>
        <w:t>合同条款</w:t>
      </w:r>
      <w:bookmarkEnd w:id="95"/>
      <w:bookmarkEnd w:id="96"/>
      <w:bookmarkEnd w:id="97"/>
      <w:bookmarkEnd w:id="98"/>
      <w:bookmarkEnd w:id="99"/>
      <w:bookmarkEnd w:id="100"/>
      <w:bookmarkEnd w:id="101"/>
      <w:bookmarkEnd w:id="102"/>
      <w:bookmarkEnd w:id="103"/>
      <w:bookmarkEnd w:id="104"/>
      <w:bookmarkEnd w:id="105"/>
      <w:bookmarkEnd w:id="106"/>
    </w:p>
    <w:p w14:paraId="32C1C4D3">
      <w:pPr>
        <w:spacing w:line="440" w:lineRule="exact"/>
        <w:rPr>
          <w:rFonts w:ascii="宋体" w:hAnsi="宋体" w:cs="宋体"/>
          <w:b/>
          <w:color w:val="auto"/>
          <w:szCs w:val="21"/>
          <w:highlight w:val="none"/>
        </w:rPr>
      </w:pPr>
      <w:r>
        <w:rPr>
          <w:rFonts w:hint="eastAsia" w:ascii="宋体" w:hAnsi="宋体" w:cs="宋体"/>
          <w:b/>
          <w:color w:val="auto"/>
          <w:szCs w:val="21"/>
          <w:highlight w:val="none"/>
        </w:rPr>
        <w:t>一.  合同文件</w:t>
      </w:r>
    </w:p>
    <w:p w14:paraId="21F71728">
      <w:pPr>
        <w:spacing w:line="440" w:lineRule="exact"/>
        <w:rPr>
          <w:rFonts w:ascii="宋体" w:hAnsi="宋体" w:cs="宋体"/>
          <w:color w:val="auto"/>
          <w:szCs w:val="21"/>
          <w:highlight w:val="none"/>
        </w:rPr>
      </w:pPr>
      <w:r>
        <w:rPr>
          <w:rFonts w:hint="eastAsia" w:ascii="宋体" w:hAnsi="宋体" w:cs="宋体"/>
          <w:color w:val="auto"/>
          <w:szCs w:val="21"/>
          <w:highlight w:val="none"/>
        </w:rPr>
        <w:t>1、合同文件适用法律</w:t>
      </w:r>
    </w:p>
    <w:p w14:paraId="73D08141">
      <w:pPr>
        <w:spacing w:line="440" w:lineRule="exac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适用于合同文件的法律是中华人民共和国现行法律、法规及招标人所在地的地方性法规。</w:t>
      </w:r>
    </w:p>
    <w:p w14:paraId="69870FD2">
      <w:pPr>
        <w:spacing w:line="440" w:lineRule="exact"/>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2485BA4C">
      <w:pPr>
        <w:spacing w:line="440" w:lineRule="exact"/>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7BB420D8">
      <w:pPr>
        <w:spacing w:line="440" w:lineRule="exact"/>
        <w:rPr>
          <w:rFonts w:ascii="宋体" w:hAnsi="宋体" w:cs="宋体"/>
          <w:color w:val="auto"/>
          <w:szCs w:val="21"/>
          <w:highlight w:val="none"/>
        </w:rPr>
      </w:pPr>
      <w:r>
        <w:rPr>
          <w:rFonts w:hint="eastAsia" w:ascii="宋体" w:hAnsi="宋体" w:cs="宋体"/>
          <w:color w:val="auto"/>
          <w:szCs w:val="21"/>
          <w:highlight w:val="none"/>
        </w:rPr>
        <w:t>&lt;1&gt;合同的主要条款；</w:t>
      </w:r>
    </w:p>
    <w:p w14:paraId="4CA1ABB9">
      <w:pPr>
        <w:spacing w:line="440" w:lineRule="exact"/>
        <w:rPr>
          <w:rFonts w:ascii="宋体" w:hAnsi="宋体" w:cs="宋体"/>
          <w:color w:val="auto"/>
          <w:szCs w:val="21"/>
          <w:highlight w:val="none"/>
        </w:rPr>
      </w:pPr>
      <w:r>
        <w:rPr>
          <w:rFonts w:hint="eastAsia" w:ascii="宋体" w:hAnsi="宋体" w:cs="宋体"/>
          <w:color w:val="auto"/>
          <w:szCs w:val="21"/>
          <w:highlight w:val="none"/>
        </w:rPr>
        <w:t>&lt;2&gt;合同的一般性条款；</w:t>
      </w:r>
    </w:p>
    <w:p w14:paraId="52703A2A">
      <w:pPr>
        <w:spacing w:line="440" w:lineRule="exact"/>
        <w:rPr>
          <w:rFonts w:ascii="宋体" w:hAnsi="宋体" w:cs="宋体"/>
          <w:color w:val="auto"/>
          <w:szCs w:val="21"/>
          <w:highlight w:val="none"/>
        </w:rPr>
      </w:pPr>
      <w:r>
        <w:rPr>
          <w:rFonts w:hint="eastAsia" w:ascii="宋体" w:hAnsi="宋体" w:cs="宋体"/>
          <w:color w:val="auto"/>
          <w:szCs w:val="21"/>
          <w:highlight w:val="none"/>
        </w:rPr>
        <w:t>&lt;3&gt;洽商、变更等明确双方权利义务的纪要、协议；</w:t>
      </w:r>
    </w:p>
    <w:p w14:paraId="275A608C">
      <w:pPr>
        <w:spacing w:line="440" w:lineRule="exact"/>
        <w:rPr>
          <w:rFonts w:ascii="宋体" w:hAnsi="宋体" w:cs="宋体"/>
          <w:color w:val="auto"/>
          <w:szCs w:val="21"/>
          <w:highlight w:val="none"/>
        </w:rPr>
      </w:pPr>
      <w:r>
        <w:rPr>
          <w:rFonts w:hint="eastAsia" w:ascii="宋体" w:hAnsi="宋体" w:cs="宋体"/>
          <w:color w:val="auto"/>
          <w:szCs w:val="21"/>
          <w:highlight w:val="none"/>
        </w:rPr>
        <w:t>&lt;4&gt;中标通知书、投标文件和招标文件；</w:t>
      </w:r>
    </w:p>
    <w:p w14:paraId="3A964A36">
      <w:pPr>
        <w:spacing w:line="440" w:lineRule="exact"/>
        <w:rPr>
          <w:rFonts w:ascii="宋体" w:hAnsi="宋体" w:cs="宋体"/>
          <w:color w:val="auto"/>
          <w:szCs w:val="21"/>
          <w:highlight w:val="none"/>
        </w:rPr>
      </w:pPr>
      <w:r>
        <w:rPr>
          <w:rFonts w:hint="eastAsia" w:ascii="宋体" w:hAnsi="宋体" w:cs="宋体"/>
          <w:color w:val="auto"/>
          <w:szCs w:val="21"/>
          <w:highlight w:val="none"/>
        </w:rPr>
        <w:t>&lt;5&gt;有关图纸、标准、规范和其它有关技术资料、技术要求。</w:t>
      </w:r>
    </w:p>
    <w:p w14:paraId="0095E110">
      <w:pPr>
        <w:spacing w:line="440" w:lineRule="exact"/>
        <w:rPr>
          <w:rFonts w:ascii="宋体" w:hAnsi="宋体" w:cs="宋体"/>
          <w:color w:val="auto"/>
          <w:szCs w:val="21"/>
          <w:highlight w:val="none"/>
        </w:rPr>
      </w:pPr>
      <w:r>
        <w:rPr>
          <w:rFonts w:hint="eastAsia" w:ascii="宋体" w:hAnsi="宋体" w:cs="宋体"/>
          <w:color w:val="auto"/>
          <w:szCs w:val="21"/>
          <w:highlight w:val="none"/>
        </w:rPr>
        <w:t>&lt;6&gt;合同的主要条款的效力优于合同的一般性条款的效力。</w:t>
      </w:r>
    </w:p>
    <w:p w14:paraId="214D1820">
      <w:pPr>
        <w:spacing w:line="440" w:lineRule="exact"/>
        <w:rPr>
          <w:rFonts w:ascii="宋体" w:hAnsi="宋体" w:cs="宋体"/>
          <w:color w:val="auto"/>
          <w:szCs w:val="21"/>
          <w:highlight w:val="none"/>
        </w:rPr>
      </w:pPr>
      <w:r>
        <w:rPr>
          <w:rFonts w:hint="eastAsia" w:ascii="宋体" w:hAnsi="宋体" w:cs="宋体"/>
          <w:color w:val="auto"/>
          <w:szCs w:val="21"/>
          <w:highlight w:val="none"/>
        </w:rPr>
        <w:t>3、合同文件使用文字</w:t>
      </w:r>
    </w:p>
    <w:p w14:paraId="5DCEA000">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3D3A036B">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61CC55D5">
      <w:pPr>
        <w:spacing w:line="440" w:lineRule="exact"/>
        <w:rPr>
          <w:rFonts w:ascii="宋体" w:hAnsi="宋体" w:cs="宋体"/>
          <w:b/>
          <w:color w:val="auto"/>
          <w:szCs w:val="21"/>
          <w:highlight w:val="none"/>
        </w:rPr>
      </w:pPr>
      <w:r>
        <w:rPr>
          <w:rFonts w:hint="eastAsia" w:ascii="宋体" w:hAnsi="宋体" w:cs="宋体"/>
          <w:b/>
          <w:color w:val="auto"/>
          <w:szCs w:val="21"/>
          <w:highlight w:val="none"/>
        </w:rPr>
        <w:t>二.  标的物的一般条款</w:t>
      </w:r>
    </w:p>
    <w:p w14:paraId="5912ECB2">
      <w:pPr>
        <w:spacing w:line="440" w:lineRule="exact"/>
        <w:rPr>
          <w:rFonts w:ascii="宋体" w:hAnsi="宋体" w:cs="宋体"/>
          <w:color w:val="auto"/>
          <w:szCs w:val="21"/>
          <w:highlight w:val="none"/>
        </w:rPr>
      </w:pPr>
      <w:r>
        <w:rPr>
          <w:rFonts w:hint="eastAsia" w:ascii="宋体" w:hAnsi="宋体" w:cs="宋体"/>
          <w:color w:val="auto"/>
          <w:szCs w:val="21"/>
          <w:highlight w:val="none"/>
        </w:rPr>
        <w:t>4、完整物权</w:t>
      </w:r>
    </w:p>
    <w:p w14:paraId="73EF2EBF">
      <w:pPr>
        <w:tabs>
          <w:tab w:val="left" w:pos="660"/>
        </w:tabs>
        <w:spacing w:line="440" w:lineRule="exac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6E74E884">
      <w:pPr>
        <w:spacing w:line="440" w:lineRule="exact"/>
        <w:rPr>
          <w:rFonts w:ascii="宋体" w:hAnsi="宋体" w:cs="宋体"/>
          <w:color w:val="auto"/>
          <w:szCs w:val="21"/>
          <w:highlight w:val="none"/>
        </w:rPr>
      </w:pPr>
      <w:r>
        <w:rPr>
          <w:rFonts w:hint="eastAsia" w:ascii="宋体" w:hAnsi="宋体" w:cs="宋体"/>
          <w:color w:val="auto"/>
          <w:szCs w:val="21"/>
          <w:highlight w:val="none"/>
        </w:rPr>
        <w:t>5、质量保证</w:t>
      </w:r>
    </w:p>
    <w:p w14:paraId="2B937496">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E1F25">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065848B8">
      <w:pPr>
        <w:pStyle w:val="11"/>
        <w:tabs>
          <w:tab w:val="left" w:pos="900"/>
        </w:tabs>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67BB2B49">
      <w:pPr>
        <w:spacing w:line="440" w:lineRule="exact"/>
        <w:rPr>
          <w:rFonts w:ascii="宋体" w:hAnsi="宋体" w:cs="宋体"/>
          <w:color w:val="auto"/>
          <w:szCs w:val="21"/>
          <w:highlight w:val="none"/>
        </w:rPr>
      </w:pPr>
      <w:r>
        <w:rPr>
          <w:rFonts w:hint="eastAsia" w:ascii="宋体" w:hAnsi="宋体" w:cs="宋体"/>
          <w:color w:val="auto"/>
          <w:szCs w:val="21"/>
          <w:highlight w:val="none"/>
        </w:rPr>
        <w:t>6、包装</w:t>
      </w:r>
    </w:p>
    <w:p w14:paraId="7B82A4CA">
      <w:pPr>
        <w:pStyle w:val="11"/>
        <w:tabs>
          <w:tab w:val="left" w:pos="900"/>
        </w:tabs>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16DD8415">
      <w:pPr>
        <w:spacing w:line="440" w:lineRule="exact"/>
        <w:rPr>
          <w:rFonts w:ascii="宋体" w:hAnsi="宋体" w:cs="宋体"/>
          <w:color w:val="auto"/>
          <w:szCs w:val="21"/>
          <w:highlight w:val="none"/>
        </w:rPr>
      </w:pPr>
      <w:r>
        <w:rPr>
          <w:rFonts w:hint="eastAsia" w:ascii="宋体" w:hAnsi="宋体" w:cs="宋体"/>
          <w:color w:val="auto"/>
          <w:szCs w:val="21"/>
          <w:highlight w:val="none"/>
        </w:rPr>
        <w:t>7、伴随服务</w:t>
      </w:r>
    </w:p>
    <w:p w14:paraId="081BBDA5">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3EDC532C">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&lt;1&gt;标的物的现场安装或指导安装、启动、调试、监督（如果必须安装、调试的话）；</w:t>
      </w:r>
    </w:p>
    <w:p w14:paraId="5D0CA329">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&lt;2&gt;提供标的物组装和一般维修所必须的工具；</w:t>
      </w:r>
    </w:p>
    <w:p w14:paraId="45561DE7">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&lt;3&gt;在合同规定的期限内对所提供标的物实行运行监督、维修服务的前提条件是该服务并不能免除卖方在质量保证期内所承担的义务；</w:t>
      </w:r>
    </w:p>
    <w:p w14:paraId="1B656102">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&lt;4&gt;对买方技术人员的技术指导或培训。</w:t>
      </w:r>
    </w:p>
    <w:p w14:paraId="0C69E595">
      <w:pPr>
        <w:pStyle w:val="11"/>
        <w:numPr>
          <w:ilvl w:val="0"/>
          <w:numId w:val="15"/>
        </w:numPr>
        <w:overflowPunct w:val="0"/>
        <w:spacing w:line="440" w:lineRule="exact"/>
        <w:ind w:firstLine="0"/>
        <w:rPr>
          <w:color w:val="auto"/>
          <w:highlight w:val="none"/>
        </w:rPr>
      </w:pPr>
      <w:r>
        <w:rPr>
          <w:rFonts w:hint="eastAsia" w:ascii="宋体" w:hAnsi="宋体" w:cs="宋体"/>
          <w:color w:val="auto"/>
          <w:sz w:val="21"/>
          <w:szCs w:val="21"/>
          <w:highlight w:val="none"/>
          <w:u w:color="000000"/>
        </w:rPr>
        <w:t>除合同另有规定之外，伴随服务的费用均已含在合同价款中，买方不再另行进行支付。</w:t>
      </w:r>
    </w:p>
    <w:p w14:paraId="655064D4">
      <w:pPr>
        <w:spacing w:line="440" w:lineRule="exact"/>
        <w:rPr>
          <w:rFonts w:ascii="宋体" w:hAnsi="宋体" w:cs="宋体"/>
          <w:b/>
          <w:color w:val="auto"/>
          <w:szCs w:val="21"/>
          <w:highlight w:val="none"/>
        </w:rPr>
      </w:pPr>
      <w:r>
        <w:rPr>
          <w:rFonts w:hint="eastAsia" w:ascii="宋体" w:hAnsi="宋体" w:cs="宋体"/>
          <w:b/>
          <w:color w:val="auto"/>
          <w:szCs w:val="21"/>
          <w:highlight w:val="none"/>
        </w:rPr>
        <w:t>三.  标的物的交付、检验和验收</w:t>
      </w:r>
    </w:p>
    <w:p w14:paraId="46C67540">
      <w:pPr>
        <w:spacing w:line="440" w:lineRule="exact"/>
        <w:rPr>
          <w:rFonts w:ascii="宋体" w:hAnsi="宋体" w:cs="宋体"/>
          <w:color w:val="auto"/>
          <w:szCs w:val="21"/>
          <w:highlight w:val="none"/>
        </w:rPr>
      </w:pPr>
      <w:r>
        <w:rPr>
          <w:rFonts w:hint="eastAsia" w:ascii="宋体" w:hAnsi="宋体" w:cs="宋体"/>
          <w:color w:val="auto"/>
          <w:szCs w:val="21"/>
          <w:highlight w:val="none"/>
        </w:rPr>
        <w:t>8、标的物的交付</w:t>
      </w:r>
    </w:p>
    <w:p w14:paraId="59EB2716">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6957911B">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(2)卖方应当按照约定的期限和约定的地点交付符合招标文件要求的标的物。</w:t>
      </w:r>
    </w:p>
    <w:p w14:paraId="4CC3B1CE">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(3)卖方应当按照约定或者交易习惯向招标人交付提取标的物单证以外的有关单证和资料。</w:t>
      </w:r>
    </w:p>
    <w:p w14:paraId="030DA5C4">
      <w:pPr>
        <w:spacing w:line="440" w:lineRule="exact"/>
        <w:rPr>
          <w:rFonts w:ascii="宋体" w:hAnsi="宋体" w:cs="宋体"/>
          <w:color w:val="auto"/>
          <w:szCs w:val="21"/>
          <w:highlight w:val="none"/>
        </w:rPr>
      </w:pPr>
      <w:r>
        <w:rPr>
          <w:rFonts w:hint="eastAsia" w:ascii="宋体" w:hAnsi="宋体" w:cs="宋体"/>
          <w:color w:val="auto"/>
          <w:szCs w:val="21"/>
          <w:highlight w:val="none"/>
        </w:rPr>
        <w:t>9、检验和验收</w:t>
      </w:r>
    </w:p>
    <w:p w14:paraId="061CB791">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75FC1369">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4D643D88">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(3)验收期限自标的物交付之日起三十天内。特殊情况需延长的，双方应在合同条款中约定。</w:t>
      </w:r>
    </w:p>
    <w:p w14:paraId="62127DCE">
      <w:pPr>
        <w:spacing w:line="440" w:lineRule="exact"/>
        <w:rPr>
          <w:rFonts w:ascii="宋体" w:hAnsi="宋体" w:cs="宋体"/>
          <w:b/>
          <w:color w:val="auto"/>
          <w:szCs w:val="21"/>
          <w:highlight w:val="none"/>
        </w:rPr>
      </w:pPr>
      <w:r>
        <w:rPr>
          <w:rFonts w:hint="eastAsia" w:ascii="宋体" w:hAnsi="宋体" w:cs="宋体"/>
          <w:b/>
          <w:color w:val="auto"/>
          <w:szCs w:val="21"/>
          <w:highlight w:val="none"/>
        </w:rPr>
        <w:t>四. 对标的物提出异议的时间和办法</w:t>
      </w:r>
    </w:p>
    <w:p w14:paraId="3BB05148">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30650646">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0F832A26">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7EE457A">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096A12B4">
      <w:pPr>
        <w:spacing w:line="440" w:lineRule="exact"/>
        <w:rPr>
          <w:rFonts w:ascii="宋体" w:hAnsi="宋体" w:cs="宋体"/>
          <w:b/>
          <w:color w:val="auto"/>
          <w:szCs w:val="21"/>
          <w:highlight w:val="none"/>
        </w:rPr>
      </w:pPr>
      <w:r>
        <w:rPr>
          <w:rFonts w:hint="eastAsia" w:ascii="宋体" w:hAnsi="宋体" w:cs="宋体"/>
          <w:b/>
          <w:color w:val="auto"/>
          <w:szCs w:val="21"/>
          <w:highlight w:val="none"/>
        </w:rPr>
        <w:t>五. 合同价款和支付</w:t>
      </w:r>
    </w:p>
    <w:p w14:paraId="1B9D19C0">
      <w:pPr>
        <w:spacing w:line="440" w:lineRule="exact"/>
        <w:rPr>
          <w:rFonts w:ascii="宋体" w:hAnsi="宋体" w:cs="宋体"/>
          <w:color w:val="auto"/>
          <w:szCs w:val="21"/>
          <w:highlight w:val="none"/>
        </w:rPr>
      </w:pPr>
      <w:r>
        <w:rPr>
          <w:rFonts w:hint="eastAsia" w:ascii="宋体" w:hAnsi="宋体" w:cs="宋体"/>
          <w:color w:val="auto"/>
          <w:szCs w:val="21"/>
          <w:highlight w:val="none"/>
        </w:rPr>
        <w:t>11、合同价款和支付</w:t>
      </w:r>
    </w:p>
    <w:p w14:paraId="5351D143">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49640A5C">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48FFA323">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&lt;1&gt;合格的销售发票；</w:t>
      </w:r>
    </w:p>
    <w:p w14:paraId="7758651B">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&lt;2&gt;买方盖章签收后的送货回单和验收合格证明。</w:t>
      </w:r>
    </w:p>
    <w:p w14:paraId="7866B72E">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3651D894">
      <w:pPr>
        <w:pStyle w:val="11"/>
        <w:tabs>
          <w:tab w:val="left" w:pos="540"/>
        </w:tabs>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048A3B11">
      <w:pPr>
        <w:spacing w:line="440" w:lineRule="exact"/>
        <w:rPr>
          <w:rFonts w:ascii="宋体" w:hAnsi="宋体" w:cs="宋体"/>
          <w:b/>
          <w:color w:val="auto"/>
          <w:szCs w:val="21"/>
          <w:highlight w:val="none"/>
        </w:rPr>
      </w:pPr>
      <w:r>
        <w:rPr>
          <w:rFonts w:hint="eastAsia" w:ascii="宋体" w:hAnsi="宋体" w:cs="宋体"/>
          <w:b/>
          <w:color w:val="auto"/>
          <w:szCs w:val="21"/>
          <w:highlight w:val="none"/>
        </w:rPr>
        <w:t>六. 违约责任</w:t>
      </w:r>
    </w:p>
    <w:p w14:paraId="1A3E0CC6">
      <w:pPr>
        <w:spacing w:line="440" w:lineRule="exact"/>
        <w:rPr>
          <w:rFonts w:ascii="宋体" w:hAnsi="宋体" w:cs="宋体"/>
          <w:color w:val="auto"/>
          <w:szCs w:val="21"/>
          <w:highlight w:val="none"/>
        </w:rPr>
      </w:pPr>
      <w:r>
        <w:rPr>
          <w:rFonts w:hint="eastAsia" w:ascii="宋体" w:hAnsi="宋体" w:cs="宋体"/>
          <w:color w:val="auto"/>
          <w:szCs w:val="21"/>
          <w:highlight w:val="none"/>
        </w:rPr>
        <w:t>12、违约责任</w:t>
      </w:r>
    </w:p>
    <w:p w14:paraId="217ECE73">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347CB1CD">
      <w:pPr>
        <w:spacing w:line="440" w:lineRule="exact"/>
        <w:rPr>
          <w:rFonts w:ascii="宋体" w:hAnsi="宋体" w:cs="宋体"/>
          <w:color w:val="auto"/>
          <w:szCs w:val="21"/>
          <w:highlight w:val="none"/>
        </w:rPr>
      </w:pPr>
      <w:r>
        <w:rPr>
          <w:rFonts w:hint="eastAsia" w:ascii="宋体" w:hAnsi="宋体" w:cs="宋体"/>
          <w:color w:val="auto"/>
          <w:szCs w:val="21"/>
          <w:highlight w:val="none"/>
        </w:rPr>
        <w:t>13、买方违约责任</w:t>
      </w:r>
    </w:p>
    <w:p w14:paraId="20220C32">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702F363D">
      <w:pPr>
        <w:pStyle w:val="11"/>
        <w:overflowPunct w:val="0"/>
        <w:spacing w:line="440" w:lineRule="exact"/>
        <w:ind w:right="-334" w:rightChars="-159"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35EAD14A">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(3)买方违反合同规定，拒绝接收卖方交付的符合招标文件要求的合格标的物，应当承担卖方由此造成的损失。</w:t>
      </w:r>
    </w:p>
    <w:p w14:paraId="6DB153E6">
      <w:pPr>
        <w:spacing w:line="440" w:lineRule="exact"/>
        <w:rPr>
          <w:rFonts w:ascii="宋体" w:hAnsi="宋体" w:cs="宋体"/>
          <w:color w:val="auto"/>
          <w:szCs w:val="21"/>
          <w:highlight w:val="none"/>
        </w:rPr>
      </w:pPr>
      <w:r>
        <w:rPr>
          <w:rFonts w:hint="eastAsia" w:ascii="宋体" w:hAnsi="宋体" w:cs="宋体"/>
          <w:color w:val="auto"/>
          <w:szCs w:val="21"/>
          <w:highlight w:val="none"/>
        </w:rPr>
        <w:t>14、卖方违约责任</w:t>
      </w:r>
    </w:p>
    <w:p w14:paraId="1B036D69">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706492B5">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09C7BE13">
      <w:pPr>
        <w:spacing w:line="440" w:lineRule="exact"/>
        <w:rPr>
          <w:rFonts w:ascii="宋体" w:hAnsi="宋体" w:cs="宋体"/>
          <w:color w:val="auto"/>
          <w:szCs w:val="21"/>
          <w:highlight w:val="none"/>
        </w:rPr>
      </w:pPr>
      <w:r>
        <w:rPr>
          <w:rFonts w:hint="eastAsia" w:ascii="宋体" w:hAnsi="宋体" w:cs="宋体"/>
          <w:color w:val="auto"/>
          <w:szCs w:val="21"/>
          <w:highlight w:val="none"/>
        </w:rPr>
        <w:t>15、不可抗力</w:t>
      </w:r>
    </w:p>
    <w:p w14:paraId="4BC9959B">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79C3E241">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49EF2A2A">
      <w:pPr>
        <w:spacing w:line="440" w:lineRule="exact"/>
        <w:rPr>
          <w:rFonts w:ascii="宋体" w:hAnsi="宋体" w:cs="宋体"/>
          <w:b/>
          <w:color w:val="auto"/>
          <w:szCs w:val="21"/>
          <w:highlight w:val="none"/>
        </w:rPr>
      </w:pPr>
      <w:r>
        <w:rPr>
          <w:rFonts w:hint="eastAsia" w:ascii="宋体" w:hAnsi="宋体" w:cs="宋体"/>
          <w:b/>
          <w:color w:val="auto"/>
          <w:szCs w:val="21"/>
          <w:highlight w:val="none"/>
        </w:rPr>
        <w:t>七. 索赔</w:t>
      </w:r>
    </w:p>
    <w:p w14:paraId="29145E1F">
      <w:pPr>
        <w:spacing w:line="440" w:lineRule="exact"/>
        <w:rPr>
          <w:rFonts w:ascii="宋体" w:hAnsi="宋体" w:cs="宋体"/>
          <w:color w:val="auto"/>
          <w:szCs w:val="21"/>
          <w:highlight w:val="none"/>
        </w:rPr>
      </w:pPr>
      <w:r>
        <w:rPr>
          <w:rFonts w:hint="eastAsia" w:ascii="宋体" w:hAnsi="宋体" w:cs="宋体"/>
          <w:color w:val="auto"/>
          <w:szCs w:val="21"/>
          <w:highlight w:val="none"/>
        </w:rPr>
        <w:t>16、索赔</w:t>
      </w:r>
    </w:p>
    <w:p w14:paraId="25D903F6">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(1)买方有权根据当地产品质量检验机构或其它有权威部门出具的检验证书向卖方提出索赔。</w:t>
      </w:r>
    </w:p>
    <w:p w14:paraId="32C2BA5F">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1EFFF694">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60E01D91">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&lt;2&gt;根据标的物的低劣程度、损坏程度以及甲方遭受损失的数额，经双方协商确定降低标的物的价格；</w:t>
      </w:r>
    </w:p>
    <w:p w14:paraId="1B0DC706">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005B4F7">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1E65457C">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(4)买方提出索赔的书面材料应报当地政府采购管理部门备案。卖方同意的索赔方案应报当地政府采购管理部门审核。</w:t>
      </w:r>
    </w:p>
    <w:p w14:paraId="40820BFB">
      <w:pPr>
        <w:spacing w:line="440" w:lineRule="exact"/>
        <w:rPr>
          <w:rFonts w:ascii="宋体" w:hAnsi="宋体" w:cs="宋体"/>
          <w:b/>
          <w:color w:val="auto"/>
          <w:szCs w:val="21"/>
          <w:highlight w:val="none"/>
        </w:rPr>
      </w:pPr>
      <w:r>
        <w:rPr>
          <w:rFonts w:hint="eastAsia" w:ascii="宋体" w:hAnsi="宋体" w:cs="宋体"/>
          <w:b/>
          <w:color w:val="auto"/>
          <w:szCs w:val="21"/>
          <w:highlight w:val="none"/>
        </w:rPr>
        <w:t>八. 履约保证金</w:t>
      </w:r>
    </w:p>
    <w:p w14:paraId="7C27E018">
      <w:pPr>
        <w:spacing w:line="440" w:lineRule="exact"/>
        <w:rPr>
          <w:rFonts w:ascii="宋体" w:hAnsi="宋体" w:cs="宋体"/>
          <w:color w:val="auto"/>
          <w:szCs w:val="21"/>
          <w:highlight w:val="none"/>
        </w:rPr>
      </w:pPr>
      <w:r>
        <w:rPr>
          <w:rFonts w:hint="eastAsia" w:ascii="宋体" w:hAnsi="宋体" w:cs="宋体"/>
          <w:color w:val="auto"/>
          <w:szCs w:val="21"/>
          <w:highlight w:val="none"/>
        </w:rPr>
        <w:t>17、履约保证金</w:t>
      </w:r>
    </w:p>
    <w:p w14:paraId="4A7CAFEA">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(1)卖方应在本合同签订时，按招标文件的约定提供相应的履约保证金，保证金的有效期应不低于合同有效期。</w:t>
      </w:r>
    </w:p>
    <w:p w14:paraId="648E3994">
      <w:pPr>
        <w:pStyle w:val="11"/>
        <w:overflowPunct w:val="0"/>
        <w:spacing w:line="440" w:lineRule="exact"/>
        <w:ind w:right="-334" w:rightChars="-159"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57D59C15">
      <w:pPr>
        <w:spacing w:line="440" w:lineRule="exact"/>
        <w:rPr>
          <w:rFonts w:ascii="宋体" w:hAnsi="宋体" w:cs="宋体"/>
          <w:b/>
          <w:color w:val="auto"/>
          <w:szCs w:val="21"/>
          <w:highlight w:val="none"/>
        </w:rPr>
      </w:pPr>
      <w:r>
        <w:rPr>
          <w:rFonts w:hint="eastAsia" w:ascii="宋体" w:hAnsi="宋体" w:cs="宋体"/>
          <w:b/>
          <w:color w:val="auto"/>
          <w:szCs w:val="21"/>
          <w:highlight w:val="none"/>
        </w:rPr>
        <w:t>九.  合同的解除和转让</w:t>
      </w:r>
    </w:p>
    <w:p w14:paraId="796FCD5A">
      <w:pPr>
        <w:spacing w:line="440" w:lineRule="exact"/>
        <w:rPr>
          <w:rFonts w:ascii="宋体" w:hAnsi="宋体" w:cs="宋体"/>
          <w:color w:val="auto"/>
          <w:szCs w:val="21"/>
          <w:highlight w:val="none"/>
        </w:rPr>
      </w:pPr>
      <w:r>
        <w:rPr>
          <w:rFonts w:hint="eastAsia" w:ascii="宋体" w:hAnsi="宋体" w:cs="宋体"/>
          <w:color w:val="auto"/>
          <w:szCs w:val="21"/>
          <w:highlight w:val="none"/>
        </w:rPr>
        <w:t>18、合同的解除</w:t>
      </w:r>
    </w:p>
    <w:p w14:paraId="12071083">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1D60B739">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4CBF71A6">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&lt;1&gt;因不可抗力致使不能实现合同目的，未受不可抗力影响的一方有权解除合同；</w:t>
      </w:r>
    </w:p>
    <w:p w14:paraId="2A4FBA6F">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&lt;2&gt;因合同一方违约导致合同不能履行，另一方有权解除合同。</w:t>
      </w:r>
    </w:p>
    <w:p w14:paraId="18226C31">
      <w:pPr>
        <w:pStyle w:val="11"/>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1F219D6D">
      <w:pPr>
        <w:spacing w:line="440" w:lineRule="exact"/>
        <w:rPr>
          <w:rFonts w:ascii="宋体" w:hAnsi="宋体" w:cs="宋体"/>
          <w:color w:val="auto"/>
          <w:szCs w:val="21"/>
          <w:highlight w:val="none"/>
        </w:rPr>
      </w:pPr>
      <w:r>
        <w:rPr>
          <w:rFonts w:hint="eastAsia" w:ascii="宋体" w:hAnsi="宋体" w:cs="宋体"/>
          <w:color w:val="auto"/>
          <w:szCs w:val="21"/>
          <w:highlight w:val="none"/>
        </w:rPr>
        <w:t>19、合同的转让</w:t>
      </w:r>
    </w:p>
    <w:p w14:paraId="699B27A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合同的部分和全部都不得转让。</w:t>
      </w:r>
    </w:p>
    <w:p w14:paraId="5558CD4E">
      <w:pPr>
        <w:spacing w:line="440" w:lineRule="exact"/>
        <w:rPr>
          <w:rFonts w:ascii="宋体" w:hAnsi="宋体" w:cs="宋体"/>
          <w:b/>
          <w:color w:val="auto"/>
          <w:szCs w:val="21"/>
          <w:highlight w:val="none"/>
        </w:rPr>
      </w:pPr>
      <w:r>
        <w:rPr>
          <w:rFonts w:hint="eastAsia" w:ascii="宋体" w:hAnsi="宋体" w:cs="宋体"/>
          <w:b/>
          <w:color w:val="auto"/>
          <w:szCs w:val="21"/>
          <w:highlight w:val="none"/>
        </w:rPr>
        <w:t>十. 合同的生效</w:t>
      </w:r>
    </w:p>
    <w:p w14:paraId="5EC1E40A">
      <w:pPr>
        <w:spacing w:line="440" w:lineRule="exact"/>
        <w:rPr>
          <w:rFonts w:ascii="宋体" w:hAnsi="宋体" w:cs="宋体"/>
          <w:color w:val="auto"/>
          <w:szCs w:val="21"/>
          <w:highlight w:val="none"/>
        </w:rPr>
      </w:pPr>
      <w:r>
        <w:rPr>
          <w:rFonts w:hint="eastAsia" w:ascii="宋体" w:hAnsi="宋体" w:cs="宋体"/>
          <w:color w:val="auto"/>
          <w:szCs w:val="21"/>
          <w:highlight w:val="none"/>
        </w:rPr>
        <w:t>20、合同的生效</w:t>
      </w:r>
    </w:p>
    <w:p w14:paraId="3344F307">
      <w:pPr>
        <w:spacing w:line="440" w:lineRule="exact"/>
        <w:rPr>
          <w:rFonts w:ascii="宋体" w:hAnsi="宋体" w:cs="宋体"/>
          <w:color w:val="auto"/>
          <w:szCs w:val="21"/>
          <w:highlight w:val="none"/>
        </w:rPr>
      </w:pPr>
      <w:r>
        <w:rPr>
          <w:rFonts w:hint="eastAsia" w:ascii="宋体" w:hAnsi="宋体" w:cs="宋体"/>
          <w:color w:val="auto"/>
          <w:szCs w:val="21"/>
          <w:highlight w:val="none"/>
        </w:rPr>
        <w:t>本合同在双方签字盖章并在招标人收到中标人提交的履约保证金后，经招标采购管理部门备案后生效。</w:t>
      </w:r>
    </w:p>
    <w:p w14:paraId="16502C21">
      <w:pPr>
        <w:spacing w:line="440" w:lineRule="exact"/>
        <w:rPr>
          <w:rFonts w:ascii="宋体" w:hAnsi="宋体" w:cs="宋体"/>
          <w:b/>
          <w:color w:val="auto"/>
          <w:szCs w:val="21"/>
          <w:highlight w:val="none"/>
        </w:rPr>
      </w:pPr>
      <w:r>
        <w:rPr>
          <w:rFonts w:hint="eastAsia" w:ascii="宋体" w:hAnsi="宋体" w:cs="宋体"/>
          <w:b/>
          <w:color w:val="auto"/>
          <w:szCs w:val="21"/>
          <w:highlight w:val="none"/>
        </w:rPr>
        <w:t>十一. 争议解决</w:t>
      </w:r>
    </w:p>
    <w:p w14:paraId="5657A44D">
      <w:pPr>
        <w:spacing w:line="440" w:lineRule="exact"/>
        <w:rPr>
          <w:rFonts w:ascii="宋体" w:hAnsi="宋体" w:cs="宋体"/>
          <w:color w:val="auto"/>
          <w:szCs w:val="21"/>
          <w:highlight w:val="none"/>
        </w:rPr>
      </w:pPr>
      <w:r>
        <w:rPr>
          <w:rFonts w:hint="eastAsia" w:ascii="宋体" w:hAnsi="宋体" w:cs="宋体"/>
          <w:color w:val="auto"/>
          <w:szCs w:val="21"/>
          <w:highlight w:val="none"/>
        </w:rPr>
        <w:t>21、争议解决</w:t>
      </w:r>
    </w:p>
    <w:p w14:paraId="6DE1C5EA">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 买卖双方因合同发生争议，进行调解，协商不成，可选择：</w:t>
      </w:r>
    </w:p>
    <w:p w14:paraId="1A21DA81">
      <w:pPr>
        <w:pStyle w:val="11"/>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(1)双方同时申请仲裁；</w:t>
      </w:r>
    </w:p>
    <w:p w14:paraId="1A3E2AB1">
      <w:pPr>
        <w:pStyle w:val="11"/>
        <w:tabs>
          <w:tab w:val="left" w:pos="900"/>
        </w:tabs>
        <w:overflowPunct w:val="0"/>
        <w:spacing w:line="440" w:lineRule="exact"/>
        <w:ind w:firstLine="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5446ABFE">
      <w:pPr>
        <w:spacing w:line="440" w:lineRule="exact"/>
        <w:rPr>
          <w:rFonts w:ascii="宋体" w:hAnsi="宋体" w:cs="宋体"/>
          <w:b/>
          <w:color w:val="auto"/>
          <w:szCs w:val="21"/>
          <w:highlight w:val="none"/>
        </w:rPr>
      </w:pPr>
      <w:r>
        <w:rPr>
          <w:rFonts w:hint="eastAsia" w:ascii="宋体" w:hAnsi="宋体" w:cs="宋体"/>
          <w:b/>
          <w:color w:val="auto"/>
          <w:szCs w:val="21"/>
          <w:highlight w:val="none"/>
        </w:rPr>
        <w:t>十二 .附则</w:t>
      </w:r>
    </w:p>
    <w:p w14:paraId="149E9FC6">
      <w:pPr>
        <w:spacing w:line="440" w:lineRule="exact"/>
        <w:rPr>
          <w:rFonts w:ascii="宋体" w:hAnsi="宋体" w:cs="宋体"/>
          <w:color w:val="auto"/>
          <w:szCs w:val="21"/>
          <w:highlight w:val="none"/>
        </w:rPr>
      </w:pPr>
      <w:r>
        <w:rPr>
          <w:rFonts w:hint="eastAsia" w:ascii="宋体" w:hAnsi="宋体" w:cs="宋体"/>
          <w:color w:val="auto"/>
          <w:szCs w:val="21"/>
          <w:highlight w:val="none"/>
        </w:rPr>
        <w:t>22、合同份数。</w:t>
      </w:r>
    </w:p>
    <w:p w14:paraId="73AFA9FE">
      <w:pPr>
        <w:spacing w:line="440" w:lineRule="exac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本合同一式陆份，买卖双方各执二份，招标代理机构一份，招标采购管理部门一份。</w:t>
      </w:r>
    </w:p>
    <w:p w14:paraId="2564344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23、未尽事宜</w:t>
      </w:r>
    </w:p>
    <w:p w14:paraId="09AD094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本合同未尽事宜应按《中华人民共和国招标投标法》、《中华人民共和国民法典》、《中华人民共和国产品质量法》之规定解释。</w:t>
      </w:r>
    </w:p>
    <w:p w14:paraId="620EA57A">
      <w:pPr>
        <w:rPr>
          <w:color w:val="auto"/>
          <w:highlight w:val="none"/>
        </w:rPr>
      </w:pPr>
      <w:r>
        <w:rPr>
          <w:rFonts w:hint="eastAsia"/>
          <w:color w:val="auto"/>
          <w:highlight w:val="none"/>
        </w:rPr>
        <w:br w:type="page"/>
      </w:r>
    </w:p>
    <w:p w14:paraId="3BA1FF95">
      <w:pPr>
        <w:pStyle w:val="3"/>
        <w:numPr>
          <w:ilvl w:val="0"/>
          <w:numId w:val="12"/>
        </w:numPr>
        <w:ind w:left="1260" w:hanging="420"/>
        <w:jc w:val="center"/>
        <w:rPr>
          <w:b/>
          <w:bCs/>
          <w:color w:val="auto"/>
          <w:szCs w:val="24"/>
          <w:highlight w:val="none"/>
        </w:rPr>
      </w:pPr>
      <w:r>
        <w:rPr>
          <w:rFonts w:hint="eastAsia"/>
          <w:b/>
          <w:bCs/>
          <w:color w:val="auto"/>
          <w:szCs w:val="24"/>
          <w:highlight w:val="none"/>
        </w:rPr>
        <w:t>水表质保服务补充内容</w:t>
      </w:r>
    </w:p>
    <w:p w14:paraId="563052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为加强质保期内水表质保服务评价考核管理，促进水表厂家提高产品质量与服务质量，保障水表计量准确、可靠，结合工作实际，依据民法典、招标文件制定本协议。</w:t>
      </w:r>
    </w:p>
    <w:p w14:paraId="10947E7A">
      <w:pPr>
        <w:spacing w:before="93" w:beforeLines="30" w:after="93" w:afterLines="30" w:line="440" w:lineRule="exact"/>
        <w:ind w:firstLine="442" w:firstLineChars="20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一、质保服务内容</w:t>
      </w:r>
    </w:p>
    <w:p w14:paraId="470086E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1.质保期内，乙方提供的水表质量问题（包括但不限于计量准确性、外观、密封性、电池失电、通讯异常、机电不同步等）。</w:t>
      </w:r>
    </w:p>
    <w:p w14:paraId="182056B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质保期内当月在线水表抄见、准确、维护及应急响应等服务情况。</w:t>
      </w:r>
    </w:p>
    <w:p w14:paraId="57AFEAE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质保期内，因乙方提供的水表存在质量问题引发的用水计量争议、水费纠纷及其它相关问题。</w:t>
      </w:r>
    </w:p>
    <w:p w14:paraId="0D61D711">
      <w:pPr>
        <w:spacing w:before="93" w:beforeLines="30" w:after="93" w:afterLines="30" w:line="440" w:lineRule="exact"/>
        <w:ind w:firstLine="442" w:firstLineChars="20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二、考核管理</w:t>
      </w:r>
    </w:p>
    <w:p w14:paraId="05F8E69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考核流程</w:t>
      </w:r>
    </w:p>
    <w:p w14:paraId="7DD8A9E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每两月考核一次，单月10日前甲方将考核结果反馈至乙方，对结果有异议的，乙方须在在 3 个工作日内向甲方提出申请，由甲方组织复议。</w:t>
      </w:r>
    </w:p>
    <w:p w14:paraId="66F9519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考核等级设置</w:t>
      </w:r>
    </w:p>
    <w:p w14:paraId="7FDED06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A 类：91-100 分及以上。</w:t>
      </w:r>
    </w:p>
    <w:p w14:paraId="1E0A0FF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B 类：81-90 分。</w:t>
      </w:r>
    </w:p>
    <w:p w14:paraId="30AC843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C 类：71-80 分。</w:t>
      </w:r>
    </w:p>
    <w:p w14:paraId="1CE530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D 类：70 分及以下。</w:t>
      </w:r>
    </w:p>
    <w:p w14:paraId="14AE9C49">
      <w:pPr>
        <w:spacing w:before="93" w:beforeLines="30" w:after="93" w:afterLines="30" w:line="440" w:lineRule="exact"/>
        <w:ind w:firstLine="442" w:firstLineChars="20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三、质保服务考核指标</w:t>
      </w:r>
    </w:p>
    <w:p w14:paraId="5395FB3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1.考核扣分指标</w:t>
      </w:r>
    </w:p>
    <w:p w14:paraId="16CDF39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（1）质保期内，用户投诉、媒体曝光的在线水表质量问题（包括但不限于计量准确性、外观、密封性、电池失电、通讯异常、机电不同步等），出现 1 次扣2 分。</w:t>
      </w:r>
    </w:p>
    <w:p w14:paraId="1EAC4A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（2）按合同、招标文件规定，质保期内当月服务 1 次不及时的，扣 3 分；第 2 次的，扣 5 分；第 3 次及以上扣 10 分。</w:t>
      </w:r>
    </w:p>
    <w:p w14:paraId="171B591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（3）质保期内因水表故障造成停水事故或其它重大影响未采取应急措施的，出现 1 次扣 5分。</w:t>
      </w:r>
    </w:p>
    <w:p w14:paraId="2AB6B5B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（4）在线故障率扣分标准：(10000 只表以下按故障次数考核)</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605"/>
        <w:gridCol w:w="1590"/>
        <w:gridCol w:w="1710"/>
        <w:gridCol w:w="1545"/>
        <w:gridCol w:w="1365"/>
      </w:tblGrid>
      <w:tr w14:paraId="23F4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05BCAB1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在线故障率</w:t>
            </w:r>
          </w:p>
          <w:p w14:paraId="3CFAA57A">
            <w:pPr>
              <w:spacing w:line="440" w:lineRule="exact"/>
              <w:ind w:firstLine="420" w:firstLineChars="200"/>
              <w:jc w:val="left"/>
              <w:rPr>
                <w:rFonts w:ascii="宋体" w:hAnsi="宋体" w:cs="宋体"/>
                <w:color w:val="auto"/>
                <w:szCs w:val="21"/>
                <w:highlight w:val="none"/>
              </w:rPr>
            </w:pPr>
          </w:p>
        </w:tc>
        <w:tc>
          <w:tcPr>
            <w:tcW w:w="1605" w:type="dxa"/>
          </w:tcPr>
          <w:p w14:paraId="3006BE8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 ＜ F≤0.1%</w:t>
            </w:r>
          </w:p>
          <w:p w14:paraId="23875257">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（0次＜故障数≤4 次）</w:t>
            </w:r>
          </w:p>
        </w:tc>
        <w:tc>
          <w:tcPr>
            <w:tcW w:w="1590" w:type="dxa"/>
          </w:tcPr>
          <w:p w14:paraId="333C0DF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0.1＜F≤0.2%</w:t>
            </w:r>
          </w:p>
          <w:p w14:paraId="7523A7B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（4 次＜故障数≤8 次）</w:t>
            </w:r>
          </w:p>
        </w:tc>
        <w:tc>
          <w:tcPr>
            <w:tcW w:w="1710" w:type="dxa"/>
          </w:tcPr>
          <w:p w14:paraId="372A5C5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0.2＜F≤0.3%</w:t>
            </w:r>
          </w:p>
          <w:p w14:paraId="4C59F99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（8 次＜故障数≤12 次）</w:t>
            </w:r>
          </w:p>
        </w:tc>
        <w:tc>
          <w:tcPr>
            <w:tcW w:w="1545" w:type="dxa"/>
          </w:tcPr>
          <w:p w14:paraId="382CA4A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0.3＜F≤0.5%</w:t>
            </w:r>
          </w:p>
          <w:p w14:paraId="28765AC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（12 次＜故障数≤16 次）</w:t>
            </w:r>
          </w:p>
        </w:tc>
        <w:tc>
          <w:tcPr>
            <w:tcW w:w="1365" w:type="dxa"/>
          </w:tcPr>
          <w:p w14:paraId="66E3CB49">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&gt;0.5%</w:t>
            </w:r>
          </w:p>
          <w:p w14:paraId="35BE95F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（16 次以上故障）</w:t>
            </w:r>
          </w:p>
        </w:tc>
      </w:tr>
      <w:tr w14:paraId="3E60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7E0FF4B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扣分标准</w:t>
            </w:r>
          </w:p>
        </w:tc>
        <w:tc>
          <w:tcPr>
            <w:tcW w:w="1605" w:type="dxa"/>
          </w:tcPr>
          <w:p w14:paraId="35142F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分</w:t>
            </w:r>
          </w:p>
        </w:tc>
        <w:tc>
          <w:tcPr>
            <w:tcW w:w="1590" w:type="dxa"/>
          </w:tcPr>
          <w:p w14:paraId="39ED9A6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 分</w:t>
            </w:r>
          </w:p>
        </w:tc>
        <w:tc>
          <w:tcPr>
            <w:tcW w:w="1710" w:type="dxa"/>
          </w:tcPr>
          <w:p w14:paraId="0FC2F9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 分</w:t>
            </w:r>
          </w:p>
        </w:tc>
        <w:tc>
          <w:tcPr>
            <w:tcW w:w="1545" w:type="dxa"/>
          </w:tcPr>
          <w:p w14:paraId="44ED9B5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 分</w:t>
            </w:r>
          </w:p>
        </w:tc>
        <w:tc>
          <w:tcPr>
            <w:tcW w:w="1365" w:type="dxa"/>
          </w:tcPr>
          <w:p w14:paraId="5643EA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 分</w:t>
            </w:r>
          </w:p>
        </w:tc>
      </w:tr>
    </w:tbl>
    <w:p w14:paraId="39CDC17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在线故障率=当期抄表发生故障数（质保期内所有水表）/当期抄表总数（质保期内所有水表）*100%，无故障则不扣分。</w:t>
      </w:r>
    </w:p>
    <w:p w14:paraId="54A351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（5）抄读差错率扣分标准：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532F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4F4D19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抄读差错率</w:t>
            </w:r>
          </w:p>
        </w:tc>
        <w:tc>
          <w:tcPr>
            <w:tcW w:w="1704" w:type="dxa"/>
          </w:tcPr>
          <w:p w14:paraId="2D20154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0＜F≤0.1%</w:t>
            </w:r>
          </w:p>
        </w:tc>
        <w:tc>
          <w:tcPr>
            <w:tcW w:w="1704" w:type="dxa"/>
          </w:tcPr>
          <w:p w14:paraId="27FB2D02">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0.1＜F≤0.2%</w:t>
            </w:r>
          </w:p>
        </w:tc>
        <w:tc>
          <w:tcPr>
            <w:tcW w:w="1705" w:type="dxa"/>
          </w:tcPr>
          <w:p w14:paraId="405E44E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0.2＜F≤0.3%</w:t>
            </w:r>
          </w:p>
        </w:tc>
        <w:tc>
          <w:tcPr>
            <w:tcW w:w="1705" w:type="dxa"/>
          </w:tcPr>
          <w:p w14:paraId="0DC7BEB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&gt;0.3%</w:t>
            </w:r>
          </w:p>
        </w:tc>
      </w:tr>
      <w:tr w14:paraId="076E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E735E7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扣分标准</w:t>
            </w:r>
          </w:p>
        </w:tc>
        <w:tc>
          <w:tcPr>
            <w:tcW w:w="1704" w:type="dxa"/>
          </w:tcPr>
          <w:p w14:paraId="22A9864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分</w:t>
            </w:r>
          </w:p>
        </w:tc>
        <w:tc>
          <w:tcPr>
            <w:tcW w:w="1704" w:type="dxa"/>
          </w:tcPr>
          <w:p w14:paraId="33A2578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 分</w:t>
            </w:r>
          </w:p>
        </w:tc>
        <w:tc>
          <w:tcPr>
            <w:tcW w:w="1705" w:type="dxa"/>
          </w:tcPr>
          <w:p w14:paraId="3ADB9E8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 分</w:t>
            </w:r>
          </w:p>
        </w:tc>
        <w:tc>
          <w:tcPr>
            <w:tcW w:w="1705" w:type="dxa"/>
          </w:tcPr>
          <w:p w14:paraId="08E1124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 分</w:t>
            </w:r>
          </w:p>
        </w:tc>
      </w:tr>
    </w:tbl>
    <w:p w14:paraId="4D8B9F7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抄读差错率=当期抄表发生差错数（质保期内所有水表）/当期抄表总数（质保期内所有水表）*100%，无差错则不扣分。</w:t>
      </w:r>
    </w:p>
    <w:p w14:paraId="2F20C7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2.考核加分指标</w:t>
      </w:r>
    </w:p>
    <w:p w14:paraId="6EC61B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当期考核满足远传水表在线故障率为 0的,给予加 5 分</w:t>
      </w:r>
    </w:p>
    <w:p w14:paraId="6BD0F27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3.出现下列情况之一者，评定为 D 类。</w:t>
      </w:r>
    </w:p>
    <w:p w14:paraId="406CAD3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质保期内，水表在线故障率（一次抄读故障率）＞0.5%的或抄读差错率＞0.3%出现 3 次及以上的。</w:t>
      </w:r>
    </w:p>
    <w:p w14:paraId="2654B4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（2）考核当期用户投诉、媒体曝光的在线水表质量问题造成重大影响（包括计量准确性、外观、密封性、机电不同步等）累计达 3 次及以上的。</w:t>
      </w:r>
    </w:p>
    <w:p w14:paraId="541EE9F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（3）接到政府通报，乙方存在严重质量问题、不诚信经营等问题。</w:t>
      </w:r>
    </w:p>
    <w:p w14:paraId="130197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4.质保金扣除与赔偿指标</w:t>
      </w:r>
    </w:p>
    <w:p w14:paraId="0FA2E1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（1）乙方应在接到报修通知后3个工作日内上门维修，负责更换有瑕疵的货物、部件或提供相应的质保期内的服务。由此造成的损失，由乙方承担。</w:t>
      </w:r>
    </w:p>
    <w:p w14:paraId="5A9C4D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（2）乙方在收到报修通知后,没有在约定时间内弥补缺陷，甲方可采取必要的补救措施，但费用和风险由水表厂家承担。</w:t>
      </w:r>
    </w:p>
    <w:p w14:paraId="7411BB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（3）水表故障发生后，乙方在3个工作日内处理成功的，不扣除质保金。</w:t>
      </w:r>
    </w:p>
    <w:p w14:paraId="484816F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（4）水表故障发生后，乙方未在合同约定时间内处理成功的，扣除该块水表的质保金（水表单价的 3%）。</w:t>
      </w:r>
    </w:p>
    <w:p w14:paraId="32347CB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5.考核结果处置</w:t>
      </w:r>
    </w:p>
    <w:p w14:paraId="0D7C217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（1）当期考核被确定为 B 类的，营业所牵头对乙方予以约谈，限期整改。</w:t>
      </w:r>
    </w:p>
    <w:p w14:paraId="1BC74B7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（2）当期考核被确定为 C 类的，营业所联合采购部对水表厂家予以约谈，限期整改。</w:t>
      </w:r>
    </w:p>
    <w:p w14:paraId="0BA54B5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（3）凡有以下情形之一的，经公司批准后，纳入不良行为企业库。</w:t>
      </w:r>
    </w:p>
    <w:p w14:paraId="244DF7D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（4）考核被确定为 D 类的。</w:t>
      </w:r>
    </w:p>
    <w:p w14:paraId="0B24F6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（5）拒绝对质保期内故障水表提供售后服务的（不可抗拒力除外）。</w:t>
      </w:r>
    </w:p>
    <w:p w14:paraId="184328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（6）每年累计 3 次被确定为 C 类的。</w:t>
      </w:r>
    </w:p>
    <w:p w14:paraId="21EA207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（7）存在弄虚作假或服务承诺与招标文件、合同不符的。</w:t>
      </w:r>
    </w:p>
    <w:p w14:paraId="311FFF7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（8）在履约过程中经查实存在未经甲方同意泄露用户信息、违反党风廉政纪律行为的。</w:t>
      </w:r>
    </w:p>
    <w:p w14:paraId="1725AB01">
      <w:pPr>
        <w:spacing w:before="93" w:beforeLines="30" w:after="93" w:afterLines="30" w:line="440" w:lineRule="exact"/>
        <w:ind w:firstLine="442" w:firstLineChars="20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四、争议解决</w:t>
      </w:r>
    </w:p>
    <w:p w14:paraId="01756AE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协议发生争议，由双方本着友好协商的原则协商解决，协商不成的，由甲方所在地法院诉讼解决。</w:t>
      </w:r>
    </w:p>
    <w:p w14:paraId="2A8D3E1A">
      <w:pPr>
        <w:spacing w:before="93" w:beforeLines="30" w:after="93" w:afterLines="30" w:line="440" w:lineRule="exact"/>
        <w:ind w:firstLine="442" w:firstLineChars="20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五、附则</w:t>
      </w:r>
    </w:p>
    <w:p w14:paraId="4EC8C6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本协议一式4份，甲、乙双方各执2份。本协议作为《滁州市自来水有限公司2025年NB水表年度供应商采购项目》不可分割的组成部分，与合同具有同等法律效力。如有不一致，以本协议为准。</w:t>
      </w:r>
    </w:p>
    <w:p w14:paraId="7FD9B563">
      <w:pPr>
        <w:rPr>
          <w:color w:val="auto"/>
          <w:highlight w:val="none"/>
        </w:rPr>
      </w:pPr>
    </w:p>
    <w:p w14:paraId="30213D0F">
      <w:pPr>
        <w:rPr>
          <w:color w:val="auto"/>
          <w:highlight w:val="none"/>
        </w:rPr>
      </w:pPr>
      <w:bookmarkStart w:id="107" w:name="_Toc8628"/>
      <w:r>
        <w:rPr>
          <w:rFonts w:hint="eastAsia"/>
          <w:color w:val="auto"/>
          <w:highlight w:val="none"/>
        </w:rPr>
        <w:br w:type="page"/>
      </w:r>
    </w:p>
    <w:p w14:paraId="6E214EAD">
      <w:pPr>
        <w:pStyle w:val="2"/>
        <w:rPr>
          <w:color w:val="auto"/>
          <w:highlight w:val="none"/>
        </w:rPr>
      </w:pPr>
      <w:r>
        <w:rPr>
          <w:rFonts w:hint="eastAsia"/>
          <w:color w:val="auto"/>
          <w:highlight w:val="none"/>
        </w:rPr>
        <w:t>第六章  投标文件格式</w:t>
      </w:r>
      <w:bookmarkEnd w:id="94"/>
      <w:bookmarkEnd w:id="107"/>
    </w:p>
    <w:p w14:paraId="0E538A62">
      <w:pPr>
        <w:jc w:val="center"/>
        <w:rPr>
          <w:rFonts w:ascii="宋体" w:hAnsi="宋体"/>
          <w:b/>
          <w:color w:val="auto"/>
          <w:sz w:val="28"/>
          <w:szCs w:val="28"/>
          <w:highlight w:val="none"/>
          <w:bdr w:val="single" w:color="auto" w:sz="4" w:space="0"/>
        </w:rPr>
      </w:pPr>
      <w:r>
        <w:rPr>
          <w:rFonts w:hint="eastAsia" w:ascii="宋体" w:hAnsi="宋体"/>
          <w:b/>
          <w:color w:val="auto"/>
          <w:sz w:val="28"/>
          <w:szCs w:val="28"/>
          <w:highlight w:val="none"/>
        </w:rPr>
        <w:t>一、资信证明格式文件</w:t>
      </w:r>
    </w:p>
    <w:p w14:paraId="33D07AE3">
      <w:pPr>
        <w:jc w:val="center"/>
        <w:rPr>
          <w:rFonts w:eastAsia="黑体"/>
          <w:color w:val="auto"/>
          <w:sz w:val="20"/>
          <w:highlight w:val="none"/>
        </w:rPr>
      </w:pPr>
    </w:p>
    <w:p w14:paraId="4EF642F7">
      <w:pPr>
        <w:rPr>
          <w:rFonts w:eastAsia="黑体"/>
          <w:color w:val="auto"/>
          <w:sz w:val="20"/>
          <w:highlight w:val="none"/>
        </w:rPr>
      </w:pPr>
    </w:p>
    <w:p w14:paraId="5D0D2422">
      <w:pPr>
        <w:jc w:val="center"/>
        <w:rPr>
          <w:rFonts w:ascii="宋体"/>
          <w:b/>
          <w:color w:val="auto"/>
          <w:sz w:val="44"/>
          <w:szCs w:val="44"/>
          <w:highlight w:val="none"/>
        </w:rPr>
      </w:pPr>
      <w:bookmarkStart w:id="108" w:name="_Toc350698753"/>
      <w:bookmarkStart w:id="109" w:name="_Toc449028949"/>
      <w:r>
        <w:rPr>
          <w:rFonts w:hint="eastAsia" w:ascii="宋体"/>
          <w:b/>
          <w:color w:val="auto"/>
          <w:sz w:val="44"/>
          <w:szCs w:val="44"/>
          <w:highlight w:val="none"/>
        </w:rPr>
        <w:t>资信证明文件</w:t>
      </w:r>
      <w:bookmarkEnd w:id="108"/>
      <w:bookmarkEnd w:id="109"/>
    </w:p>
    <w:p w14:paraId="5FCA9C45">
      <w:pPr>
        <w:jc w:val="center"/>
        <w:rPr>
          <w:rFonts w:ascii="宋体"/>
          <w:color w:val="auto"/>
          <w:sz w:val="32"/>
          <w:szCs w:val="32"/>
          <w:highlight w:val="none"/>
        </w:rPr>
      </w:pPr>
      <w:r>
        <w:rPr>
          <w:rFonts w:hint="eastAsia" w:ascii="宋体"/>
          <w:color w:val="auto"/>
          <w:sz w:val="32"/>
          <w:szCs w:val="32"/>
          <w:highlight w:val="none"/>
        </w:rPr>
        <w:t>（投标文件一）</w:t>
      </w:r>
    </w:p>
    <w:p w14:paraId="3116C3DD">
      <w:pPr>
        <w:jc w:val="center"/>
        <w:rPr>
          <w:rFonts w:eastAsia="黑体"/>
          <w:color w:val="auto"/>
          <w:sz w:val="44"/>
          <w:szCs w:val="44"/>
          <w:highlight w:val="none"/>
        </w:rPr>
      </w:pPr>
    </w:p>
    <w:p w14:paraId="4EE16524">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9CE6A07">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1B63022">
      <w:pPr>
        <w:rPr>
          <w:rFonts w:ascii="宋体"/>
          <w:color w:val="auto"/>
          <w:sz w:val="28"/>
          <w:szCs w:val="28"/>
          <w:highlight w:val="none"/>
        </w:rPr>
      </w:pPr>
    </w:p>
    <w:p w14:paraId="3C0E4555">
      <w:pPr>
        <w:rPr>
          <w:rFonts w:ascii="宋体"/>
          <w:color w:val="auto"/>
          <w:sz w:val="28"/>
          <w:szCs w:val="28"/>
          <w:highlight w:val="none"/>
        </w:rPr>
      </w:pPr>
    </w:p>
    <w:p w14:paraId="38E1E146">
      <w:pPr>
        <w:rPr>
          <w:rFonts w:ascii="宋体"/>
          <w:color w:val="auto"/>
          <w:sz w:val="28"/>
          <w:szCs w:val="28"/>
          <w:highlight w:val="none"/>
        </w:rPr>
      </w:pPr>
    </w:p>
    <w:p w14:paraId="3FA82B2B">
      <w:pPr>
        <w:rPr>
          <w:rFonts w:ascii="宋体"/>
          <w:color w:val="auto"/>
          <w:sz w:val="28"/>
          <w:szCs w:val="28"/>
          <w:highlight w:val="none"/>
        </w:rPr>
      </w:pPr>
    </w:p>
    <w:p w14:paraId="0EE78803">
      <w:pPr>
        <w:rPr>
          <w:rFonts w:ascii="宋体"/>
          <w:color w:val="auto"/>
          <w:sz w:val="28"/>
          <w:szCs w:val="28"/>
          <w:highlight w:val="none"/>
        </w:rPr>
      </w:pPr>
    </w:p>
    <w:p w14:paraId="01482B87">
      <w:pPr>
        <w:rPr>
          <w:rFonts w:ascii="宋体"/>
          <w:color w:val="auto"/>
          <w:sz w:val="28"/>
          <w:szCs w:val="28"/>
          <w:highlight w:val="none"/>
        </w:rPr>
      </w:pPr>
    </w:p>
    <w:p w14:paraId="38163972">
      <w:pPr>
        <w:rPr>
          <w:rFonts w:ascii="宋体"/>
          <w:color w:val="auto"/>
          <w:sz w:val="28"/>
          <w:szCs w:val="28"/>
          <w:highlight w:val="none"/>
        </w:rPr>
      </w:pPr>
    </w:p>
    <w:p w14:paraId="159A6850">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206269D8">
      <w:pPr>
        <w:ind w:firstLine="560" w:firstLineChars="20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7839AC8B">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1099CAC">
      <w:pPr>
        <w:spacing w:line="720" w:lineRule="auto"/>
        <w:jc w:val="center"/>
        <w:rPr>
          <w:rFonts w:ascii="宋体"/>
          <w:b/>
          <w:color w:val="auto"/>
          <w:sz w:val="36"/>
          <w:szCs w:val="36"/>
          <w:highlight w:val="none"/>
        </w:rPr>
      </w:pPr>
    </w:p>
    <w:p w14:paraId="2C85C5F3">
      <w:pPr>
        <w:spacing w:line="400" w:lineRule="exact"/>
        <w:ind w:firstLine="4130" w:firstLineChars="935"/>
        <w:rPr>
          <w:b/>
          <w:color w:val="auto"/>
          <w:sz w:val="44"/>
          <w:szCs w:val="44"/>
          <w:highlight w:val="none"/>
        </w:rPr>
      </w:pPr>
    </w:p>
    <w:p w14:paraId="6D05ECBD">
      <w:pPr>
        <w:pStyle w:val="34"/>
        <w:ind w:firstLine="210"/>
        <w:rPr>
          <w:color w:val="auto"/>
          <w:highlight w:val="none"/>
        </w:rPr>
      </w:pPr>
    </w:p>
    <w:p w14:paraId="083F3473">
      <w:pPr>
        <w:jc w:val="center"/>
        <w:rPr>
          <w:b/>
          <w:color w:val="auto"/>
          <w:sz w:val="44"/>
          <w:szCs w:val="44"/>
          <w:highlight w:val="none"/>
        </w:rPr>
      </w:pPr>
      <w:r>
        <w:rPr>
          <w:rFonts w:hint="eastAsia"/>
          <w:b/>
          <w:color w:val="auto"/>
          <w:sz w:val="36"/>
          <w:szCs w:val="36"/>
          <w:highlight w:val="none"/>
        </w:rPr>
        <w:t>目   录</w:t>
      </w:r>
    </w:p>
    <w:p w14:paraId="722A55C7">
      <w:pPr>
        <w:spacing w:line="400" w:lineRule="exact"/>
        <w:ind w:firstLine="562" w:firstLineChars="200"/>
        <w:rPr>
          <w:b/>
          <w:color w:val="auto"/>
          <w:sz w:val="28"/>
          <w:szCs w:val="28"/>
          <w:highlight w:val="none"/>
        </w:rPr>
      </w:pPr>
    </w:p>
    <w:p w14:paraId="72CE95D7">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（1）法定代表人身份证明及其有效身份证（或法定代表人授权委托书及其有效身份证）（格式见附件）；</w:t>
      </w:r>
    </w:p>
    <w:p w14:paraId="5200F86B">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（2）投标人有效的营业执照、税务登记证、组织机构代码证（或三合一证书）；</w:t>
      </w:r>
    </w:p>
    <w:p w14:paraId="2CDFD9FC">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（3）具有省级及以上卫生主管部门颁发的涉及饮用水卫生安全产品的有效卫生许可批件或省级及以上疾病预防控制中心出具的涉及饮用水卫生安全产品检验报告；</w:t>
      </w:r>
    </w:p>
    <w:p w14:paraId="69C33B42">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4）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4C97E071">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诚信投标承诺书（格式见附件）或公共信用信息报告（无违法违规证明版或核查版）</w:t>
      </w:r>
      <w:r>
        <w:rPr>
          <w:rFonts w:hint="eastAsia" w:ascii="宋体" w:hAnsi="宋体" w:cs="宋体"/>
          <w:bCs/>
          <w:color w:val="auto"/>
          <w:szCs w:val="21"/>
          <w:highlight w:val="none"/>
        </w:rPr>
        <w:t>；</w:t>
      </w:r>
    </w:p>
    <w:p w14:paraId="58AD5443">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（6）详细的货物名称、规格、技术参数等【附技术参数响应表、货物的详细配置清单，格式见附件】；</w:t>
      </w:r>
    </w:p>
    <w:p w14:paraId="377C5D57">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（7）服务承诺：是否响应招标文件要求的书面说明和服务承诺书（格式见附件）</w:t>
      </w:r>
    </w:p>
    <w:p w14:paraId="3C22600F">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（8）</w:t>
      </w:r>
      <w:r>
        <w:rPr>
          <w:rFonts w:hint="eastAsia" w:ascii="宋体" w:hAnsi="宋体" w:cs="宋体"/>
          <w:bCs/>
          <w:color w:val="auto"/>
          <w:szCs w:val="21"/>
          <w:highlight w:val="none"/>
          <w:lang w:val="en-US" w:eastAsia="zh-CN"/>
        </w:rPr>
        <w:t>第四章采购内容及技术要求</w:t>
      </w:r>
      <w:r>
        <w:rPr>
          <w:rFonts w:hint="eastAsia" w:ascii="宋体" w:hAnsi="宋体" w:cs="宋体"/>
          <w:bCs/>
          <w:color w:val="auto"/>
          <w:szCs w:val="21"/>
          <w:highlight w:val="none"/>
        </w:rPr>
        <w:t>提供的承诺（格式自拟）</w:t>
      </w:r>
      <w:r>
        <w:rPr>
          <w:rFonts w:hint="eastAsia" w:ascii="宋体" w:hAnsi="宋体" w:cs="宋体"/>
          <w:bCs/>
          <w:color w:val="auto"/>
          <w:szCs w:val="21"/>
          <w:highlight w:val="none"/>
          <w:lang w:val="en-US" w:eastAsia="zh-CN"/>
        </w:rPr>
        <w:t>及其其他证明材料</w:t>
      </w:r>
      <w:r>
        <w:rPr>
          <w:rFonts w:hint="eastAsia" w:ascii="宋体" w:hAnsi="宋体" w:cs="宋体"/>
          <w:bCs/>
          <w:color w:val="auto"/>
          <w:szCs w:val="21"/>
          <w:highlight w:val="none"/>
        </w:rPr>
        <w:t>；</w:t>
      </w:r>
    </w:p>
    <w:p w14:paraId="3AAF98DD">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（9）招标文件中要求的资信标评审及其他支持资料</w:t>
      </w:r>
    </w:p>
    <w:p w14:paraId="00E42D3D">
      <w:pPr>
        <w:spacing w:line="400" w:lineRule="exact"/>
        <w:ind w:firstLine="562" w:firstLineChars="200"/>
        <w:rPr>
          <w:b/>
          <w:color w:val="auto"/>
          <w:sz w:val="28"/>
          <w:szCs w:val="28"/>
          <w:highlight w:val="none"/>
        </w:rPr>
      </w:pPr>
    </w:p>
    <w:p w14:paraId="02058433">
      <w:pPr>
        <w:spacing w:line="400" w:lineRule="exact"/>
        <w:ind w:firstLine="562" w:firstLineChars="200"/>
        <w:rPr>
          <w:b/>
          <w:color w:val="auto"/>
          <w:sz w:val="28"/>
          <w:szCs w:val="28"/>
          <w:highlight w:val="none"/>
        </w:rPr>
      </w:pPr>
    </w:p>
    <w:p w14:paraId="07F0D1E7">
      <w:pPr>
        <w:spacing w:line="400" w:lineRule="exact"/>
        <w:ind w:firstLine="562" w:firstLineChars="200"/>
        <w:rPr>
          <w:b/>
          <w:color w:val="auto"/>
          <w:sz w:val="28"/>
          <w:szCs w:val="28"/>
          <w:highlight w:val="none"/>
        </w:rPr>
      </w:pPr>
    </w:p>
    <w:p w14:paraId="0D601075">
      <w:pPr>
        <w:spacing w:line="400" w:lineRule="exact"/>
        <w:ind w:firstLine="562" w:firstLineChars="200"/>
        <w:rPr>
          <w:b/>
          <w:color w:val="auto"/>
          <w:sz w:val="28"/>
          <w:szCs w:val="28"/>
          <w:highlight w:val="none"/>
        </w:rPr>
      </w:pPr>
    </w:p>
    <w:p w14:paraId="7805A122">
      <w:pPr>
        <w:spacing w:line="400" w:lineRule="exact"/>
        <w:rPr>
          <w:b/>
          <w:color w:val="auto"/>
          <w:sz w:val="28"/>
          <w:szCs w:val="28"/>
          <w:highlight w:val="none"/>
        </w:rPr>
        <w:sectPr>
          <w:headerReference r:id="rId5" w:type="default"/>
          <w:footerReference r:id="rId6" w:type="default"/>
          <w:pgSz w:w="11906" w:h="16838"/>
          <w:pgMar w:top="1440" w:right="1417" w:bottom="1417" w:left="1417" w:header="851" w:footer="992" w:gutter="0"/>
          <w:pgNumType w:fmt="numberInDash" w:start="1"/>
          <w:cols w:space="720" w:num="1"/>
          <w:docGrid w:type="lines" w:linePitch="312" w:charSpace="0"/>
        </w:sectPr>
      </w:pPr>
    </w:p>
    <w:p w14:paraId="56DD8D1B">
      <w:pPr>
        <w:spacing w:line="360" w:lineRule="auto"/>
        <w:rPr>
          <w:b/>
          <w:color w:val="auto"/>
          <w:sz w:val="28"/>
          <w:szCs w:val="28"/>
          <w:highlight w:val="none"/>
        </w:rPr>
      </w:pPr>
      <w:r>
        <w:rPr>
          <w:rFonts w:hint="eastAsia"/>
          <w:b/>
          <w:color w:val="auto"/>
          <w:sz w:val="28"/>
          <w:szCs w:val="28"/>
          <w:highlight w:val="none"/>
        </w:rPr>
        <w:t>附件1</w:t>
      </w:r>
    </w:p>
    <w:p w14:paraId="3E374068">
      <w:pPr>
        <w:spacing w:line="360" w:lineRule="auto"/>
        <w:ind w:left="720"/>
        <w:jc w:val="center"/>
        <w:rPr>
          <w:rFonts w:ascii="宋体"/>
          <w:b/>
          <w:color w:val="auto"/>
          <w:sz w:val="28"/>
          <w:szCs w:val="28"/>
          <w:highlight w:val="none"/>
        </w:rPr>
      </w:pPr>
      <w:r>
        <w:rPr>
          <w:rFonts w:hint="eastAsia"/>
          <w:b/>
          <w:color w:val="auto"/>
          <w:sz w:val="28"/>
          <w:szCs w:val="28"/>
          <w:highlight w:val="none"/>
        </w:rPr>
        <w:t>法定代表人身份证明或授权委托书</w:t>
      </w:r>
    </w:p>
    <w:p w14:paraId="5098C5DA">
      <w:pPr>
        <w:pStyle w:val="103"/>
        <w:spacing w:before="312" w:beforeLines="100" w:after="312" w:afterLines="100" w:line="480" w:lineRule="exact"/>
        <w:ind w:firstLine="180" w:firstLineChars="75"/>
        <w:rPr>
          <w:rFonts w:ascii="宋体"/>
          <w:b/>
          <w:color w:val="auto"/>
          <w:sz w:val="24"/>
          <w:szCs w:val="24"/>
          <w:highlight w:val="none"/>
        </w:rPr>
      </w:pPr>
      <w:r>
        <w:rPr>
          <w:rFonts w:hint="eastAsia" w:ascii="宋体"/>
          <w:color w:val="auto"/>
          <w:sz w:val="24"/>
          <w:szCs w:val="24"/>
          <w:highlight w:val="none"/>
        </w:rPr>
        <w:t>1.法定代表人身份证明</w:t>
      </w:r>
    </w:p>
    <w:p w14:paraId="23303FB9">
      <w:pPr>
        <w:spacing w:line="480" w:lineRule="exact"/>
        <w:ind w:firstLine="480" w:firstLineChars="200"/>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78DEE100">
      <w:pPr>
        <w:spacing w:line="480" w:lineRule="exact"/>
        <w:ind w:firstLine="480" w:firstLineChars="200"/>
        <w:rPr>
          <w:rFonts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3FE36EA0">
      <w:pPr>
        <w:spacing w:line="480" w:lineRule="exact"/>
        <w:ind w:firstLine="480" w:firstLineChars="200"/>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330A3587">
      <w:pPr>
        <w:spacing w:line="480" w:lineRule="exact"/>
        <w:ind w:firstLine="480" w:firstLineChars="200"/>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712D8326">
      <w:pPr>
        <w:spacing w:line="480" w:lineRule="exact"/>
        <w:ind w:firstLine="480" w:firstLineChars="200"/>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472D0321">
      <w:pPr>
        <w:spacing w:line="480" w:lineRule="exact"/>
        <w:ind w:firstLine="1440" w:firstLineChars="200"/>
        <w:rPr>
          <w:rFonts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1E55A449">
      <w:pPr>
        <w:spacing w:line="480" w:lineRule="exact"/>
        <w:ind w:firstLine="480" w:firstLineChars="200"/>
        <w:rPr>
          <w:rFonts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64908F0F">
      <w:pPr>
        <w:spacing w:line="480" w:lineRule="exact"/>
        <w:ind w:firstLine="960" w:firstLineChars="400"/>
        <w:rPr>
          <w:rFonts w:ascii="宋体"/>
          <w:color w:val="auto"/>
          <w:sz w:val="24"/>
          <w:highlight w:val="none"/>
        </w:rPr>
      </w:pPr>
      <w:r>
        <w:rPr>
          <w:rFonts w:hint="eastAsia" w:ascii="宋体"/>
          <w:color w:val="auto"/>
          <w:sz w:val="24"/>
          <w:highlight w:val="none"/>
        </w:rPr>
        <w:t>特此证明。</w:t>
      </w:r>
    </w:p>
    <w:p w14:paraId="3F389FE4">
      <w:pPr>
        <w:spacing w:line="360" w:lineRule="auto"/>
        <w:ind w:firstLine="3480" w:firstLineChars="14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33736C9A">
      <w:pPr>
        <w:wordWrap w:val="0"/>
        <w:spacing w:line="360" w:lineRule="auto"/>
        <w:jc w:val="right"/>
        <w:rPr>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66DC7E8">
      <w:pPr>
        <w:spacing w:before="312" w:beforeLines="100" w:after="312" w:afterLines="100" w:line="480" w:lineRule="exact"/>
        <w:ind w:firstLine="3654" w:firstLineChars="1305"/>
        <w:rPr>
          <w:rFonts w:ascii="宋体"/>
          <w:color w:val="auto"/>
          <w:sz w:val="28"/>
          <w:szCs w:val="28"/>
          <w:highlight w:val="none"/>
        </w:rPr>
      </w:pPr>
      <w:r>
        <w:rPr>
          <w:rFonts w:hint="eastAsia" w:ascii="宋体"/>
          <w:color w:val="auto"/>
          <w:sz w:val="28"/>
          <w:szCs w:val="28"/>
          <w:highlight w:val="none"/>
        </w:rPr>
        <w:t>2.授权委托书</w:t>
      </w:r>
    </w:p>
    <w:p w14:paraId="4EF75635">
      <w:pPr>
        <w:spacing w:line="480" w:lineRule="exact"/>
        <w:ind w:firstLine="480" w:firstLineChars="200"/>
        <w:rPr>
          <w:rFonts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476D5BD2">
      <w:pPr>
        <w:spacing w:line="480" w:lineRule="exact"/>
        <w:ind w:firstLine="480" w:firstLineChars="200"/>
        <w:rPr>
          <w:rFonts w:ascii="宋体"/>
          <w:color w:val="auto"/>
          <w:sz w:val="24"/>
          <w:highlight w:val="none"/>
        </w:rPr>
      </w:pPr>
      <w:r>
        <w:rPr>
          <w:rFonts w:hint="eastAsia" w:ascii="宋体"/>
          <w:color w:val="auto"/>
          <w:sz w:val="24"/>
          <w:highlight w:val="none"/>
        </w:rPr>
        <w:t xml:space="preserve">委托期限：                                </w:t>
      </w:r>
    </w:p>
    <w:p w14:paraId="7FFC3934">
      <w:pPr>
        <w:spacing w:line="48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5CCA2A1C">
      <w:pPr>
        <w:spacing w:line="480" w:lineRule="exact"/>
        <w:ind w:firstLine="480" w:firstLineChars="200"/>
        <w:rPr>
          <w:rFonts w:ascii="宋体"/>
          <w:color w:val="auto"/>
          <w:sz w:val="24"/>
          <w:highlight w:val="none"/>
        </w:rPr>
      </w:pPr>
      <w:r>
        <w:rPr>
          <w:rFonts w:hint="eastAsia" w:ascii="宋体"/>
          <w:color w:val="auto"/>
          <w:sz w:val="24"/>
          <w:highlight w:val="none"/>
        </w:rPr>
        <w:t>附：授权委托人有效身份证及法定代表人有效身份证</w:t>
      </w:r>
    </w:p>
    <w:p w14:paraId="6C9CE94E">
      <w:pPr>
        <w:spacing w:line="480" w:lineRule="exact"/>
        <w:rPr>
          <w:rFonts w:ascii="宋体"/>
          <w:color w:val="auto"/>
          <w:sz w:val="24"/>
          <w:highlight w:val="none"/>
        </w:rPr>
      </w:pPr>
      <w:r>
        <w:rPr>
          <w:rFonts w:hint="eastAsia" w:ascii="宋体"/>
          <w:color w:val="auto"/>
          <w:sz w:val="24"/>
          <w:highlight w:val="none"/>
        </w:rPr>
        <w:t xml:space="preserve">                                     投标人：             （盖单位章）</w:t>
      </w:r>
    </w:p>
    <w:p w14:paraId="49D64B04">
      <w:pPr>
        <w:spacing w:line="480" w:lineRule="exact"/>
        <w:jc w:val="right"/>
        <w:rPr>
          <w:rFonts w:ascii="宋体"/>
          <w:color w:val="auto"/>
          <w:sz w:val="24"/>
          <w:highlight w:val="none"/>
        </w:rPr>
      </w:pPr>
      <w:r>
        <w:rPr>
          <w:rFonts w:hint="eastAsia" w:ascii="宋体"/>
          <w:color w:val="auto"/>
          <w:sz w:val="24"/>
          <w:highlight w:val="none"/>
        </w:rPr>
        <w:t>法定代表人（身份证号码）：             （签章）</w:t>
      </w:r>
    </w:p>
    <w:p w14:paraId="7BBDEE6C">
      <w:pPr>
        <w:spacing w:line="480" w:lineRule="exact"/>
        <w:ind w:firstLine="2820" w:firstLineChars="1175"/>
        <w:rPr>
          <w:rFonts w:ascii="宋体"/>
          <w:color w:val="auto"/>
          <w:sz w:val="24"/>
          <w:highlight w:val="none"/>
        </w:rPr>
      </w:pPr>
      <w:r>
        <w:rPr>
          <w:rFonts w:hint="eastAsia" w:ascii="宋体"/>
          <w:color w:val="auto"/>
          <w:sz w:val="24"/>
          <w:highlight w:val="none"/>
        </w:rPr>
        <w:t xml:space="preserve">              年    月    日</w:t>
      </w:r>
    </w:p>
    <w:p w14:paraId="377B5AB1">
      <w:pPr>
        <w:spacing w:line="360" w:lineRule="exact"/>
        <w:ind w:firstLine="413" w:firstLineChars="147"/>
        <w:rPr>
          <w:b/>
          <w:color w:val="auto"/>
          <w:sz w:val="28"/>
          <w:szCs w:val="28"/>
          <w:highlight w:val="none"/>
          <w:u w:val="single"/>
        </w:rPr>
      </w:pPr>
    </w:p>
    <w:p w14:paraId="601F176D">
      <w:pPr>
        <w:spacing w:line="360" w:lineRule="exact"/>
        <w:ind w:firstLine="413" w:firstLineChars="147"/>
        <w:rPr>
          <w:b/>
          <w:color w:val="auto"/>
          <w:sz w:val="28"/>
          <w:szCs w:val="28"/>
          <w:highlight w:val="none"/>
          <w:u w:val="single"/>
        </w:rPr>
      </w:pPr>
    </w:p>
    <w:p w14:paraId="7C6A58EF">
      <w:pPr>
        <w:spacing w:line="360" w:lineRule="exact"/>
        <w:ind w:firstLine="443" w:firstLineChars="147"/>
        <w:rPr>
          <w:rFonts w:ascii="宋体"/>
          <w:b/>
          <w:color w:val="auto"/>
          <w:sz w:val="30"/>
          <w:szCs w:val="30"/>
          <w:highlight w:val="none"/>
        </w:rPr>
      </w:pPr>
      <w:r>
        <w:rPr>
          <w:rFonts w:hint="eastAsia" w:ascii="宋体"/>
          <w:b/>
          <w:color w:val="auto"/>
          <w:sz w:val="30"/>
          <w:szCs w:val="30"/>
          <w:highlight w:val="none"/>
        </w:rPr>
        <w:t>附件2</w:t>
      </w:r>
    </w:p>
    <w:p w14:paraId="07DD05C4">
      <w:pPr>
        <w:spacing w:line="360" w:lineRule="exact"/>
        <w:ind w:firstLine="413" w:firstLineChars="147"/>
        <w:jc w:val="center"/>
        <w:rPr>
          <w:b/>
          <w:color w:val="auto"/>
          <w:sz w:val="28"/>
          <w:szCs w:val="28"/>
          <w:highlight w:val="none"/>
        </w:rPr>
      </w:pPr>
      <w:bookmarkStart w:id="110" w:name="_Toc449028950"/>
      <w:bookmarkStart w:id="111" w:name="_Toc440443268"/>
      <w:r>
        <w:rPr>
          <w:rFonts w:hint="eastAsia"/>
          <w:b/>
          <w:color w:val="auto"/>
          <w:sz w:val="28"/>
          <w:szCs w:val="28"/>
          <w:highlight w:val="none"/>
        </w:rPr>
        <w:t>（2）诚信投标承诺书</w:t>
      </w:r>
    </w:p>
    <w:p w14:paraId="2053E373">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0D943FD6">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301C7D6B">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没有因违法经营受到刑事处罚或者责令停产停业、吊销许可证或者执照、较大数额罚款等行政处罚。</w:t>
      </w:r>
    </w:p>
    <w:p w14:paraId="53CEFCC4">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1C34C92F">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3453EBCB">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3BD7EC69">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（企业名称）或       （企业名称）法定代表人       </w:t>
      </w:r>
      <w:r>
        <w:rPr>
          <w:rFonts w:hint="eastAsia" w:ascii="宋体" w:hAnsi="宋体"/>
          <w:color w:val="auto"/>
          <w:szCs w:val="21"/>
          <w:highlight w:val="none"/>
        </w:rPr>
        <w:t>没有下列情形：</w:t>
      </w:r>
      <w:bookmarkStart w:id="112" w:name="OLE_LINK134"/>
      <w:bookmarkStart w:id="113"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112"/>
      <w:bookmarkEnd w:id="113"/>
      <w:r>
        <w:rPr>
          <w:rFonts w:hint="eastAsia" w:ascii="宋体" w:hAnsi="宋体"/>
          <w:color w:val="auto"/>
          <w:szCs w:val="21"/>
          <w:highlight w:val="none"/>
        </w:rPr>
        <w:t>若招标文件对投标人所属分公司、办事处等分支机构有上述1-10项信誉要求，在此一并承诺我公司所属分公司、办事处等分支机构没有上述1-10项情形）</w:t>
      </w:r>
    </w:p>
    <w:p w14:paraId="46E30704">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14:paraId="12220AE3">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八、保证中标后不转包，若有分包征得招标人同意；</w:t>
      </w:r>
    </w:p>
    <w:p w14:paraId="629C0998">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九、保证中标之后，按照投标文件要求提供相关后续服务；</w:t>
      </w:r>
    </w:p>
    <w:p w14:paraId="0679D43F">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74A139B4">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9735346">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 </w:t>
      </w:r>
    </w:p>
    <w:p w14:paraId="748B438F">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开户银行：                          基本账户：</w:t>
      </w:r>
    </w:p>
    <w:p w14:paraId="37545BE3">
      <w:pPr>
        <w:spacing w:line="280" w:lineRule="exact"/>
        <w:ind w:left="-420" w:leftChars="-200" w:right="-512" w:rightChars="-244" w:firstLine="420" w:firstLineChars="200"/>
        <w:rPr>
          <w:rFonts w:ascii="宋体" w:hAnsi="宋体"/>
          <w:color w:val="auto"/>
          <w:szCs w:val="21"/>
          <w:highlight w:val="none"/>
        </w:rPr>
      </w:pPr>
      <w:r>
        <w:rPr>
          <w:rFonts w:hint="eastAsia" w:ascii="宋体" w:hAnsi="宋体"/>
          <w:color w:val="auto"/>
          <w:szCs w:val="21"/>
          <w:highlight w:val="none"/>
        </w:rPr>
        <w:t>投标单位（签章或盖章）：          法定代表人（签章）：</w:t>
      </w:r>
    </w:p>
    <w:p w14:paraId="7763BD66">
      <w:pPr>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3B1E096A">
      <w:pPr>
        <w:rPr>
          <w:rFonts w:ascii="宋体" w:hAnsi="宋体"/>
          <w:color w:val="auto"/>
          <w:szCs w:val="21"/>
          <w:highlight w:val="none"/>
        </w:rPr>
      </w:pPr>
    </w:p>
    <w:p w14:paraId="2BA42EBE">
      <w:pPr>
        <w:rPr>
          <w:rFonts w:ascii="宋体" w:hAnsi="宋体"/>
          <w:color w:val="auto"/>
          <w:szCs w:val="21"/>
          <w:highlight w:val="none"/>
        </w:rPr>
      </w:pPr>
    </w:p>
    <w:p w14:paraId="4787AE83">
      <w:pPr>
        <w:spacing w:line="280" w:lineRule="exact"/>
        <w:ind w:left="-420" w:leftChars="-200" w:right="-512" w:rightChars="-244" w:firstLine="562" w:firstLineChars="200"/>
        <w:jc w:val="right"/>
        <w:rPr>
          <w:b/>
          <w:color w:val="auto"/>
          <w:sz w:val="28"/>
          <w:szCs w:val="28"/>
          <w:highlight w:val="none"/>
        </w:rPr>
      </w:pPr>
      <w:r>
        <w:rPr>
          <w:rFonts w:hint="eastAsia"/>
          <w:b/>
          <w:color w:val="auto"/>
          <w:sz w:val="28"/>
          <w:szCs w:val="28"/>
          <w:highlight w:val="none"/>
        </w:rPr>
        <w:t>或（2）公共信用信息报告（无违法违规证明版或核查版））</w:t>
      </w:r>
    </w:p>
    <w:p w14:paraId="3418B750">
      <w:pPr>
        <w:rPr>
          <w:rFonts w:ascii="宋体" w:hAnsi="宋体"/>
          <w:b/>
          <w:color w:val="auto"/>
          <w:sz w:val="24"/>
          <w:highlight w:val="none"/>
        </w:rPr>
      </w:pPr>
      <w:r>
        <w:rPr>
          <w:rFonts w:hint="eastAsia" w:ascii="宋体" w:hAnsi="宋体"/>
          <w:color w:val="auto"/>
          <w:szCs w:val="21"/>
          <w:highlight w:val="none"/>
        </w:rPr>
        <w:t>符合条件的投标人可在信用中国（安徽）网站（网址</w:t>
      </w:r>
      <w:r>
        <w:rPr>
          <w:color w:val="auto"/>
          <w:highlight w:val="none"/>
        </w:rPr>
        <w:fldChar w:fldCharType="begin"/>
      </w:r>
      <w:r>
        <w:rPr>
          <w:color w:val="auto"/>
          <w:highlight w:val="none"/>
        </w:rPr>
        <w:instrText xml:space="preserve"> HYPERLINK "https://credit.ah.gov.cn/xinyongfuwu/index.html" </w:instrText>
      </w:r>
      <w:r>
        <w:rPr>
          <w:color w:val="auto"/>
          <w:highlight w:val="none"/>
        </w:rPr>
        <w:fldChar w:fldCharType="separate"/>
      </w:r>
      <w:r>
        <w:rPr>
          <w:rFonts w:hint="eastAsia" w:ascii="宋体" w:hAnsi="宋体"/>
          <w:color w:val="auto"/>
          <w:szCs w:val="21"/>
          <w:highlight w:val="none"/>
        </w:rPr>
        <w:t>https://credit.ah.gov.cn/xinyongfuwu/index.html</w:t>
      </w:r>
      <w:r>
        <w:rPr>
          <w:rFonts w:hint="eastAsia"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r>
        <w:rPr>
          <w:rFonts w:hint="eastAsia" w:ascii="宋体" w:hAnsi="宋体"/>
          <w:b/>
          <w:color w:val="auto"/>
          <w:sz w:val="24"/>
          <w:highlight w:val="none"/>
        </w:rPr>
        <w:br w:type="page"/>
      </w:r>
    </w:p>
    <w:p w14:paraId="35561464">
      <w:pPr>
        <w:rPr>
          <w:rFonts w:ascii="宋体" w:hAnsi="宋体"/>
          <w:b/>
          <w:color w:val="auto"/>
          <w:sz w:val="24"/>
          <w:highlight w:val="none"/>
        </w:rPr>
      </w:pPr>
      <w:r>
        <w:rPr>
          <w:rFonts w:hint="eastAsia" w:ascii="宋体" w:hAnsi="宋体"/>
          <w:b/>
          <w:color w:val="auto"/>
          <w:sz w:val="24"/>
          <w:highlight w:val="none"/>
        </w:rPr>
        <w:t>附件3：</w:t>
      </w:r>
    </w:p>
    <w:p w14:paraId="1AF8A486">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1390EDA5">
      <w:pPr>
        <w:rPr>
          <w:rFonts w:ascii="宋体" w:hAnsi="宋体"/>
          <w:color w:val="auto"/>
          <w:sz w:val="24"/>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14:paraId="4C94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664BE6C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0BF0669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094" w:type="dxa"/>
            <w:gridSpan w:val="2"/>
            <w:vAlign w:val="center"/>
          </w:tcPr>
          <w:p w14:paraId="63264E3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577" w:type="dxa"/>
            <w:vMerge w:val="restart"/>
            <w:vAlign w:val="center"/>
          </w:tcPr>
          <w:p w14:paraId="4CF2D6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962" w:type="dxa"/>
            <w:vMerge w:val="restart"/>
            <w:vAlign w:val="center"/>
          </w:tcPr>
          <w:p w14:paraId="0DF36F1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5F47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0F583140">
            <w:pPr>
              <w:spacing w:line="240" w:lineRule="atLeast"/>
              <w:ind w:firstLine="105" w:firstLineChars="50"/>
              <w:rPr>
                <w:rFonts w:ascii="宋体" w:hAnsi="宋体" w:cs="宋体"/>
                <w:color w:val="auto"/>
                <w:szCs w:val="21"/>
                <w:highlight w:val="none"/>
              </w:rPr>
            </w:pPr>
          </w:p>
        </w:tc>
        <w:tc>
          <w:tcPr>
            <w:tcW w:w="1421" w:type="dxa"/>
            <w:vMerge w:val="continue"/>
          </w:tcPr>
          <w:p w14:paraId="3B1701D3">
            <w:pPr>
              <w:spacing w:line="240" w:lineRule="atLeast"/>
              <w:jc w:val="center"/>
              <w:rPr>
                <w:rFonts w:ascii="宋体" w:hAnsi="宋体" w:cs="宋体"/>
                <w:color w:val="auto"/>
                <w:szCs w:val="21"/>
                <w:highlight w:val="none"/>
              </w:rPr>
            </w:pPr>
          </w:p>
        </w:tc>
        <w:tc>
          <w:tcPr>
            <w:tcW w:w="1539" w:type="dxa"/>
          </w:tcPr>
          <w:p w14:paraId="28F801F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555" w:type="dxa"/>
          </w:tcPr>
          <w:p w14:paraId="42183DA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577" w:type="dxa"/>
            <w:vMerge w:val="continue"/>
          </w:tcPr>
          <w:p w14:paraId="035958FC">
            <w:pPr>
              <w:spacing w:line="240" w:lineRule="atLeast"/>
              <w:jc w:val="center"/>
              <w:rPr>
                <w:rFonts w:ascii="宋体" w:hAnsi="宋体" w:cs="宋体"/>
                <w:color w:val="auto"/>
                <w:szCs w:val="21"/>
                <w:highlight w:val="none"/>
              </w:rPr>
            </w:pPr>
          </w:p>
        </w:tc>
        <w:tc>
          <w:tcPr>
            <w:tcW w:w="1962" w:type="dxa"/>
            <w:vMerge w:val="continue"/>
          </w:tcPr>
          <w:p w14:paraId="75FC8EDC">
            <w:pPr>
              <w:spacing w:line="240" w:lineRule="atLeast"/>
              <w:jc w:val="center"/>
              <w:rPr>
                <w:rFonts w:ascii="宋体" w:hAnsi="宋体" w:cs="宋体"/>
                <w:color w:val="auto"/>
                <w:szCs w:val="21"/>
                <w:highlight w:val="none"/>
              </w:rPr>
            </w:pPr>
          </w:p>
        </w:tc>
      </w:tr>
      <w:tr w14:paraId="5D67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27462074">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13BAAE19">
            <w:pPr>
              <w:widowControl/>
              <w:spacing w:line="360" w:lineRule="auto"/>
              <w:jc w:val="center"/>
              <w:textAlignment w:val="center"/>
              <w:rPr>
                <w:rFonts w:ascii="宋体" w:hAnsi="宋体"/>
                <w:color w:val="auto"/>
                <w:szCs w:val="21"/>
                <w:highlight w:val="none"/>
              </w:rPr>
            </w:pPr>
          </w:p>
        </w:tc>
        <w:tc>
          <w:tcPr>
            <w:tcW w:w="1539" w:type="dxa"/>
            <w:vAlign w:val="center"/>
          </w:tcPr>
          <w:p w14:paraId="64A77FFF">
            <w:pPr>
              <w:ind w:firstLine="630" w:firstLineChars="300"/>
              <w:jc w:val="center"/>
              <w:rPr>
                <w:rFonts w:ascii="宋体" w:hAnsi="宋体"/>
                <w:color w:val="auto"/>
                <w:szCs w:val="21"/>
                <w:highlight w:val="none"/>
              </w:rPr>
            </w:pPr>
          </w:p>
        </w:tc>
        <w:tc>
          <w:tcPr>
            <w:tcW w:w="1555" w:type="dxa"/>
            <w:vAlign w:val="center"/>
          </w:tcPr>
          <w:p w14:paraId="3435345D">
            <w:pPr>
              <w:ind w:firstLine="630" w:firstLineChars="300"/>
              <w:jc w:val="center"/>
              <w:rPr>
                <w:rFonts w:ascii="宋体" w:hAnsi="宋体"/>
                <w:color w:val="auto"/>
                <w:szCs w:val="21"/>
                <w:highlight w:val="none"/>
              </w:rPr>
            </w:pPr>
          </w:p>
        </w:tc>
        <w:tc>
          <w:tcPr>
            <w:tcW w:w="1577" w:type="dxa"/>
            <w:vAlign w:val="center"/>
          </w:tcPr>
          <w:p w14:paraId="51EADAFE">
            <w:pPr>
              <w:jc w:val="center"/>
              <w:rPr>
                <w:rFonts w:ascii="宋体" w:hAnsi="宋体"/>
                <w:color w:val="auto"/>
                <w:szCs w:val="21"/>
                <w:highlight w:val="none"/>
              </w:rPr>
            </w:pPr>
            <w:r>
              <w:rPr>
                <w:rFonts w:hint="eastAsia" w:ascii="宋体" w:hAnsi="宋体" w:cs="宋体"/>
                <w:color w:val="auto"/>
                <w:szCs w:val="21"/>
                <w:highlight w:val="none"/>
              </w:rPr>
              <w:t>是/否</w:t>
            </w:r>
          </w:p>
        </w:tc>
        <w:tc>
          <w:tcPr>
            <w:tcW w:w="1962" w:type="dxa"/>
            <w:vAlign w:val="center"/>
          </w:tcPr>
          <w:p w14:paraId="7433DDAF">
            <w:pPr>
              <w:jc w:val="center"/>
              <w:rPr>
                <w:rFonts w:ascii="宋体" w:hAnsi="宋体"/>
                <w:color w:val="auto"/>
                <w:szCs w:val="21"/>
                <w:highlight w:val="none"/>
              </w:rPr>
            </w:pPr>
          </w:p>
        </w:tc>
      </w:tr>
      <w:tr w14:paraId="385A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449784A9">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5F6E41C8">
            <w:pPr>
              <w:widowControl/>
              <w:spacing w:line="360" w:lineRule="auto"/>
              <w:jc w:val="center"/>
              <w:textAlignment w:val="center"/>
              <w:rPr>
                <w:rFonts w:ascii="宋体" w:hAnsi="宋体"/>
                <w:color w:val="auto"/>
                <w:sz w:val="24"/>
                <w:highlight w:val="none"/>
              </w:rPr>
            </w:pPr>
          </w:p>
        </w:tc>
        <w:tc>
          <w:tcPr>
            <w:tcW w:w="1539" w:type="dxa"/>
            <w:vAlign w:val="center"/>
          </w:tcPr>
          <w:p w14:paraId="06ADC100">
            <w:pPr>
              <w:ind w:firstLine="630" w:firstLineChars="300"/>
              <w:jc w:val="center"/>
              <w:rPr>
                <w:rFonts w:ascii="宋体" w:hAnsi="宋体"/>
                <w:color w:val="auto"/>
                <w:szCs w:val="21"/>
                <w:highlight w:val="none"/>
              </w:rPr>
            </w:pPr>
          </w:p>
        </w:tc>
        <w:tc>
          <w:tcPr>
            <w:tcW w:w="1555" w:type="dxa"/>
            <w:vAlign w:val="center"/>
          </w:tcPr>
          <w:p w14:paraId="23677DCB">
            <w:pPr>
              <w:ind w:firstLine="630" w:firstLineChars="300"/>
              <w:jc w:val="center"/>
              <w:rPr>
                <w:rFonts w:ascii="宋体" w:hAnsi="宋体"/>
                <w:color w:val="auto"/>
                <w:szCs w:val="21"/>
                <w:highlight w:val="none"/>
              </w:rPr>
            </w:pPr>
          </w:p>
        </w:tc>
        <w:tc>
          <w:tcPr>
            <w:tcW w:w="1577" w:type="dxa"/>
            <w:vAlign w:val="center"/>
          </w:tcPr>
          <w:p w14:paraId="1BADDCCB">
            <w:pPr>
              <w:jc w:val="center"/>
              <w:rPr>
                <w:color w:val="auto"/>
                <w:highlight w:val="none"/>
              </w:rPr>
            </w:pPr>
            <w:r>
              <w:rPr>
                <w:rFonts w:hint="eastAsia" w:ascii="宋体" w:hAnsi="宋体" w:cs="宋体"/>
                <w:color w:val="auto"/>
                <w:szCs w:val="21"/>
                <w:highlight w:val="none"/>
              </w:rPr>
              <w:t>是/否</w:t>
            </w:r>
          </w:p>
        </w:tc>
        <w:tc>
          <w:tcPr>
            <w:tcW w:w="1962" w:type="dxa"/>
            <w:vAlign w:val="center"/>
          </w:tcPr>
          <w:p w14:paraId="61F35028">
            <w:pPr>
              <w:jc w:val="center"/>
              <w:rPr>
                <w:rFonts w:ascii="宋体" w:hAnsi="宋体"/>
                <w:color w:val="auto"/>
                <w:szCs w:val="21"/>
                <w:highlight w:val="none"/>
              </w:rPr>
            </w:pPr>
          </w:p>
        </w:tc>
      </w:tr>
      <w:tr w14:paraId="5636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47D74E6C">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3E836F35">
            <w:pPr>
              <w:widowControl/>
              <w:spacing w:line="360" w:lineRule="auto"/>
              <w:jc w:val="center"/>
              <w:textAlignment w:val="center"/>
              <w:rPr>
                <w:rFonts w:ascii="宋体" w:hAnsi="宋体"/>
                <w:color w:val="auto"/>
                <w:sz w:val="24"/>
                <w:highlight w:val="none"/>
              </w:rPr>
            </w:pPr>
          </w:p>
        </w:tc>
        <w:tc>
          <w:tcPr>
            <w:tcW w:w="1539" w:type="dxa"/>
            <w:vAlign w:val="center"/>
          </w:tcPr>
          <w:p w14:paraId="17FBEA82">
            <w:pPr>
              <w:ind w:firstLine="630" w:firstLineChars="300"/>
              <w:jc w:val="center"/>
              <w:rPr>
                <w:rFonts w:ascii="宋体" w:hAnsi="宋体"/>
                <w:color w:val="auto"/>
                <w:szCs w:val="21"/>
                <w:highlight w:val="none"/>
              </w:rPr>
            </w:pPr>
          </w:p>
        </w:tc>
        <w:tc>
          <w:tcPr>
            <w:tcW w:w="1555" w:type="dxa"/>
            <w:vAlign w:val="center"/>
          </w:tcPr>
          <w:p w14:paraId="7195AD7B">
            <w:pPr>
              <w:ind w:firstLine="630" w:firstLineChars="300"/>
              <w:jc w:val="center"/>
              <w:rPr>
                <w:rFonts w:ascii="宋体" w:hAnsi="宋体"/>
                <w:color w:val="auto"/>
                <w:szCs w:val="21"/>
                <w:highlight w:val="none"/>
              </w:rPr>
            </w:pPr>
          </w:p>
        </w:tc>
        <w:tc>
          <w:tcPr>
            <w:tcW w:w="1577" w:type="dxa"/>
            <w:vAlign w:val="center"/>
          </w:tcPr>
          <w:p w14:paraId="357D8E0C">
            <w:pPr>
              <w:jc w:val="center"/>
              <w:rPr>
                <w:color w:val="auto"/>
                <w:highlight w:val="none"/>
              </w:rPr>
            </w:pPr>
            <w:r>
              <w:rPr>
                <w:rFonts w:hint="eastAsia" w:ascii="宋体" w:hAnsi="宋体" w:cs="宋体"/>
                <w:color w:val="auto"/>
                <w:szCs w:val="21"/>
                <w:highlight w:val="none"/>
              </w:rPr>
              <w:t>是/否</w:t>
            </w:r>
          </w:p>
        </w:tc>
        <w:tc>
          <w:tcPr>
            <w:tcW w:w="1962" w:type="dxa"/>
            <w:vAlign w:val="center"/>
          </w:tcPr>
          <w:p w14:paraId="45511A75">
            <w:pPr>
              <w:jc w:val="center"/>
              <w:rPr>
                <w:rFonts w:ascii="宋体" w:hAnsi="宋体"/>
                <w:color w:val="auto"/>
                <w:szCs w:val="21"/>
                <w:highlight w:val="none"/>
              </w:rPr>
            </w:pPr>
          </w:p>
        </w:tc>
      </w:tr>
      <w:tr w14:paraId="70CC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604B3837">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5BE41E6">
            <w:pPr>
              <w:widowControl/>
              <w:spacing w:line="360" w:lineRule="auto"/>
              <w:jc w:val="center"/>
              <w:textAlignment w:val="center"/>
              <w:rPr>
                <w:rFonts w:ascii="宋体" w:hAnsi="宋体"/>
                <w:color w:val="auto"/>
                <w:sz w:val="24"/>
                <w:highlight w:val="none"/>
              </w:rPr>
            </w:pPr>
          </w:p>
        </w:tc>
        <w:tc>
          <w:tcPr>
            <w:tcW w:w="1539" w:type="dxa"/>
            <w:vAlign w:val="center"/>
          </w:tcPr>
          <w:p w14:paraId="29AD356D">
            <w:pPr>
              <w:ind w:firstLine="630" w:firstLineChars="300"/>
              <w:jc w:val="center"/>
              <w:rPr>
                <w:rFonts w:ascii="宋体" w:hAnsi="宋体"/>
                <w:color w:val="auto"/>
                <w:szCs w:val="21"/>
                <w:highlight w:val="none"/>
              </w:rPr>
            </w:pPr>
          </w:p>
        </w:tc>
        <w:tc>
          <w:tcPr>
            <w:tcW w:w="1555" w:type="dxa"/>
            <w:vAlign w:val="center"/>
          </w:tcPr>
          <w:p w14:paraId="45813224">
            <w:pPr>
              <w:ind w:firstLine="630" w:firstLineChars="300"/>
              <w:jc w:val="center"/>
              <w:rPr>
                <w:rFonts w:ascii="宋体" w:hAnsi="宋体"/>
                <w:color w:val="auto"/>
                <w:szCs w:val="21"/>
                <w:highlight w:val="none"/>
              </w:rPr>
            </w:pPr>
          </w:p>
        </w:tc>
        <w:tc>
          <w:tcPr>
            <w:tcW w:w="1577" w:type="dxa"/>
            <w:vAlign w:val="center"/>
          </w:tcPr>
          <w:p w14:paraId="05FE890E">
            <w:pPr>
              <w:jc w:val="center"/>
              <w:rPr>
                <w:rFonts w:ascii="宋体" w:hAnsi="宋体" w:cs="宋体"/>
                <w:color w:val="auto"/>
                <w:szCs w:val="21"/>
                <w:highlight w:val="none"/>
              </w:rPr>
            </w:pPr>
            <w:r>
              <w:rPr>
                <w:rFonts w:ascii="宋体" w:hAnsi="宋体" w:cs="宋体"/>
                <w:color w:val="auto"/>
                <w:szCs w:val="21"/>
                <w:highlight w:val="none"/>
              </w:rPr>
              <w:t>…</w:t>
            </w:r>
          </w:p>
        </w:tc>
        <w:tc>
          <w:tcPr>
            <w:tcW w:w="1962" w:type="dxa"/>
            <w:vAlign w:val="center"/>
          </w:tcPr>
          <w:p w14:paraId="19D4BC2A">
            <w:pPr>
              <w:jc w:val="center"/>
              <w:rPr>
                <w:rFonts w:ascii="宋体" w:hAnsi="宋体"/>
                <w:color w:val="auto"/>
                <w:szCs w:val="21"/>
                <w:highlight w:val="none"/>
              </w:rPr>
            </w:pPr>
          </w:p>
        </w:tc>
      </w:tr>
    </w:tbl>
    <w:p w14:paraId="2FBD1478">
      <w:pPr>
        <w:autoSpaceDE w:val="0"/>
        <w:autoSpaceDN w:val="0"/>
        <w:adjustRightInd w:val="0"/>
        <w:ind w:firstLine="422" w:firstLineChars="200"/>
        <w:rPr>
          <w:rFonts w:ascii="宋体" w:hAnsi="宋体"/>
          <w:b/>
          <w:color w:val="auto"/>
          <w:szCs w:val="21"/>
          <w:highlight w:val="none"/>
          <w:lang w:val="zh-CN"/>
        </w:rPr>
      </w:pPr>
      <w:r>
        <w:rPr>
          <w:rFonts w:hint="eastAsia" w:ascii="宋体" w:hAnsi="宋体"/>
          <w:b/>
          <w:color w:val="auto"/>
          <w:szCs w:val="21"/>
          <w:highlight w:val="none"/>
          <w:lang w:val="zh-CN"/>
        </w:rPr>
        <w:t>注：</w:t>
      </w:r>
    </w:p>
    <w:p w14:paraId="75C1F376">
      <w:pPr>
        <w:autoSpaceDE w:val="0"/>
        <w:autoSpaceDN w:val="0"/>
        <w:adjustRightInd w:val="0"/>
        <w:ind w:firstLine="562" w:firstLineChars="200"/>
        <w:rPr>
          <w:rFonts w:ascii="宋体" w:hAnsi="宋体"/>
          <w:b/>
          <w:color w:val="auto"/>
          <w:sz w:val="28"/>
          <w:szCs w:val="28"/>
          <w:highlight w:val="none"/>
          <w:lang w:val="zh-CN"/>
        </w:rPr>
      </w:pPr>
      <w:r>
        <w:rPr>
          <w:rFonts w:ascii="宋体" w:hAnsi="宋体"/>
          <w:b/>
          <w:color w:val="auto"/>
          <w:sz w:val="28"/>
          <w:szCs w:val="28"/>
          <w:highlight w:val="none"/>
          <w:lang w:val="zh-CN"/>
        </w:rPr>
        <w:t>1</w:t>
      </w:r>
      <w:r>
        <w:rPr>
          <w:rFonts w:hint="eastAsia" w:ascii="宋体" w:hAnsi="宋体"/>
          <w:b/>
          <w:color w:val="auto"/>
          <w:sz w:val="28"/>
          <w:szCs w:val="28"/>
          <w:highlight w:val="none"/>
          <w:lang w:val="zh-CN"/>
        </w:rPr>
        <w:t>.供应商应逐一说明投标产品和服务响应，直接拷贝招标文件技术要求的按照无效投标处理；</w:t>
      </w:r>
    </w:p>
    <w:p w14:paraId="48CCD6C9">
      <w:pPr>
        <w:autoSpaceDE w:val="0"/>
        <w:autoSpaceDN w:val="0"/>
        <w:adjustRightInd w:val="0"/>
        <w:ind w:firstLine="420" w:firstLineChars="200"/>
        <w:rPr>
          <w:rFonts w:ascii="宋体" w:hAnsi="宋体"/>
          <w:color w:val="auto"/>
          <w:szCs w:val="21"/>
          <w:highlight w:val="none"/>
        </w:rPr>
      </w:pPr>
      <w:r>
        <w:rPr>
          <w:rFonts w:ascii="宋体" w:hAnsi="宋体" w:cs="宋体"/>
          <w:color w:val="auto"/>
          <w:szCs w:val="21"/>
          <w:highlight w:val="none"/>
          <w:lang w:val="zh-CN"/>
        </w:rPr>
        <w:t>2</w:t>
      </w:r>
      <w:r>
        <w:rPr>
          <w:rFonts w:hint="eastAsia" w:ascii="宋体" w:hAnsi="宋体" w:cs="宋体"/>
          <w:color w:val="auto"/>
          <w:szCs w:val="21"/>
          <w:highlight w:val="none"/>
          <w:lang w:val="zh-CN"/>
        </w:rPr>
        <w:t>.如果行数不够，请自行增加。</w:t>
      </w:r>
    </w:p>
    <w:p w14:paraId="4FA5B81C">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DC83B39">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7BA961F5">
      <w:pPr>
        <w:spacing w:line="360" w:lineRule="auto"/>
        <w:jc w:val="right"/>
        <w:rPr>
          <w:rFonts w:ascii="宋体" w:hAnsi="宋体"/>
          <w:b/>
          <w:color w:val="auto"/>
          <w:sz w:val="28"/>
          <w:szCs w:val="28"/>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Start w:id="114" w:name="_Toc20556"/>
    </w:p>
    <w:p w14:paraId="002ABD09">
      <w:pPr>
        <w:jc w:val="center"/>
        <w:rPr>
          <w:b/>
          <w:bCs/>
          <w:color w:val="auto"/>
          <w:sz w:val="28"/>
          <w:szCs w:val="28"/>
          <w:highlight w:val="none"/>
        </w:rPr>
      </w:pPr>
      <w:r>
        <w:rPr>
          <w:rFonts w:hint="eastAsia"/>
          <w:b/>
          <w:bCs/>
          <w:color w:val="auto"/>
          <w:sz w:val="28"/>
          <w:szCs w:val="28"/>
          <w:highlight w:val="none"/>
        </w:rPr>
        <w:t>货物的详细配置清单</w:t>
      </w:r>
      <w:bookmarkEnd w:id="114"/>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1862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vAlign w:val="center"/>
          </w:tcPr>
          <w:p w14:paraId="18BF625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1FB041C5">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2F8A109F">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3D2FA0FC">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403F354A">
            <w:pPr>
              <w:spacing w:line="360" w:lineRule="auto"/>
              <w:ind w:left="261"/>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74AA107D">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2082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2917BE83">
            <w:pPr>
              <w:numPr>
                <w:ilvl w:val="0"/>
                <w:numId w:val="16"/>
              </w:numPr>
              <w:spacing w:line="360" w:lineRule="auto"/>
              <w:rPr>
                <w:rFonts w:ascii="宋体" w:hAnsi="宋体"/>
                <w:color w:val="auto"/>
                <w:szCs w:val="21"/>
                <w:highlight w:val="none"/>
              </w:rPr>
            </w:pPr>
          </w:p>
        </w:tc>
        <w:tc>
          <w:tcPr>
            <w:tcW w:w="1436" w:type="dxa"/>
            <w:shd w:val="clear" w:color="auto" w:fill="FFFFFF"/>
            <w:vAlign w:val="center"/>
          </w:tcPr>
          <w:p w14:paraId="7CD5DF6A">
            <w:pPr>
              <w:widowControl/>
              <w:spacing w:line="360" w:lineRule="auto"/>
              <w:jc w:val="center"/>
              <w:textAlignment w:val="center"/>
              <w:rPr>
                <w:rFonts w:ascii="宋体" w:hAnsi="宋体"/>
                <w:color w:val="auto"/>
                <w:szCs w:val="21"/>
                <w:highlight w:val="none"/>
              </w:rPr>
            </w:pPr>
          </w:p>
        </w:tc>
        <w:tc>
          <w:tcPr>
            <w:tcW w:w="2154" w:type="dxa"/>
          </w:tcPr>
          <w:p w14:paraId="33BF0885">
            <w:pPr>
              <w:spacing w:line="360" w:lineRule="auto"/>
              <w:rPr>
                <w:rFonts w:ascii="宋体" w:hAnsi="宋体"/>
                <w:color w:val="auto"/>
                <w:szCs w:val="21"/>
                <w:highlight w:val="none"/>
              </w:rPr>
            </w:pPr>
          </w:p>
        </w:tc>
        <w:tc>
          <w:tcPr>
            <w:tcW w:w="1171" w:type="dxa"/>
          </w:tcPr>
          <w:p w14:paraId="52EF80A6">
            <w:pPr>
              <w:spacing w:line="360" w:lineRule="auto"/>
              <w:rPr>
                <w:rFonts w:ascii="宋体" w:hAnsi="宋体"/>
                <w:color w:val="auto"/>
                <w:szCs w:val="21"/>
                <w:highlight w:val="none"/>
              </w:rPr>
            </w:pPr>
          </w:p>
        </w:tc>
        <w:tc>
          <w:tcPr>
            <w:tcW w:w="2180" w:type="dxa"/>
          </w:tcPr>
          <w:p w14:paraId="6DFCF5E4">
            <w:pPr>
              <w:spacing w:line="360" w:lineRule="auto"/>
              <w:rPr>
                <w:rFonts w:ascii="宋体" w:hAnsi="宋体"/>
                <w:color w:val="auto"/>
                <w:szCs w:val="21"/>
                <w:highlight w:val="none"/>
              </w:rPr>
            </w:pPr>
          </w:p>
        </w:tc>
        <w:tc>
          <w:tcPr>
            <w:tcW w:w="1532" w:type="dxa"/>
          </w:tcPr>
          <w:p w14:paraId="4677089A">
            <w:pPr>
              <w:spacing w:line="360" w:lineRule="auto"/>
              <w:rPr>
                <w:rFonts w:ascii="宋体" w:hAnsi="宋体"/>
                <w:color w:val="auto"/>
                <w:szCs w:val="21"/>
                <w:highlight w:val="none"/>
              </w:rPr>
            </w:pPr>
          </w:p>
        </w:tc>
      </w:tr>
      <w:tr w14:paraId="45BE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13A8DA48">
            <w:pPr>
              <w:numPr>
                <w:ilvl w:val="0"/>
                <w:numId w:val="16"/>
              </w:numPr>
              <w:spacing w:line="360" w:lineRule="auto"/>
              <w:rPr>
                <w:rFonts w:ascii="宋体" w:hAnsi="宋体"/>
                <w:color w:val="auto"/>
                <w:szCs w:val="21"/>
                <w:highlight w:val="none"/>
              </w:rPr>
            </w:pPr>
          </w:p>
        </w:tc>
        <w:tc>
          <w:tcPr>
            <w:tcW w:w="1436" w:type="dxa"/>
            <w:shd w:val="clear" w:color="auto" w:fill="FFFFFF"/>
            <w:vAlign w:val="center"/>
          </w:tcPr>
          <w:p w14:paraId="37F28121">
            <w:pPr>
              <w:widowControl/>
              <w:spacing w:line="360" w:lineRule="auto"/>
              <w:jc w:val="center"/>
              <w:textAlignment w:val="center"/>
              <w:rPr>
                <w:rFonts w:ascii="宋体" w:hAnsi="宋体"/>
                <w:color w:val="auto"/>
                <w:szCs w:val="21"/>
                <w:highlight w:val="none"/>
              </w:rPr>
            </w:pPr>
          </w:p>
        </w:tc>
        <w:tc>
          <w:tcPr>
            <w:tcW w:w="2154" w:type="dxa"/>
          </w:tcPr>
          <w:p w14:paraId="2C1014D1">
            <w:pPr>
              <w:spacing w:line="360" w:lineRule="auto"/>
              <w:rPr>
                <w:rFonts w:ascii="宋体" w:hAnsi="宋体"/>
                <w:color w:val="auto"/>
                <w:szCs w:val="21"/>
                <w:highlight w:val="none"/>
              </w:rPr>
            </w:pPr>
          </w:p>
        </w:tc>
        <w:tc>
          <w:tcPr>
            <w:tcW w:w="1171" w:type="dxa"/>
          </w:tcPr>
          <w:p w14:paraId="4C531013">
            <w:pPr>
              <w:spacing w:line="360" w:lineRule="auto"/>
              <w:rPr>
                <w:rFonts w:ascii="宋体" w:hAnsi="宋体"/>
                <w:color w:val="auto"/>
                <w:szCs w:val="21"/>
                <w:highlight w:val="none"/>
              </w:rPr>
            </w:pPr>
          </w:p>
        </w:tc>
        <w:tc>
          <w:tcPr>
            <w:tcW w:w="2180" w:type="dxa"/>
          </w:tcPr>
          <w:p w14:paraId="4E150149">
            <w:pPr>
              <w:spacing w:line="360" w:lineRule="auto"/>
              <w:rPr>
                <w:rFonts w:ascii="宋体" w:hAnsi="宋体"/>
                <w:color w:val="auto"/>
                <w:szCs w:val="21"/>
                <w:highlight w:val="none"/>
              </w:rPr>
            </w:pPr>
          </w:p>
        </w:tc>
        <w:tc>
          <w:tcPr>
            <w:tcW w:w="1532" w:type="dxa"/>
          </w:tcPr>
          <w:p w14:paraId="6883D072">
            <w:pPr>
              <w:spacing w:line="360" w:lineRule="auto"/>
              <w:rPr>
                <w:rFonts w:ascii="宋体" w:hAnsi="宋体"/>
                <w:color w:val="auto"/>
                <w:szCs w:val="21"/>
                <w:highlight w:val="none"/>
              </w:rPr>
            </w:pPr>
          </w:p>
        </w:tc>
      </w:tr>
      <w:tr w14:paraId="66CD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34464E9E">
            <w:pPr>
              <w:numPr>
                <w:ilvl w:val="0"/>
                <w:numId w:val="16"/>
              </w:numPr>
              <w:spacing w:line="360" w:lineRule="auto"/>
              <w:rPr>
                <w:rFonts w:ascii="宋体" w:hAnsi="宋体"/>
                <w:color w:val="auto"/>
                <w:szCs w:val="21"/>
                <w:highlight w:val="none"/>
              </w:rPr>
            </w:pPr>
          </w:p>
        </w:tc>
        <w:tc>
          <w:tcPr>
            <w:tcW w:w="1436" w:type="dxa"/>
            <w:shd w:val="clear" w:color="auto" w:fill="FFFFFF"/>
            <w:vAlign w:val="center"/>
          </w:tcPr>
          <w:p w14:paraId="76569915">
            <w:pPr>
              <w:widowControl/>
              <w:spacing w:line="360" w:lineRule="auto"/>
              <w:jc w:val="center"/>
              <w:textAlignment w:val="center"/>
              <w:rPr>
                <w:rFonts w:ascii="宋体" w:hAnsi="宋体"/>
                <w:color w:val="auto"/>
                <w:szCs w:val="21"/>
                <w:highlight w:val="none"/>
              </w:rPr>
            </w:pPr>
          </w:p>
        </w:tc>
        <w:tc>
          <w:tcPr>
            <w:tcW w:w="2154" w:type="dxa"/>
          </w:tcPr>
          <w:p w14:paraId="6D1280D5">
            <w:pPr>
              <w:spacing w:line="360" w:lineRule="auto"/>
              <w:rPr>
                <w:rFonts w:ascii="宋体" w:hAnsi="宋体"/>
                <w:color w:val="auto"/>
                <w:szCs w:val="21"/>
                <w:highlight w:val="none"/>
              </w:rPr>
            </w:pPr>
          </w:p>
        </w:tc>
        <w:tc>
          <w:tcPr>
            <w:tcW w:w="1171" w:type="dxa"/>
          </w:tcPr>
          <w:p w14:paraId="0329CCA9">
            <w:pPr>
              <w:spacing w:line="360" w:lineRule="auto"/>
              <w:rPr>
                <w:rFonts w:ascii="宋体" w:hAnsi="宋体"/>
                <w:color w:val="auto"/>
                <w:szCs w:val="21"/>
                <w:highlight w:val="none"/>
              </w:rPr>
            </w:pPr>
          </w:p>
        </w:tc>
        <w:tc>
          <w:tcPr>
            <w:tcW w:w="2180" w:type="dxa"/>
          </w:tcPr>
          <w:p w14:paraId="68140AB1">
            <w:pPr>
              <w:spacing w:line="360" w:lineRule="auto"/>
              <w:rPr>
                <w:rFonts w:ascii="宋体" w:hAnsi="宋体"/>
                <w:color w:val="auto"/>
                <w:szCs w:val="21"/>
                <w:highlight w:val="none"/>
              </w:rPr>
            </w:pPr>
          </w:p>
        </w:tc>
        <w:tc>
          <w:tcPr>
            <w:tcW w:w="1532" w:type="dxa"/>
          </w:tcPr>
          <w:p w14:paraId="2D7E20CB">
            <w:pPr>
              <w:spacing w:line="360" w:lineRule="auto"/>
              <w:rPr>
                <w:rFonts w:ascii="宋体" w:hAnsi="宋体"/>
                <w:color w:val="auto"/>
                <w:szCs w:val="21"/>
                <w:highlight w:val="none"/>
              </w:rPr>
            </w:pPr>
          </w:p>
        </w:tc>
      </w:tr>
      <w:tr w14:paraId="0AD7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48C91289">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57F82295">
            <w:pPr>
              <w:widowControl/>
              <w:spacing w:line="360" w:lineRule="auto"/>
              <w:jc w:val="center"/>
              <w:textAlignment w:val="center"/>
              <w:rPr>
                <w:rFonts w:ascii="宋体" w:hAnsi="宋体"/>
                <w:color w:val="auto"/>
                <w:szCs w:val="21"/>
                <w:highlight w:val="none"/>
              </w:rPr>
            </w:pPr>
          </w:p>
        </w:tc>
        <w:tc>
          <w:tcPr>
            <w:tcW w:w="2154" w:type="dxa"/>
          </w:tcPr>
          <w:p w14:paraId="13AF6F1B">
            <w:pPr>
              <w:spacing w:line="360" w:lineRule="auto"/>
              <w:rPr>
                <w:rFonts w:ascii="宋体" w:hAnsi="宋体"/>
                <w:color w:val="auto"/>
                <w:szCs w:val="21"/>
                <w:highlight w:val="none"/>
              </w:rPr>
            </w:pPr>
          </w:p>
        </w:tc>
        <w:tc>
          <w:tcPr>
            <w:tcW w:w="1171" w:type="dxa"/>
          </w:tcPr>
          <w:p w14:paraId="4375BCB6">
            <w:pPr>
              <w:spacing w:line="360" w:lineRule="auto"/>
              <w:rPr>
                <w:rFonts w:ascii="宋体" w:hAnsi="宋体"/>
                <w:color w:val="auto"/>
                <w:szCs w:val="21"/>
                <w:highlight w:val="none"/>
              </w:rPr>
            </w:pPr>
          </w:p>
        </w:tc>
        <w:tc>
          <w:tcPr>
            <w:tcW w:w="2180" w:type="dxa"/>
          </w:tcPr>
          <w:p w14:paraId="2AA08C45">
            <w:pPr>
              <w:spacing w:line="360" w:lineRule="auto"/>
              <w:rPr>
                <w:rFonts w:ascii="宋体" w:hAnsi="宋体"/>
                <w:color w:val="auto"/>
                <w:szCs w:val="21"/>
                <w:highlight w:val="none"/>
              </w:rPr>
            </w:pPr>
          </w:p>
        </w:tc>
        <w:tc>
          <w:tcPr>
            <w:tcW w:w="1532" w:type="dxa"/>
          </w:tcPr>
          <w:p w14:paraId="2CA470F9">
            <w:pPr>
              <w:spacing w:line="360" w:lineRule="auto"/>
              <w:rPr>
                <w:rFonts w:ascii="宋体" w:hAnsi="宋体"/>
                <w:color w:val="auto"/>
                <w:szCs w:val="21"/>
                <w:highlight w:val="none"/>
              </w:rPr>
            </w:pPr>
          </w:p>
        </w:tc>
      </w:tr>
    </w:tbl>
    <w:p w14:paraId="0AEC0858">
      <w:pPr>
        <w:spacing w:line="360" w:lineRule="auto"/>
        <w:jc w:val="left"/>
        <w:rPr>
          <w:rFonts w:ascii="宋体" w:hAnsi="宋体"/>
          <w:b/>
          <w:color w:val="auto"/>
          <w:sz w:val="28"/>
          <w:szCs w:val="28"/>
          <w:highlight w:val="none"/>
        </w:rPr>
      </w:pPr>
      <w:r>
        <w:rPr>
          <w:rFonts w:hint="eastAsia" w:ascii="宋体" w:hAnsi="宋体"/>
          <w:b/>
          <w:color w:val="auto"/>
          <w:sz w:val="28"/>
          <w:szCs w:val="28"/>
          <w:highlight w:val="none"/>
        </w:rPr>
        <w:t>注：</w:t>
      </w:r>
      <w:r>
        <w:rPr>
          <w:rFonts w:hint="eastAsia" w:ascii="宋体" w:hAnsi="宋体" w:cs="宋体"/>
          <w:color w:val="auto"/>
          <w:szCs w:val="21"/>
          <w:highlight w:val="none"/>
          <w:lang w:val="zh-CN"/>
        </w:rPr>
        <w:t>如果行数不够，请自行增加。</w:t>
      </w:r>
    </w:p>
    <w:p w14:paraId="63123E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644181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23955390">
      <w:pPr>
        <w:spacing w:line="360" w:lineRule="auto"/>
        <w:rPr>
          <w:b/>
          <w:color w:val="auto"/>
          <w:sz w:val="28"/>
          <w:szCs w:val="28"/>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Start w:id="115" w:name="_Toc15134"/>
      <w:bookmarkStart w:id="116" w:name="_Toc18438"/>
    </w:p>
    <w:p w14:paraId="6519EEE1">
      <w:pPr>
        <w:spacing w:line="360" w:lineRule="auto"/>
        <w:rPr>
          <w:b/>
          <w:color w:val="auto"/>
          <w:sz w:val="28"/>
          <w:szCs w:val="28"/>
          <w:highlight w:val="none"/>
        </w:rPr>
      </w:pPr>
      <w:r>
        <w:rPr>
          <w:rFonts w:hint="eastAsia"/>
          <w:b/>
          <w:color w:val="auto"/>
          <w:sz w:val="28"/>
          <w:szCs w:val="28"/>
          <w:highlight w:val="none"/>
        </w:rPr>
        <w:t>附件</w:t>
      </w:r>
      <w:bookmarkEnd w:id="115"/>
      <w:bookmarkEnd w:id="116"/>
      <w:r>
        <w:rPr>
          <w:rFonts w:hint="eastAsia"/>
          <w:b/>
          <w:color w:val="auto"/>
          <w:sz w:val="28"/>
          <w:szCs w:val="28"/>
          <w:highlight w:val="none"/>
        </w:rPr>
        <w:t>4</w:t>
      </w:r>
    </w:p>
    <w:p w14:paraId="523D054F">
      <w:pPr>
        <w:spacing w:line="400" w:lineRule="exact"/>
        <w:ind w:firstLine="562" w:firstLineChars="200"/>
        <w:rPr>
          <w:b/>
          <w:color w:val="auto"/>
          <w:sz w:val="28"/>
          <w:szCs w:val="28"/>
          <w:highlight w:val="none"/>
        </w:rPr>
      </w:pPr>
    </w:p>
    <w:p w14:paraId="0EE8EF1E">
      <w:pPr>
        <w:jc w:val="center"/>
        <w:rPr>
          <w:rFonts w:ascii="宋体"/>
          <w:b/>
          <w:color w:val="auto"/>
          <w:sz w:val="30"/>
          <w:szCs w:val="30"/>
          <w:highlight w:val="none"/>
        </w:rPr>
      </w:pPr>
      <w:r>
        <w:rPr>
          <w:rFonts w:hint="eastAsia" w:ascii="宋体"/>
          <w:b/>
          <w:color w:val="auto"/>
          <w:sz w:val="30"/>
          <w:szCs w:val="30"/>
          <w:highlight w:val="none"/>
        </w:rPr>
        <w:t>服务承诺书</w:t>
      </w:r>
    </w:p>
    <w:p w14:paraId="71FC9680">
      <w:pPr>
        <w:ind w:firstLine="480" w:firstLineChars="200"/>
        <w:rPr>
          <w:rFonts w:ascii="宋体"/>
          <w:color w:val="auto"/>
          <w:sz w:val="24"/>
          <w:highlight w:val="none"/>
        </w:rPr>
      </w:pPr>
    </w:p>
    <w:p w14:paraId="1FEEF0C7">
      <w:pPr>
        <w:rPr>
          <w:rFonts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（采购人）</w:t>
      </w:r>
      <w:r>
        <w:rPr>
          <w:rFonts w:hint="eastAsia" w:ascii="宋体"/>
          <w:color w:val="auto"/>
          <w:sz w:val="24"/>
          <w:highlight w:val="none"/>
        </w:rPr>
        <w:t>：</w:t>
      </w:r>
    </w:p>
    <w:p w14:paraId="2B37755B">
      <w:pPr>
        <w:spacing w:line="800" w:lineRule="exact"/>
        <w:ind w:firstLine="480" w:firstLineChars="200"/>
        <w:rPr>
          <w:rFonts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2C54EF5D">
      <w:pPr>
        <w:spacing w:line="800" w:lineRule="exact"/>
        <w:ind w:firstLine="480" w:firstLineChars="200"/>
        <w:rPr>
          <w:rFonts w:ascii="宋体"/>
          <w:color w:val="auto"/>
          <w:sz w:val="24"/>
          <w:highlight w:val="none"/>
        </w:rPr>
      </w:pPr>
      <w:r>
        <w:rPr>
          <w:rFonts w:hint="eastAsia" w:ascii="宋体"/>
          <w:color w:val="auto"/>
          <w:sz w:val="24"/>
          <w:highlight w:val="none"/>
        </w:rPr>
        <w:t>特此声明。</w:t>
      </w:r>
    </w:p>
    <w:p w14:paraId="000BB9CC">
      <w:pPr>
        <w:spacing w:line="600" w:lineRule="exact"/>
        <w:rPr>
          <w:rFonts w:ascii="宋体"/>
          <w:color w:val="auto"/>
          <w:sz w:val="24"/>
          <w:highlight w:val="none"/>
        </w:rPr>
      </w:pPr>
      <w:r>
        <w:rPr>
          <w:rFonts w:hint="eastAsia" w:ascii="宋体"/>
          <w:color w:val="auto"/>
          <w:sz w:val="24"/>
          <w:highlight w:val="none"/>
        </w:rPr>
        <w:t> </w:t>
      </w:r>
    </w:p>
    <w:p w14:paraId="68BD01D5">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4C3737C7">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(签章)</w:t>
      </w:r>
    </w:p>
    <w:p w14:paraId="452FAD05">
      <w:pPr>
        <w:spacing w:line="480" w:lineRule="auto"/>
        <w:jc w:val="right"/>
        <w:rPr>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440C8443">
      <w:pPr>
        <w:pStyle w:val="12"/>
        <w:ind w:firstLine="400"/>
        <w:rPr>
          <w:color w:val="auto"/>
          <w:highlight w:val="none"/>
        </w:rPr>
      </w:pPr>
    </w:p>
    <w:bookmarkEnd w:id="110"/>
    <w:bookmarkEnd w:id="111"/>
    <w:p w14:paraId="33410FF8">
      <w:pPr>
        <w:wordWrap w:val="0"/>
        <w:spacing w:before="100" w:beforeAutospacing="1" w:after="100" w:afterAutospacing="1"/>
        <w:jc w:val="center"/>
        <w:rPr>
          <w:rFonts w:ascii="宋体" w:hAnsi="宋体"/>
          <w:b/>
          <w:color w:val="auto"/>
          <w:sz w:val="28"/>
          <w:szCs w:val="28"/>
          <w:highlight w:val="none"/>
          <w:bdr w:val="single" w:color="auto" w:sz="4" w:space="0"/>
        </w:rPr>
      </w:pPr>
      <w:r>
        <w:rPr>
          <w:rFonts w:hint="eastAsia" w:ascii="宋体" w:hAnsi="宋体"/>
          <w:b/>
          <w:color w:val="auto"/>
          <w:sz w:val="28"/>
          <w:szCs w:val="28"/>
          <w:highlight w:val="none"/>
        </w:rPr>
        <w:br w:type="page"/>
      </w:r>
      <w:r>
        <w:rPr>
          <w:rFonts w:hint="eastAsia" w:ascii="宋体" w:hAnsi="宋体"/>
          <w:b/>
          <w:color w:val="auto"/>
          <w:sz w:val="28"/>
          <w:szCs w:val="28"/>
          <w:highlight w:val="none"/>
        </w:rPr>
        <w:t>二、技术标格式文件</w:t>
      </w:r>
    </w:p>
    <w:p w14:paraId="3FAA9CD7">
      <w:pPr>
        <w:jc w:val="center"/>
        <w:rPr>
          <w:rFonts w:ascii="宋体"/>
          <w:b/>
          <w:color w:val="auto"/>
          <w:sz w:val="44"/>
          <w:szCs w:val="44"/>
          <w:highlight w:val="none"/>
        </w:rPr>
      </w:pPr>
      <w:bookmarkStart w:id="117" w:name="_Toc387149626"/>
      <w:bookmarkStart w:id="118" w:name="_Toc449028953"/>
    </w:p>
    <w:p w14:paraId="4E81442D">
      <w:pPr>
        <w:jc w:val="center"/>
        <w:rPr>
          <w:rFonts w:ascii="宋体"/>
          <w:b/>
          <w:color w:val="auto"/>
          <w:sz w:val="44"/>
          <w:szCs w:val="44"/>
          <w:highlight w:val="none"/>
        </w:rPr>
      </w:pPr>
      <w:r>
        <w:rPr>
          <w:rFonts w:hint="eastAsia" w:ascii="宋体"/>
          <w:b/>
          <w:color w:val="auto"/>
          <w:sz w:val="44"/>
          <w:szCs w:val="44"/>
          <w:highlight w:val="none"/>
        </w:rPr>
        <w:t>技术标</w:t>
      </w:r>
      <w:bookmarkEnd w:id="117"/>
      <w:bookmarkEnd w:id="118"/>
    </w:p>
    <w:p w14:paraId="4B080D5A">
      <w:pPr>
        <w:jc w:val="center"/>
        <w:rPr>
          <w:rFonts w:ascii="宋体"/>
          <w:color w:val="auto"/>
          <w:sz w:val="32"/>
          <w:szCs w:val="32"/>
          <w:highlight w:val="none"/>
        </w:rPr>
      </w:pPr>
      <w:r>
        <w:rPr>
          <w:rFonts w:hint="eastAsia" w:ascii="宋体"/>
          <w:color w:val="auto"/>
          <w:sz w:val="32"/>
          <w:szCs w:val="32"/>
          <w:highlight w:val="none"/>
        </w:rPr>
        <w:t>（投标文件二）</w:t>
      </w:r>
    </w:p>
    <w:p w14:paraId="3A385EEC">
      <w:pPr>
        <w:jc w:val="center"/>
        <w:rPr>
          <w:rFonts w:eastAsia="黑体"/>
          <w:color w:val="auto"/>
          <w:sz w:val="44"/>
          <w:szCs w:val="44"/>
          <w:highlight w:val="none"/>
        </w:rPr>
      </w:pPr>
    </w:p>
    <w:p w14:paraId="7E782C91">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40324ED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79D80B3F">
      <w:pPr>
        <w:rPr>
          <w:rFonts w:ascii="宋体"/>
          <w:color w:val="auto"/>
          <w:sz w:val="28"/>
          <w:szCs w:val="28"/>
          <w:highlight w:val="none"/>
        </w:rPr>
      </w:pPr>
    </w:p>
    <w:p w14:paraId="39BAA0C1">
      <w:pPr>
        <w:rPr>
          <w:rFonts w:ascii="宋体"/>
          <w:color w:val="auto"/>
          <w:sz w:val="28"/>
          <w:szCs w:val="28"/>
          <w:highlight w:val="none"/>
        </w:rPr>
      </w:pPr>
    </w:p>
    <w:p w14:paraId="2683D6B5">
      <w:pPr>
        <w:spacing w:line="700" w:lineRule="exact"/>
        <w:jc w:val="left"/>
        <w:rPr>
          <w:color w:val="auto"/>
          <w:sz w:val="24"/>
          <w:szCs w:val="32"/>
          <w:highlight w:val="none"/>
        </w:rPr>
      </w:pPr>
      <w:r>
        <w:rPr>
          <w:rFonts w:ascii="宋体"/>
          <w:color w:val="auto"/>
          <w:sz w:val="28"/>
          <w:szCs w:val="28"/>
          <w:highlight w:val="none"/>
        </w:rPr>
        <w:tab/>
      </w:r>
      <w:r>
        <w:rPr>
          <w:rFonts w:hint="eastAsia" w:ascii="宋体" w:hAnsi="宋体" w:cs="宋体"/>
          <w:b/>
          <w:bCs/>
          <w:color w:val="auto"/>
          <w:sz w:val="24"/>
          <w:highlight w:val="none"/>
        </w:rPr>
        <w:t>【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42134B11">
      <w:pPr>
        <w:pStyle w:val="12"/>
        <w:ind w:firstLine="560"/>
        <w:rPr>
          <w:rFonts w:ascii="宋体"/>
          <w:color w:val="auto"/>
          <w:sz w:val="28"/>
          <w:szCs w:val="28"/>
          <w:highlight w:val="none"/>
        </w:rPr>
      </w:pPr>
      <w:r>
        <w:rPr>
          <w:rFonts w:hint="eastAsia" w:ascii="宋体"/>
          <w:color w:val="auto"/>
          <w:sz w:val="28"/>
          <w:szCs w:val="28"/>
          <w:highlight w:val="none"/>
        </w:rPr>
        <w:br w:type="page"/>
      </w:r>
    </w:p>
    <w:p w14:paraId="59F78E1C">
      <w:pPr>
        <w:rPr>
          <w:rFonts w:ascii="宋体"/>
          <w:color w:val="auto"/>
          <w:sz w:val="28"/>
          <w:szCs w:val="28"/>
          <w:highlight w:val="none"/>
        </w:rPr>
      </w:pPr>
    </w:p>
    <w:p w14:paraId="2E5BD2C4">
      <w:pPr>
        <w:pStyle w:val="12"/>
        <w:ind w:firstLine="400"/>
        <w:rPr>
          <w:color w:val="auto"/>
          <w:highlight w:val="none"/>
        </w:rPr>
      </w:pPr>
    </w:p>
    <w:p w14:paraId="3F80AACD">
      <w:pPr>
        <w:spacing w:line="400" w:lineRule="exact"/>
        <w:rPr>
          <w:b/>
          <w:color w:val="auto"/>
          <w:sz w:val="36"/>
          <w:szCs w:val="36"/>
          <w:highlight w:val="none"/>
        </w:rPr>
      </w:pPr>
    </w:p>
    <w:p w14:paraId="5EFA0CEF">
      <w:pPr>
        <w:spacing w:line="400" w:lineRule="exact"/>
        <w:jc w:val="center"/>
        <w:rPr>
          <w:b/>
          <w:color w:val="auto"/>
          <w:sz w:val="36"/>
          <w:szCs w:val="36"/>
          <w:highlight w:val="none"/>
        </w:rPr>
      </w:pPr>
      <w:r>
        <w:rPr>
          <w:rFonts w:hint="eastAsia"/>
          <w:b/>
          <w:color w:val="auto"/>
          <w:sz w:val="36"/>
          <w:szCs w:val="36"/>
          <w:highlight w:val="none"/>
        </w:rPr>
        <w:t>目   录</w:t>
      </w:r>
    </w:p>
    <w:p w14:paraId="3003C5F9">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（1）实施方案；</w:t>
      </w:r>
    </w:p>
    <w:p w14:paraId="1C7C8DD0">
      <w:pPr>
        <w:spacing w:line="440" w:lineRule="exact"/>
        <w:ind w:left="420" w:leftChars="200"/>
        <w:jc w:val="left"/>
        <w:rPr>
          <w:rFonts w:ascii="宋体" w:hAnsi="宋体" w:cs="宋体"/>
          <w:color w:val="auto"/>
          <w:szCs w:val="21"/>
          <w:highlight w:val="none"/>
        </w:rPr>
      </w:pPr>
      <w:r>
        <w:rPr>
          <w:rFonts w:hint="eastAsia" w:ascii="宋体" w:hAnsi="宋体" w:cs="宋体"/>
          <w:bCs/>
          <w:color w:val="auto"/>
          <w:szCs w:val="21"/>
          <w:highlight w:val="none"/>
        </w:rPr>
        <w:t>（2）调试组织方案。</w:t>
      </w:r>
      <w:r>
        <w:rPr>
          <w:rFonts w:hint="eastAsia" w:ascii="宋体" w:hAnsi="宋体" w:cs="宋体"/>
          <w:bCs/>
          <w:color w:val="auto"/>
          <w:szCs w:val="21"/>
          <w:highlight w:val="none"/>
        </w:rPr>
        <w:br w:type="textWrapping"/>
      </w:r>
    </w:p>
    <w:p w14:paraId="6C1BFB9D">
      <w:pPr>
        <w:adjustRightInd w:val="0"/>
        <w:snapToGrid w:val="0"/>
        <w:spacing w:line="560" w:lineRule="exact"/>
        <w:rPr>
          <w:rFonts w:ascii="宋体" w:hAnsi="宋体"/>
          <w:b/>
          <w:bCs/>
          <w:color w:val="auto"/>
          <w:sz w:val="24"/>
          <w:highlight w:val="none"/>
        </w:rPr>
      </w:pPr>
    </w:p>
    <w:p w14:paraId="7AE3C7D0">
      <w:pPr>
        <w:adjustRightInd w:val="0"/>
        <w:snapToGrid w:val="0"/>
        <w:spacing w:line="560" w:lineRule="exact"/>
        <w:rPr>
          <w:rFonts w:ascii="宋体" w:hAnsi="宋体"/>
          <w:b/>
          <w:bCs/>
          <w:color w:val="auto"/>
          <w:sz w:val="24"/>
          <w:highlight w:val="none"/>
        </w:rPr>
      </w:pPr>
      <w:r>
        <w:rPr>
          <w:rFonts w:hint="eastAsia" w:ascii="宋体" w:hAnsi="宋体"/>
          <w:b/>
          <w:bCs/>
          <w:color w:val="auto"/>
          <w:sz w:val="24"/>
          <w:highlight w:val="none"/>
        </w:rPr>
        <w:t>注：本项目采用横向暗标评审，请投标人结合技术标评审细则和系统内容在对应模块上传技术标评审内容。</w:t>
      </w:r>
    </w:p>
    <w:p w14:paraId="042B51ED">
      <w:pPr>
        <w:pStyle w:val="17"/>
        <w:rPr>
          <w:color w:val="auto"/>
          <w:highlight w:val="none"/>
        </w:rPr>
      </w:pPr>
    </w:p>
    <w:p w14:paraId="5449DD81">
      <w:pPr>
        <w:spacing w:line="400" w:lineRule="exact"/>
        <w:ind w:firstLine="562" w:firstLineChars="200"/>
        <w:rPr>
          <w:b/>
          <w:color w:val="auto"/>
          <w:sz w:val="28"/>
          <w:szCs w:val="28"/>
          <w:highlight w:val="none"/>
        </w:rPr>
      </w:pPr>
    </w:p>
    <w:p w14:paraId="0DDB258B">
      <w:pPr>
        <w:spacing w:line="400" w:lineRule="exact"/>
        <w:ind w:firstLine="562" w:firstLineChars="200"/>
        <w:rPr>
          <w:b/>
          <w:color w:val="auto"/>
          <w:sz w:val="28"/>
          <w:szCs w:val="28"/>
          <w:highlight w:val="none"/>
        </w:rPr>
      </w:pPr>
    </w:p>
    <w:p w14:paraId="5071C882">
      <w:pPr>
        <w:spacing w:line="400" w:lineRule="exact"/>
        <w:ind w:firstLine="562" w:firstLineChars="200"/>
        <w:rPr>
          <w:b/>
          <w:color w:val="auto"/>
          <w:sz w:val="28"/>
          <w:szCs w:val="28"/>
          <w:highlight w:val="none"/>
        </w:rPr>
      </w:pPr>
    </w:p>
    <w:p w14:paraId="30FAD4E7">
      <w:pPr>
        <w:spacing w:line="480" w:lineRule="auto"/>
        <w:rPr>
          <w:b/>
          <w:color w:val="auto"/>
          <w:sz w:val="28"/>
          <w:szCs w:val="28"/>
          <w:highlight w:val="none"/>
        </w:rPr>
      </w:pPr>
      <w:r>
        <w:rPr>
          <w:rFonts w:hint="eastAsia"/>
          <w:b/>
          <w:color w:val="auto"/>
          <w:sz w:val="28"/>
          <w:szCs w:val="28"/>
          <w:highlight w:val="none"/>
        </w:rPr>
        <w:br w:type="page"/>
      </w:r>
    </w:p>
    <w:p w14:paraId="5AD0335D">
      <w:pPr>
        <w:spacing w:line="300" w:lineRule="exact"/>
        <w:rPr>
          <w:rFonts w:ascii="宋体"/>
          <w:color w:val="auto"/>
          <w:sz w:val="24"/>
          <w:highlight w:val="none"/>
          <w:u w:val="single"/>
        </w:rPr>
      </w:pPr>
    </w:p>
    <w:p w14:paraId="51C20DBF">
      <w:pPr>
        <w:spacing w:line="300" w:lineRule="exact"/>
        <w:rPr>
          <w:rFonts w:ascii="宋体"/>
          <w:color w:val="auto"/>
          <w:sz w:val="24"/>
          <w:highlight w:val="none"/>
          <w:u w:val="single"/>
        </w:rPr>
      </w:pPr>
      <w:r>
        <w:rPr>
          <w:rFonts w:hint="eastAsia" w:ascii="宋体"/>
          <w:color w:val="auto"/>
          <w:sz w:val="24"/>
          <w:highlight w:val="none"/>
          <w:u w:val="single"/>
        </w:rPr>
        <w:t xml:space="preserve">      </w:t>
      </w:r>
    </w:p>
    <w:p w14:paraId="7ABE7A1A">
      <w:pPr>
        <w:jc w:val="center"/>
        <w:rPr>
          <w:rFonts w:ascii="宋体"/>
          <w:color w:val="auto"/>
          <w:sz w:val="24"/>
          <w:highlight w:val="none"/>
        </w:rPr>
      </w:pPr>
      <w:r>
        <w:rPr>
          <w:rFonts w:hint="eastAsia" w:ascii="宋体" w:hAnsi="宋体"/>
          <w:b/>
          <w:color w:val="auto"/>
          <w:sz w:val="28"/>
          <w:szCs w:val="28"/>
          <w:highlight w:val="none"/>
        </w:rPr>
        <w:t>三、商务标格式文件</w:t>
      </w:r>
    </w:p>
    <w:p w14:paraId="7E032D0C">
      <w:pPr>
        <w:jc w:val="center"/>
        <w:rPr>
          <w:rFonts w:eastAsia="黑体"/>
          <w:color w:val="auto"/>
          <w:sz w:val="20"/>
          <w:highlight w:val="none"/>
        </w:rPr>
      </w:pPr>
    </w:p>
    <w:p w14:paraId="04B8936E">
      <w:pPr>
        <w:rPr>
          <w:rFonts w:ascii="宋体"/>
          <w:color w:val="auto"/>
          <w:sz w:val="20"/>
          <w:highlight w:val="none"/>
        </w:rPr>
      </w:pPr>
    </w:p>
    <w:p w14:paraId="4A943AA7">
      <w:pPr>
        <w:pStyle w:val="12"/>
        <w:ind w:firstLine="400"/>
        <w:rPr>
          <w:color w:val="auto"/>
          <w:highlight w:val="none"/>
        </w:rPr>
      </w:pPr>
    </w:p>
    <w:p w14:paraId="3ED4C3E5">
      <w:pPr>
        <w:jc w:val="center"/>
        <w:rPr>
          <w:rFonts w:ascii="宋体"/>
          <w:b/>
          <w:color w:val="auto"/>
          <w:sz w:val="44"/>
          <w:szCs w:val="44"/>
          <w:highlight w:val="none"/>
        </w:rPr>
      </w:pPr>
      <w:bookmarkStart w:id="119" w:name="_Toc449028954"/>
      <w:r>
        <w:rPr>
          <w:rFonts w:hint="eastAsia" w:ascii="宋体"/>
          <w:b/>
          <w:color w:val="auto"/>
          <w:sz w:val="44"/>
          <w:szCs w:val="44"/>
          <w:highlight w:val="none"/>
        </w:rPr>
        <w:t>商务标</w:t>
      </w:r>
      <w:bookmarkEnd w:id="119"/>
    </w:p>
    <w:p w14:paraId="4D35A9B6">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08726819">
      <w:pPr>
        <w:jc w:val="center"/>
        <w:rPr>
          <w:rFonts w:ascii="宋体"/>
          <w:color w:val="auto"/>
          <w:sz w:val="36"/>
          <w:szCs w:val="36"/>
          <w:highlight w:val="none"/>
        </w:rPr>
      </w:pPr>
    </w:p>
    <w:p w14:paraId="564348A0">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79DA7E99">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5F4C542A">
      <w:pPr>
        <w:rPr>
          <w:rFonts w:ascii="宋体"/>
          <w:color w:val="auto"/>
          <w:sz w:val="28"/>
          <w:szCs w:val="28"/>
          <w:highlight w:val="none"/>
        </w:rPr>
      </w:pPr>
    </w:p>
    <w:p w14:paraId="397DAB9D">
      <w:pPr>
        <w:rPr>
          <w:rFonts w:ascii="宋体"/>
          <w:color w:val="auto"/>
          <w:sz w:val="28"/>
          <w:szCs w:val="28"/>
          <w:highlight w:val="none"/>
        </w:rPr>
      </w:pPr>
    </w:p>
    <w:p w14:paraId="60847598">
      <w:pPr>
        <w:rPr>
          <w:rFonts w:ascii="宋体"/>
          <w:color w:val="auto"/>
          <w:sz w:val="28"/>
          <w:szCs w:val="28"/>
          <w:highlight w:val="none"/>
        </w:rPr>
      </w:pPr>
    </w:p>
    <w:p w14:paraId="3093E004">
      <w:pPr>
        <w:rPr>
          <w:rFonts w:ascii="宋体"/>
          <w:color w:val="auto"/>
          <w:sz w:val="28"/>
          <w:szCs w:val="28"/>
          <w:highlight w:val="none"/>
        </w:rPr>
      </w:pPr>
    </w:p>
    <w:p w14:paraId="43C54BE0">
      <w:pPr>
        <w:rPr>
          <w:rFonts w:ascii="宋体"/>
          <w:color w:val="auto"/>
          <w:sz w:val="28"/>
          <w:szCs w:val="28"/>
          <w:highlight w:val="none"/>
        </w:rPr>
      </w:pPr>
    </w:p>
    <w:p w14:paraId="75BC99D7">
      <w:pPr>
        <w:rPr>
          <w:rFonts w:ascii="宋体"/>
          <w:color w:val="auto"/>
          <w:sz w:val="28"/>
          <w:szCs w:val="28"/>
          <w:highlight w:val="none"/>
        </w:rPr>
      </w:pPr>
    </w:p>
    <w:p w14:paraId="08548BE9">
      <w:pPr>
        <w:rPr>
          <w:rFonts w:ascii="宋体"/>
          <w:color w:val="auto"/>
          <w:sz w:val="28"/>
          <w:szCs w:val="28"/>
          <w:highlight w:val="none"/>
        </w:rPr>
      </w:pPr>
    </w:p>
    <w:p w14:paraId="3146E923">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543B6D0D">
      <w:pPr>
        <w:ind w:firstLine="700" w:firstLineChars="25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361C0BBA">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B3E006C">
      <w:pPr>
        <w:spacing w:line="720" w:lineRule="auto"/>
        <w:jc w:val="center"/>
        <w:rPr>
          <w:rFonts w:ascii="宋体"/>
          <w:b/>
          <w:color w:val="auto"/>
          <w:sz w:val="36"/>
          <w:szCs w:val="36"/>
          <w:highlight w:val="none"/>
        </w:rPr>
      </w:pPr>
    </w:p>
    <w:p w14:paraId="77122876">
      <w:pPr>
        <w:spacing w:line="400" w:lineRule="exact"/>
        <w:ind w:firstLine="562" w:firstLineChars="200"/>
        <w:rPr>
          <w:b/>
          <w:color w:val="auto"/>
          <w:sz w:val="28"/>
          <w:szCs w:val="28"/>
          <w:highlight w:val="none"/>
        </w:rPr>
      </w:pPr>
    </w:p>
    <w:p w14:paraId="0B28C4E4">
      <w:pPr>
        <w:spacing w:line="400" w:lineRule="exact"/>
        <w:jc w:val="center"/>
        <w:rPr>
          <w:b/>
          <w:color w:val="auto"/>
          <w:sz w:val="36"/>
          <w:szCs w:val="36"/>
          <w:highlight w:val="none"/>
        </w:rPr>
      </w:pPr>
      <w:r>
        <w:rPr>
          <w:b/>
          <w:color w:val="auto"/>
          <w:sz w:val="36"/>
          <w:szCs w:val="36"/>
          <w:highlight w:val="none"/>
        </w:rPr>
        <w:br w:type="page"/>
      </w:r>
      <w:r>
        <w:rPr>
          <w:rFonts w:hint="eastAsia"/>
          <w:b/>
          <w:color w:val="auto"/>
          <w:sz w:val="36"/>
          <w:szCs w:val="36"/>
          <w:highlight w:val="none"/>
        </w:rPr>
        <w:t>目   录</w:t>
      </w:r>
    </w:p>
    <w:p w14:paraId="2814F467">
      <w:pPr>
        <w:spacing w:line="400" w:lineRule="exact"/>
        <w:ind w:firstLine="4130" w:firstLineChars="935"/>
        <w:rPr>
          <w:b/>
          <w:color w:val="auto"/>
          <w:sz w:val="44"/>
          <w:szCs w:val="44"/>
          <w:highlight w:val="none"/>
        </w:rPr>
      </w:pPr>
    </w:p>
    <w:p w14:paraId="4B72FC54">
      <w:pPr>
        <w:spacing w:line="440" w:lineRule="exact"/>
        <w:ind w:left="420"/>
        <w:jc w:val="left"/>
        <w:rPr>
          <w:rFonts w:ascii="宋体"/>
          <w:color w:val="auto"/>
          <w:szCs w:val="21"/>
          <w:highlight w:val="none"/>
        </w:rPr>
      </w:pPr>
      <w:r>
        <w:rPr>
          <w:rFonts w:hint="eastAsia" w:ascii="宋体"/>
          <w:color w:val="auto"/>
          <w:szCs w:val="21"/>
          <w:highlight w:val="none"/>
        </w:rPr>
        <w:t>（1）开标一览表（格式见附件）；</w:t>
      </w:r>
    </w:p>
    <w:p w14:paraId="46240CB7">
      <w:pPr>
        <w:spacing w:line="440" w:lineRule="exact"/>
        <w:ind w:left="420"/>
        <w:jc w:val="left"/>
        <w:rPr>
          <w:rFonts w:ascii="宋体"/>
          <w:color w:val="auto"/>
          <w:szCs w:val="21"/>
          <w:highlight w:val="none"/>
        </w:rPr>
      </w:pPr>
      <w:r>
        <w:rPr>
          <w:rFonts w:hint="eastAsia" w:ascii="宋体"/>
          <w:color w:val="auto"/>
          <w:szCs w:val="21"/>
          <w:highlight w:val="none"/>
        </w:rPr>
        <w:t>（2）投标函（格式见附件）；</w:t>
      </w:r>
    </w:p>
    <w:p w14:paraId="346EE7AB">
      <w:pPr>
        <w:spacing w:line="440" w:lineRule="exact"/>
        <w:ind w:firstLine="424" w:firstLineChars="202"/>
        <w:jc w:val="left"/>
        <w:rPr>
          <w:rFonts w:ascii="宋体"/>
          <w:color w:val="auto"/>
          <w:szCs w:val="21"/>
          <w:highlight w:val="none"/>
        </w:rPr>
      </w:pPr>
      <w:r>
        <w:rPr>
          <w:rFonts w:hint="eastAsia" w:ascii="宋体"/>
          <w:color w:val="auto"/>
          <w:szCs w:val="21"/>
          <w:highlight w:val="none"/>
        </w:rPr>
        <w:t>（3）分项报价清单（格式见附件）；</w:t>
      </w:r>
    </w:p>
    <w:p w14:paraId="0973EB72">
      <w:pPr>
        <w:spacing w:line="440" w:lineRule="exact"/>
        <w:ind w:firstLine="424" w:firstLineChars="202"/>
        <w:jc w:val="left"/>
        <w:rPr>
          <w:rFonts w:ascii="宋体"/>
          <w:color w:val="auto"/>
          <w:szCs w:val="21"/>
          <w:highlight w:val="none"/>
        </w:rPr>
      </w:pPr>
      <w:r>
        <w:rPr>
          <w:rFonts w:hint="eastAsia" w:ascii="宋体"/>
          <w:color w:val="auto"/>
          <w:szCs w:val="21"/>
          <w:highlight w:val="none"/>
        </w:rPr>
        <w:t>（4）招标文件商务评审中要求提供的其他相关资料；</w:t>
      </w:r>
    </w:p>
    <w:p w14:paraId="22717D65">
      <w:pPr>
        <w:spacing w:line="440" w:lineRule="exact"/>
        <w:ind w:firstLine="424" w:firstLineChars="202"/>
        <w:jc w:val="left"/>
        <w:rPr>
          <w:rFonts w:ascii="宋体"/>
          <w:color w:val="auto"/>
          <w:szCs w:val="21"/>
          <w:highlight w:val="none"/>
        </w:rPr>
      </w:pPr>
      <w:r>
        <w:rPr>
          <w:rFonts w:hint="eastAsia" w:ascii="宋体"/>
          <w:color w:val="auto"/>
          <w:szCs w:val="21"/>
          <w:highlight w:val="none"/>
        </w:rPr>
        <w:t>（5）投标人认为需要提供的其他材料。</w:t>
      </w:r>
    </w:p>
    <w:p w14:paraId="7200D49B">
      <w:pPr>
        <w:jc w:val="center"/>
        <w:rPr>
          <w:rFonts w:ascii="宋体"/>
          <w:b/>
          <w:color w:val="auto"/>
          <w:sz w:val="28"/>
          <w:szCs w:val="28"/>
          <w:highlight w:val="none"/>
        </w:rPr>
      </w:pPr>
    </w:p>
    <w:p w14:paraId="38CBF0F5">
      <w:pPr>
        <w:snapToGrid w:val="0"/>
        <w:spacing w:line="460" w:lineRule="exact"/>
        <w:ind w:left="2940" w:leftChars="1400" w:firstLine="964" w:firstLineChars="300"/>
        <w:rPr>
          <w:rFonts w:ascii="宋体"/>
          <w:b/>
          <w:color w:val="auto"/>
          <w:sz w:val="32"/>
          <w:szCs w:val="32"/>
          <w:highlight w:val="none"/>
        </w:rPr>
      </w:pPr>
    </w:p>
    <w:p w14:paraId="46A83A92">
      <w:pPr>
        <w:snapToGrid w:val="0"/>
        <w:spacing w:line="460" w:lineRule="exact"/>
        <w:ind w:left="2940" w:leftChars="1400" w:firstLine="964" w:firstLineChars="300"/>
        <w:rPr>
          <w:rFonts w:ascii="宋体"/>
          <w:b/>
          <w:color w:val="auto"/>
          <w:sz w:val="32"/>
          <w:szCs w:val="32"/>
          <w:highlight w:val="none"/>
        </w:rPr>
      </w:pPr>
    </w:p>
    <w:p w14:paraId="00259FBC">
      <w:pPr>
        <w:snapToGrid w:val="0"/>
        <w:spacing w:line="460" w:lineRule="exact"/>
        <w:ind w:left="2940" w:leftChars="1400" w:firstLine="964" w:firstLineChars="300"/>
        <w:rPr>
          <w:rFonts w:ascii="宋体"/>
          <w:b/>
          <w:color w:val="auto"/>
          <w:sz w:val="32"/>
          <w:szCs w:val="32"/>
          <w:highlight w:val="none"/>
        </w:rPr>
      </w:pPr>
    </w:p>
    <w:p w14:paraId="455CF073">
      <w:pPr>
        <w:snapToGrid w:val="0"/>
        <w:spacing w:line="460" w:lineRule="exact"/>
        <w:ind w:left="2940" w:leftChars="1400" w:firstLine="964" w:firstLineChars="300"/>
        <w:rPr>
          <w:rFonts w:ascii="宋体"/>
          <w:b/>
          <w:color w:val="auto"/>
          <w:sz w:val="32"/>
          <w:szCs w:val="32"/>
          <w:highlight w:val="none"/>
        </w:rPr>
      </w:pPr>
    </w:p>
    <w:p w14:paraId="602EE89E">
      <w:pPr>
        <w:snapToGrid w:val="0"/>
        <w:spacing w:line="460" w:lineRule="exact"/>
        <w:ind w:left="2940" w:leftChars="1400" w:firstLine="964" w:firstLineChars="300"/>
        <w:rPr>
          <w:rFonts w:ascii="宋体"/>
          <w:b/>
          <w:color w:val="auto"/>
          <w:sz w:val="32"/>
          <w:szCs w:val="32"/>
          <w:highlight w:val="none"/>
        </w:rPr>
      </w:pPr>
    </w:p>
    <w:p w14:paraId="34702B71">
      <w:pPr>
        <w:snapToGrid w:val="0"/>
        <w:spacing w:line="460" w:lineRule="exact"/>
        <w:ind w:left="2940" w:leftChars="1400" w:firstLine="964" w:firstLineChars="300"/>
        <w:rPr>
          <w:rFonts w:ascii="宋体"/>
          <w:b/>
          <w:color w:val="auto"/>
          <w:sz w:val="32"/>
          <w:szCs w:val="32"/>
          <w:highlight w:val="none"/>
        </w:rPr>
      </w:pPr>
    </w:p>
    <w:p w14:paraId="1544C9CE">
      <w:pPr>
        <w:spacing w:line="360" w:lineRule="exact"/>
        <w:rPr>
          <w:rFonts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附件1</w:t>
      </w:r>
    </w:p>
    <w:p w14:paraId="498969FE">
      <w:pPr>
        <w:spacing w:line="360" w:lineRule="exact"/>
        <w:ind w:firstLine="472" w:firstLineChars="147"/>
        <w:jc w:val="center"/>
        <w:rPr>
          <w:rFonts w:ascii="宋体"/>
          <w:b/>
          <w:color w:val="auto"/>
          <w:sz w:val="32"/>
          <w:szCs w:val="32"/>
          <w:highlight w:val="none"/>
        </w:rPr>
      </w:pPr>
    </w:p>
    <w:p w14:paraId="1DF31836">
      <w:pPr>
        <w:spacing w:line="360" w:lineRule="exact"/>
        <w:ind w:firstLine="531" w:firstLineChars="147"/>
        <w:jc w:val="center"/>
        <w:rPr>
          <w:rFonts w:ascii="宋体"/>
          <w:b/>
          <w:color w:val="auto"/>
          <w:sz w:val="36"/>
          <w:szCs w:val="36"/>
          <w:highlight w:val="none"/>
        </w:rPr>
      </w:pPr>
      <w:r>
        <w:rPr>
          <w:rFonts w:hint="eastAsia" w:ascii="宋体"/>
          <w:b/>
          <w:color w:val="auto"/>
          <w:sz w:val="36"/>
          <w:szCs w:val="36"/>
          <w:highlight w:val="none"/>
        </w:rPr>
        <w:t>开标一览表</w:t>
      </w:r>
    </w:p>
    <w:p w14:paraId="404A4363">
      <w:pPr>
        <w:spacing w:line="360" w:lineRule="exact"/>
        <w:ind w:firstLine="354" w:firstLineChars="147"/>
        <w:rPr>
          <w:rFonts w:ascii="宋体"/>
          <w:b/>
          <w:color w:val="auto"/>
          <w:sz w:val="24"/>
          <w:highlight w:val="none"/>
        </w:rPr>
      </w:pPr>
    </w:p>
    <w:p w14:paraId="1422416F">
      <w:pPr>
        <w:spacing w:line="360" w:lineRule="exact"/>
        <w:ind w:firstLine="240" w:firstLineChars="100"/>
        <w:rPr>
          <w:rFonts w:ascii="宋体"/>
          <w:color w:val="auto"/>
          <w:sz w:val="24"/>
          <w:highlight w:val="none"/>
        </w:rPr>
      </w:pPr>
      <w:r>
        <w:rPr>
          <w:rFonts w:hint="eastAsia" w:ascii="宋体"/>
          <w:color w:val="auto"/>
          <w:sz w:val="24"/>
          <w:highlight w:val="none"/>
        </w:rPr>
        <w:t>（注：开标一览表必须编入投标文件，唱标时，以投标文件中的开标一览表进行唱标）</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3BE55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3" w:type="dxa"/>
            <w:tcBorders>
              <w:top w:val="single" w:color="auto" w:sz="12" w:space="0"/>
              <w:bottom w:val="single" w:color="auto" w:sz="12" w:space="0"/>
              <w:right w:val="single" w:color="auto" w:sz="12" w:space="0"/>
            </w:tcBorders>
            <w:vAlign w:val="center"/>
          </w:tcPr>
          <w:p w14:paraId="23A98576">
            <w:pPr>
              <w:spacing w:line="700" w:lineRule="exact"/>
              <w:jc w:val="center"/>
              <w:rPr>
                <w:rFonts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vAlign w:val="center"/>
          </w:tcPr>
          <w:p w14:paraId="0893B134">
            <w:pPr>
              <w:spacing w:line="700" w:lineRule="exact"/>
              <w:jc w:val="left"/>
              <w:rPr>
                <w:color w:val="auto"/>
                <w:sz w:val="24"/>
                <w:highlight w:val="none"/>
              </w:rPr>
            </w:pPr>
            <w:r>
              <w:rPr>
                <w:rFonts w:hint="eastAsia"/>
                <w:color w:val="auto"/>
                <w:sz w:val="24"/>
                <w:highlight w:val="none"/>
              </w:rPr>
              <w:t xml:space="preserve">         </w:t>
            </w:r>
          </w:p>
        </w:tc>
      </w:tr>
      <w:tr w14:paraId="2122F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vAlign w:val="center"/>
          </w:tcPr>
          <w:p w14:paraId="2AA047CB">
            <w:pPr>
              <w:spacing w:line="700" w:lineRule="exact"/>
              <w:jc w:val="center"/>
              <w:rPr>
                <w:rFonts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vAlign w:val="center"/>
          </w:tcPr>
          <w:p w14:paraId="2F278316">
            <w:pPr>
              <w:spacing w:line="700" w:lineRule="exact"/>
              <w:rPr>
                <w:rFonts w:ascii="宋体"/>
                <w:color w:val="auto"/>
                <w:sz w:val="24"/>
                <w:highlight w:val="none"/>
              </w:rPr>
            </w:pPr>
          </w:p>
        </w:tc>
      </w:tr>
      <w:tr w14:paraId="1E7CE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vAlign w:val="center"/>
          </w:tcPr>
          <w:p w14:paraId="7731841D">
            <w:pPr>
              <w:spacing w:line="700" w:lineRule="exact"/>
              <w:ind w:firstLine="120" w:firstLineChars="50"/>
              <w:rPr>
                <w:rFonts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tcPr>
          <w:p w14:paraId="2C963B21">
            <w:pPr>
              <w:pStyle w:val="20"/>
              <w:spacing w:line="700" w:lineRule="exact"/>
              <w:ind w:left="86" w:leftChars="41"/>
              <w:rPr>
                <w:rFonts w:ascii="宋体" w:eastAsia="宋体"/>
                <w:color w:val="auto"/>
                <w:sz w:val="24"/>
                <w:szCs w:val="24"/>
                <w:highlight w:val="none"/>
              </w:rPr>
            </w:pPr>
          </w:p>
        </w:tc>
      </w:tr>
      <w:tr w14:paraId="76F9D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1803" w:type="dxa"/>
            <w:tcBorders>
              <w:right w:val="single" w:color="auto" w:sz="12" w:space="0"/>
            </w:tcBorders>
            <w:vAlign w:val="center"/>
          </w:tcPr>
          <w:p w14:paraId="44A4D232">
            <w:pPr>
              <w:spacing w:line="360" w:lineRule="auto"/>
              <w:jc w:val="center"/>
              <w:rPr>
                <w:rFonts w:ascii="宋体"/>
                <w:color w:val="auto"/>
                <w:sz w:val="24"/>
                <w:highlight w:val="none"/>
              </w:rPr>
            </w:pPr>
            <w:r>
              <w:rPr>
                <w:rFonts w:hint="eastAsia" w:ascii="宋体" w:hAnsi="宋体"/>
                <w:color w:val="auto"/>
                <w:sz w:val="24"/>
                <w:highlight w:val="none"/>
              </w:rPr>
              <w:t>投标报价\合同履行期限</w:t>
            </w:r>
          </w:p>
        </w:tc>
        <w:tc>
          <w:tcPr>
            <w:tcW w:w="6952" w:type="dxa"/>
            <w:tcBorders>
              <w:left w:val="single" w:color="auto" w:sz="12" w:space="0"/>
            </w:tcBorders>
            <w:vAlign w:val="center"/>
          </w:tcPr>
          <w:p w14:paraId="47401A4A">
            <w:pPr>
              <w:spacing w:line="360" w:lineRule="auto"/>
              <w:jc w:val="left"/>
              <w:rPr>
                <w:rFonts w:ascii="宋体" w:hAnsi="宋体"/>
                <w:color w:val="auto"/>
                <w:sz w:val="24"/>
                <w:highlight w:val="none"/>
              </w:rPr>
            </w:pPr>
            <w:r>
              <w:rPr>
                <w:rFonts w:hint="eastAsia" w:ascii="宋体" w:hAnsi="宋体"/>
                <w:color w:val="auto"/>
                <w:sz w:val="24"/>
                <w:highlight w:val="none"/>
              </w:rPr>
              <w:t>投标报价 ：</w:t>
            </w:r>
          </w:p>
          <w:p w14:paraId="4D7B778B">
            <w:pPr>
              <w:spacing w:line="360" w:lineRule="auto"/>
              <w:jc w:val="lef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元。  </w:t>
            </w:r>
          </w:p>
          <w:p w14:paraId="526E0FD7">
            <w:pPr>
              <w:spacing w:line="360" w:lineRule="auto"/>
              <w:jc w:val="left"/>
              <w:rPr>
                <w:rFonts w:ascii="宋体" w:hAnsi="宋体"/>
                <w:color w:val="auto"/>
                <w:sz w:val="24"/>
                <w:highlight w:val="none"/>
              </w:rPr>
            </w:pPr>
            <w:r>
              <w:rPr>
                <w:rFonts w:hint="eastAsia" w:ascii="宋体" w:hAnsi="宋体"/>
                <w:color w:val="auto"/>
                <w:sz w:val="24"/>
                <w:highlight w:val="none"/>
              </w:rPr>
              <w:t>(小写) ：</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rPr>
              <w:br w:type="textWrapping"/>
            </w:r>
            <w:r>
              <w:rPr>
                <w:rFonts w:hint="eastAsia" w:ascii="宋体" w:hAnsi="宋体"/>
                <w:color w:val="auto"/>
                <w:sz w:val="24"/>
                <w:highlight w:val="none"/>
              </w:rPr>
              <w:t xml:space="preserve">          </w:t>
            </w:r>
          </w:p>
          <w:p w14:paraId="1C0F7056">
            <w:pPr>
              <w:spacing w:line="360" w:lineRule="auto"/>
              <w:rPr>
                <w:color w:val="auto"/>
                <w:sz w:val="24"/>
                <w:highlight w:val="none"/>
              </w:rPr>
            </w:pPr>
            <w:r>
              <w:rPr>
                <w:rFonts w:hint="eastAsia"/>
                <w:color w:val="auto"/>
                <w:sz w:val="24"/>
                <w:highlight w:val="none"/>
              </w:rPr>
              <w:t xml:space="preserve">合同履行期限：响应招标文件要求。 </w:t>
            </w:r>
          </w:p>
        </w:tc>
      </w:tr>
    </w:tbl>
    <w:p w14:paraId="6BC47FF1">
      <w:pPr>
        <w:snapToGrid w:val="0"/>
        <w:spacing w:line="460" w:lineRule="exact"/>
        <w:ind w:left="2940" w:leftChars="1400" w:firstLine="723" w:firstLineChars="300"/>
        <w:rPr>
          <w:rFonts w:ascii="宋体"/>
          <w:b/>
          <w:color w:val="auto"/>
          <w:sz w:val="24"/>
          <w:highlight w:val="none"/>
        </w:rPr>
      </w:pPr>
    </w:p>
    <w:p w14:paraId="207AF1F2">
      <w:pPr>
        <w:rPr>
          <w:rFonts w:ascii="宋体"/>
          <w:color w:val="auto"/>
          <w:sz w:val="24"/>
          <w:highlight w:val="none"/>
        </w:rPr>
      </w:pPr>
      <w:r>
        <w:rPr>
          <w:rFonts w:hint="eastAsia" w:ascii="宋体"/>
          <w:color w:val="auto"/>
          <w:sz w:val="24"/>
          <w:highlight w:val="none"/>
        </w:rPr>
        <w:t>法定代表人（签章）：         投标人（盖单位章）：</w:t>
      </w:r>
    </w:p>
    <w:p w14:paraId="24B8BF76">
      <w:pPr>
        <w:snapToGrid w:val="0"/>
        <w:spacing w:before="312" w:beforeLines="100" w:after="312" w:afterLines="100" w:line="360" w:lineRule="auto"/>
        <w:jc w:val="center"/>
        <w:rPr>
          <w:rFonts w:cs="Arial"/>
          <w:b/>
          <w:bCs/>
          <w:color w:val="auto"/>
          <w:sz w:val="30"/>
          <w:szCs w:val="30"/>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226ABE70">
      <w:pPr>
        <w:spacing w:line="360" w:lineRule="exact"/>
        <w:ind w:firstLine="443" w:firstLineChars="147"/>
        <w:rPr>
          <w:rFonts w:ascii="宋体" w:hAnsi="宋体"/>
          <w:b/>
          <w:color w:val="auto"/>
          <w:sz w:val="30"/>
          <w:szCs w:val="30"/>
          <w:highlight w:val="none"/>
        </w:rPr>
      </w:pPr>
      <w:r>
        <w:rPr>
          <w:rFonts w:hint="eastAsia" w:ascii="宋体" w:hAnsi="宋体"/>
          <w:b/>
          <w:color w:val="auto"/>
          <w:sz w:val="30"/>
          <w:szCs w:val="30"/>
          <w:highlight w:val="none"/>
        </w:rPr>
        <w:t>附件2</w:t>
      </w:r>
    </w:p>
    <w:p w14:paraId="45C1C82A">
      <w:pPr>
        <w:spacing w:line="360" w:lineRule="exact"/>
        <w:ind w:firstLine="531" w:firstLineChars="147"/>
        <w:jc w:val="center"/>
        <w:rPr>
          <w:rFonts w:ascii="宋体"/>
          <w:b/>
          <w:color w:val="auto"/>
          <w:sz w:val="36"/>
          <w:szCs w:val="36"/>
          <w:highlight w:val="none"/>
        </w:rPr>
      </w:pPr>
      <w:r>
        <w:rPr>
          <w:rFonts w:hint="eastAsia" w:ascii="宋体"/>
          <w:b/>
          <w:color w:val="auto"/>
          <w:sz w:val="36"/>
          <w:szCs w:val="36"/>
          <w:highlight w:val="none"/>
        </w:rPr>
        <w:t>投  标  函</w:t>
      </w:r>
    </w:p>
    <w:p w14:paraId="1EE89A1C">
      <w:pPr>
        <w:spacing w:line="440" w:lineRule="exact"/>
        <w:rPr>
          <w:rFonts w:ascii="宋体"/>
          <w:color w:val="auto"/>
          <w:sz w:val="24"/>
          <w:highlight w:val="none"/>
        </w:rPr>
      </w:pPr>
    </w:p>
    <w:p w14:paraId="0F292D05">
      <w:pPr>
        <w:spacing w:line="500" w:lineRule="exact"/>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(招标人)       </w:t>
      </w:r>
      <w:r>
        <w:rPr>
          <w:rFonts w:hint="eastAsia" w:ascii="宋体" w:hAnsi="宋体" w:cs="宋体"/>
          <w:color w:val="auto"/>
          <w:sz w:val="24"/>
          <w:highlight w:val="none"/>
        </w:rPr>
        <w:t xml:space="preserve"> </w:t>
      </w:r>
    </w:p>
    <w:p w14:paraId="55BD4CA0">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1A81B76D">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2、我方愿意按照招标文件规定的各项要求，向招标人提供“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（项目编号）”项目的货物与服务，投标报价为</w:t>
      </w:r>
      <w:r>
        <w:rPr>
          <w:rFonts w:hint="eastAsia" w:ascii="宋体" w:hAnsi="宋体" w:cs="宋体"/>
          <w:color w:val="auto"/>
          <w:sz w:val="24"/>
          <w:highlight w:val="none"/>
          <w:u w:val="single"/>
        </w:rPr>
        <w:t>（大写）          （小写）       元</w:t>
      </w:r>
      <w:r>
        <w:rPr>
          <w:rFonts w:hint="eastAsia" w:ascii="宋体" w:hAnsi="宋体" w:cs="宋体"/>
          <w:color w:val="auto"/>
          <w:sz w:val="24"/>
          <w:highlight w:val="none"/>
        </w:rPr>
        <w:t>。</w:t>
      </w:r>
    </w:p>
    <w:p w14:paraId="6AF88B80">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05356CF2">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4、若我方中标，愿意为本项目提交的纸质投标文件一式三份，其中正本一份、副本二份。</w:t>
      </w:r>
    </w:p>
    <w:p w14:paraId="5910F46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5、我方愿意提供可能另外要求的、与采购投标有关的文件资料，并保证我方已提供和将要提供的文件是真实的、准确的。</w:t>
      </w:r>
    </w:p>
    <w:p w14:paraId="703B8294">
      <w:pPr>
        <w:pStyle w:val="12"/>
        <w:spacing w:after="0" w:line="500" w:lineRule="exact"/>
        <w:ind w:left="0" w:leftChars="0" w:firstLine="480"/>
        <w:jc w:val="left"/>
        <w:rPr>
          <w:rFonts w:ascii="宋体" w:hAnsi="宋体" w:cs="宋体"/>
          <w:color w:val="auto"/>
          <w:sz w:val="24"/>
          <w:highlight w:val="none"/>
        </w:rPr>
      </w:pPr>
      <w:r>
        <w:rPr>
          <w:rFonts w:hint="eastAsia" w:ascii="宋体" w:hAnsi="宋体" w:cs="宋体"/>
          <w:color w:val="auto"/>
          <w:sz w:val="24"/>
          <w:highlight w:val="none"/>
        </w:rPr>
        <w:t>6、投标有效期为</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日历天（从投标截止之日算起）。</w:t>
      </w:r>
    </w:p>
    <w:p w14:paraId="07D2842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7、我单位提供如下通讯地址：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电子邮箱（地址），确认本项目相关法律文书均通过提供的以上地址送达，相关文书只要发送至以上电子邮箱（地址）即视为送达，投标人愿意承担一切法律后果。</w:t>
      </w:r>
    </w:p>
    <w:p w14:paraId="5CA27C69">
      <w:pPr>
        <w:spacing w:line="500" w:lineRule="exact"/>
        <w:jc w:val="left"/>
        <w:rPr>
          <w:rFonts w:ascii="宋体" w:hAnsi="宋体" w:cs="宋体"/>
          <w:color w:val="auto"/>
          <w:sz w:val="24"/>
          <w:highlight w:val="none"/>
        </w:rPr>
      </w:pPr>
      <w:r>
        <w:rPr>
          <w:rFonts w:hint="eastAsia" w:ascii="宋体" w:hAnsi="宋体" w:cs="宋体"/>
          <w:color w:val="auto"/>
          <w:sz w:val="24"/>
          <w:highlight w:val="none"/>
        </w:rPr>
        <w:t> </w:t>
      </w:r>
    </w:p>
    <w:p w14:paraId="479D38F0">
      <w:pPr>
        <w:spacing w:line="500" w:lineRule="exact"/>
        <w:jc w:val="lef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276079F9">
      <w:pPr>
        <w:spacing w:line="500" w:lineRule="exact"/>
        <w:jc w:val="left"/>
        <w:rPr>
          <w:rFonts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67D6C8D7">
      <w:pPr>
        <w:spacing w:line="500" w:lineRule="exact"/>
        <w:ind w:firstLine="3360" w:firstLineChars="1400"/>
        <w:jc w:val="left"/>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345A60F">
      <w:pPr>
        <w:spacing w:line="500" w:lineRule="exact"/>
        <w:ind w:firstLine="3360" w:firstLineChars="1400"/>
        <w:jc w:val="left"/>
        <w:rPr>
          <w:rFonts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 xml:space="preserve">                 </w:t>
      </w:r>
    </w:p>
    <w:p w14:paraId="6C1BBB1A">
      <w:pPr>
        <w:spacing w:line="50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0F4754D3">
      <w:pPr>
        <w:spacing w:line="500" w:lineRule="exact"/>
        <w:ind w:right="-178" w:rightChars="-85" w:firstLine="3240" w:firstLineChars="1350"/>
        <w:jc w:val="left"/>
        <w:rPr>
          <w:rFonts w:ascii="宋体"/>
          <w:b/>
          <w:color w:val="auto"/>
          <w:sz w:val="28"/>
          <w:szCs w:val="28"/>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color w:val="auto"/>
          <w:sz w:val="24"/>
          <w:highlight w:val="none"/>
          <w:u w:val="single"/>
        </w:rPr>
        <w:t xml:space="preserve">               </w:t>
      </w:r>
    </w:p>
    <w:p w14:paraId="4B04A82A">
      <w:pPr>
        <w:rPr>
          <w:rFonts w:ascii="宋体" w:hAnsi="宋体"/>
          <w:b/>
          <w:color w:val="auto"/>
          <w:sz w:val="30"/>
          <w:szCs w:val="30"/>
          <w:highlight w:val="none"/>
        </w:rPr>
      </w:pPr>
    </w:p>
    <w:p w14:paraId="01DFF359">
      <w:pPr>
        <w:rPr>
          <w:rFonts w:ascii="宋体" w:hAnsi="宋体"/>
          <w:b/>
          <w:color w:val="auto"/>
          <w:sz w:val="30"/>
          <w:szCs w:val="30"/>
          <w:highlight w:val="none"/>
        </w:rPr>
      </w:pPr>
    </w:p>
    <w:p w14:paraId="1611188E">
      <w:pPr>
        <w:rPr>
          <w:rFonts w:ascii="宋体" w:hAnsi="宋体"/>
          <w:b/>
          <w:color w:val="auto"/>
          <w:sz w:val="30"/>
          <w:szCs w:val="30"/>
          <w:highlight w:val="none"/>
        </w:rPr>
      </w:pPr>
    </w:p>
    <w:p w14:paraId="1C43C0C8">
      <w:pPr>
        <w:rPr>
          <w:color w:val="auto"/>
          <w:sz w:val="24"/>
          <w:highlight w:val="none"/>
        </w:rPr>
      </w:pPr>
      <w:r>
        <w:rPr>
          <w:rFonts w:hint="eastAsia" w:ascii="宋体" w:hAnsi="宋体"/>
          <w:b/>
          <w:color w:val="auto"/>
          <w:sz w:val="30"/>
          <w:szCs w:val="30"/>
          <w:highlight w:val="none"/>
        </w:rPr>
        <w:t>附件3</w:t>
      </w:r>
    </w:p>
    <w:p w14:paraId="1626EE96">
      <w:pPr>
        <w:spacing w:line="360" w:lineRule="auto"/>
        <w:ind w:left="720"/>
        <w:jc w:val="center"/>
        <w:rPr>
          <w:rFonts w:ascii="宋体" w:hAnsi="宋体"/>
          <w:b/>
          <w:color w:val="auto"/>
          <w:sz w:val="36"/>
          <w:szCs w:val="36"/>
          <w:highlight w:val="none"/>
        </w:rPr>
      </w:pPr>
      <w:r>
        <w:rPr>
          <w:rFonts w:hint="eastAsia"/>
          <w:b/>
          <w:color w:val="auto"/>
          <w:sz w:val="28"/>
          <w:szCs w:val="28"/>
          <w:highlight w:val="none"/>
        </w:rPr>
        <w:t>分项报价清单</w:t>
      </w:r>
    </w:p>
    <w:tbl>
      <w:tblPr>
        <w:tblStyle w:val="35"/>
        <w:tblW w:w="91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3"/>
        <w:gridCol w:w="2070"/>
        <w:gridCol w:w="1296"/>
        <w:gridCol w:w="1065"/>
        <w:gridCol w:w="1260"/>
        <w:gridCol w:w="1005"/>
        <w:gridCol w:w="1353"/>
      </w:tblGrid>
      <w:tr w14:paraId="2D6054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1093" w:type="dxa"/>
            <w:vAlign w:val="center"/>
          </w:tcPr>
          <w:p w14:paraId="48B7AB21">
            <w:pPr>
              <w:spacing w:line="3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070" w:type="dxa"/>
            <w:tcBorders>
              <w:right w:val="single" w:color="auto" w:sz="4" w:space="0"/>
            </w:tcBorders>
            <w:vAlign w:val="center"/>
          </w:tcPr>
          <w:p w14:paraId="20A6D87E">
            <w:pPr>
              <w:spacing w:line="300" w:lineRule="exact"/>
              <w:jc w:val="center"/>
              <w:rPr>
                <w:rFonts w:ascii="宋体" w:hAnsi="宋体"/>
                <w:color w:val="auto"/>
                <w:szCs w:val="21"/>
                <w:highlight w:val="none"/>
              </w:rPr>
            </w:pPr>
            <w:r>
              <w:rPr>
                <w:rFonts w:hint="eastAsia" w:ascii="宋体" w:hAnsi="宋体"/>
                <w:color w:val="auto"/>
                <w:szCs w:val="21"/>
                <w:highlight w:val="none"/>
              </w:rPr>
              <w:t>产品名称</w:t>
            </w:r>
          </w:p>
        </w:tc>
        <w:tc>
          <w:tcPr>
            <w:tcW w:w="1296" w:type="dxa"/>
            <w:tcBorders>
              <w:left w:val="single" w:color="auto" w:sz="4" w:space="0"/>
            </w:tcBorders>
            <w:vAlign w:val="center"/>
          </w:tcPr>
          <w:p w14:paraId="711CDCA7">
            <w:pPr>
              <w:spacing w:line="300" w:lineRule="exact"/>
              <w:jc w:val="center"/>
              <w:rPr>
                <w:rFonts w:ascii="宋体" w:hAnsi="宋体"/>
                <w:color w:val="auto"/>
                <w:szCs w:val="21"/>
                <w:highlight w:val="none"/>
              </w:rPr>
            </w:pPr>
            <w:r>
              <w:rPr>
                <w:rFonts w:hint="eastAsia" w:ascii="宋体" w:hAnsi="宋体"/>
                <w:color w:val="auto"/>
                <w:szCs w:val="21"/>
                <w:highlight w:val="none"/>
              </w:rPr>
              <w:t>规格型号</w:t>
            </w:r>
          </w:p>
          <w:p w14:paraId="7B92AF8B">
            <w:pPr>
              <w:spacing w:line="300" w:lineRule="exact"/>
              <w:jc w:val="center"/>
              <w:rPr>
                <w:rFonts w:ascii="宋体" w:hAnsi="宋体"/>
                <w:color w:val="auto"/>
                <w:szCs w:val="21"/>
                <w:highlight w:val="none"/>
              </w:rPr>
            </w:pPr>
            <w:r>
              <w:rPr>
                <w:rFonts w:hint="eastAsia" w:ascii="宋体" w:hAnsi="宋体"/>
                <w:color w:val="auto"/>
                <w:szCs w:val="21"/>
                <w:highlight w:val="none"/>
              </w:rPr>
              <w:t>品牌</w:t>
            </w:r>
          </w:p>
        </w:tc>
        <w:tc>
          <w:tcPr>
            <w:tcW w:w="1065" w:type="dxa"/>
            <w:vAlign w:val="center"/>
          </w:tcPr>
          <w:p w14:paraId="3A223DF0">
            <w:pPr>
              <w:spacing w:line="30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60" w:type="dxa"/>
            <w:vAlign w:val="center"/>
          </w:tcPr>
          <w:p w14:paraId="0A265AED">
            <w:pPr>
              <w:spacing w:line="3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005" w:type="dxa"/>
            <w:tcBorders>
              <w:left w:val="single" w:color="auto" w:sz="4" w:space="0"/>
            </w:tcBorders>
            <w:vAlign w:val="center"/>
          </w:tcPr>
          <w:p w14:paraId="70C906D7">
            <w:pPr>
              <w:spacing w:line="300" w:lineRule="exact"/>
              <w:jc w:val="center"/>
              <w:rPr>
                <w:rFonts w:ascii="宋体" w:hAnsi="宋体"/>
                <w:color w:val="auto"/>
                <w:szCs w:val="21"/>
                <w:highlight w:val="none"/>
              </w:rPr>
            </w:pPr>
            <w:r>
              <w:rPr>
                <w:rFonts w:hint="eastAsia" w:ascii="宋体" w:hAnsi="宋体"/>
                <w:color w:val="auto"/>
                <w:szCs w:val="21"/>
                <w:highlight w:val="none"/>
              </w:rPr>
              <w:t>单 价（元）</w:t>
            </w:r>
          </w:p>
        </w:tc>
        <w:tc>
          <w:tcPr>
            <w:tcW w:w="1353" w:type="dxa"/>
            <w:vAlign w:val="center"/>
          </w:tcPr>
          <w:p w14:paraId="7B2CBD2B">
            <w:pPr>
              <w:spacing w:line="300" w:lineRule="exact"/>
              <w:jc w:val="center"/>
              <w:rPr>
                <w:rFonts w:ascii="宋体" w:hAnsi="宋体"/>
                <w:color w:val="auto"/>
                <w:szCs w:val="21"/>
                <w:highlight w:val="none"/>
              </w:rPr>
            </w:pPr>
            <w:r>
              <w:rPr>
                <w:rFonts w:hint="eastAsia" w:ascii="宋体" w:hAnsi="宋体"/>
                <w:color w:val="auto"/>
                <w:szCs w:val="21"/>
                <w:highlight w:val="none"/>
              </w:rPr>
              <w:t>合 价（元）</w:t>
            </w:r>
          </w:p>
        </w:tc>
      </w:tr>
      <w:tr w14:paraId="0BB85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093" w:type="dxa"/>
            <w:shd w:val="clear" w:color="auto" w:fill="auto"/>
          </w:tcPr>
          <w:p w14:paraId="39E14846">
            <w:pPr>
              <w:jc w:val="center"/>
              <w:textAlignment w:val="baseline"/>
              <w:rPr>
                <w:rFonts w:ascii="宋体" w:hAnsi="宋体"/>
                <w:color w:val="auto"/>
                <w:szCs w:val="21"/>
                <w:highlight w:val="none"/>
              </w:rPr>
            </w:pPr>
            <w:r>
              <w:rPr>
                <w:rFonts w:hint="eastAsia" w:ascii="宋体" w:hAnsi="宋体"/>
                <w:color w:val="auto"/>
                <w:szCs w:val="21"/>
                <w:highlight w:val="none"/>
              </w:rPr>
              <w:t>1</w:t>
            </w:r>
          </w:p>
        </w:tc>
        <w:tc>
          <w:tcPr>
            <w:tcW w:w="2070" w:type="dxa"/>
            <w:tcBorders>
              <w:right w:val="single" w:color="auto" w:sz="4" w:space="0"/>
            </w:tcBorders>
            <w:shd w:val="clear" w:color="auto" w:fill="FFFFFF"/>
            <w:vAlign w:val="center"/>
          </w:tcPr>
          <w:p w14:paraId="7FD75A04">
            <w:pPr>
              <w:widowControl/>
              <w:spacing w:line="360" w:lineRule="auto"/>
              <w:jc w:val="center"/>
              <w:textAlignment w:val="center"/>
              <w:rPr>
                <w:rFonts w:ascii="宋体" w:hAnsi="宋体"/>
                <w:color w:val="auto"/>
                <w:sz w:val="24"/>
                <w:highlight w:val="none"/>
              </w:rPr>
            </w:pPr>
          </w:p>
        </w:tc>
        <w:tc>
          <w:tcPr>
            <w:tcW w:w="1296" w:type="dxa"/>
            <w:tcBorders>
              <w:left w:val="single" w:color="auto" w:sz="4" w:space="0"/>
            </w:tcBorders>
            <w:shd w:val="clear" w:color="auto" w:fill="auto"/>
            <w:vAlign w:val="center"/>
          </w:tcPr>
          <w:p w14:paraId="756ED5E6">
            <w:pPr>
              <w:spacing w:line="300" w:lineRule="exact"/>
              <w:jc w:val="center"/>
              <w:rPr>
                <w:rFonts w:ascii="宋体" w:hAnsi="宋体"/>
                <w:color w:val="auto"/>
                <w:sz w:val="24"/>
                <w:highlight w:val="none"/>
              </w:rPr>
            </w:pPr>
          </w:p>
        </w:tc>
        <w:tc>
          <w:tcPr>
            <w:tcW w:w="1065" w:type="dxa"/>
            <w:shd w:val="clear" w:color="auto" w:fill="FFFFFF"/>
            <w:vAlign w:val="center"/>
          </w:tcPr>
          <w:p w14:paraId="4F101A0C">
            <w:pPr>
              <w:widowControl/>
              <w:spacing w:line="360" w:lineRule="auto"/>
              <w:jc w:val="center"/>
              <w:textAlignment w:val="center"/>
              <w:rPr>
                <w:rFonts w:ascii="宋体" w:hAnsi="宋体"/>
                <w:color w:val="auto"/>
                <w:sz w:val="24"/>
                <w:highlight w:val="none"/>
              </w:rPr>
            </w:pPr>
          </w:p>
        </w:tc>
        <w:tc>
          <w:tcPr>
            <w:tcW w:w="1260" w:type="dxa"/>
            <w:shd w:val="clear" w:color="auto" w:fill="FFFFFF"/>
            <w:vAlign w:val="center"/>
          </w:tcPr>
          <w:p w14:paraId="27E8572E">
            <w:pPr>
              <w:widowControl/>
              <w:spacing w:line="360" w:lineRule="auto"/>
              <w:jc w:val="center"/>
              <w:textAlignment w:val="center"/>
              <w:rPr>
                <w:rFonts w:ascii="宋体" w:hAnsi="宋体"/>
                <w:color w:val="auto"/>
                <w:sz w:val="24"/>
                <w:highlight w:val="none"/>
              </w:rPr>
            </w:pPr>
          </w:p>
        </w:tc>
        <w:tc>
          <w:tcPr>
            <w:tcW w:w="1005" w:type="dxa"/>
            <w:tcBorders>
              <w:left w:val="single" w:color="auto" w:sz="4" w:space="0"/>
            </w:tcBorders>
            <w:vAlign w:val="center"/>
          </w:tcPr>
          <w:p w14:paraId="43C39B05">
            <w:pPr>
              <w:spacing w:line="300" w:lineRule="exact"/>
              <w:rPr>
                <w:rFonts w:ascii="宋体" w:hAnsi="宋体"/>
                <w:color w:val="auto"/>
                <w:sz w:val="24"/>
                <w:highlight w:val="none"/>
              </w:rPr>
            </w:pPr>
          </w:p>
        </w:tc>
        <w:tc>
          <w:tcPr>
            <w:tcW w:w="1353" w:type="dxa"/>
            <w:vAlign w:val="center"/>
          </w:tcPr>
          <w:p w14:paraId="1DF9AC9D">
            <w:pPr>
              <w:spacing w:line="300" w:lineRule="exact"/>
              <w:rPr>
                <w:rFonts w:ascii="宋体" w:hAnsi="宋体"/>
                <w:color w:val="auto"/>
                <w:sz w:val="24"/>
                <w:highlight w:val="none"/>
              </w:rPr>
            </w:pPr>
          </w:p>
        </w:tc>
      </w:tr>
      <w:tr w14:paraId="15DB3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9142" w:type="dxa"/>
            <w:gridSpan w:val="7"/>
            <w:tcBorders>
              <w:right w:val="single" w:color="auto" w:sz="4" w:space="0"/>
            </w:tcBorders>
          </w:tcPr>
          <w:p w14:paraId="441AFB89">
            <w:pPr>
              <w:spacing w:line="300" w:lineRule="exact"/>
              <w:rPr>
                <w:rFonts w:ascii="宋体" w:hAnsi="宋体"/>
                <w:color w:val="auto"/>
                <w:sz w:val="24"/>
                <w:highlight w:val="none"/>
              </w:rPr>
            </w:pPr>
            <w:r>
              <w:rPr>
                <w:rFonts w:hint="eastAsia" w:ascii="宋体" w:hAnsi="宋体"/>
                <w:b/>
                <w:color w:val="auto"/>
                <w:sz w:val="24"/>
                <w:highlight w:val="none"/>
              </w:rPr>
              <w:t>投标报价（1+2+..+30+31）：</w:t>
            </w:r>
            <w:r>
              <w:rPr>
                <w:rFonts w:hint="eastAsia" w:ascii="宋体" w:hAnsi="宋体"/>
                <w:b/>
                <w:color w:val="auto"/>
                <w:sz w:val="24"/>
                <w:highlight w:val="none"/>
                <w:u w:val="single"/>
              </w:rPr>
              <w:t xml:space="preserve">               </w:t>
            </w:r>
            <w:r>
              <w:rPr>
                <w:rFonts w:hint="eastAsia" w:ascii="宋体" w:hAnsi="宋体"/>
                <w:b/>
                <w:color w:val="auto"/>
                <w:sz w:val="24"/>
                <w:highlight w:val="none"/>
              </w:rPr>
              <w:t>元；小写：</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元；（填入投标函和开标一览表）</w:t>
            </w:r>
          </w:p>
        </w:tc>
      </w:tr>
    </w:tbl>
    <w:p w14:paraId="046D4559">
      <w:pPr>
        <w:spacing w:line="44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注：1.所有投标只能选择一种方案，单价和合价的报价只能是唯一，且须列出详细的分项报价。（与采购清单项相一致，不得缺项，否则视同包含在其他项目。）</w:t>
      </w:r>
    </w:p>
    <w:p w14:paraId="10BE8C77">
      <w:pPr>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F5AE3A9">
      <w:pPr>
        <w:pStyle w:val="12"/>
        <w:ind w:firstLine="400"/>
        <w:rPr>
          <w:color w:val="auto"/>
          <w:highlight w:val="none"/>
        </w:rPr>
      </w:pPr>
    </w:p>
    <w:p w14:paraId="76F317CD">
      <w:pPr>
        <w:spacing w:line="480" w:lineRule="auto"/>
        <w:rPr>
          <w:rFonts w:ascii="宋体" w:hAnsi="宋体" w:cs="宋体"/>
          <w:color w:val="auto"/>
          <w:szCs w:val="21"/>
          <w:highlight w:val="none"/>
        </w:rPr>
      </w:pPr>
      <w:r>
        <w:rPr>
          <w:rFonts w:hint="eastAsia" w:ascii="宋体" w:hAnsi="宋体" w:cs="宋体"/>
          <w:color w:val="auto"/>
          <w:szCs w:val="21"/>
          <w:highlight w:val="none"/>
        </w:rPr>
        <w:t>投标单位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（公 章）</w:t>
      </w:r>
    </w:p>
    <w:p w14:paraId="33D8DD0D">
      <w:pPr>
        <w:spacing w:line="480" w:lineRule="auto"/>
        <w:rPr>
          <w:rFonts w:ascii="宋体" w:hAnsi="宋体" w:cs="宋体"/>
          <w:color w:val="auto"/>
          <w:szCs w:val="21"/>
          <w:highlight w:val="none"/>
          <w:u w:val="single"/>
        </w:rPr>
      </w:pPr>
      <w:r>
        <w:rPr>
          <w:rFonts w:hint="eastAsia" w:ascii="宋体" w:hAnsi="宋体" w:cs="Arial"/>
          <w:color w:val="auto"/>
          <w:kern w:val="0"/>
          <w:szCs w:val="21"/>
          <w:highlight w:val="none"/>
        </w:rPr>
        <w:t xml:space="preserve">法定代表人（签章）：      </w:t>
      </w:r>
      <w:r>
        <w:rPr>
          <w:rFonts w:hint="eastAsia" w:ascii="宋体" w:hAnsi="宋体" w:cs="宋体"/>
          <w:color w:val="auto"/>
          <w:szCs w:val="21"/>
          <w:highlight w:val="none"/>
          <w:u w:val="single"/>
        </w:rPr>
        <w:t xml:space="preserve">            </w:t>
      </w:r>
    </w:p>
    <w:p w14:paraId="531D3C79">
      <w:pPr>
        <w:adjustRightInd w:val="0"/>
        <w:snapToGrid w:val="0"/>
        <w:spacing w:line="340" w:lineRule="exact"/>
        <w:rPr>
          <w:rFonts w:ascii="仿宋_GB2312" w:eastAsia="仿宋_GB2312"/>
          <w:b/>
          <w:color w:val="auto"/>
          <w:sz w:val="24"/>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1ED89581">
      <w:pPr>
        <w:rPr>
          <w:rFonts w:ascii="宋体" w:hAnsi="宋体"/>
          <w:b/>
          <w:color w:val="auto"/>
          <w:sz w:val="30"/>
          <w:szCs w:val="30"/>
          <w:highlight w:val="none"/>
        </w:rPr>
      </w:pPr>
    </w:p>
    <w:p w14:paraId="3F91F005">
      <w:pPr>
        <w:rPr>
          <w:color w:val="auto"/>
          <w:sz w:val="24"/>
          <w:highlight w:val="none"/>
        </w:rPr>
      </w:pPr>
      <w:r>
        <w:rPr>
          <w:rFonts w:hint="eastAsia" w:ascii="宋体" w:hAnsi="宋体"/>
          <w:b/>
          <w:color w:val="auto"/>
          <w:sz w:val="30"/>
          <w:szCs w:val="30"/>
          <w:highlight w:val="none"/>
        </w:rPr>
        <w:t>附件</w:t>
      </w:r>
      <w:r>
        <w:rPr>
          <w:rFonts w:ascii="宋体" w:hAnsi="宋体"/>
          <w:b/>
          <w:color w:val="auto"/>
          <w:sz w:val="30"/>
          <w:szCs w:val="30"/>
          <w:highlight w:val="none"/>
        </w:rPr>
        <w:t>4</w:t>
      </w:r>
    </w:p>
    <w:p w14:paraId="7411D46B">
      <w:pPr>
        <w:spacing w:line="380" w:lineRule="exact"/>
        <w:ind w:firstLine="424" w:firstLineChars="202"/>
        <w:rPr>
          <w:rFonts w:ascii="宋体"/>
          <w:color w:val="auto"/>
          <w:szCs w:val="21"/>
          <w:highlight w:val="none"/>
        </w:rPr>
      </w:pPr>
      <w:r>
        <w:rPr>
          <w:rFonts w:hint="eastAsia" w:ascii="宋体"/>
          <w:color w:val="auto"/>
          <w:szCs w:val="21"/>
          <w:highlight w:val="none"/>
        </w:rPr>
        <w:t>投标人认为需要提供的其他材料（如有）。</w:t>
      </w:r>
    </w:p>
    <w:p w14:paraId="424FE1B3">
      <w:pPr>
        <w:outlineLvl w:val="0"/>
        <w:rPr>
          <w:rFonts w:ascii="宋体" w:hAnsi="宋体" w:cs="宋体"/>
          <w:color w:val="auto"/>
          <w:sz w:val="28"/>
          <w:szCs w:val="28"/>
          <w:highlight w:val="none"/>
        </w:rPr>
      </w:pPr>
      <w:r>
        <w:rPr>
          <w:rFonts w:hint="eastAsia"/>
          <w:color w:val="auto"/>
          <w:highlight w:val="none"/>
        </w:rPr>
        <w:br w:type="page"/>
      </w:r>
      <w:bookmarkStart w:id="120" w:name="_Toc11016"/>
      <w:r>
        <w:rPr>
          <w:rFonts w:hint="eastAsia" w:ascii="宋体" w:hAnsi="宋体" w:cs="宋体"/>
          <w:b/>
          <w:color w:val="auto"/>
          <w:sz w:val="28"/>
          <w:szCs w:val="28"/>
          <w:highlight w:val="none"/>
          <w:lang w:bidi="ar"/>
        </w:rPr>
        <w:t>附件1</w:t>
      </w:r>
      <w:bookmarkEnd w:id="120"/>
    </w:p>
    <w:p w14:paraId="50DE2812">
      <w:pP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lang w:bidi="ar"/>
        </w:rPr>
        <w:t>关于联合惩戒失信行为 加强信用查询管理的通知</w:t>
      </w:r>
    </w:p>
    <w:p w14:paraId="1AC628A7">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bidi="ar"/>
        </w:rPr>
        <w:t>一、失信行为联合惩戒的范围和查询渠道</w:t>
      </w:r>
    </w:p>
    <w:p w14:paraId="361877DE">
      <w:pPr>
        <w:widowControl/>
        <w:autoSpaceDE w:val="0"/>
        <w:spacing w:line="48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kern w:val="0"/>
          <w:sz w:val="24"/>
          <w:highlight w:val="none"/>
          <w:lang w:bidi="ar"/>
        </w:rPr>
        <w:t>在我市公共资源交易活动中对存在下列失信行为的投标人、法定代表人及其项目经理（建造师）实施联合惩戒，禁止参与我市公共资源交易活动。</w:t>
      </w:r>
    </w:p>
    <w:p w14:paraId="7DBAE738">
      <w:pPr>
        <w:widowControl/>
        <w:autoSpaceDE w:val="0"/>
        <w:spacing w:line="480" w:lineRule="exact"/>
        <w:ind w:firstLine="482" w:firstLineChars="200"/>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（一）工程建设项目</w:t>
      </w:r>
    </w:p>
    <w:p w14:paraId="451BF5AD">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1、“信用中国”网站（www.creditchina.gov.cn）查询投标人、法定代表人及其项目经理(建造师)以下失信行为：</w:t>
      </w:r>
    </w:p>
    <w:p w14:paraId="6C3144BB">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①被列入“失信被执行人”的;</w:t>
      </w:r>
    </w:p>
    <w:p w14:paraId="3784A254">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②被列入“重大税收违法失信主体”的；</w:t>
      </w:r>
    </w:p>
    <w:p w14:paraId="008D740B">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③被列入“拖欠农民工工资失信联合惩戒对象名单”的；</w:t>
      </w:r>
    </w:p>
    <w:p w14:paraId="4E7DD37E">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④被列入 “严重失信主体名单”的；</w:t>
      </w:r>
    </w:p>
    <w:p w14:paraId="3A0FDE68">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⑤在“信用中国”网站上披露的仍在公示期的严重失信行为(具体行为类别及判定依据见附件2)的。</w:t>
      </w:r>
    </w:p>
    <w:p w14:paraId="2FBAB7FE">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2、国家企业信用信息公示系统网站（www.gsxt.gov.cn）查询投标人以下失信行为：</w:t>
      </w:r>
    </w:p>
    <w:p w14:paraId="2BBD69D0">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①被列入“经营异常名录”或者“严重违法失信名单”的。</w:t>
      </w:r>
    </w:p>
    <w:p w14:paraId="28A75058">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3、由投标人、法定代表人及其项目经理(建造师)进行承诺，不进行现场网上信用查询的失信行为：</w:t>
      </w:r>
    </w:p>
    <w:p w14:paraId="6D83BB81">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①前三年有行贿犯罪行为的单位和个人；</w:t>
      </w:r>
    </w:p>
    <w:p w14:paraId="6AC81A8B">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②被滁州市县两级公管部门取消在一定期限内的投标资格且在取消期限内的；</w:t>
      </w:r>
    </w:p>
    <w:p w14:paraId="76C7DF67">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③被滁州市县两级各行业主管部门取消在一定期限内的投标资格且在取消期限内的；</w:t>
      </w:r>
    </w:p>
    <w:p w14:paraId="7C6DA05B">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④因拖欠农民工工资被县级及以上有关行政主管部门限制投标资格且在限制期限内的；</w:t>
      </w:r>
    </w:p>
    <w:p w14:paraId="66B8ACB7">
      <w:pPr>
        <w:widowControl/>
        <w:autoSpaceDE w:val="0"/>
        <w:spacing w:line="48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kern w:val="0"/>
          <w:sz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B8EE945">
      <w:pPr>
        <w:widowControl/>
        <w:autoSpaceDE w:val="0"/>
        <w:spacing w:line="480" w:lineRule="exact"/>
        <w:ind w:firstLine="482" w:firstLineChars="200"/>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（二）政府采购项目</w:t>
      </w:r>
    </w:p>
    <w:p w14:paraId="4E981664">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1、“信用中国”网站（www.creditchina.gov.cn）查询供应商、法定代表人及其项目负责人以下失信行为：</w:t>
      </w:r>
    </w:p>
    <w:p w14:paraId="388C5931">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①被列入“失信被执行人”的;</w:t>
      </w:r>
    </w:p>
    <w:p w14:paraId="3D2B02F6">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②被列入“重大税收违法失信主体”的；</w:t>
      </w:r>
    </w:p>
    <w:p w14:paraId="6333F4B1">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③被列入 “严重失信主体名单”的；</w:t>
      </w:r>
    </w:p>
    <w:p w14:paraId="0C77063D">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④在“信用中国”网站上披露的仍在公示期的严重失信行为(具体行为类别及判定依据见附件2)的。</w:t>
      </w:r>
    </w:p>
    <w:p w14:paraId="6DD77963">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2、国家企业信用信息公示系统网站（</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r>
        <w:rPr>
          <w:rFonts w:hint="eastAsia" w:ascii="宋体" w:hAnsi="宋体" w:cs="宋体"/>
          <w:bCs/>
          <w:color w:val="auto"/>
          <w:kern w:val="0"/>
          <w:sz w:val="24"/>
          <w:highlight w:val="none"/>
          <w:lang w:bidi="ar"/>
        </w:rPr>
        <w:t>www.gsxt.gov.cn）</w:t>
      </w:r>
      <w:r>
        <w:rPr>
          <w:rFonts w:hint="eastAsia" w:ascii="宋体" w:hAnsi="宋体" w:cs="宋体"/>
          <w:bCs/>
          <w:color w:val="auto"/>
          <w:kern w:val="0"/>
          <w:sz w:val="24"/>
          <w:highlight w:val="none"/>
          <w:lang w:bidi="ar"/>
        </w:rPr>
        <w:fldChar w:fldCharType="end"/>
      </w:r>
      <w:r>
        <w:rPr>
          <w:rFonts w:hint="eastAsia" w:ascii="宋体" w:hAnsi="宋体" w:cs="宋体"/>
          <w:bCs/>
          <w:color w:val="auto"/>
          <w:kern w:val="0"/>
          <w:sz w:val="24"/>
          <w:highlight w:val="none"/>
          <w:lang w:bidi="ar"/>
        </w:rPr>
        <w:t>查询供应商以下失信行为：</w:t>
      </w:r>
    </w:p>
    <w:p w14:paraId="322054FD">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①</w:t>
      </w:r>
      <w:bookmarkStart w:id="121" w:name="OLE_LINK100"/>
      <w:bookmarkStart w:id="122" w:name="OLE_LINK101"/>
      <w:bookmarkStart w:id="123" w:name="OLE_LINK102"/>
      <w:r>
        <w:rPr>
          <w:rFonts w:hint="eastAsia" w:ascii="宋体" w:hAnsi="宋体" w:cs="宋体"/>
          <w:bCs/>
          <w:color w:val="auto"/>
          <w:kern w:val="0"/>
          <w:sz w:val="24"/>
          <w:highlight w:val="none"/>
          <w:lang w:bidi="ar"/>
        </w:rPr>
        <w:t>被列入“经营异常名录”或者“严重违法失信名单”的</w:t>
      </w:r>
      <w:bookmarkEnd w:id="121"/>
      <w:bookmarkEnd w:id="122"/>
      <w:bookmarkEnd w:id="123"/>
      <w:r>
        <w:rPr>
          <w:rFonts w:hint="eastAsia" w:ascii="宋体" w:hAnsi="宋体" w:cs="宋体"/>
          <w:bCs/>
          <w:color w:val="auto"/>
          <w:kern w:val="0"/>
          <w:sz w:val="24"/>
          <w:highlight w:val="none"/>
          <w:lang w:bidi="ar"/>
        </w:rPr>
        <w:t>。</w:t>
      </w:r>
    </w:p>
    <w:p w14:paraId="78DEAEBB">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3、中国政府采购网站（</w:t>
      </w:r>
      <w:bookmarkStart w:id="124" w:name="OLE_LINK96"/>
      <w:bookmarkStart w:id="125" w:name="OLE_LINK95"/>
      <w:r>
        <w:rPr>
          <w:rFonts w:hint="eastAsia" w:ascii="宋体" w:hAnsi="宋体" w:cs="宋体"/>
          <w:bCs/>
          <w:color w:val="auto"/>
          <w:kern w:val="0"/>
          <w:sz w:val="24"/>
          <w:highlight w:val="none"/>
          <w:lang w:bidi="ar"/>
        </w:rPr>
        <w:fldChar w:fldCharType="begin"/>
      </w:r>
      <w:r>
        <w:rPr>
          <w:rFonts w:hint="eastAsia" w:ascii="宋体" w:hAnsi="宋体" w:cs="宋体"/>
          <w:bCs/>
          <w:color w:val="auto"/>
          <w:kern w:val="0"/>
          <w:sz w:val="24"/>
          <w:highlight w:val="none"/>
          <w:lang w:bidi="ar"/>
        </w:rPr>
        <w:instrText xml:space="preserve"> HYPERLINK "http://www.ccgp.gov.cn" </w:instrText>
      </w:r>
      <w:r>
        <w:rPr>
          <w:rFonts w:hint="eastAsia" w:ascii="宋体" w:hAnsi="宋体" w:cs="宋体"/>
          <w:bCs/>
          <w:color w:val="auto"/>
          <w:kern w:val="0"/>
          <w:sz w:val="24"/>
          <w:highlight w:val="none"/>
          <w:lang w:bidi="ar"/>
        </w:rPr>
        <w:fldChar w:fldCharType="separate"/>
      </w:r>
      <w:r>
        <w:rPr>
          <w:rFonts w:hint="eastAsia" w:ascii="宋体" w:hAnsi="宋体" w:cs="宋体"/>
          <w:bCs/>
          <w:color w:val="auto"/>
          <w:kern w:val="0"/>
          <w:sz w:val="24"/>
          <w:highlight w:val="none"/>
          <w:lang w:bidi="ar"/>
        </w:rPr>
        <w:t>www.ccgp.gov.cn</w:t>
      </w:r>
      <w:r>
        <w:rPr>
          <w:rFonts w:hint="eastAsia" w:ascii="宋体" w:hAnsi="宋体" w:cs="宋体"/>
          <w:bCs/>
          <w:color w:val="auto"/>
          <w:kern w:val="0"/>
          <w:sz w:val="24"/>
          <w:highlight w:val="none"/>
          <w:lang w:bidi="ar"/>
        </w:rPr>
        <w:fldChar w:fldCharType="end"/>
      </w:r>
      <w:bookmarkEnd w:id="124"/>
      <w:bookmarkEnd w:id="125"/>
      <w:r>
        <w:rPr>
          <w:rFonts w:hint="eastAsia" w:ascii="宋体" w:hAnsi="宋体" w:cs="宋体"/>
          <w:bCs/>
          <w:color w:val="auto"/>
          <w:kern w:val="0"/>
          <w:sz w:val="24"/>
          <w:highlight w:val="none"/>
          <w:lang w:bidi="ar"/>
        </w:rPr>
        <w:t>）查询以下失信行为：</w:t>
      </w:r>
    </w:p>
    <w:p w14:paraId="70D380A8">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①</w:t>
      </w:r>
      <w:bookmarkStart w:id="126" w:name="OLE_LINK105"/>
      <w:bookmarkStart w:id="127" w:name="OLE_LINK106"/>
      <w:bookmarkStart w:id="128" w:name="OLE_LINK104"/>
      <w:r>
        <w:rPr>
          <w:rFonts w:hint="eastAsia" w:ascii="宋体" w:hAnsi="宋体" w:cs="宋体"/>
          <w:bCs/>
          <w:color w:val="auto"/>
          <w:kern w:val="0"/>
          <w:sz w:val="24"/>
          <w:highlight w:val="none"/>
          <w:lang w:bidi="ar"/>
        </w:rPr>
        <w:t>被列入“政府采购严重违法失信行为信息记录”的</w:t>
      </w:r>
      <w:bookmarkEnd w:id="126"/>
      <w:bookmarkEnd w:id="127"/>
      <w:bookmarkEnd w:id="128"/>
      <w:r>
        <w:rPr>
          <w:rFonts w:hint="eastAsia" w:ascii="宋体" w:hAnsi="宋体" w:cs="宋体"/>
          <w:bCs/>
          <w:color w:val="auto"/>
          <w:kern w:val="0"/>
          <w:sz w:val="24"/>
          <w:highlight w:val="none"/>
          <w:lang w:bidi="ar"/>
        </w:rPr>
        <w:t>。</w:t>
      </w:r>
    </w:p>
    <w:p w14:paraId="58C44615">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4、由竞争主体进行承诺，不进行现场网上信用查询的失信行为：</w:t>
      </w:r>
    </w:p>
    <w:p w14:paraId="42B9691D">
      <w:pPr>
        <w:widowControl/>
        <w:autoSpaceDE w:val="0"/>
        <w:spacing w:line="48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kern w:val="0"/>
          <w:sz w:val="24"/>
          <w:highlight w:val="none"/>
          <w:lang w:bidi="ar"/>
        </w:rPr>
        <w:t>①前三年有行贿犯罪行为的单位和个人。</w:t>
      </w:r>
    </w:p>
    <w:p w14:paraId="26F41C51">
      <w:pPr>
        <w:widowControl/>
        <w:autoSpaceDE w:val="0"/>
        <w:spacing w:line="480" w:lineRule="exact"/>
        <w:ind w:firstLine="482" w:firstLineChars="200"/>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二、在开评标活动中的查询程序</w:t>
      </w:r>
    </w:p>
    <w:p w14:paraId="0C66AFF4">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C8ABB9E">
      <w:pPr>
        <w:widowControl/>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17924AB9">
      <w:pPr>
        <w:widowControl/>
        <w:autoSpaceDE w:val="0"/>
        <w:spacing w:line="48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kern w:val="0"/>
          <w:sz w:val="24"/>
          <w:highlight w:val="none"/>
          <w:lang w:bidi="ar"/>
        </w:rPr>
        <w:t>3、项目单位及其委托的代理机构应当做好信用查询结果截图和记录留存。</w:t>
      </w:r>
    </w:p>
    <w:p w14:paraId="7A697D88">
      <w:pPr>
        <w:widowControl/>
        <w:autoSpaceDE w:val="0"/>
        <w:spacing w:line="480" w:lineRule="exact"/>
        <w:ind w:firstLine="482" w:firstLineChars="200"/>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三、相关要求</w:t>
      </w:r>
    </w:p>
    <w:p w14:paraId="5FDC37C8">
      <w:pPr>
        <w:widowControl/>
        <w:wordWrap w:val="0"/>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5FAC8F08">
      <w:pPr>
        <w:widowControl/>
        <w:wordWrap w:val="0"/>
        <w:autoSpaceDE w:val="0"/>
        <w:spacing w:line="480" w:lineRule="exact"/>
        <w:ind w:firstLine="480" w:firstLineChars="200"/>
        <w:textAlignment w:val="baseline"/>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0E7F954">
      <w:pPr>
        <w:widowControl/>
        <w:wordWrap w:val="0"/>
        <w:autoSpaceDE w:val="0"/>
        <w:spacing w:line="48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kern w:val="0"/>
          <w:sz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9FA9290">
      <w:pPr>
        <w:widowControl/>
        <w:autoSpaceDE w:val="0"/>
        <w:spacing w:line="480" w:lineRule="exact"/>
        <w:ind w:firstLine="482" w:firstLineChars="200"/>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2、“信用中国”查询的严重失信行为判定依据为各行业主管部门下发的联合惩戒文件中规定的行为（按附件2执行）。</w:t>
      </w:r>
    </w:p>
    <w:p w14:paraId="7AB2BE13">
      <w:pPr>
        <w:widowControl/>
        <w:autoSpaceDE w:val="0"/>
        <w:spacing w:line="480" w:lineRule="exact"/>
        <w:ind w:firstLine="480" w:firstLineChars="200"/>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lang w:bidi="ar"/>
        </w:rPr>
        <w:t>3、资格预审的项目以递交资格预审申请文件截止时间查询为准；资格后审的项目以递交投标文件截止时间查询为准。</w:t>
      </w:r>
    </w:p>
    <w:p w14:paraId="72008421">
      <w:pPr>
        <w:spacing w:line="440" w:lineRule="exact"/>
        <w:rPr>
          <w:rFonts w:ascii="宋体" w:hAnsi="宋体" w:cs="宋体"/>
          <w:b/>
          <w:color w:val="auto"/>
          <w:sz w:val="24"/>
          <w:highlight w:val="none"/>
        </w:rPr>
      </w:pPr>
      <w:r>
        <w:rPr>
          <w:rFonts w:hint="eastAsia" w:ascii="宋体" w:hAnsi="宋体" w:cs="宋体"/>
          <w:b/>
          <w:color w:val="auto"/>
          <w:sz w:val="24"/>
          <w:highlight w:val="none"/>
          <w:lang w:bidi="ar"/>
        </w:rPr>
        <w:t xml:space="preserve"> </w:t>
      </w:r>
    </w:p>
    <w:p w14:paraId="5412A599">
      <w:pPr>
        <w:pStyle w:val="31"/>
        <w:spacing w:before="0" w:after="120" w:afterAutospacing="0" w:line="360" w:lineRule="auto"/>
        <w:ind w:left="420" w:leftChars="200" w:firstLine="420" w:firstLineChars="200"/>
        <w:jc w:val="both"/>
        <w:rPr>
          <w:color w:val="auto"/>
          <w:kern w:val="2"/>
          <w:sz w:val="21"/>
          <w:szCs w:val="21"/>
          <w:highlight w:val="none"/>
        </w:rPr>
      </w:pPr>
      <w:r>
        <w:rPr>
          <w:rFonts w:hint="eastAsia"/>
          <w:color w:val="auto"/>
          <w:kern w:val="2"/>
          <w:sz w:val="21"/>
          <w:szCs w:val="21"/>
          <w:highlight w:val="none"/>
          <w:lang w:bidi="ar"/>
        </w:rPr>
        <w:t xml:space="preserve"> </w:t>
      </w:r>
    </w:p>
    <w:p w14:paraId="56A2BC9A">
      <w:pPr>
        <w:spacing w:line="440" w:lineRule="exact"/>
        <w:rPr>
          <w:rFonts w:ascii="宋体" w:hAnsi="宋体" w:cs="宋体"/>
          <w:b/>
          <w:color w:val="auto"/>
          <w:sz w:val="24"/>
          <w:highlight w:val="none"/>
        </w:rPr>
      </w:pPr>
      <w:r>
        <w:rPr>
          <w:rFonts w:hint="eastAsia" w:ascii="宋体" w:hAnsi="宋体" w:cs="宋体"/>
          <w:b/>
          <w:color w:val="auto"/>
          <w:sz w:val="24"/>
          <w:highlight w:val="none"/>
          <w:lang w:bidi="ar"/>
        </w:rPr>
        <w:br w:type="page"/>
      </w:r>
      <w:r>
        <w:rPr>
          <w:rFonts w:hint="eastAsia" w:ascii="宋体" w:hAnsi="宋体" w:cs="宋体"/>
          <w:b/>
          <w:color w:val="auto"/>
          <w:sz w:val="24"/>
          <w:highlight w:val="none"/>
          <w:lang w:bidi="ar"/>
        </w:rPr>
        <w:t>附件2</w:t>
      </w:r>
    </w:p>
    <w:p w14:paraId="0E86B5CA">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lang w:bidi="ar"/>
        </w:rPr>
        <w:t>“信用中国”查询的严重失信行为类别及判定依据</w:t>
      </w:r>
    </w:p>
    <w:p w14:paraId="45D4BB79">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lang w:bidi="ar"/>
        </w:rPr>
        <w:t xml:space="preserve"> </w:t>
      </w:r>
    </w:p>
    <w:p w14:paraId="411FF3E0">
      <w:pPr>
        <w:widowControl/>
        <w:autoSpaceDE w:val="0"/>
        <w:spacing w:line="48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“信用中国”查询的严重失信行为判定依据为各行业主管部门下发的联合惩戒文件中规定的行为。下面将部分类别的严重失信行为列举如下：</w:t>
      </w:r>
    </w:p>
    <w:p w14:paraId="622F8E32">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一、安全生产领域严重失信行为：</w:t>
      </w:r>
    </w:p>
    <w:p w14:paraId="1BAB28BA">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（一）下列发生生产安全事故的生产经营单位及其有关人员应当列入严重失信主体名单：</w:t>
      </w:r>
    </w:p>
    <w:p w14:paraId="12F065C2">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1、发生特别重大、重大生产安全事故的生产经营单位及其主要负责人，以及经调查认定对该事故发生负有责任，应当列入名单的其他单位和人员；</w:t>
      </w:r>
    </w:p>
    <w:p w14:paraId="09DCCB64">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2、12个月内累计发生2起以上较大生产安全事故的生产经营单位及其主要负责人；</w:t>
      </w:r>
    </w:p>
    <w:p w14:paraId="33E43CC9">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1D440E5F">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4、瞒报、谎报生产安全事故的生产经营单位及其有关责任人员；</w:t>
      </w:r>
    </w:p>
    <w:p w14:paraId="05E1CC60">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5、发生生产安全事故后，不立即组织抢救或者在事故调查处理期间擅离职守或者逃匿的生产经营单位主要负责人。</w:t>
      </w:r>
    </w:p>
    <w:p w14:paraId="2069326E">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（二）下列未发生生产安全事故，但因安全生产违法行为，受到行政处罚的生产经营单位或者机构及其有关人员，应当列入严重失信主体名单：</w:t>
      </w:r>
    </w:p>
    <w:p w14:paraId="100EB7C0">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1、未依法取得安全生产相关许可或者许可被暂扣、吊销期间从事相关生产经营活动的生产经营单位及其主要负责人；</w:t>
      </w:r>
    </w:p>
    <w:p w14:paraId="389306EF">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2、承担安全评价、认证、检测、检验职责的机构及其直接责任人员租借资质、挂靠、出具虚假报告或者证书的；</w:t>
      </w:r>
    </w:p>
    <w:p w14:paraId="1A2EE681">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3、在应急管理部门作出行政处罚后，有执行能力拒不执行或者逃避执行的生产经营单位及其主要负责人；</w:t>
      </w:r>
    </w:p>
    <w:p w14:paraId="52D8749E">
      <w:pPr>
        <w:widowControl/>
        <w:autoSpaceDE w:val="0"/>
        <w:spacing w:line="48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4、其他违反安全生产法律法规受到行政处罚，且性质恶劣、情节严重的。</w:t>
      </w:r>
    </w:p>
    <w:p w14:paraId="273E729B">
      <w:pPr>
        <w:widowControl/>
        <w:autoSpaceDE w:val="0"/>
        <w:spacing w:line="480" w:lineRule="exact"/>
        <w:ind w:firstLine="482" w:firstLineChars="200"/>
        <w:jc w:val="left"/>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依据：《安全生产严重失信主体名单管理办法》（2023年8月8日应急管理部令第11号）</w:t>
      </w:r>
    </w:p>
    <w:p w14:paraId="72177A65">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 </w:t>
      </w:r>
    </w:p>
    <w:p w14:paraId="1A81A020">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二、环境保护领域严重失信行为：</w:t>
      </w:r>
    </w:p>
    <w:p w14:paraId="43EB0B3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（一）因为环境违法构成环境犯罪的；</w:t>
      </w:r>
    </w:p>
    <w:p w14:paraId="67031A8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（二）建设项目环境影响评价文件未按规定通过审批，擅自开工建设的；</w:t>
      </w:r>
    </w:p>
    <w:p w14:paraId="4158E21F">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（三）建设项目环保设施未建成、环保措施未落实、未通过竣工环保验收或者验收不合格，主体工程正式投入生产或者使用的；</w:t>
      </w:r>
    </w:p>
    <w:p w14:paraId="7832F3D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（四）建设项目性质、规模、地点、采用的生产工艺或者防治污染、防止生态破坏的措施发生重大变动，未重新报批环境影响评价文件，擅自投入生产或者使用的；</w:t>
      </w:r>
    </w:p>
    <w:p w14:paraId="3B86F9E7">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（五）主要污染物排放总量超过控制指标的；</w:t>
      </w:r>
    </w:p>
    <w:p w14:paraId="1284B8EB">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（六）私设暗管或者利用渗井、渗坑、裂隙、溶洞等排放、倾倒、处置水污染物，或者通过私设旁路排放大气污染物的；</w:t>
      </w:r>
    </w:p>
    <w:p w14:paraId="7F482F6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（七）非法排放、倾倒、处置危险废物，或者向无经营许可证或者超出经营许可范围的单位或个人提供或者委托其收集、贮存、利用、处置危险废物的；</w:t>
      </w:r>
    </w:p>
    <w:p w14:paraId="502F151B">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（八）环境违法行为造成集中式生活饮用水水源取水中断的；</w:t>
      </w:r>
    </w:p>
    <w:p w14:paraId="7C11B152">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（九）环境违法行为对生活饮用水水源保护区、自然保护区、国家重点生态功能区、风景名胜区、居住功能区、基本农田保护区等环境敏感区造成重大不利影响的；</w:t>
      </w:r>
    </w:p>
    <w:p w14:paraId="647702B6">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（十）违法从事自然资源开发、交通基础设施建设，以及其他开发建设活动，造成严重生态破坏的；</w:t>
      </w:r>
    </w:p>
    <w:p w14:paraId="02D8AB4A">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（十一）发生较大及以上突发环境事件的；</w:t>
      </w:r>
    </w:p>
    <w:p w14:paraId="701D35A3">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（十二）被环保部门挂牌督办，整改逾期未完成的；</w:t>
      </w:r>
    </w:p>
    <w:p w14:paraId="0409CFF7">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（十三）以暴力、威胁等方式拒绝、阻挠环保部门工作人员现场检查的；</w:t>
      </w:r>
    </w:p>
    <w:p w14:paraId="0BA9C5D6">
      <w:pPr>
        <w:widowControl/>
        <w:autoSpaceDE w:val="0"/>
        <w:spacing w:line="48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（十四）违反重污染天气应急预案有关规定，对重污染天气响应不力的。</w:t>
      </w:r>
    </w:p>
    <w:p w14:paraId="00F07BA9">
      <w:pPr>
        <w:widowControl/>
        <w:autoSpaceDE w:val="0"/>
        <w:spacing w:line="480" w:lineRule="exact"/>
        <w:ind w:firstLine="482" w:firstLineChars="200"/>
        <w:jc w:val="left"/>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依据：《关于对环境保护领域失信生产经营单位及其有关人员开展联合惩戒的合作备忘录》、《企业环境信用评价办法（试行）》（环发〔2013〕150号）</w:t>
      </w:r>
    </w:p>
    <w:p w14:paraId="7402249B">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 </w:t>
      </w:r>
    </w:p>
    <w:p w14:paraId="41EC920E">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三、公共资源交易领域严重失信行为</w:t>
      </w:r>
    </w:p>
    <w:p w14:paraId="249E7C6C">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（一）违反法律规定，必须进行招标的项目而不招标的，将必须进行招标的项目化整为零或者以其他任何方式规避招标的； </w:t>
      </w:r>
    </w:p>
    <w:p w14:paraId="3434BE13">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（二）招标代理机构违反法律规定，泄露应当保密的与招标投标活动有关的情况和资料的，或者与招标人、投标人串通损害 国家利益、社会公共利益或者他人合法权益的；</w:t>
      </w:r>
    </w:p>
    <w:p w14:paraId="5C6AD97C">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（三）招标人以不合理的条件限制或者排斥潜在投标人的，对潜在投标人实行歧视待遇的，强制要求投标人组成联合体共同 投标的，或者限制投标人之间竞争的；</w:t>
      </w:r>
    </w:p>
    <w:p w14:paraId="445CA3C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（四）依法必须进行招标的项目的招标人向他人透露已获取招标文件的潜在投标人的名称、数量或者可能影响公平竞争的有 关招标投标的其他情况的，或者泄露标底的；</w:t>
      </w:r>
    </w:p>
    <w:p w14:paraId="444EE00E">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（五）投标人相互串通投标或者与招标人串通投标的，投标人以向招标人或者评标委员会成员行贿的手段谋取中标的； </w:t>
      </w:r>
    </w:p>
    <w:p w14:paraId="658D4D57">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（六）投标人以他人名义投标或者以其他方式弄虚作假，骗取中标的；</w:t>
      </w:r>
    </w:p>
    <w:p w14:paraId="500226C0">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（七）依法必须进行招标的项目，招标人违反法律规定，与投标人就投标价格、投标方案等实质性内容进行谈判的；</w:t>
      </w:r>
    </w:p>
    <w:p w14:paraId="64E95607">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6D8BB91">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（九）招标人在评标委员会依法推荐的中标候选人以外确定中标人的，依法必须进行招标的项目在所有投标被评标委员会否 决后自行确定中标人的； </w:t>
      </w:r>
    </w:p>
    <w:p w14:paraId="65262219">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4CD27104">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（十一）招标人与中标人不按照招标文件和中标人的投标文件订立合同的，或者招标人、中标人订立背离合同实质性内容的 协议的； </w:t>
      </w:r>
    </w:p>
    <w:p w14:paraId="4A3C5BAD">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（十二）中标人不按照与招标人订立的合同履行义务，情节严重的； </w:t>
      </w:r>
    </w:p>
    <w:p w14:paraId="213AD7BB">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2F072B1F">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4D2CDC8">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（十五）采购人对应当实行集中采购的政府采购项目，不委托集中采购机构实行集中采购的； </w:t>
      </w:r>
    </w:p>
    <w:p w14:paraId="315A33C9">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（十六）采购人、采购代理机构违反法律规定隐匿、销毁应当保存的采购文件或者伪造、变造采购文件的； </w:t>
      </w:r>
    </w:p>
    <w:p w14:paraId="7A7B0AFA">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E273F8A">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（十八）疫苗生产企业向县级疾病预防控制机构以外的单位或者个人销售第二类疫苗的； </w:t>
      </w:r>
    </w:p>
    <w:p w14:paraId="64034149">
      <w:pPr>
        <w:widowControl/>
        <w:autoSpaceDE w:val="0"/>
        <w:spacing w:line="48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（十九）存在其他违反公共资源交易法律法规行为的。</w:t>
      </w:r>
    </w:p>
    <w:p w14:paraId="65728949">
      <w:pPr>
        <w:widowControl/>
        <w:autoSpaceDE w:val="0"/>
        <w:spacing w:line="480" w:lineRule="exact"/>
        <w:ind w:firstLine="482" w:firstLineChars="200"/>
        <w:jc w:val="left"/>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依据：《关于对公共资源交易领域严重失信主体开展联合惩戒的备忘录》（发改法规〔2018〕457号）</w:t>
      </w:r>
    </w:p>
    <w:p w14:paraId="7F785472">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 </w:t>
      </w:r>
    </w:p>
    <w:p w14:paraId="5CD483F6">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四、社会保险领域严重失信行为</w:t>
      </w:r>
    </w:p>
    <w:p w14:paraId="13A8025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（一）用人单位未按相关规定参加社会保险且拒不整改的； </w:t>
      </w:r>
    </w:p>
    <w:p w14:paraId="4F9D9CFC">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（二）用人单位未如实申报社会保险缴费基数且拒不整改的； </w:t>
      </w:r>
    </w:p>
    <w:p w14:paraId="7C523CA7">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（三）应缴纳社会保险费却拒不缴纳的； </w:t>
      </w:r>
    </w:p>
    <w:p w14:paraId="6CF347F1">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（四）隐匿、转移、侵占、挪用社会保险费款、基金或者违规投资运营的；</w:t>
      </w:r>
    </w:p>
    <w:p w14:paraId="6E61491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（五）以欺诈、伪造证明材料或者其他手段参加、申报社会保险和骗取社会保险基金支出或社会保险待遇的； </w:t>
      </w:r>
    </w:p>
    <w:p w14:paraId="5A9ED2C2">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（六）非法获取、出售或变相交易社会保险个人权益数据的； </w:t>
      </w:r>
    </w:p>
    <w:p w14:paraId="54387716">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（七）社会保险服务机构违反服务协议或相关规定的； </w:t>
      </w:r>
    </w:p>
    <w:p w14:paraId="177D707C">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0684CBEE">
      <w:pPr>
        <w:widowControl/>
        <w:autoSpaceDE w:val="0"/>
        <w:spacing w:line="48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（九）其他违反法律法规规定的。</w:t>
      </w:r>
    </w:p>
    <w:p w14:paraId="14C7DD48">
      <w:pPr>
        <w:widowControl/>
        <w:autoSpaceDE w:val="0"/>
        <w:spacing w:line="480" w:lineRule="exact"/>
        <w:ind w:firstLine="482" w:firstLineChars="200"/>
        <w:jc w:val="left"/>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依据：《关于对社会保险领域严重失信企业及其有关人员实施联合惩戒的合作备忘录》（发改财金〔2018〕1704号）</w:t>
      </w:r>
    </w:p>
    <w:p w14:paraId="5E9C3375">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 </w:t>
      </w:r>
    </w:p>
    <w:p w14:paraId="3567B07A">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五、建筑市场领域严重失信行为</w:t>
      </w:r>
    </w:p>
    <w:p w14:paraId="608AB846">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（一）利用虚假材料、以欺骗手段取得企业资质的；</w:t>
      </w:r>
    </w:p>
    <w:p w14:paraId="21327709">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（二）发生转包、出借资质，受到行政处罚的；</w:t>
      </w:r>
    </w:p>
    <w:p w14:paraId="11DBFA8F">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1328EAF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（四）经法院判决或仲裁机构裁决，认定为拖欠工程款,且拒不履行生效法律文书确定的义务的。</w:t>
      </w:r>
    </w:p>
    <w:p w14:paraId="0B8D8935">
      <w:pPr>
        <w:widowControl/>
        <w:autoSpaceDE w:val="0"/>
        <w:spacing w:line="48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各级住房城乡建设主管部门应当参照建筑市场主体“黑名单”，对被人力资源社会保障行政部门列入拖欠农民工工资“黑名单”的建筑市场各方主体加强监管。</w:t>
      </w:r>
    </w:p>
    <w:p w14:paraId="3BC1466D">
      <w:pPr>
        <w:widowControl/>
        <w:autoSpaceDE w:val="0"/>
        <w:spacing w:line="480" w:lineRule="exact"/>
        <w:ind w:firstLine="482" w:firstLineChars="200"/>
        <w:jc w:val="left"/>
        <w:textAlignment w:val="baseline"/>
        <w:rPr>
          <w:rFonts w:ascii="宋体" w:hAnsi="宋体" w:cs="宋体"/>
          <w:color w:val="auto"/>
          <w:sz w:val="24"/>
          <w:highlight w:val="none"/>
        </w:rPr>
      </w:pPr>
      <w:r>
        <w:rPr>
          <w:rFonts w:hint="eastAsia" w:ascii="宋体" w:hAnsi="宋体" w:cs="宋体"/>
          <w:b/>
          <w:color w:val="auto"/>
          <w:kern w:val="0"/>
          <w:sz w:val="24"/>
          <w:highlight w:val="none"/>
          <w:lang w:bidi="ar"/>
        </w:rPr>
        <w:t>依据：《建筑市场信用管理暂行办法》（建市〔2017〕241号）</w:t>
      </w:r>
    </w:p>
    <w:p w14:paraId="40BA3490">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 </w:t>
      </w:r>
    </w:p>
    <w:p w14:paraId="211B25B8">
      <w:pPr>
        <w:widowControl/>
        <w:autoSpaceDE w:val="0"/>
        <w:spacing w:line="48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lang w:bidi="ar"/>
        </w:rPr>
        <w:t>六、政府采购严重失信行为</w:t>
      </w:r>
    </w:p>
    <w:p w14:paraId="3A75863E">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供应商、采购代理机构在三年内受到财政部门作出下列情形之一的行政处罚，列入政府采购严重违法失信行为记录名单。</w:t>
      </w:r>
    </w:p>
    <w:p w14:paraId="01190FCB">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（一）三万元以上罚款；</w:t>
      </w:r>
    </w:p>
    <w:p w14:paraId="717C0315">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（二）在一至三年内禁止参加政府采购活动（处罚期限届满的除外）；</w:t>
      </w:r>
    </w:p>
    <w:p w14:paraId="743AF7D8">
      <w:pPr>
        <w:widowControl/>
        <w:autoSpaceDE w:val="0"/>
        <w:spacing w:line="480" w:lineRule="exact"/>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（三）在一至三年内禁止代理政府采购业务（处罚期限届满的除外）；</w:t>
      </w:r>
    </w:p>
    <w:p w14:paraId="73AAF01E">
      <w:pPr>
        <w:widowControl/>
        <w:autoSpaceDE w:val="0"/>
        <w:spacing w:line="48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（四）撤销政府采购代理机构资格（仅针对《政府采购法》第78条修改前作出的处罚决定）。</w:t>
      </w:r>
    </w:p>
    <w:p w14:paraId="46ADEF82">
      <w:pPr>
        <w:widowControl/>
        <w:autoSpaceDE w:val="0"/>
        <w:spacing w:line="480" w:lineRule="exact"/>
        <w:ind w:firstLine="482" w:firstLineChars="200"/>
        <w:jc w:val="left"/>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依据：《关于报送政府采购严重违法失信行为信息记录的通知》（财办库〔2014〕526号）</w:t>
      </w:r>
    </w:p>
    <w:p w14:paraId="29AB1C3D">
      <w:pPr>
        <w:widowControl/>
        <w:autoSpaceDE w:val="0"/>
        <w:spacing w:line="480" w:lineRule="exact"/>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 xml:space="preserve"> </w:t>
      </w:r>
    </w:p>
    <w:p w14:paraId="22E7D7F8">
      <w:pPr>
        <w:widowControl/>
        <w:autoSpaceDE w:val="0"/>
        <w:spacing w:line="480" w:lineRule="exact"/>
        <w:ind w:firstLine="482" w:firstLineChars="200"/>
        <w:jc w:val="left"/>
        <w:textAlignment w:val="baseline"/>
        <w:rPr>
          <w:rFonts w:ascii="宋体" w:hAnsi="宋体" w:cs="宋体"/>
          <w:b/>
          <w:color w:val="auto"/>
          <w:szCs w:val="21"/>
          <w:highlight w:val="none"/>
        </w:rPr>
      </w:pPr>
      <w:r>
        <w:rPr>
          <w:rFonts w:hint="eastAsia" w:ascii="宋体" w:hAnsi="宋体" w:cs="宋体"/>
          <w:b/>
          <w:color w:val="auto"/>
          <w:kern w:val="0"/>
          <w:sz w:val="24"/>
          <w:highlight w:val="none"/>
          <w:lang w:bidi="ar"/>
        </w:rPr>
        <w:t>未列出的其他类别严重失信行为，由招标人（代理机构）根据各类别行业主管部门下发的联合惩戒文件进行判断</w:t>
      </w:r>
      <w:r>
        <w:rPr>
          <w:rFonts w:hint="eastAsia" w:ascii="宋体" w:hAnsi="宋体" w:cs="宋体"/>
          <w:b/>
          <w:bCs/>
          <w:color w:val="auto"/>
          <w:kern w:val="0"/>
          <w:sz w:val="24"/>
          <w:highlight w:val="none"/>
          <w:lang w:bidi="ar"/>
        </w:rPr>
        <w:t>。</w:t>
      </w:r>
    </w:p>
    <w:p w14:paraId="6F048979">
      <w:pPr>
        <w:pStyle w:val="2"/>
        <w:rPr>
          <w:rFonts w:ascii="宋体"/>
          <w:b w:val="0"/>
          <w:color w:val="auto"/>
          <w:szCs w:val="32"/>
          <w:highlight w:val="none"/>
        </w:rPr>
      </w:pPr>
      <w:bookmarkStart w:id="129" w:name="_Toc449028957"/>
      <w:r>
        <w:rPr>
          <w:rFonts w:ascii="宋体"/>
          <w:b w:val="0"/>
          <w:color w:val="auto"/>
          <w:szCs w:val="32"/>
          <w:highlight w:val="none"/>
        </w:rPr>
        <w:br w:type="page"/>
      </w:r>
      <w:bookmarkStart w:id="130" w:name="_Toc58430333"/>
      <w:bookmarkStart w:id="131" w:name="_Toc25631"/>
      <w:r>
        <w:rPr>
          <w:rFonts w:hint="eastAsia" w:ascii="宋体"/>
          <w:color w:val="auto"/>
          <w:szCs w:val="32"/>
          <w:highlight w:val="none"/>
        </w:rPr>
        <w:t xml:space="preserve">第七章 </w:t>
      </w:r>
      <w:r>
        <w:rPr>
          <w:rFonts w:hint="eastAsia" w:ascii="宋体"/>
          <w:bCs w:val="0"/>
          <w:color w:val="auto"/>
          <w:szCs w:val="32"/>
          <w:highlight w:val="none"/>
        </w:rPr>
        <w:t>招标人、采购代理机构对本招标文件的确认</w:t>
      </w:r>
      <w:bookmarkEnd w:id="129"/>
      <w:bookmarkEnd w:id="130"/>
      <w:bookmarkEnd w:id="131"/>
    </w:p>
    <w:p w14:paraId="4622EF40">
      <w:pPr>
        <w:spacing w:line="440" w:lineRule="exact"/>
        <w:rPr>
          <w:rFonts w:ascii="宋体"/>
          <w:color w:val="auto"/>
          <w:sz w:val="24"/>
          <w:highlight w:val="none"/>
          <w:u w:val="single"/>
        </w:rPr>
      </w:pPr>
    </w:p>
    <w:bookmarkEnd w:id="0"/>
    <w:tbl>
      <w:tblPr>
        <w:tblStyle w:val="35"/>
        <w:tblW w:w="0" w:type="auto"/>
        <w:jc w:val="center"/>
        <w:tblLayout w:type="fixed"/>
        <w:tblCellMar>
          <w:top w:w="0" w:type="dxa"/>
          <w:left w:w="108" w:type="dxa"/>
          <w:bottom w:w="0" w:type="dxa"/>
          <w:right w:w="108" w:type="dxa"/>
        </w:tblCellMar>
      </w:tblPr>
      <w:tblGrid>
        <w:gridCol w:w="9460"/>
      </w:tblGrid>
      <w:tr w14:paraId="303B8484">
        <w:tblPrEx>
          <w:tblCellMar>
            <w:top w:w="0" w:type="dxa"/>
            <w:left w:w="108" w:type="dxa"/>
            <w:bottom w:w="0" w:type="dxa"/>
            <w:right w:w="108" w:type="dxa"/>
          </w:tblCellMar>
        </w:tblPrEx>
        <w:trPr>
          <w:trHeight w:val="5962" w:hRule="atLeast"/>
          <w:jc w:val="center"/>
        </w:trPr>
        <w:tc>
          <w:tcPr>
            <w:tcW w:w="9460" w:type="dxa"/>
            <w:tcBorders>
              <w:top w:val="single" w:color="auto" w:sz="4" w:space="0"/>
              <w:left w:val="single" w:color="auto" w:sz="4" w:space="0"/>
              <w:bottom w:val="single" w:color="auto" w:sz="4" w:space="0"/>
              <w:right w:val="single" w:color="auto" w:sz="4" w:space="0"/>
            </w:tcBorders>
          </w:tcPr>
          <w:p w14:paraId="18E45722">
            <w:pPr>
              <w:spacing w:line="440" w:lineRule="exact"/>
              <w:ind w:firstLine="560" w:firstLineChars="200"/>
              <w:rPr>
                <w:rFonts w:ascii="宋体" w:cs="宋体"/>
                <w:color w:val="auto"/>
                <w:sz w:val="28"/>
                <w:szCs w:val="28"/>
                <w:highlight w:val="none"/>
              </w:rPr>
            </w:pPr>
          </w:p>
          <w:p w14:paraId="5B73DFAC">
            <w:pPr>
              <w:spacing w:after="156" w:afterLines="50"/>
              <w:rPr>
                <w:rFonts w:ascii="宋体" w:cs="宋体"/>
                <w:color w:val="auto"/>
                <w:sz w:val="28"/>
                <w:szCs w:val="28"/>
                <w:highlight w:val="none"/>
              </w:rPr>
            </w:pPr>
            <w:r>
              <w:rPr>
                <w:rFonts w:hint="eastAsia" w:ascii="宋体" w:cs="宋体"/>
                <w:color w:val="auto"/>
                <w:sz w:val="28"/>
                <w:szCs w:val="28"/>
                <w:highlight w:val="none"/>
              </w:rPr>
              <w:t xml:space="preserve">  我单位对</w:t>
            </w:r>
            <w:r>
              <w:rPr>
                <w:rFonts w:hint="eastAsia" w:ascii="宋体" w:cs="宋体"/>
                <w:color w:val="auto"/>
                <w:sz w:val="28"/>
                <w:szCs w:val="28"/>
                <w:highlight w:val="none"/>
                <w:u w:val="single"/>
              </w:rPr>
              <w:t xml:space="preserve"> 2025年度NB水表周期更换采购项目 </w:t>
            </w:r>
            <w:r>
              <w:rPr>
                <w:rFonts w:hint="eastAsia" w:ascii="宋体" w:cs="宋体"/>
                <w:color w:val="auto"/>
                <w:sz w:val="28"/>
                <w:szCs w:val="28"/>
                <w:highlight w:val="none"/>
              </w:rPr>
              <w:t>的招标文件进行确认。</w:t>
            </w:r>
          </w:p>
          <w:p w14:paraId="68B6EBE1">
            <w:pPr>
              <w:spacing w:line="54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招标单位：滁州市自来水有限公司</w:t>
            </w:r>
          </w:p>
          <w:p w14:paraId="42CE69DF">
            <w:pPr>
              <w:spacing w:line="54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委托代理人：宋支武</w:t>
            </w:r>
          </w:p>
          <w:p w14:paraId="59839CF4">
            <w:pPr>
              <w:spacing w:line="54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联系电话：0550-3062913</w:t>
            </w:r>
          </w:p>
          <w:p w14:paraId="6AD990A6">
            <w:pPr>
              <w:spacing w:line="540" w:lineRule="exact"/>
              <w:ind w:firstLine="7140" w:firstLineChars="2550"/>
              <w:rPr>
                <w:rFonts w:ascii="宋体" w:cs="宋体"/>
                <w:color w:val="auto"/>
                <w:sz w:val="28"/>
                <w:szCs w:val="28"/>
                <w:highlight w:val="none"/>
              </w:rPr>
            </w:pPr>
          </w:p>
          <w:p w14:paraId="15BC7017">
            <w:pPr>
              <w:spacing w:line="540" w:lineRule="exact"/>
              <w:ind w:firstLine="7140" w:firstLineChars="2550"/>
              <w:rPr>
                <w:rFonts w:ascii="宋体" w:cs="宋体"/>
                <w:color w:val="auto"/>
                <w:sz w:val="28"/>
                <w:szCs w:val="28"/>
                <w:highlight w:val="none"/>
              </w:rPr>
            </w:pPr>
            <w:r>
              <w:rPr>
                <w:rFonts w:hint="eastAsia" w:ascii="宋体" w:cs="宋体"/>
                <w:color w:val="auto"/>
                <w:sz w:val="28"/>
                <w:szCs w:val="28"/>
                <w:highlight w:val="none"/>
              </w:rPr>
              <w:t>（盖单位章）</w:t>
            </w:r>
          </w:p>
          <w:p w14:paraId="737D6D59">
            <w:pPr>
              <w:spacing w:line="540" w:lineRule="exact"/>
              <w:jc w:val="right"/>
              <w:rPr>
                <w:rFonts w:ascii="宋体" w:cs="宋体"/>
                <w:color w:val="auto"/>
                <w:sz w:val="28"/>
                <w:szCs w:val="28"/>
                <w:highlight w:val="none"/>
              </w:rPr>
            </w:pPr>
            <w:r>
              <w:rPr>
                <w:rFonts w:hint="eastAsia" w:ascii="宋体" w:cs="宋体"/>
                <w:color w:val="auto"/>
                <w:sz w:val="28"/>
                <w:szCs w:val="28"/>
                <w:highlight w:val="none"/>
              </w:rPr>
              <w:t>2025年8月</w:t>
            </w:r>
          </w:p>
        </w:tc>
      </w:tr>
      <w:tr w14:paraId="58F133A4">
        <w:tblPrEx>
          <w:tblCellMar>
            <w:top w:w="0" w:type="dxa"/>
            <w:left w:w="108" w:type="dxa"/>
            <w:bottom w:w="0" w:type="dxa"/>
            <w:right w:w="108" w:type="dxa"/>
          </w:tblCellMar>
        </w:tblPrEx>
        <w:trPr>
          <w:trHeight w:val="5471" w:hRule="atLeast"/>
          <w:jc w:val="center"/>
        </w:trPr>
        <w:tc>
          <w:tcPr>
            <w:tcW w:w="9460" w:type="dxa"/>
            <w:tcBorders>
              <w:top w:val="single" w:color="auto" w:sz="4" w:space="0"/>
              <w:left w:val="single" w:color="auto" w:sz="4" w:space="0"/>
              <w:bottom w:val="single" w:color="auto" w:sz="4" w:space="0"/>
              <w:right w:val="single" w:color="auto" w:sz="4" w:space="0"/>
            </w:tcBorders>
          </w:tcPr>
          <w:p w14:paraId="60CCD4B0">
            <w:pPr>
              <w:spacing w:line="440" w:lineRule="exact"/>
              <w:rPr>
                <w:rFonts w:ascii="宋体" w:cs="宋体"/>
                <w:color w:val="auto"/>
                <w:sz w:val="28"/>
                <w:szCs w:val="28"/>
                <w:highlight w:val="none"/>
              </w:rPr>
            </w:pPr>
          </w:p>
          <w:p w14:paraId="1B309B94">
            <w:pPr>
              <w:spacing w:line="52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招标代理机构：滁州市城投工程咨询管理有限公司</w:t>
            </w:r>
          </w:p>
          <w:p w14:paraId="40C892F4">
            <w:pPr>
              <w:spacing w:line="52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经办人：杨韦</w:t>
            </w:r>
          </w:p>
          <w:p w14:paraId="1C61CB4B">
            <w:pPr>
              <w:spacing w:line="52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电  话：0550-3519590、18005501210</w:t>
            </w:r>
          </w:p>
          <w:p w14:paraId="222B2237">
            <w:pPr>
              <w:spacing w:line="520" w:lineRule="exact"/>
              <w:ind w:firstLine="6300" w:firstLineChars="2250"/>
              <w:rPr>
                <w:rFonts w:ascii="宋体" w:cs="宋体"/>
                <w:color w:val="auto"/>
                <w:sz w:val="28"/>
                <w:szCs w:val="28"/>
                <w:highlight w:val="none"/>
              </w:rPr>
            </w:pPr>
          </w:p>
          <w:p w14:paraId="1135599A">
            <w:pPr>
              <w:pStyle w:val="12"/>
              <w:rPr>
                <w:color w:val="auto"/>
                <w:kern w:val="2"/>
                <w:sz w:val="21"/>
                <w:szCs w:val="24"/>
                <w:highlight w:val="none"/>
              </w:rPr>
            </w:pPr>
          </w:p>
          <w:p w14:paraId="6B967311">
            <w:pPr>
              <w:spacing w:line="520" w:lineRule="exact"/>
              <w:ind w:firstLine="6580" w:firstLineChars="2350"/>
              <w:rPr>
                <w:rFonts w:ascii="宋体" w:cs="宋体"/>
                <w:color w:val="auto"/>
                <w:sz w:val="28"/>
                <w:szCs w:val="28"/>
                <w:highlight w:val="none"/>
              </w:rPr>
            </w:pPr>
          </w:p>
          <w:p w14:paraId="3CB7A91C">
            <w:pPr>
              <w:spacing w:line="520" w:lineRule="exact"/>
              <w:ind w:firstLine="7140" w:firstLineChars="2550"/>
              <w:rPr>
                <w:rFonts w:ascii="宋体" w:cs="宋体"/>
                <w:color w:val="auto"/>
                <w:sz w:val="28"/>
                <w:szCs w:val="28"/>
                <w:highlight w:val="none"/>
              </w:rPr>
            </w:pPr>
            <w:r>
              <w:rPr>
                <w:rFonts w:hint="eastAsia" w:ascii="宋体" w:cs="宋体"/>
                <w:color w:val="auto"/>
                <w:sz w:val="28"/>
                <w:szCs w:val="28"/>
                <w:highlight w:val="none"/>
              </w:rPr>
              <w:t>（盖单位章）</w:t>
            </w:r>
          </w:p>
          <w:p w14:paraId="33ECBB8E">
            <w:pPr>
              <w:spacing w:line="540" w:lineRule="exact"/>
              <w:jc w:val="right"/>
              <w:rPr>
                <w:rFonts w:ascii="宋体" w:cs="宋体"/>
                <w:color w:val="auto"/>
                <w:sz w:val="28"/>
                <w:szCs w:val="28"/>
                <w:highlight w:val="none"/>
              </w:rPr>
            </w:pPr>
            <w:r>
              <w:rPr>
                <w:rFonts w:hint="eastAsia" w:ascii="宋体" w:cs="宋体"/>
                <w:color w:val="auto"/>
                <w:sz w:val="28"/>
                <w:szCs w:val="28"/>
                <w:highlight w:val="none"/>
              </w:rPr>
              <w:t>2025年8月</w:t>
            </w:r>
          </w:p>
        </w:tc>
      </w:tr>
    </w:tbl>
    <w:p w14:paraId="7F0B1C1A">
      <w:pPr>
        <w:rPr>
          <w:color w:val="auto"/>
          <w:highlight w:val="none"/>
        </w:rPr>
      </w:pPr>
    </w:p>
    <w:sectPr>
      <w:pgSz w:w="11906" w:h="16838"/>
      <w:pgMar w:top="1440"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DokChampa">
    <w:altName w:val="Microsoft Sans Serif"/>
    <w:panose1 w:val="020B0604020202020204"/>
    <w:charset w:val="00"/>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1C5C0">
    <w:pPr>
      <w:pStyle w:val="2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8718">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E69502">
                          <w:pPr>
                            <w:pStyle w:val="23"/>
                          </w:pPr>
                          <w:r>
                            <w:fldChar w:fldCharType="begin"/>
                          </w:r>
                          <w:r>
                            <w:instrText xml:space="preserve"> PAGE  \* MERGEFORMAT </w:instrText>
                          </w:r>
                          <w:r>
                            <w:fldChar w:fldCharType="separate"/>
                          </w:r>
                          <w:r>
                            <w:t>- 37 -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M4YSorKAQAAlwMAAA4AAAAAAAAAAQAgAAAAIgEAAGRycy9l&#10;Mm9Eb2MueG1sUEsFBgAAAAAGAAYAWQEAAF4FAAAAAA==&#10;">
              <v:fill on="f" focussize="0,0"/>
              <v:stroke on="f" weight="1.25pt"/>
              <v:imagedata o:title=""/>
              <o:lock v:ext="edit" aspectratio="f"/>
              <v:textbox inset="0mm,0mm,0mm,0mm" style="mso-fit-shape-to-text:t;">
                <w:txbxContent>
                  <w:p w14:paraId="63E69502">
                    <w:pPr>
                      <w:pStyle w:val="23"/>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B265E">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34E5">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81D8C"/>
    <w:multiLevelType w:val="singleLevel"/>
    <w:tmpl w:val="88581D8C"/>
    <w:lvl w:ilvl="0" w:tentative="0">
      <w:start w:val="2"/>
      <w:numFmt w:val="decimal"/>
      <w:suff w:val="nothing"/>
      <w:lvlText w:val="%1）"/>
      <w:lvlJc w:val="left"/>
    </w:lvl>
  </w:abstractNum>
  <w:abstractNum w:abstractNumId="1">
    <w:nsid w:val="980EDD1F"/>
    <w:multiLevelType w:val="singleLevel"/>
    <w:tmpl w:val="980EDD1F"/>
    <w:lvl w:ilvl="0" w:tentative="0">
      <w:start w:val="6"/>
      <w:numFmt w:val="chineseCounting"/>
      <w:suff w:val="nothing"/>
      <w:lvlText w:val="（%1）"/>
      <w:lvlJc w:val="left"/>
      <w:rPr>
        <w:rFonts w:hint="eastAsia"/>
      </w:rPr>
    </w:lvl>
  </w:abstractNum>
  <w:abstractNum w:abstractNumId="2">
    <w:nsid w:val="C660B736"/>
    <w:multiLevelType w:val="singleLevel"/>
    <w:tmpl w:val="C660B736"/>
    <w:lvl w:ilvl="0" w:tentative="0">
      <w:start w:val="2"/>
      <w:numFmt w:val="decimal"/>
      <w:lvlText w:val="(%1)"/>
      <w:lvlJc w:val="left"/>
      <w:pPr>
        <w:tabs>
          <w:tab w:val="left" w:pos="312"/>
        </w:tabs>
      </w:pPr>
    </w:lvl>
  </w:abstractNum>
  <w:abstractNum w:abstractNumId="3">
    <w:nsid w:val="E067EF4D"/>
    <w:multiLevelType w:val="singleLevel"/>
    <w:tmpl w:val="E067EF4D"/>
    <w:lvl w:ilvl="0" w:tentative="0">
      <w:start w:val="1"/>
      <w:numFmt w:val="chineseCounting"/>
      <w:suff w:val="nothing"/>
      <w:lvlText w:val="%1、"/>
      <w:lvlJc w:val="left"/>
      <w:rPr>
        <w:rFonts w:hint="eastAsia"/>
      </w:rPr>
    </w:lvl>
  </w:abstractNum>
  <w:abstractNum w:abstractNumId="4">
    <w:nsid w:val="00000005"/>
    <w:multiLevelType w:val="multilevel"/>
    <w:tmpl w:val="00000005"/>
    <w:lvl w:ilvl="0" w:tentative="0">
      <w:start w:val="1"/>
      <w:numFmt w:val="chineseCountingThousand"/>
      <w:pStyle w:val="101"/>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00000007"/>
    <w:multiLevelType w:val="multilevel"/>
    <w:tmpl w:val="00000007"/>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decimal"/>
      <w:pStyle w:val="94"/>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00000010"/>
    <w:multiLevelType w:val="multilevel"/>
    <w:tmpl w:val="00000010"/>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00000012"/>
    <w:multiLevelType w:val="multilevel"/>
    <w:tmpl w:val="00000012"/>
    <w:lvl w:ilvl="0" w:tentative="0">
      <w:start w:val="1"/>
      <w:numFmt w:val="chineseCountingThousand"/>
      <w:pStyle w:val="117"/>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10">
    <w:nsid w:val="00000014"/>
    <w:multiLevelType w:val="multilevel"/>
    <w:tmpl w:val="00000014"/>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4A6865"/>
    <w:multiLevelType w:val="multilevel"/>
    <w:tmpl w:val="2F4A686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493AC9C0"/>
    <w:multiLevelType w:val="singleLevel"/>
    <w:tmpl w:val="493AC9C0"/>
    <w:lvl w:ilvl="0" w:tentative="0">
      <w:start w:val="1"/>
      <w:numFmt w:val="chineseCounting"/>
      <w:suff w:val="nothing"/>
      <w:lvlText w:val="（%1）"/>
      <w:lvlJc w:val="left"/>
      <w:pPr>
        <w:ind w:left="409" w:firstLine="420"/>
      </w:pPr>
      <w:rPr>
        <w:rFonts w:hint="eastAsia"/>
      </w:rPr>
    </w:lvl>
  </w:abstractNum>
  <w:abstractNum w:abstractNumId="13">
    <w:nsid w:val="58E8E588"/>
    <w:multiLevelType w:val="singleLevel"/>
    <w:tmpl w:val="58E8E588"/>
    <w:lvl w:ilvl="0" w:tentative="0">
      <w:start w:val="1"/>
      <w:numFmt w:val="decimal"/>
      <w:lvlText w:val="%1."/>
      <w:lvlJc w:val="left"/>
      <w:pPr>
        <w:ind w:left="425" w:hanging="425"/>
      </w:pPr>
      <w:rPr>
        <w:rFonts w:hint="default"/>
      </w:rPr>
    </w:lvl>
  </w:abstractNum>
  <w:abstractNum w:abstractNumId="14">
    <w:nsid w:val="5D873223"/>
    <w:multiLevelType w:val="singleLevel"/>
    <w:tmpl w:val="5D873223"/>
    <w:lvl w:ilvl="0" w:tentative="0">
      <w:start w:val="1"/>
      <w:numFmt w:val="decimal"/>
      <w:suff w:val="nothing"/>
      <w:lvlText w:val="（%1）"/>
      <w:lvlJc w:val="left"/>
    </w:lvl>
  </w:abstractNum>
  <w:abstractNum w:abstractNumId="15">
    <w:nsid w:val="78460BCF"/>
    <w:multiLevelType w:val="singleLevel"/>
    <w:tmpl w:val="78460BCF"/>
    <w:lvl w:ilvl="0" w:tentative="0">
      <w:start w:val="4"/>
      <w:numFmt w:val="chineseCounting"/>
      <w:suff w:val="space"/>
      <w:lvlText w:val="第%1章"/>
      <w:lvlJc w:val="left"/>
      <w:rPr>
        <w:rFonts w:hint="eastAsia"/>
      </w:rPr>
    </w:lvl>
  </w:abstractNum>
  <w:num w:numId="1">
    <w:abstractNumId w:val="7"/>
  </w:num>
  <w:num w:numId="2">
    <w:abstractNumId w:val="8"/>
  </w:num>
  <w:num w:numId="3">
    <w:abstractNumId w:val="10"/>
  </w:num>
  <w:num w:numId="4">
    <w:abstractNumId w:val="5"/>
  </w:num>
  <w:num w:numId="5">
    <w:abstractNumId w:val="6"/>
  </w:num>
  <w:num w:numId="6">
    <w:abstractNumId w:val="4"/>
  </w:num>
  <w:num w:numId="7">
    <w:abstractNumId w:val="9"/>
  </w:num>
  <w:num w:numId="8">
    <w:abstractNumId w:val="15"/>
  </w:num>
  <w:num w:numId="9">
    <w:abstractNumId w:val="3"/>
  </w:num>
  <w:num w:numId="10">
    <w:abstractNumId w:val="11"/>
  </w:num>
  <w:num w:numId="11">
    <w:abstractNumId w:val="1"/>
  </w:num>
  <w:num w:numId="12">
    <w:abstractNumId w:val="12"/>
  </w:num>
  <w:num w:numId="13">
    <w:abstractNumId w:val="14"/>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00172A27"/>
    <w:rsid w:val="000126F2"/>
    <w:rsid w:val="00086696"/>
    <w:rsid w:val="0009024D"/>
    <w:rsid w:val="000F5645"/>
    <w:rsid w:val="00115C78"/>
    <w:rsid w:val="00153AFF"/>
    <w:rsid w:val="00172A27"/>
    <w:rsid w:val="00186C2B"/>
    <w:rsid w:val="00212728"/>
    <w:rsid w:val="00233C4E"/>
    <w:rsid w:val="00251036"/>
    <w:rsid w:val="002E50F8"/>
    <w:rsid w:val="003225FB"/>
    <w:rsid w:val="00330766"/>
    <w:rsid w:val="003419E5"/>
    <w:rsid w:val="003955F9"/>
    <w:rsid w:val="00395E25"/>
    <w:rsid w:val="003E670B"/>
    <w:rsid w:val="00401F67"/>
    <w:rsid w:val="00403054"/>
    <w:rsid w:val="00466F77"/>
    <w:rsid w:val="004C4A9A"/>
    <w:rsid w:val="004F3A79"/>
    <w:rsid w:val="004F5165"/>
    <w:rsid w:val="00506947"/>
    <w:rsid w:val="00510AFB"/>
    <w:rsid w:val="00533663"/>
    <w:rsid w:val="005868F5"/>
    <w:rsid w:val="005931B7"/>
    <w:rsid w:val="005A3C00"/>
    <w:rsid w:val="005B5679"/>
    <w:rsid w:val="005C1BE9"/>
    <w:rsid w:val="00620A2A"/>
    <w:rsid w:val="00665339"/>
    <w:rsid w:val="00677F31"/>
    <w:rsid w:val="0069368B"/>
    <w:rsid w:val="007678C6"/>
    <w:rsid w:val="007D541D"/>
    <w:rsid w:val="007F45BE"/>
    <w:rsid w:val="008005F7"/>
    <w:rsid w:val="008201B4"/>
    <w:rsid w:val="00833AB6"/>
    <w:rsid w:val="00853109"/>
    <w:rsid w:val="008766D7"/>
    <w:rsid w:val="008C7661"/>
    <w:rsid w:val="008E0C60"/>
    <w:rsid w:val="009255FE"/>
    <w:rsid w:val="009269A2"/>
    <w:rsid w:val="009343AA"/>
    <w:rsid w:val="00937817"/>
    <w:rsid w:val="009B2C38"/>
    <w:rsid w:val="009D17C8"/>
    <w:rsid w:val="009E196C"/>
    <w:rsid w:val="009F2CCC"/>
    <w:rsid w:val="00A012AB"/>
    <w:rsid w:val="00A54152"/>
    <w:rsid w:val="00A67D58"/>
    <w:rsid w:val="00A975DD"/>
    <w:rsid w:val="00AF40A6"/>
    <w:rsid w:val="00AF43B5"/>
    <w:rsid w:val="00B22528"/>
    <w:rsid w:val="00B41BDC"/>
    <w:rsid w:val="00B45701"/>
    <w:rsid w:val="00B502D3"/>
    <w:rsid w:val="00B627A9"/>
    <w:rsid w:val="00B77363"/>
    <w:rsid w:val="00B8500A"/>
    <w:rsid w:val="00BC1716"/>
    <w:rsid w:val="00BF0751"/>
    <w:rsid w:val="00C069E8"/>
    <w:rsid w:val="00C24AE6"/>
    <w:rsid w:val="00C57688"/>
    <w:rsid w:val="00C61954"/>
    <w:rsid w:val="00CD391E"/>
    <w:rsid w:val="00CD4DF4"/>
    <w:rsid w:val="00CF1FFF"/>
    <w:rsid w:val="00D24FF0"/>
    <w:rsid w:val="00D25ACB"/>
    <w:rsid w:val="00D46C3D"/>
    <w:rsid w:val="00D50329"/>
    <w:rsid w:val="00D651BA"/>
    <w:rsid w:val="00DD6A62"/>
    <w:rsid w:val="00E4156B"/>
    <w:rsid w:val="00E700A9"/>
    <w:rsid w:val="00E70847"/>
    <w:rsid w:val="00E87AA3"/>
    <w:rsid w:val="00F13E63"/>
    <w:rsid w:val="00F21540"/>
    <w:rsid w:val="00F768E1"/>
    <w:rsid w:val="00FC3E1B"/>
    <w:rsid w:val="00FF16F3"/>
    <w:rsid w:val="016947F9"/>
    <w:rsid w:val="01826A17"/>
    <w:rsid w:val="01CB7DA6"/>
    <w:rsid w:val="01D9415D"/>
    <w:rsid w:val="01DA5E9C"/>
    <w:rsid w:val="01DB6127"/>
    <w:rsid w:val="01DE01EE"/>
    <w:rsid w:val="01F71A6A"/>
    <w:rsid w:val="0219028B"/>
    <w:rsid w:val="022E6257"/>
    <w:rsid w:val="023850C1"/>
    <w:rsid w:val="02477318"/>
    <w:rsid w:val="0255285E"/>
    <w:rsid w:val="026B1259"/>
    <w:rsid w:val="02827B99"/>
    <w:rsid w:val="029F2E1F"/>
    <w:rsid w:val="02BC3AEB"/>
    <w:rsid w:val="02D079EE"/>
    <w:rsid w:val="02E1227E"/>
    <w:rsid w:val="02E54D69"/>
    <w:rsid w:val="02F254D6"/>
    <w:rsid w:val="02F53218"/>
    <w:rsid w:val="030355FF"/>
    <w:rsid w:val="0341645D"/>
    <w:rsid w:val="035241C7"/>
    <w:rsid w:val="036363D4"/>
    <w:rsid w:val="037E320E"/>
    <w:rsid w:val="038A570F"/>
    <w:rsid w:val="039E11BA"/>
    <w:rsid w:val="03A2514E"/>
    <w:rsid w:val="03B409DD"/>
    <w:rsid w:val="03B43BF6"/>
    <w:rsid w:val="03C03826"/>
    <w:rsid w:val="03C30C20"/>
    <w:rsid w:val="03D1158F"/>
    <w:rsid w:val="03D96696"/>
    <w:rsid w:val="03DB41BC"/>
    <w:rsid w:val="03EF7C67"/>
    <w:rsid w:val="03FE7EAB"/>
    <w:rsid w:val="041C543C"/>
    <w:rsid w:val="04221DEB"/>
    <w:rsid w:val="04435676"/>
    <w:rsid w:val="044E498E"/>
    <w:rsid w:val="04651CD8"/>
    <w:rsid w:val="046A5576"/>
    <w:rsid w:val="04754611"/>
    <w:rsid w:val="04A942BA"/>
    <w:rsid w:val="04AB3862"/>
    <w:rsid w:val="04BF3332"/>
    <w:rsid w:val="04F01EE9"/>
    <w:rsid w:val="04F76DD4"/>
    <w:rsid w:val="05085485"/>
    <w:rsid w:val="050B6D23"/>
    <w:rsid w:val="053242B0"/>
    <w:rsid w:val="05373674"/>
    <w:rsid w:val="053E4A03"/>
    <w:rsid w:val="05455577"/>
    <w:rsid w:val="05465FAD"/>
    <w:rsid w:val="054B0F4A"/>
    <w:rsid w:val="058F1702"/>
    <w:rsid w:val="05A351AD"/>
    <w:rsid w:val="05DE3CE5"/>
    <w:rsid w:val="05E82BC0"/>
    <w:rsid w:val="05F477B7"/>
    <w:rsid w:val="05F652DD"/>
    <w:rsid w:val="061816F7"/>
    <w:rsid w:val="062278D0"/>
    <w:rsid w:val="06370ACC"/>
    <w:rsid w:val="06632AA3"/>
    <w:rsid w:val="06836B5F"/>
    <w:rsid w:val="06A50AB1"/>
    <w:rsid w:val="06A55ADF"/>
    <w:rsid w:val="06A64F55"/>
    <w:rsid w:val="06C453DB"/>
    <w:rsid w:val="06D82C35"/>
    <w:rsid w:val="06DA075B"/>
    <w:rsid w:val="06F224DF"/>
    <w:rsid w:val="06F9554A"/>
    <w:rsid w:val="070659F4"/>
    <w:rsid w:val="0721282E"/>
    <w:rsid w:val="07371FAF"/>
    <w:rsid w:val="075239E7"/>
    <w:rsid w:val="07750484"/>
    <w:rsid w:val="0788465B"/>
    <w:rsid w:val="07950B26"/>
    <w:rsid w:val="07AD2313"/>
    <w:rsid w:val="07B611C8"/>
    <w:rsid w:val="07B76CEE"/>
    <w:rsid w:val="07E0529D"/>
    <w:rsid w:val="07ED2710"/>
    <w:rsid w:val="07F613C5"/>
    <w:rsid w:val="08140B8B"/>
    <w:rsid w:val="08143A40"/>
    <w:rsid w:val="081E6D6D"/>
    <w:rsid w:val="08293B60"/>
    <w:rsid w:val="082C4FE6"/>
    <w:rsid w:val="08362309"/>
    <w:rsid w:val="08395955"/>
    <w:rsid w:val="084A1910"/>
    <w:rsid w:val="084F5934"/>
    <w:rsid w:val="085D1644"/>
    <w:rsid w:val="08607386"/>
    <w:rsid w:val="08713341"/>
    <w:rsid w:val="088A4403"/>
    <w:rsid w:val="088A5A8D"/>
    <w:rsid w:val="08A13C26"/>
    <w:rsid w:val="08BF40AC"/>
    <w:rsid w:val="08C07429"/>
    <w:rsid w:val="08D35DAA"/>
    <w:rsid w:val="08D51B22"/>
    <w:rsid w:val="08E27D9B"/>
    <w:rsid w:val="08E92ED7"/>
    <w:rsid w:val="08EE00FD"/>
    <w:rsid w:val="08FA50E4"/>
    <w:rsid w:val="092B6141"/>
    <w:rsid w:val="0935241C"/>
    <w:rsid w:val="09524F20"/>
    <w:rsid w:val="097035F9"/>
    <w:rsid w:val="099217C1"/>
    <w:rsid w:val="09963123"/>
    <w:rsid w:val="09981838"/>
    <w:rsid w:val="09B5283E"/>
    <w:rsid w:val="09C166B7"/>
    <w:rsid w:val="09C851E3"/>
    <w:rsid w:val="09CB469C"/>
    <w:rsid w:val="09CF3948"/>
    <w:rsid w:val="09D678FF"/>
    <w:rsid w:val="09E71B0D"/>
    <w:rsid w:val="09EF44EC"/>
    <w:rsid w:val="09F14739"/>
    <w:rsid w:val="0A03621B"/>
    <w:rsid w:val="0A2D3F49"/>
    <w:rsid w:val="0A8712AB"/>
    <w:rsid w:val="0AA04DDE"/>
    <w:rsid w:val="0AB12DCE"/>
    <w:rsid w:val="0AB45767"/>
    <w:rsid w:val="0AC43BFC"/>
    <w:rsid w:val="0AD16319"/>
    <w:rsid w:val="0AD96F7B"/>
    <w:rsid w:val="0AEC4F01"/>
    <w:rsid w:val="0AF3628F"/>
    <w:rsid w:val="0B343101"/>
    <w:rsid w:val="0B4B60CB"/>
    <w:rsid w:val="0B627EDA"/>
    <w:rsid w:val="0B704808"/>
    <w:rsid w:val="0B982B0E"/>
    <w:rsid w:val="0BA94BA0"/>
    <w:rsid w:val="0BAB31B1"/>
    <w:rsid w:val="0BAF62FB"/>
    <w:rsid w:val="0BC66C7D"/>
    <w:rsid w:val="0BED3778"/>
    <w:rsid w:val="0C06355D"/>
    <w:rsid w:val="0C232BA4"/>
    <w:rsid w:val="0C2A577B"/>
    <w:rsid w:val="0C2D26E3"/>
    <w:rsid w:val="0C373ADB"/>
    <w:rsid w:val="0C37733F"/>
    <w:rsid w:val="0C3856AB"/>
    <w:rsid w:val="0C3C5A14"/>
    <w:rsid w:val="0C4274CE"/>
    <w:rsid w:val="0C6952DD"/>
    <w:rsid w:val="0CAD06C0"/>
    <w:rsid w:val="0CC53C5B"/>
    <w:rsid w:val="0CDB7B95"/>
    <w:rsid w:val="0CE95B9C"/>
    <w:rsid w:val="0CEA5470"/>
    <w:rsid w:val="0D077DD0"/>
    <w:rsid w:val="0D2B61B4"/>
    <w:rsid w:val="0D3E4B53"/>
    <w:rsid w:val="0D467F7C"/>
    <w:rsid w:val="0D6B65B1"/>
    <w:rsid w:val="0D8544BC"/>
    <w:rsid w:val="0DA20C83"/>
    <w:rsid w:val="0DA707B9"/>
    <w:rsid w:val="0DE01542"/>
    <w:rsid w:val="0DF2282E"/>
    <w:rsid w:val="0DFD3DA4"/>
    <w:rsid w:val="0E24538F"/>
    <w:rsid w:val="0E46735F"/>
    <w:rsid w:val="0E4969BD"/>
    <w:rsid w:val="0E5928AD"/>
    <w:rsid w:val="0E5B4877"/>
    <w:rsid w:val="0E707BF7"/>
    <w:rsid w:val="0E7D0D45"/>
    <w:rsid w:val="0E8611C8"/>
    <w:rsid w:val="0E975183"/>
    <w:rsid w:val="0EAD1661"/>
    <w:rsid w:val="0EBE21D3"/>
    <w:rsid w:val="0EBF7B36"/>
    <w:rsid w:val="0EC51CF1"/>
    <w:rsid w:val="0ECC307F"/>
    <w:rsid w:val="0F0C791F"/>
    <w:rsid w:val="0F1A6FD6"/>
    <w:rsid w:val="0F4E7F38"/>
    <w:rsid w:val="0F582B65"/>
    <w:rsid w:val="0F891446"/>
    <w:rsid w:val="0F9A13CF"/>
    <w:rsid w:val="0F9B000F"/>
    <w:rsid w:val="0F9D2C6D"/>
    <w:rsid w:val="0FB747DD"/>
    <w:rsid w:val="0FC91CB4"/>
    <w:rsid w:val="0FD10D03"/>
    <w:rsid w:val="0FD710A5"/>
    <w:rsid w:val="0FD77F2D"/>
    <w:rsid w:val="0FD83CA6"/>
    <w:rsid w:val="10131364"/>
    <w:rsid w:val="101822F4"/>
    <w:rsid w:val="10207B26"/>
    <w:rsid w:val="105B218F"/>
    <w:rsid w:val="10616837"/>
    <w:rsid w:val="107E794C"/>
    <w:rsid w:val="10857989"/>
    <w:rsid w:val="10AC25CA"/>
    <w:rsid w:val="10B4201D"/>
    <w:rsid w:val="10CA7A92"/>
    <w:rsid w:val="10EF574B"/>
    <w:rsid w:val="10F845FF"/>
    <w:rsid w:val="110C1E59"/>
    <w:rsid w:val="110D0173"/>
    <w:rsid w:val="11125CD9"/>
    <w:rsid w:val="111D5E14"/>
    <w:rsid w:val="112951FE"/>
    <w:rsid w:val="11317B11"/>
    <w:rsid w:val="116E6670"/>
    <w:rsid w:val="117A3C75"/>
    <w:rsid w:val="11826A7D"/>
    <w:rsid w:val="118616F9"/>
    <w:rsid w:val="11904838"/>
    <w:rsid w:val="11A6405B"/>
    <w:rsid w:val="11B83956"/>
    <w:rsid w:val="11C40985"/>
    <w:rsid w:val="11CC786A"/>
    <w:rsid w:val="11E93F48"/>
    <w:rsid w:val="11EC68FB"/>
    <w:rsid w:val="12046FD4"/>
    <w:rsid w:val="121420F8"/>
    <w:rsid w:val="12214445"/>
    <w:rsid w:val="12273D08"/>
    <w:rsid w:val="12324FEA"/>
    <w:rsid w:val="123D2FB3"/>
    <w:rsid w:val="124538DB"/>
    <w:rsid w:val="125067AE"/>
    <w:rsid w:val="12637655"/>
    <w:rsid w:val="12A12A75"/>
    <w:rsid w:val="12C04A67"/>
    <w:rsid w:val="12C80001"/>
    <w:rsid w:val="12CF56B4"/>
    <w:rsid w:val="12DB0575"/>
    <w:rsid w:val="12EF558E"/>
    <w:rsid w:val="12F92791"/>
    <w:rsid w:val="13033659"/>
    <w:rsid w:val="130354DD"/>
    <w:rsid w:val="13066050"/>
    <w:rsid w:val="13132BFE"/>
    <w:rsid w:val="132A7687"/>
    <w:rsid w:val="133236CD"/>
    <w:rsid w:val="134F1DF4"/>
    <w:rsid w:val="13557827"/>
    <w:rsid w:val="13631AD8"/>
    <w:rsid w:val="137F4B64"/>
    <w:rsid w:val="138B3117"/>
    <w:rsid w:val="138E7538"/>
    <w:rsid w:val="13904FC3"/>
    <w:rsid w:val="13C06B9F"/>
    <w:rsid w:val="13CD2CC1"/>
    <w:rsid w:val="140B464A"/>
    <w:rsid w:val="140D6614"/>
    <w:rsid w:val="14172FEE"/>
    <w:rsid w:val="14364B2C"/>
    <w:rsid w:val="1438503B"/>
    <w:rsid w:val="144933C4"/>
    <w:rsid w:val="145F3F52"/>
    <w:rsid w:val="14694230"/>
    <w:rsid w:val="14720C0D"/>
    <w:rsid w:val="147D0BDA"/>
    <w:rsid w:val="14860A3B"/>
    <w:rsid w:val="14972381"/>
    <w:rsid w:val="14AA2FD3"/>
    <w:rsid w:val="14B06F9F"/>
    <w:rsid w:val="14B52807"/>
    <w:rsid w:val="14BA1BCC"/>
    <w:rsid w:val="14C724CE"/>
    <w:rsid w:val="14CA5427"/>
    <w:rsid w:val="14DD669C"/>
    <w:rsid w:val="14DE1D5E"/>
    <w:rsid w:val="14E07884"/>
    <w:rsid w:val="14EA0703"/>
    <w:rsid w:val="150572EB"/>
    <w:rsid w:val="150A448F"/>
    <w:rsid w:val="150C68CB"/>
    <w:rsid w:val="152229F1"/>
    <w:rsid w:val="154461CC"/>
    <w:rsid w:val="15597637"/>
    <w:rsid w:val="15804BC3"/>
    <w:rsid w:val="15BD23EA"/>
    <w:rsid w:val="15C9430D"/>
    <w:rsid w:val="15D373E9"/>
    <w:rsid w:val="15E213DA"/>
    <w:rsid w:val="15E52C78"/>
    <w:rsid w:val="16210154"/>
    <w:rsid w:val="1633342F"/>
    <w:rsid w:val="164E6A70"/>
    <w:rsid w:val="16683008"/>
    <w:rsid w:val="168E3310"/>
    <w:rsid w:val="16A36DBB"/>
    <w:rsid w:val="16A50D85"/>
    <w:rsid w:val="16B81E85"/>
    <w:rsid w:val="16CF7F44"/>
    <w:rsid w:val="16F94C2D"/>
    <w:rsid w:val="16FE3FF2"/>
    <w:rsid w:val="171323AA"/>
    <w:rsid w:val="173B5246"/>
    <w:rsid w:val="17B63456"/>
    <w:rsid w:val="17DA4A5F"/>
    <w:rsid w:val="17F2764F"/>
    <w:rsid w:val="1833416F"/>
    <w:rsid w:val="18524B4C"/>
    <w:rsid w:val="185C36C6"/>
    <w:rsid w:val="18737F6A"/>
    <w:rsid w:val="187D1E98"/>
    <w:rsid w:val="187D53EA"/>
    <w:rsid w:val="18A817AE"/>
    <w:rsid w:val="18B21538"/>
    <w:rsid w:val="18BB7749"/>
    <w:rsid w:val="18C44192"/>
    <w:rsid w:val="18D9512F"/>
    <w:rsid w:val="18ED431E"/>
    <w:rsid w:val="18F558C8"/>
    <w:rsid w:val="18F877F3"/>
    <w:rsid w:val="1901601B"/>
    <w:rsid w:val="19070275"/>
    <w:rsid w:val="19106B6F"/>
    <w:rsid w:val="19235F91"/>
    <w:rsid w:val="193C7053"/>
    <w:rsid w:val="193F7C64"/>
    <w:rsid w:val="196C36C2"/>
    <w:rsid w:val="196D1903"/>
    <w:rsid w:val="19724162"/>
    <w:rsid w:val="198F1879"/>
    <w:rsid w:val="19B47531"/>
    <w:rsid w:val="19C214C4"/>
    <w:rsid w:val="19F70AC5"/>
    <w:rsid w:val="19F85670"/>
    <w:rsid w:val="19F94F44"/>
    <w:rsid w:val="1A1324AA"/>
    <w:rsid w:val="1A2B77F4"/>
    <w:rsid w:val="1A2F16BB"/>
    <w:rsid w:val="1A501008"/>
    <w:rsid w:val="1A766595"/>
    <w:rsid w:val="1A8C59F8"/>
    <w:rsid w:val="1AA57FC0"/>
    <w:rsid w:val="1AAC1FB7"/>
    <w:rsid w:val="1AAE61FB"/>
    <w:rsid w:val="1AB01AA7"/>
    <w:rsid w:val="1AB23324"/>
    <w:rsid w:val="1ADF554D"/>
    <w:rsid w:val="1AED13C7"/>
    <w:rsid w:val="1B1069E9"/>
    <w:rsid w:val="1B193AF0"/>
    <w:rsid w:val="1B2D30F7"/>
    <w:rsid w:val="1B590390"/>
    <w:rsid w:val="1B7747F3"/>
    <w:rsid w:val="1B79254B"/>
    <w:rsid w:val="1B972C67"/>
    <w:rsid w:val="1BA55384"/>
    <w:rsid w:val="1BD712B5"/>
    <w:rsid w:val="1BDD4B1E"/>
    <w:rsid w:val="1BE76F28"/>
    <w:rsid w:val="1C177904"/>
    <w:rsid w:val="1C284B16"/>
    <w:rsid w:val="1C5A26D3"/>
    <w:rsid w:val="1C5D0DA4"/>
    <w:rsid w:val="1C5F6917"/>
    <w:rsid w:val="1C6F5742"/>
    <w:rsid w:val="1C76287C"/>
    <w:rsid w:val="1C7B0977"/>
    <w:rsid w:val="1C872925"/>
    <w:rsid w:val="1C9E0082"/>
    <w:rsid w:val="1CAA693B"/>
    <w:rsid w:val="1CB14442"/>
    <w:rsid w:val="1CC66428"/>
    <w:rsid w:val="1CC80B99"/>
    <w:rsid w:val="1CCB0E1A"/>
    <w:rsid w:val="1D0113C9"/>
    <w:rsid w:val="1D0A2DA7"/>
    <w:rsid w:val="1D1140B4"/>
    <w:rsid w:val="1D2B18B9"/>
    <w:rsid w:val="1D3E783E"/>
    <w:rsid w:val="1D630F86"/>
    <w:rsid w:val="1D7019C1"/>
    <w:rsid w:val="1D752B34"/>
    <w:rsid w:val="1D7E5E8C"/>
    <w:rsid w:val="1D836591"/>
    <w:rsid w:val="1DB55626"/>
    <w:rsid w:val="1DB7314C"/>
    <w:rsid w:val="1DC15D79"/>
    <w:rsid w:val="1DC53ABB"/>
    <w:rsid w:val="1DC85AE6"/>
    <w:rsid w:val="1DDB503E"/>
    <w:rsid w:val="1DE84D03"/>
    <w:rsid w:val="1DE85A9D"/>
    <w:rsid w:val="1DF13B3B"/>
    <w:rsid w:val="1E0E2B0B"/>
    <w:rsid w:val="1E1660C5"/>
    <w:rsid w:val="1E205195"/>
    <w:rsid w:val="1E276322"/>
    <w:rsid w:val="1E5F2F8D"/>
    <w:rsid w:val="1E650DFA"/>
    <w:rsid w:val="1E982F7E"/>
    <w:rsid w:val="1EAC45D3"/>
    <w:rsid w:val="1EC71AB5"/>
    <w:rsid w:val="1ECF4FD3"/>
    <w:rsid w:val="1ED0096A"/>
    <w:rsid w:val="1ED7455A"/>
    <w:rsid w:val="1EDB6610"/>
    <w:rsid w:val="1EF34658"/>
    <w:rsid w:val="1F02489B"/>
    <w:rsid w:val="1F095D51"/>
    <w:rsid w:val="1F132604"/>
    <w:rsid w:val="1F242A63"/>
    <w:rsid w:val="1F2627EB"/>
    <w:rsid w:val="1F294332"/>
    <w:rsid w:val="1F2A62AD"/>
    <w:rsid w:val="1F3233D2"/>
    <w:rsid w:val="1F4804CC"/>
    <w:rsid w:val="1FEB1DE0"/>
    <w:rsid w:val="1FEF6DB8"/>
    <w:rsid w:val="1FF64400"/>
    <w:rsid w:val="200D799B"/>
    <w:rsid w:val="201E4F4F"/>
    <w:rsid w:val="20256A93"/>
    <w:rsid w:val="20384A18"/>
    <w:rsid w:val="20390790"/>
    <w:rsid w:val="203F5E7C"/>
    <w:rsid w:val="205055EF"/>
    <w:rsid w:val="206C46C2"/>
    <w:rsid w:val="20976AB4"/>
    <w:rsid w:val="20A81514"/>
    <w:rsid w:val="20AB6760"/>
    <w:rsid w:val="20B16579"/>
    <w:rsid w:val="20C95670"/>
    <w:rsid w:val="20D65FDF"/>
    <w:rsid w:val="20E85D1A"/>
    <w:rsid w:val="210055F8"/>
    <w:rsid w:val="21052421"/>
    <w:rsid w:val="2126121F"/>
    <w:rsid w:val="216B1A91"/>
    <w:rsid w:val="217B0F40"/>
    <w:rsid w:val="218A192D"/>
    <w:rsid w:val="21A972E1"/>
    <w:rsid w:val="21BF0821"/>
    <w:rsid w:val="21F816C1"/>
    <w:rsid w:val="221C5C74"/>
    <w:rsid w:val="222B0959"/>
    <w:rsid w:val="222F1E4B"/>
    <w:rsid w:val="223C6316"/>
    <w:rsid w:val="223F755C"/>
    <w:rsid w:val="2240564F"/>
    <w:rsid w:val="224F6049"/>
    <w:rsid w:val="22575E31"/>
    <w:rsid w:val="22816594"/>
    <w:rsid w:val="22A00653"/>
    <w:rsid w:val="22A52EFA"/>
    <w:rsid w:val="22A567AC"/>
    <w:rsid w:val="22A77054"/>
    <w:rsid w:val="22AA3280"/>
    <w:rsid w:val="22BD2FB3"/>
    <w:rsid w:val="22CB1F7F"/>
    <w:rsid w:val="22CC31F6"/>
    <w:rsid w:val="22D43C96"/>
    <w:rsid w:val="22DB5B2F"/>
    <w:rsid w:val="22EC6903"/>
    <w:rsid w:val="22FB3ADB"/>
    <w:rsid w:val="23076924"/>
    <w:rsid w:val="2318468D"/>
    <w:rsid w:val="23214B81"/>
    <w:rsid w:val="23250B58"/>
    <w:rsid w:val="23287A3B"/>
    <w:rsid w:val="234C2589"/>
    <w:rsid w:val="234E0C74"/>
    <w:rsid w:val="235D595F"/>
    <w:rsid w:val="2366667A"/>
    <w:rsid w:val="236B1B92"/>
    <w:rsid w:val="23725A46"/>
    <w:rsid w:val="239F4DAE"/>
    <w:rsid w:val="23A75A11"/>
    <w:rsid w:val="23D46034"/>
    <w:rsid w:val="23DD1433"/>
    <w:rsid w:val="23ED1676"/>
    <w:rsid w:val="23EF1892"/>
    <w:rsid w:val="23F37F14"/>
    <w:rsid w:val="23F956E8"/>
    <w:rsid w:val="23FA0237"/>
    <w:rsid w:val="24015121"/>
    <w:rsid w:val="24264B88"/>
    <w:rsid w:val="24305A06"/>
    <w:rsid w:val="2447702E"/>
    <w:rsid w:val="24765B0F"/>
    <w:rsid w:val="247C0C4C"/>
    <w:rsid w:val="247C50B5"/>
    <w:rsid w:val="248F4E23"/>
    <w:rsid w:val="249B0281"/>
    <w:rsid w:val="24A55645"/>
    <w:rsid w:val="24C22B02"/>
    <w:rsid w:val="24D570AE"/>
    <w:rsid w:val="24D6035C"/>
    <w:rsid w:val="24E01EF1"/>
    <w:rsid w:val="24E2777A"/>
    <w:rsid w:val="24F51DFC"/>
    <w:rsid w:val="250C30B2"/>
    <w:rsid w:val="25423C43"/>
    <w:rsid w:val="256B13EC"/>
    <w:rsid w:val="25924268"/>
    <w:rsid w:val="25E67FEE"/>
    <w:rsid w:val="25F3318F"/>
    <w:rsid w:val="2629095F"/>
    <w:rsid w:val="26355556"/>
    <w:rsid w:val="263B7010"/>
    <w:rsid w:val="263C7979"/>
    <w:rsid w:val="264B2FCC"/>
    <w:rsid w:val="264E5249"/>
    <w:rsid w:val="2650413E"/>
    <w:rsid w:val="265359DC"/>
    <w:rsid w:val="26551754"/>
    <w:rsid w:val="26834513"/>
    <w:rsid w:val="26A10E3D"/>
    <w:rsid w:val="26AC3A6A"/>
    <w:rsid w:val="26B96187"/>
    <w:rsid w:val="26BE763B"/>
    <w:rsid w:val="26E730BC"/>
    <w:rsid w:val="270135A4"/>
    <w:rsid w:val="271635D9"/>
    <w:rsid w:val="2751016E"/>
    <w:rsid w:val="279F3713"/>
    <w:rsid w:val="27B45CC5"/>
    <w:rsid w:val="27B84691"/>
    <w:rsid w:val="27BD1CA7"/>
    <w:rsid w:val="27C923FA"/>
    <w:rsid w:val="27CA464D"/>
    <w:rsid w:val="27CB7F20"/>
    <w:rsid w:val="27E91720"/>
    <w:rsid w:val="27F136A9"/>
    <w:rsid w:val="27F21934"/>
    <w:rsid w:val="27F6382B"/>
    <w:rsid w:val="27FD20A3"/>
    <w:rsid w:val="280F14ED"/>
    <w:rsid w:val="280F3776"/>
    <w:rsid w:val="281C4C20"/>
    <w:rsid w:val="28527CD1"/>
    <w:rsid w:val="287C7ABF"/>
    <w:rsid w:val="28844573"/>
    <w:rsid w:val="28AA3FD9"/>
    <w:rsid w:val="28C52BC1"/>
    <w:rsid w:val="28D472A8"/>
    <w:rsid w:val="28E9787B"/>
    <w:rsid w:val="29441132"/>
    <w:rsid w:val="29581C87"/>
    <w:rsid w:val="29890753"/>
    <w:rsid w:val="298962E5"/>
    <w:rsid w:val="29934A6D"/>
    <w:rsid w:val="29B50E88"/>
    <w:rsid w:val="29B72649"/>
    <w:rsid w:val="29CD1E2A"/>
    <w:rsid w:val="29CF7F37"/>
    <w:rsid w:val="2A0C29B8"/>
    <w:rsid w:val="2A0E5104"/>
    <w:rsid w:val="2A131C98"/>
    <w:rsid w:val="2A570E85"/>
    <w:rsid w:val="2A830F86"/>
    <w:rsid w:val="2A8745B6"/>
    <w:rsid w:val="2A922F77"/>
    <w:rsid w:val="2A9860B3"/>
    <w:rsid w:val="2A9A1E2C"/>
    <w:rsid w:val="2A9F5694"/>
    <w:rsid w:val="2AA23A25"/>
    <w:rsid w:val="2AAA6513"/>
    <w:rsid w:val="2AD15C14"/>
    <w:rsid w:val="2AE71AF4"/>
    <w:rsid w:val="2B045837"/>
    <w:rsid w:val="2B07429B"/>
    <w:rsid w:val="2B0D0850"/>
    <w:rsid w:val="2B154372"/>
    <w:rsid w:val="2B230073"/>
    <w:rsid w:val="2B520958"/>
    <w:rsid w:val="2B634913"/>
    <w:rsid w:val="2B85488A"/>
    <w:rsid w:val="2BA07916"/>
    <w:rsid w:val="2BEC2B5B"/>
    <w:rsid w:val="2BFF63EA"/>
    <w:rsid w:val="2C002162"/>
    <w:rsid w:val="2C063C1D"/>
    <w:rsid w:val="2C0E0D23"/>
    <w:rsid w:val="2C246995"/>
    <w:rsid w:val="2C3562B0"/>
    <w:rsid w:val="2C385DA0"/>
    <w:rsid w:val="2C4944EB"/>
    <w:rsid w:val="2C4B162F"/>
    <w:rsid w:val="2C5D1363"/>
    <w:rsid w:val="2C5F50DB"/>
    <w:rsid w:val="2C792640"/>
    <w:rsid w:val="2C8B4122"/>
    <w:rsid w:val="2C9C1E8B"/>
    <w:rsid w:val="2CA91FCE"/>
    <w:rsid w:val="2CB847EB"/>
    <w:rsid w:val="2CD72C54"/>
    <w:rsid w:val="2CEA709A"/>
    <w:rsid w:val="2D022235"/>
    <w:rsid w:val="2D031F0A"/>
    <w:rsid w:val="2D0F08AF"/>
    <w:rsid w:val="2D1C7470"/>
    <w:rsid w:val="2D2125B0"/>
    <w:rsid w:val="2D2C76B3"/>
    <w:rsid w:val="2D371BB4"/>
    <w:rsid w:val="2D3B78F6"/>
    <w:rsid w:val="2D7C1CBC"/>
    <w:rsid w:val="2D8017AD"/>
    <w:rsid w:val="2D8868B3"/>
    <w:rsid w:val="2DAC4350"/>
    <w:rsid w:val="2DEA30CA"/>
    <w:rsid w:val="2E0F1AF1"/>
    <w:rsid w:val="2E1755ED"/>
    <w:rsid w:val="2E3A7BAD"/>
    <w:rsid w:val="2E56250D"/>
    <w:rsid w:val="2E623354"/>
    <w:rsid w:val="2E6A4E27"/>
    <w:rsid w:val="2E876B6B"/>
    <w:rsid w:val="2E9B12B3"/>
    <w:rsid w:val="2ED33B5E"/>
    <w:rsid w:val="2EDA313F"/>
    <w:rsid w:val="2EE53D89"/>
    <w:rsid w:val="2EEC10D1"/>
    <w:rsid w:val="2F030EDA"/>
    <w:rsid w:val="2F0412C1"/>
    <w:rsid w:val="2F171C9D"/>
    <w:rsid w:val="2F202F46"/>
    <w:rsid w:val="2F2E6FE6"/>
    <w:rsid w:val="2F43007A"/>
    <w:rsid w:val="2F47268D"/>
    <w:rsid w:val="2F484F80"/>
    <w:rsid w:val="2F8F5CD7"/>
    <w:rsid w:val="2F926074"/>
    <w:rsid w:val="2F971630"/>
    <w:rsid w:val="2FA774C5"/>
    <w:rsid w:val="2FB44E46"/>
    <w:rsid w:val="2FCA005B"/>
    <w:rsid w:val="2FFF4CAE"/>
    <w:rsid w:val="30042C3B"/>
    <w:rsid w:val="301F1BC4"/>
    <w:rsid w:val="30204B81"/>
    <w:rsid w:val="302E5110"/>
    <w:rsid w:val="303A5A64"/>
    <w:rsid w:val="304E74D7"/>
    <w:rsid w:val="305111DE"/>
    <w:rsid w:val="30823A8E"/>
    <w:rsid w:val="30901D07"/>
    <w:rsid w:val="309317F7"/>
    <w:rsid w:val="30C85944"/>
    <w:rsid w:val="30D95A3C"/>
    <w:rsid w:val="30E12562"/>
    <w:rsid w:val="30E84AF7"/>
    <w:rsid w:val="31103BE8"/>
    <w:rsid w:val="31490108"/>
    <w:rsid w:val="315736D8"/>
    <w:rsid w:val="3166515D"/>
    <w:rsid w:val="31684A32"/>
    <w:rsid w:val="316D029A"/>
    <w:rsid w:val="317403C7"/>
    <w:rsid w:val="3179559F"/>
    <w:rsid w:val="317E6003"/>
    <w:rsid w:val="319B6BB5"/>
    <w:rsid w:val="31A1154D"/>
    <w:rsid w:val="31A17F44"/>
    <w:rsid w:val="31AD053C"/>
    <w:rsid w:val="31CB6D6E"/>
    <w:rsid w:val="31D64091"/>
    <w:rsid w:val="31DE2F46"/>
    <w:rsid w:val="31E340B8"/>
    <w:rsid w:val="32056724"/>
    <w:rsid w:val="320B1E88"/>
    <w:rsid w:val="3220530C"/>
    <w:rsid w:val="325B29A2"/>
    <w:rsid w:val="3268280F"/>
    <w:rsid w:val="32690A61"/>
    <w:rsid w:val="326D226F"/>
    <w:rsid w:val="32755BEE"/>
    <w:rsid w:val="32785148"/>
    <w:rsid w:val="327B2543"/>
    <w:rsid w:val="328533C1"/>
    <w:rsid w:val="32A4546A"/>
    <w:rsid w:val="32B31CDC"/>
    <w:rsid w:val="32ED1980"/>
    <w:rsid w:val="32F1304C"/>
    <w:rsid w:val="32F50547"/>
    <w:rsid w:val="33094881"/>
    <w:rsid w:val="333F3794"/>
    <w:rsid w:val="335A57BD"/>
    <w:rsid w:val="339E5D33"/>
    <w:rsid w:val="33EC17CD"/>
    <w:rsid w:val="33EF143A"/>
    <w:rsid w:val="33EF1C73"/>
    <w:rsid w:val="33FA6F1E"/>
    <w:rsid w:val="340661A5"/>
    <w:rsid w:val="34076784"/>
    <w:rsid w:val="340903E3"/>
    <w:rsid w:val="340E30B9"/>
    <w:rsid w:val="341E3ACD"/>
    <w:rsid w:val="343678CD"/>
    <w:rsid w:val="34480B4A"/>
    <w:rsid w:val="345968B4"/>
    <w:rsid w:val="345A0C5F"/>
    <w:rsid w:val="345B087E"/>
    <w:rsid w:val="346D120F"/>
    <w:rsid w:val="34702AF7"/>
    <w:rsid w:val="347A2085"/>
    <w:rsid w:val="347F27BE"/>
    <w:rsid w:val="34897199"/>
    <w:rsid w:val="34945B3E"/>
    <w:rsid w:val="34AD7661"/>
    <w:rsid w:val="34B01E1E"/>
    <w:rsid w:val="34E16FD5"/>
    <w:rsid w:val="34E94961"/>
    <w:rsid w:val="34EA39B0"/>
    <w:rsid w:val="35171719"/>
    <w:rsid w:val="352E7D40"/>
    <w:rsid w:val="354B26A0"/>
    <w:rsid w:val="357243F8"/>
    <w:rsid w:val="35853917"/>
    <w:rsid w:val="35906305"/>
    <w:rsid w:val="359C73A0"/>
    <w:rsid w:val="35A10512"/>
    <w:rsid w:val="35A26038"/>
    <w:rsid w:val="35AA3A3A"/>
    <w:rsid w:val="35AA4722"/>
    <w:rsid w:val="35CF507F"/>
    <w:rsid w:val="35D54660"/>
    <w:rsid w:val="360B340E"/>
    <w:rsid w:val="365E28A7"/>
    <w:rsid w:val="366B14C0"/>
    <w:rsid w:val="369342FF"/>
    <w:rsid w:val="369D456C"/>
    <w:rsid w:val="36A8455A"/>
    <w:rsid w:val="36AE738B"/>
    <w:rsid w:val="36C95F72"/>
    <w:rsid w:val="36DF3C16"/>
    <w:rsid w:val="36E27034"/>
    <w:rsid w:val="36ED1FA3"/>
    <w:rsid w:val="36F36DEE"/>
    <w:rsid w:val="36F6663C"/>
    <w:rsid w:val="370E607B"/>
    <w:rsid w:val="372E4027"/>
    <w:rsid w:val="373F79B1"/>
    <w:rsid w:val="37537F32"/>
    <w:rsid w:val="376C4F8C"/>
    <w:rsid w:val="376F2F1F"/>
    <w:rsid w:val="378400EB"/>
    <w:rsid w:val="37904CE2"/>
    <w:rsid w:val="37976071"/>
    <w:rsid w:val="379D00C8"/>
    <w:rsid w:val="379F2985"/>
    <w:rsid w:val="37C03BF9"/>
    <w:rsid w:val="37E1109A"/>
    <w:rsid w:val="37E97122"/>
    <w:rsid w:val="37F35CB8"/>
    <w:rsid w:val="382D2531"/>
    <w:rsid w:val="383A697D"/>
    <w:rsid w:val="383C09C6"/>
    <w:rsid w:val="384F4255"/>
    <w:rsid w:val="385633E2"/>
    <w:rsid w:val="386F79F1"/>
    <w:rsid w:val="38767A34"/>
    <w:rsid w:val="38795776"/>
    <w:rsid w:val="388D2FD0"/>
    <w:rsid w:val="389205E6"/>
    <w:rsid w:val="38983E4E"/>
    <w:rsid w:val="38A84A79"/>
    <w:rsid w:val="392C0A3B"/>
    <w:rsid w:val="39400042"/>
    <w:rsid w:val="39490357"/>
    <w:rsid w:val="397877DC"/>
    <w:rsid w:val="3999678C"/>
    <w:rsid w:val="39A6259B"/>
    <w:rsid w:val="39D377DB"/>
    <w:rsid w:val="3A223DCB"/>
    <w:rsid w:val="3A3462BA"/>
    <w:rsid w:val="3A58475F"/>
    <w:rsid w:val="3A5E7E93"/>
    <w:rsid w:val="3A6E6C87"/>
    <w:rsid w:val="3AB46F3A"/>
    <w:rsid w:val="3AD13648"/>
    <w:rsid w:val="3AE0388B"/>
    <w:rsid w:val="3AF9494C"/>
    <w:rsid w:val="3B1C0596"/>
    <w:rsid w:val="3B2319C9"/>
    <w:rsid w:val="3B5B1163"/>
    <w:rsid w:val="3B7A3054"/>
    <w:rsid w:val="3B84063D"/>
    <w:rsid w:val="3B8701AA"/>
    <w:rsid w:val="3B8875E3"/>
    <w:rsid w:val="3B955700"/>
    <w:rsid w:val="3B9E18E7"/>
    <w:rsid w:val="3BC27434"/>
    <w:rsid w:val="3BC95C98"/>
    <w:rsid w:val="3BCB453B"/>
    <w:rsid w:val="3BD75940"/>
    <w:rsid w:val="3BDD7DCA"/>
    <w:rsid w:val="3BF42260"/>
    <w:rsid w:val="3C265C15"/>
    <w:rsid w:val="3C284C49"/>
    <w:rsid w:val="3C522566"/>
    <w:rsid w:val="3C541BC5"/>
    <w:rsid w:val="3C65673D"/>
    <w:rsid w:val="3C722C08"/>
    <w:rsid w:val="3C7C5F7D"/>
    <w:rsid w:val="3C9506A5"/>
    <w:rsid w:val="3C9C7C85"/>
    <w:rsid w:val="3C9E3DCB"/>
    <w:rsid w:val="3CA31014"/>
    <w:rsid w:val="3CB123E6"/>
    <w:rsid w:val="3CDB6174"/>
    <w:rsid w:val="3D050477"/>
    <w:rsid w:val="3D14341C"/>
    <w:rsid w:val="3D3D4FC4"/>
    <w:rsid w:val="3D404852"/>
    <w:rsid w:val="3D477BF1"/>
    <w:rsid w:val="3D4A76E1"/>
    <w:rsid w:val="3D5D5666"/>
    <w:rsid w:val="3DB668C6"/>
    <w:rsid w:val="3DEB4A20"/>
    <w:rsid w:val="3DF062BF"/>
    <w:rsid w:val="3E0618F6"/>
    <w:rsid w:val="3E0869AC"/>
    <w:rsid w:val="3E246184"/>
    <w:rsid w:val="3E2C6DE7"/>
    <w:rsid w:val="3E3068D7"/>
    <w:rsid w:val="3E3175F3"/>
    <w:rsid w:val="3E32264F"/>
    <w:rsid w:val="3E3E1A04"/>
    <w:rsid w:val="3E53454B"/>
    <w:rsid w:val="3E6F204E"/>
    <w:rsid w:val="3E815973"/>
    <w:rsid w:val="3E88151A"/>
    <w:rsid w:val="3E894239"/>
    <w:rsid w:val="3E8D3D29"/>
    <w:rsid w:val="3E9450B8"/>
    <w:rsid w:val="3EB63280"/>
    <w:rsid w:val="3EC62D97"/>
    <w:rsid w:val="3EF913BF"/>
    <w:rsid w:val="3F0D6C18"/>
    <w:rsid w:val="3F1735F3"/>
    <w:rsid w:val="3F364D39"/>
    <w:rsid w:val="3F505A98"/>
    <w:rsid w:val="3F6207BA"/>
    <w:rsid w:val="3F7B1DD4"/>
    <w:rsid w:val="3F810615"/>
    <w:rsid w:val="3F843560"/>
    <w:rsid w:val="3F8C5D8F"/>
    <w:rsid w:val="3F8E7D59"/>
    <w:rsid w:val="3F984C13"/>
    <w:rsid w:val="3FA72BC9"/>
    <w:rsid w:val="3FBD063E"/>
    <w:rsid w:val="3FC90D91"/>
    <w:rsid w:val="3FCF3ECE"/>
    <w:rsid w:val="3FD919BA"/>
    <w:rsid w:val="3FDC2B4A"/>
    <w:rsid w:val="3FFD010D"/>
    <w:rsid w:val="400A40D9"/>
    <w:rsid w:val="401A783F"/>
    <w:rsid w:val="401F452F"/>
    <w:rsid w:val="40330901"/>
    <w:rsid w:val="40515724"/>
    <w:rsid w:val="405F16F6"/>
    <w:rsid w:val="408B38B3"/>
    <w:rsid w:val="40955117"/>
    <w:rsid w:val="40B27A77"/>
    <w:rsid w:val="40D40AAB"/>
    <w:rsid w:val="40D77011"/>
    <w:rsid w:val="40E90FBF"/>
    <w:rsid w:val="40F40090"/>
    <w:rsid w:val="40FB76BC"/>
    <w:rsid w:val="41036525"/>
    <w:rsid w:val="41072D28"/>
    <w:rsid w:val="41173D7E"/>
    <w:rsid w:val="411E335F"/>
    <w:rsid w:val="412344D1"/>
    <w:rsid w:val="4125450E"/>
    <w:rsid w:val="412973EA"/>
    <w:rsid w:val="41AA69A0"/>
    <w:rsid w:val="41B45A71"/>
    <w:rsid w:val="41F71B81"/>
    <w:rsid w:val="42010DBE"/>
    <w:rsid w:val="42044303"/>
    <w:rsid w:val="42075BA1"/>
    <w:rsid w:val="42424E2B"/>
    <w:rsid w:val="426B25D4"/>
    <w:rsid w:val="4278084D"/>
    <w:rsid w:val="428611BC"/>
    <w:rsid w:val="42927B60"/>
    <w:rsid w:val="42BD2703"/>
    <w:rsid w:val="42C27D1A"/>
    <w:rsid w:val="42E04834"/>
    <w:rsid w:val="43140A2D"/>
    <w:rsid w:val="43301127"/>
    <w:rsid w:val="43364990"/>
    <w:rsid w:val="434150E2"/>
    <w:rsid w:val="4355293C"/>
    <w:rsid w:val="4359067E"/>
    <w:rsid w:val="436117D4"/>
    <w:rsid w:val="437049F2"/>
    <w:rsid w:val="43842246"/>
    <w:rsid w:val="43A7763B"/>
    <w:rsid w:val="43B92ECB"/>
    <w:rsid w:val="43BE0166"/>
    <w:rsid w:val="440E3217"/>
    <w:rsid w:val="440F0504"/>
    <w:rsid w:val="4421185F"/>
    <w:rsid w:val="442962A2"/>
    <w:rsid w:val="4437557C"/>
    <w:rsid w:val="444C2BC0"/>
    <w:rsid w:val="444F71A2"/>
    <w:rsid w:val="445361E5"/>
    <w:rsid w:val="447C0AC8"/>
    <w:rsid w:val="4482717F"/>
    <w:rsid w:val="44A21CDC"/>
    <w:rsid w:val="44D05FB9"/>
    <w:rsid w:val="44D75CFE"/>
    <w:rsid w:val="44E5721A"/>
    <w:rsid w:val="44F22B38"/>
    <w:rsid w:val="44F248E6"/>
    <w:rsid w:val="45091C30"/>
    <w:rsid w:val="45244CBC"/>
    <w:rsid w:val="452B1E36"/>
    <w:rsid w:val="452B6B92"/>
    <w:rsid w:val="45350C77"/>
    <w:rsid w:val="453C0257"/>
    <w:rsid w:val="453C7EA3"/>
    <w:rsid w:val="454B3FF6"/>
    <w:rsid w:val="45682DFA"/>
    <w:rsid w:val="456C5AB9"/>
    <w:rsid w:val="4577128F"/>
    <w:rsid w:val="45952817"/>
    <w:rsid w:val="45A863B8"/>
    <w:rsid w:val="45BB6D3C"/>
    <w:rsid w:val="45C73FC5"/>
    <w:rsid w:val="45F91CA4"/>
    <w:rsid w:val="46017508"/>
    <w:rsid w:val="460F14C8"/>
    <w:rsid w:val="46130FB8"/>
    <w:rsid w:val="46132D66"/>
    <w:rsid w:val="46342CDD"/>
    <w:rsid w:val="46431B1A"/>
    <w:rsid w:val="464E1FF0"/>
    <w:rsid w:val="466366B9"/>
    <w:rsid w:val="46955E71"/>
    <w:rsid w:val="469C7200"/>
    <w:rsid w:val="46C10A14"/>
    <w:rsid w:val="46D67F86"/>
    <w:rsid w:val="46F448C2"/>
    <w:rsid w:val="46F56910"/>
    <w:rsid w:val="47060D7D"/>
    <w:rsid w:val="473F67A2"/>
    <w:rsid w:val="474536E0"/>
    <w:rsid w:val="47463365"/>
    <w:rsid w:val="47596E9F"/>
    <w:rsid w:val="476B55F6"/>
    <w:rsid w:val="47777325"/>
    <w:rsid w:val="477E4B57"/>
    <w:rsid w:val="47863A0C"/>
    <w:rsid w:val="47925F0D"/>
    <w:rsid w:val="47A876DF"/>
    <w:rsid w:val="47AA76FA"/>
    <w:rsid w:val="47B370C9"/>
    <w:rsid w:val="48027536"/>
    <w:rsid w:val="48042FA6"/>
    <w:rsid w:val="481C57BF"/>
    <w:rsid w:val="48240342"/>
    <w:rsid w:val="48343468"/>
    <w:rsid w:val="485578E8"/>
    <w:rsid w:val="48680CE3"/>
    <w:rsid w:val="487516C9"/>
    <w:rsid w:val="48A147B6"/>
    <w:rsid w:val="48A73C3A"/>
    <w:rsid w:val="48D367DD"/>
    <w:rsid w:val="48E82D4D"/>
    <w:rsid w:val="48F007F6"/>
    <w:rsid w:val="48F14EB5"/>
    <w:rsid w:val="491D5CAA"/>
    <w:rsid w:val="49537DE0"/>
    <w:rsid w:val="495518E8"/>
    <w:rsid w:val="49584F34"/>
    <w:rsid w:val="4977360C"/>
    <w:rsid w:val="498703ED"/>
    <w:rsid w:val="49C425C9"/>
    <w:rsid w:val="49C72B69"/>
    <w:rsid w:val="49E62540"/>
    <w:rsid w:val="4A0E6954"/>
    <w:rsid w:val="4A1A47F4"/>
    <w:rsid w:val="4A275032"/>
    <w:rsid w:val="4A275F90"/>
    <w:rsid w:val="4A280DAA"/>
    <w:rsid w:val="4A29760D"/>
    <w:rsid w:val="4A2D4613"/>
    <w:rsid w:val="4A392FB7"/>
    <w:rsid w:val="4A64191B"/>
    <w:rsid w:val="4A722025"/>
    <w:rsid w:val="4A745F18"/>
    <w:rsid w:val="4A8B3EC0"/>
    <w:rsid w:val="4AAC4A05"/>
    <w:rsid w:val="4AB112AD"/>
    <w:rsid w:val="4AB918F6"/>
    <w:rsid w:val="4AD14F9E"/>
    <w:rsid w:val="4AEB42B2"/>
    <w:rsid w:val="4AF403AA"/>
    <w:rsid w:val="4AFD616C"/>
    <w:rsid w:val="4B0B04B0"/>
    <w:rsid w:val="4B3E2640"/>
    <w:rsid w:val="4B447AD4"/>
    <w:rsid w:val="4B7050AD"/>
    <w:rsid w:val="4B717B63"/>
    <w:rsid w:val="4BA30828"/>
    <w:rsid w:val="4BA93D64"/>
    <w:rsid w:val="4BBE0554"/>
    <w:rsid w:val="4BBF20A9"/>
    <w:rsid w:val="4BCB40E3"/>
    <w:rsid w:val="4BD20FCE"/>
    <w:rsid w:val="4BD74836"/>
    <w:rsid w:val="4BED5E07"/>
    <w:rsid w:val="4BF70A34"/>
    <w:rsid w:val="4BFD1393"/>
    <w:rsid w:val="4C194E4E"/>
    <w:rsid w:val="4C1C26CD"/>
    <w:rsid w:val="4C2555A1"/>
    <w:rsid w:val="4C2C2DD4"/>
    <w:rsid w:val="4C3F1BAE"/>
    <w:rsid w:val="4C5C4D3B"/>
    <w:rsid w:val="4C5D5CA7"/>
    <w:rsid w:val="4C76404F"/>
    <w:rsid w:val="4C8147A2"/>
    <w:rsid w:val="4C96649F"/>
    <w:rsid w:val="4CB26A62"/>
    <w:rsid w:val="4CCA7AE1"/>
    <w:rsid w:val="4CE216E4"/>
    <w:rsid w:val="4CEE0366"/>
    <w:rsid w:val="4CF569B5"/>
    <w:rsid w:val="4CFB4947"/>
    <w:rsid w:val="4D04165B"/>
    <w:rsid w:val="4D11448E"/>
    <w:rsid w:val="4D267823"/>
    <w:rsid w:val="4D275D07"/>
    <w:rsid w:val="4D3A507C"/>
    <w:rsid w:val="4D5325E2"/>
    <w:rsid w:val="4D5F2D35"/>
    <w:rsid w:val="4D6848C0"/>
    <w:rsid w:val="4D8602C2"/>
    <w:rsid w:val="4D9E5143"/>
    <w:rsid w:val="4D9F75D5"/>
    <w:rsid w:val="4DAE03C1"/>
    <w:rsid w:val="4DC97603"/>
    <w:rsid w:val="4DE163BF"/>
    <w:rsid w:val="4DF72F6D"/>
    <w:rsid w:val="4DFE10C7"/>
    <w:rsid w:val="4E086F29"/>
    <w:rsid w:val="4E140B6A"/>
    <w:rsid w:val="4E1B739A"/>
    <w:rsid w:val="4E21448E"/>
    <w:rsid w:val="4E233D62"/>
    <w:rsid w:val="4E2875CB"/>
    <w:rsid w:val="4E407F3C"/>
    <w:rsid w:val="4E41243B"/>
    <w:rsid w:val="4E676345"/>
    <w:rsid w:val="4E6C17FA"/>
    <w:rsid w:val="4E8B5D8F"/>
    <w:rsid w:val="4E943545"/>
    <w:rsid w:val="4EB86BA1"/>
    <w:rsid w:val="4ECC43FA"/>
    <w:rsid w:val="4EE94FAC"/>
    <w:rsid w:val="4F0B3CA6"/>
    <w:rsid w:val="4F107345"/>
    <w:rsid w:val="4F1847B3"/>
    <w:rsid w:val="4F2314B3"/>
    <w:rsid w:val="4F3B50DC"/>
    <w:rsid w:val="4F5D5052"/>
    <w:rsid w:val="4F691C49"/>
    <w:rsid w:val="4F813436"/>
    <w:rsid w:val="4FB619EF"/>
    <w:rsid w:val="4FBD1F95"/>
    <w:rsid w:val="4FC861DA"/>
    <w:rsid w:val="4FFB544B"/>
    <w:rsid w:val="500A342C"/>
    <w:rsid w:val="500D6A78"/>
    <w:rsid w:val="500F69BB"/>
    <w:rsid w:val="50406E4E"/>
    <w:rsid w:val="505B77CA"/>
    <w:rsid w:val="50970A38"/>
    <w:rsid w:val="509B22D6"/>
    <w:rsid w:val="50A126B7"/>
    <w:rsid w:val="50A82C45"/>
    <w:rsid w:val="50AE094F"/>
    <w:rsid w:val="50DB294E"/>
    <w:rsid w:val="50DC3D6E"/>
    <w:rsid w:val="510936E3"/>
    <w:rsid w:val="510A2FB8"/>
    <w:rsid w:val="51145BE4"/>
    <w:rsid w:val="511856D5"/>
    <w:rsid w:val="51321C80"/>
    <w:rsid w:val="515661FD"/>
    <w:rsid w:val="516A3A56"/>
    <w:rsid w:val="517255BD"/>
    <w:rsid w:val="517B5C63"/>
    <w:rsid w:val="518C4D4D"/>
    <w:rsid w:val="51A46F68"/>
    <w:rsid w:val="51B13335"/>
    <w:rsid w:val="51D75590"/>
    <w:rsid w:val="521D3CB5"/>
    <w:rsid w:val="523302EC"/>
    <w:rsid w:val="52426781"/>
    <w:rsid w:val="52454FAD"/>
    <w:rsid w:val="524B15B3"/>
    <w:rsid w:val="528374C6"/>
    <w:rsid w:val="528B1ED6"/>
    <w:rsid w:val="52A70D2C"/>
    <w:rsid w:val="52BE405A"/>
    <w:rsid w:val="52E361B6"/>
    <w:rsid w:val="52E837CD"/>
    <w:rsid w:val="52FB52AE"/>
    <w:rsid w:val="531210C9"/>
    <w:rsid w:val="532742F5"/>
    <w:rsid w:val="53607807"/>
    <w:rsid w:val="538434F5"/>
    <w:rsid w:val="538A03E0"/>
    <w:rsid w:val="539835FD"/>
    <w:rsid w:val="53A2397B"/>
    <w:rsid w:val="53B92A73"/>
    <w:rsid w:val="53BB67EB"/>
    <w:rsid w:val="53C71634"/>
    <w:rsid w:val="53D224B3"/>
    <w:rsid w:val="53EB1FF8"/>
    <w:rsid w:val="53EC2E48"/>
    <w:rsid w:val="53F45760"/>
    <w:rsid w:val="5406215C"/>
    <w:rsid w:val="547B176D"/>
    <w:rsid w:val="547C41CC"/>
    <w:rsid w:val="549E694A"/>
    <w:rsid w:val="54A379AB"/>
    <w:rsid w:val="54B27BEE"/>
    <w:rsid w:val="54BD0C40"/>
    <w:rsid w:val="54D659D2"/>
    <w:rsid w:val="54F75F49"/>
    <w:rsid w:val="54FC355F"/>
    <w:rsid w:val="55284354"/>
    <w:rsid w:val="55432F3C"/>
    <w:rsid w:val="554A42CB"/>
    <w:rsid w:val="5560589C"/>
    <w:rsid w:val="556C4241"/>
    <w:rsid w:val="5579695E"/>
    <w:rsid w:val="558C043F"/>
    <w:rsid w:val="559807C9"/>
    <w:rsid w:val="55A133E3"/>
    <w:rsid w:val="55B87486"/>
    <w:rsid w:val="55C404FA"/>
    <w:rsid w:val="55C45E2B"/>
    <w:rsid w:val="55CC345F"/>
    <w:rsid w:val="55F04E72"/>
    <w:rsid w:val="56203207"/>
    <w:rsid w:val="562A2C28"/>
    <w:rsid w:val="562C2ED7"/>
    <w:rsid w:val="564D4072"/>
    <w:rsid w:val="56610227"/>
    <w:rsid w:val="567B54EE"/>
    <w:rsid w:val="567C4958"/>
    <w:rsid w:val="56846C29"/>
    <w:rsid w:val="5689497F"/>
    <w:rsid w:val="56917593"/>
    <w:rsid w:val="56A703F5"/>
    <w:rsid w:val="56C97471"/>
    <w:rsid w:val="56D64EB7"/>
    <w:rsid w:val="56E314E0"/>
    <w:rsid w:val="57282705"/>
    <w:rsid w:val="574C75A3"/>
    <w:rsid w:val="574D2F08"/>
    <w:rsid w:val="5774562F"/>
    <w:rsid w:val="57754BF2"/>
    <w:rsid w:val="57B10631"/>
    <w:rsid w:val="57BD6FD6"/>
    <w:rsid w:val="57CA16F3"/>
    <w:rsid w:val="57CA3880"/>
    <w:rsid w:val="57E417E0"/>
    <w:rsid w:val="57EE53E1"/>
    <w:rsid w:val="57F32A52"/>
    <w:rsid w:val="57FE50EE"/>
    <w:rsid w:val="58073B8C"/>
    <w:rsid w:val="580E7831"/>
    <w:rsid w:val="58256929"/>
    <w:rsid w:val="583F3E8F"/>
    <w:rsid w:val="58A40196"/>
    <w:rsid w:val="58BF0B2C"/>
    <w:rsid w:val="58D67320"/>
    <w:rsid w:val="58F534B4"/>
    <w:rsid w:val="593432C8"/>
    <w:rsid w:val="593E026C"/>
    <w:rsid w:val="593E5EF4"/>
    <w:rsid w:val="593F3A1A"/>
    <w:rsid w:val="594D6137"/>
    <w:rsid w:val="5989503C"/>
    <w:rsid w:val="59977C6E"/>
    <w:rsid w:val="599B50F5"/>
    <w:rsid w:val="59A25D4A"/>
    <w:rsid w:val="59AA17DC"/>
    <w:rsid w:val="59B14918"/>
    <w:rsid w:val="59B15C2B"/>
    <w:rsid w:val="59B25F2D"/>
    <w:rsid w:val="59D86349"/>
    <w:rsid w:val="59DB3743"/>
    <w:rsid w:val="59DD0C04"/>
    <w:rsid w:val="59EC76FE"/>
    <w:rsid w:val="5A034978"/>
    <w:rsid w:val="5A040EEC"/>
    <w:rsid w:val="5A16280E"/>
    <w:rsid w:val="5A1B5A10"/>
    <w:rsid w:val="5A266807"/>
    <w:rsid w:val="5A2C21F1"/>
    <w:rsid w:val="5A6977D7"/>
    <w:rsid w:val="5A6E45B7"/>
    <w:rsid w:val="5A963B0E"/>
    <w:rsid w:val="5AA955EF"/>
    <w:rsid w:val="5ACC2E57"/>
    <w:rsid w:val="5AEB3E5A"/>
    <w:rsid w:val="5B044F1C"/>
    <w:rsid w:val="5B070568"/>
    <w:rsid w:val="5B1C2265"/>
    <w:rsid w:val="5B2E3D47"/>
    <w:rsid w:val="5B33135D"/>
    <w:rsid w:val="5B435A44"/>
    <w:rsid w:val="5B4672E2"/>
    <w:rsid w:val="5B4A6DD2"/>
    <w:rsid w:val="5B572513"/>
    <w:rsid w:val="5B773CF2"/>
    <w:rsid w:val="5B953DC6"/>
    <w:rsid w:val="5B9B5880"/>
    <w:rsid w:val="5BB7600F"/>
    <w:rsid w:val="5BCD355F"/>
    <w:rsid w:val="5BF037E6"/>
    <w:rsid w:val="5BFD3E45"/>
    <w:rsid w:val="5C0F2714"/>
    <w:rsid w:val="5C2A09B2"/>
    <w:rsid w:val="5C3A263A"/>
    <w:rsid w:val="5C4A4BB0"/>
    <w:rsid w:val="5C531CB7"/>
    <w:rsid w:val="5C814A76"/>
    <w:rsid w:val="5CAE513F"/>
    <w:rsid w:val="5CAF25EE"/>
    <w:rsid w:val="5CAF7F16"/>
    <w:rsid w:val="5CBE74EA"/>
    <w:rsid w:val="5CC56713"/>
    <w:rsid w:val="5CC71DD8"/>
    <w:rsid w:val="5CCE3A33"/>
    <w:rsid w:val="5CD66444"/>
    <w:rsid w:val="5CF82EF2"/>
    <w:rsid w:val="5CF9414D"/>
    <w:rsid w:val="5CF9552F"/>
    <w:rsid w:val="5D0631CD"/>
    <w:rsid w:val="5D0B433F"/>
    <w:rsid w:val="5D17501F"/>
    <w:rsid w:val="5D213B63"/>
    <w:rsid w:val="5D2E44D2"/>
    <w:rsid w:val="5D3C6BEF"/>
    <w:rsid w:val="5D431D2B"/>
    <w:rsid w:val="5D4569AE"/>
    <w:rsid w:val="5D5E0913"/>
    <w:rsid w:val="5D6F2B20"/>
    <w:rsid w:val="5D79399F"/>
    <w:rsid w:val="5D7C6FEB"/>
    <w:rsid w:val="5D883BE2"/>
    <w:rsid w:val="5D9B5E1F"/>
    <w:rsid w:val="5DA36C6E"/>
    <w:rsid w:val="5DAF116F"/>
    <w:rsid w:val="5DB426F2"/>
    <w:rsid w:val="5DF11787"/>
    <w:rsid w:val="5E0771FD"/>
    <w:rsid w:val="5E2733FB"/>
    <w:rsid w:val="5E647215"/>
    <w:rsid w:val="5E6F6B70"/>
    <w:rsid w:val="5E7128C8"/>
    <w:rsid w:val="5E785A05"/>
    <w:rsid w:val="5E7E5BC7"/>
    <w:rsid w:val="5EA467FA"/>
    <w:rsid w:val="5EAC5CC5"/>
    <w:rsid w:val="5EBB3B43"/>
    <w:rsid w:val="5EC24ED2"/>
    <w:rsid w:val="5ECF669A"/>
    <w:rsid w:val="5EF64B7B"/>
    <w:rsid w:val="5F131BD1"/>
    <w:rsid w:val="5F1C68EB"/>
    <w:rsid w:val="5F304531"/>
    <w:rsid w:val="5F3A658F"/>
    <w:rsid w:val="5F4B6DF9"/>
    <w:rsid w:val="5F5244A8"/>
    <w:rsid w:val="5F5E109E"/>
    <w:rsid w:val="5F675CE8"/>
    <w:rsid w:val="5F6D7533"/>
    <w:rsid w:val="5F904FD0"/>
    <w:rsid w:val="5F9E101E"/>
    <w:rsid w:val="5FD80582"/>
    <w:rsid w:val="5FE377F5"/>
    <w:rsid w:val="60326087"/>
    <w:rsid w:val="603E7754"/>
    <w:rsid w:val="604D407A"/>
    <w:rsid w:val="605E0C2A"/>
    <w:rsid w:val="6061582C"/>
    <w:rsid w:val="60787F3E"/>
    <w:rsid w:val="60940AF0"/>
    <w:rsid w:val="609D64AA"/>
    <w:rsid w:val="60A27B32"/>
    <w:rsid w:val="60BE5D83"/>
    <w:rsid w:val="60DD3A26"/>
    <w:rsid w:val="60E51508"/>
    <w:rsid w:val="60F82E2D"/>
    <w:rsid w:val="60FC0223"/>
    <w:rsid w:val="614A3DAA"/>
    <w:rsid w:val="6155027F"/>
    <w:rsid w:val="616821E1"/>
    <w:rsid w:val="61730B8F"/>
    <w:rsid w:val="618463A2"/>
    <w:rsid w:val="618741B1"/>
    <w:rsid w:val="61B2747F"/>
    <w:rsid w:val="61B90451"/>
    <w:rsid w:val="61DE0274"/>
    <w:rsid w:val="61E73B15"/>
    <w:rsid w:val="61EA259B"/>
    <w:rsid w:val="61EB473F"/>
    <w:rsid w:val="622540F5"/>
    <w:rsid w:val="623B7475"/>
    <w:rsid w:val="62405FC3"/>
    <w:rsid w:val="62482F7C"/>
    <w:rsid w:val="62677DAD"/>
    <w:rsid w:val="6281113E"/>
    <w:rsid w:val="62854B94"/>
    <w:rsid w:val="62935219"/>
    <w:rsid w:val="62CD6AEC"/>
    <w:rsid w:val="62D94595"/>
    <w:rsid w:val="63103C43"/>
    <w:rsid w:val="631E6C0A"/>
    <w:rsid w:val="633B34A5"/>
    <w:rsid w:val="6347009B"/>
    <w:rsid w:val="63566066"/>
    <w:rsid w:val="63901A42"/>
    <w:rsid w:val="63C45248"/>
    <w:rsid w:val="63C60FC0"/>
    <w:rsid w:val="63CB65D6"/>
    <w:rsid w:val="63D41366"/>
    <w:rsid w:val="640E2967"/>
    <w:rsid w:val="64153CF6"/>
    <w:rsid w:val="6419594B"/>
    <w:rsid w:val="64264155"/>
    <w:rsid w:val="644C769A"/>
    <w:rsid w:val="64520AA6"/>
    <w:rsid w:val="64664551"/>
    <w:rsid w:val="647153D0"/>
    <w:rsid w:val="64805613"/>
    <w:rsid w:val="6486074F"/>
    <w:rsid w:val="64B96D77"/>
    <w:rsid w:val="64BB2AEF"/>
    <w:rsid w:val="64CB26DD"/>
    <w:rsid w:val="64FD6C64"/>
    <w:rsid w:val="650171EE"/>
    <w:rsid w:val="65055B18"/>
    <w:rsid w:val="65297A59"/>
    <w:rsid w:val="65433804"/>
    <w:rsid w:val="65556AA0"/>
    <w:rsid w:val="65684D07"/>
    <w:rsid w:val="657D2B9C"/>
    <w:rsid w:val="6593581A"/>
    <w:rsid w:val="65956E9C"/>
    <w:rsid w:val="65A215B9"/>
    <w:rsid w:val="65BD63F3"/>
    <w:rsid w:val="65D406EA"/>
    <w:rsid w:val="66542B2C"/>
    <w:rsid w:val="665723A3"/>
    <w:rsid w:val="667B400E"/>
    <w:rsid w:val="66911D59"/>
    <w:rsid w:val="66E005EB"/>
    <w:rsid w:val="66E53E53"/>
    <w:rsid w:val="66E55C01"/>
    <w:rsid w:val="66EA7812"/>
    <w:rsid w:val="6704527C"/>
    <w:rsid w:val="673F1F3F"/>
    <w:rsid w:val="673F79B4"/>
    <w:rsid w:val="67442824"/>
    <w:rsid w:val="674A1F08"/>
    <w:rsid w:val="67795693"/>
    <w:rsid w:val="677A0A3F"/>
    <w:rsid w:val="67987117"/>
    <w:rsid w:val="67A43BE0"/>
    <w:rsid w:val="67AB6E4B"/>
    <w:rsid w:val="67B37F71"/>
    <w:rsid w:val="67CE6C86"/>
    <w:rsid w:val="67D31319"/>
    <w:rsid w:val="67D72D6F"/>
    <w:rsid w:val="67DC6D5A"/>
    <w:rsid w:val="67E206D5"/>
    <w:rsid w:val="683E4D48"/>
    <w:rsid w:val="685A261F"/>
    <w:rsid w:val="6865349E"/>
    <w:rsid w:val="68655F18"/>
    <w:rsid w:val="68B00491"/>
    <w:rsid w:val="68C14BF3"/>
    <w:rsid w:val="68FA309F"/>
    <w:rsid w:val="68FB170C"/>
    <w:rsid w:val="68FE0507"/>
    <w:rsid w:val="69034A64"/>
    <w:rsid w:val="690F3409"/>
    <w:rsid w:val="69272501"/>
    <w:rsid w:val="692C5D69"/>
    <w:rsid w:val="692E7D33"/>
    <w:rsid w:val="692F7608"/>
    <w:rsid w:val="69401815"/>
    <w:rsid w:val="694A487B"/>
    <w:rsid w:val="694D6631"/>
    <w:rsid w:val="695025CA"/>
    <w:rsid w:val="6958090C"/>
    <w:rsid w:val="695928D6"/>
    <w:rsid w:val="69765236"/>
    <w:rsid w:val="698E07D2"/>
    <w:rsid w:val="69AB0D0D"/>
    <w:rsid w:val="69B27B43"/>
    <w:rsid w:val="69BE0005"/>
    <w:rsid w:val="69DF2DDC"/>
    <w:rsid w:val="69EA352F"/>
    <w:rsid w:val="69EB2192"/>
    <w:rsid w:val="6A026ACA"/>
    <w:rsid w:val="6A3C0286"/>
    <w:rsid w:val="6A570136"/>
    <w:rsid w:val="6A695DCD"/>
    <w:rsid w:val="6A731776"/>
    <w:rsid w:val="6A753740"/>
    <w:rsid w:val="6A7A6FA8"/>
    <w:rsid w:val="6A7E2C0A"/>
    <w:rsid w:val="6A802F8E"/>
    <w:rsid w:val="6AAD4C88"/>
    <w:rsid w:val="6ABA55F7"/>
    <w:rsid w:val="6AC10733"/>
    <w:rsid w:val="6ACD7255"/>
    <w:rsid w:val="6AD2649C"/>
    <w:rsid w:val="6AE17565"/>
    <w:rsid w:val="6AF01018"/>
    <w:rsid w:val="6AFE3735"/>
    <w:rsid w:val="6B2111D2"/>
    <w:rsid w:val="6B361E7E"/>
    <w:rsid w:val="6B3C7DBA"/>
    <w:rsid w:val="6B3D4EC2"/>
    <w:rsid w:val="6B43383E"/>
    <w:rsid w:val="6B623CC4"/>
    <w:rsid w:val="6B6F63E1"/>
    <w:rsid w:val="6B8071BE"/>
    <w:rsid w:val="6BB16221"/>
    <w:rsid w:val="6BE40B7D"/>
    <w:rsid w:val="6BE45953"/>
    <w:rsid w:val="6BE94F3A"/>
    <w:rsid w:val="6BF40694"/>
    <w:rsid w:val="6C061F17"/>
    <w:rsid w:val="6C0E5BFA"/>
    <w:rsid w:val="6C150D37"/>
    <w:rsid w:val="6C2F1E55"/>
    <w:rsid w:val="6C376EFF"/>
    <w:rsid w:val="6C661592"/>
    <w:rsid w:val="6C741E4F"/>
    <w:rsid w:val="6C787517"/>
    <w:rsid w:val="6C914D27"/>
    <w:rsid w:val="6CAA6CFE"/>
    <w:rsid w:val="6CC369E5"/>
    <w:rsid w:val="6CDC7AA6"/>
    <w:rsid w:val="6D013FEB"/>
    <w:rsid w:val="6D1930EC"/>
    <w:rsid w:val="6D2F407A"/>
    <w:rsid w:val="6DA71186"/>
    <w:rsid w:val="6DB30918"/>
    <w:rsid w:val="6DB620A5"/>
    <w:rsid w:val="6DC42A14"/>
    <w:rsid w:val="6DCF4F15"/>
    <w:rsid w:val="6DD036A3"/>
    <w:rsid w:val="6DE81D0F"/>
    <w:rsid w:val="6DE85FD7"/>
    <w:rsid w:val="6DF76B0A"/>
    <w:rsid w:val="6E054DB3"/>
    <w:rsid w:val="6E0D5EB7"/>
    <w:rsid w:val="6E1A0994"/>
    <w:rsid w:val="6E7004A6"/>
    <w:rsid w:val="6EBD3E7A"/>
    <w:rsid w:val="6EBD700A"/>
    <w:rsid w:val="6EC72090"/>
    <w:rsid w:val="6ED53771"/>
    <w:rsid w:val="6EFD2502"/>
    <w:rsid w:val="6F082DD5"/>
    <w:rsid w:val="6F1352D6"/>
    <w:rsid w:val="6F5B1156"/>
    <w:rsid w:val="6F5E1724"/>
    <w:rsid w:val="6F6618A9"/>
    <w:rsid w:val="6F71097A"/>
    <w:rsid w:val="6F743FC6"/>
    <w:rsid w:val="6F783707"/>
    <w:rsid w:val="6F7D7049"/>
    <w:rsid w:val="6F963F3C"/>
    <w:rsid w:val="6FE1043B"/>
    <w:rsid w:val="6FF670D1"/>
    <w:rsid w:val="700B760E"/>
    <w:rsid w:val="700D7F77"/>
    <w:rsid w:val="701C72EB"/>
    <w:rsid w:val="703B0F88"/>
    <w:rsid w:val="703B4AE4"/>
    <w:rsid w:val="706E310B"/>
    <w:rsid w:val="70794B97"/>
    <w:rsid w:val="70860455"/>
    <w:rsid w:val="70860D62"/>
    <w:rsid w:val="70891C83"/>
    <w:rsid w:val="708C17E3"/>
    <w:rsid w:val="70981F36"/>
    <w:rsid w:val="70CD6084"/>
    <w:rsid w:val="70D016D0"/>
    <w:rsid w:val="70ED2282"/>
    <w:rsid w:val="70F35BF8"/>
    <w:rsid w:val="71160F53"/>
    <w:rsid w:val="711A0B9D"/>
    <w:rsid w:val="713C4FB8"/>
    <w:rsid w:val="71491244"/>
    <w:rsid w:val="714B51FB"/>
    <w:rsid w:val="71582A07"/>
    <w:rsid w:val="717943B6"/>
    <w:rsid w:val="71916F49"/>
    <w:rsid w:val="71A33B87"/>
    <w:rsid w:val="71AB63BC"/>
    <w:rsid w:val="71AE4713"/>
    <w:rsid w:val="71B27028"/>
    <w:rsid w:val="71D25565"/>
    <w:rsid w:val="71D945B4"/>
    <w:rsid w:val="71F11C1F"/>
    <w:rsid w:val="72225745"/>
    <w:rsid w:val="723314F1"/>
    <w:rsid w:val="724A62A9"/>
    <w:rsid w:val="72646574"/>
    <w:rsid w:val="727F33AE"/>
    <w:rsid w:val="72802C82"/>
    <w:rsid w:val="72A8433C"/>
    <w:rsid w:val="72AA7CFF"/>
    <w:rsid w:val="72BD1CA1"/>
    <w:rsid w:val="72C07522"/>
    <w:rsid w:val="72D468CD"/>
    <w:rsid w:val="73156124"/>
    <w:rsid w:val="731A30D6"/>
    <w:rsid w:val="7320374B"/>
    <w:rsid w:val="73426189"/>
    <w:rsid w:val="734C0DB6"/>
    <w:rsid w:val="73584999"/>
    <w:rsid w:val="735A3B0C"/>
    <w:rsid w:val="7361796E"/>
    <w:rsid w:val="737427E7"/>
    <w:rsid w:val="737C78ED"/>
    <w:rsid w:val="739369E5"/>
    <w:rsid w:val="739B4217"/>
    <w:rsid w:val="73AD5CF9"/>
    <w:rsid w:val="73D94D40"/>
    <w:rsid w:val="740D2C3B"/>
    <w:rsid w:val="742E508B"/>
    <w:rsid w:val="744877CF"/>
    <w:rsid w:val="74692D8A"/>
    <w:rsid w:val="74716D26"/>
    <w:rsid w:val="74933140"/>
    <w:rsid w:val="74B81FE2"/>
    <w:rsid w:val="74B86703"/>
    <w:rsid w:val="74BD1F6B"/>
    <w:rsid w:val="74CE23CA"/>
    <w:rsid w:val="74E813D5"/>
    <w:rsid w:val="74FF4332"/>
    <w:rsid w:val="750E0AAE"/>
    <w:rsid w:val="751C1388"/>
    <w:rsid w:val="75581C94"/>
    <w:rsid w:val="755F3023"/>
    <w:rsid w:val="75874327"/>
    <w:rsid w:val="75995FB8"/>
    <w:rsid w:val="75A1188D"/>
    <w:rsid w:val="75B50E95"/>
    <w:rsid w:val="75CA0DE4"/>
    <w:rsid w:val="75CD4430"/>
    <w:rsid w:val="75D25EEA"/>
    <w:rsid w:val="75F75951"/>
    <w:rsid w:val="75FC4D15"/>
    <w:rsid w:val="75FE0A8D"/>
    <w:rsid w:val="76097029"/>
    <w:rsid w:val="76133C04"/>
    <w:rsid w:val="764A4CEF"/>
    <w:rsid w:val="766C1E9B"/>
    <w:rsid w:val="76880357"/>
    <w:rsid w:val="769D2054"/>
    <w:rsid w:val="76AA4771"/>
    <w:rsid w:val="76CC0B8C"/>
    <w:rsid w:val="76E13170"/>
    <w:rsid w:val="76E311A3"/>
    <w:rsid w:val="772938E8"/>
    <w:rsid w:val="7734344E"/>
    <w:rsid w:val="774424D0"/>
    <w:rsid w:val="77813724"/>
    <w:rsid w:val="77972F48"/>
    <w:rsid w:val="7798554B"/>
    <w:rsid w:val="77A2369A"/>
    <w:rsid w:val="77B561D9"/>
    <w:rsid w:val="77CB0E43"/>
    <w:rsid w:val="77E141C3"/>
    <w:rsid w:val="77F008AA"/>
    <w:rsid w:val="78054355"/>
    <w:rsid w:val="78202F3D"/>
    <w:rsid w:val="782347DB"/>
    <w:rsid w:val="78300CA6"/>
    <w:rsid w:val="783267CC"/>
    <w:rsid w:val="783951EC"/>
    <w:rsid w:val="783C3AEF"/>
    <w:rsid w:val="783E1615"/>
    <w:rsid w:val="78484242"/>
    <w:rsid w:val="78485FF0"/>
    <w:rsid w:val="786646C8"/>
    <w:rsid w:val="78670B6C"/>
    <w:rsid w:val="786C4C30"/>
    <w:rsid w:val="7874661E"/>
    <w:rsid w:val="78827754"/>
    <w:rsid w:val="78B91B03"/>
    <w:rsid w:val="78BE2756"/>
    <w:rsid w:val="78D12489"/>
    <w:rsid w:val="78EA354B"/>
    <w:rsid w:val="79711576"/>
    <w:rsid w:val="7973634F"/>
    <w:rsid w:val="797F0066"/>
    <w:rsid w:val="79862855"/>
    <w:rsid w:val="79AB7B9C"/>
    <w:rsid w:val="79C36276"/>
    <w:rsid w:val="79D33BD7"/>
    <w:rsid w:val="79E65AC0"/>
    <w:rsid w:val="7A010B4C"/>
    <w:rsid w:val="7A0712A8"/>
    <w:rsid w:val="7A1A5F3C"/>
    <w:rsid w:val="7A293BFF"/>
    <w:rsid w:val="7A2E3F8E"/>
    <w:rsid w:val="7A440A39"/>
    <w:rsid w:val="7A486B67"/>
    <w:rsid w:val="7A5C5D83"/>
    <w:rsid w:val="7A63380E"/>
    <w:rsid w:val="7A7C01D3"/>
    <w:rsid w:val="7A7E002C"/>
    <w:rsid w:val="7A8734B8"/>
    <w:rsid w:val="7A8A6D94"/>
    <w:rsid w:val="7A911ED0"/>
    <w:rsid w:val="7AB64546"/>
    <w:rsid w:val="7AC04563"/>
    <w:rsid w:val="7ACB4729"/>
    <w:rsid w:val="7AE220D3"/>
    <w:rsid w:val="7AE70BAE"/>
    <w:rsid w:val="7AEA7832"/>
    <w:rsid w:val="7AEC455F"/>
    <w:rsid w:val="7B05466C"/>
    <w:rsid w:val="7B0703E4"/>
    <w:rsid w:val="7B197943"/>
    <w:rsid w:val="7B4D1357"/>
    <w:rsid w:val="7B641393"/>
    <w:rsid w:val="7B6E2F9B"/>
    <w:rsid w:val="7B89704B"/>
    <w:rsid w:val="7B98702C"/>
    <w:rsid w:val="7BC71922"/>
    <w:rsid w:val="7BC77B74"/>
    <w:rsid w:val="7BD04C7A"/>
    <w:rsid w:val="7BD57CCF"/>
    <w:rsid w:val="7BF85AB6"/>
    <w:rsid w:val="7C022E76"/>
    <w:rsid w:val="7C213B75"/>
    <w:rsid w:val="7C305719"/>
    <w:rsid w:val="7C3163FF"/>
    <w:rsid w:val="7C896BD7"/>
    <w:rsid w:val="7C8B6DF3"/>
    <w:rsid w:val="7C8D6749"/>
    <w:rsid w:val="7CA61385"/>
    <w:rsid w:val="7CB718F6"/>
    <w:rsid w:val="7CCC0C02"/>
    <w:rsid w:val="7CE24C65"/>
    <w:rsid w:val="7CE64C01"/>
    <w:rsid w:val="7CFB7AD5"/>
    <w:rsid w:val="7D07647A"/>
    <w:rsid w:val="7D0E5A5A"/>
    <w:rsid w:val="7D123C1F"/>
    <w:rsid w:val="7D1467DB"/>
    <w:rsid w:val="7D2C7C8E"/>
    <w:rsid w:val="7D625DA6"/>
    <w:rsid w:val="7D871368"/>
    <w:rsid w:val="7D8B70AB"/>
    <w:rsid w:val="7D931348"/>
    <w:rsid w:val="7DC12ACC"/>
    <w:rsid w:val="7DD32800"/>
    <w:rsid w:val="7DF14781"/>
    <w:rsid w:val="7DFA2E1C"/>
    <w:rsid w:val="7E0D3978"/>
    <w:rsid w:val="7E3A287F"/>
    <w:rsid w:val="7E3F7E95"/>
    <w:rsid w:val="7E6873EC"/>
    <w:rsid w:val="7E9E4BBC"/>
    <w:rsid w:val="7EB10D93"/>
    <w:rsid w:val="7EB459DD"/>
    <w:rsid w:val="7ECD724F"/>
    <w:rsid w:val="7EE22D5E"/>
    <w:rsid w:val="7EF02C27"/>
    <w:rsid w:val="7EF91AB2"/>
    <w:rsid w:val="7EFB3E85"/>
    <w:rsid w:val="7F016EF9"/>
    <w:rsid w:val="7F030EC3"/>
    <w:rsid w:val="7F0E20E8"/>
    <w:rsid w:val="7F177E9D"/>
    <w:rsid w:val="7F2729DE"/>
    <w:rsid w:val="7F390D88"/>
    <w:rsid w:val="7F841BB1"/>
    <w:rsid w:val="7F8C2C66"/>
    <w:rsid w:val="7FCF1996"/>
    <w:rsid w:val="7FD17D13"/>
    <w:rsid w:val="7FD7406F"/>
    <w:rsid w:val="7FDF106F"/>
    <w:rsid w:val="7FF1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paragraph" w:styleId="5">
    <w:name w:val="heading 4"/>
    <w:basedOn w:val="1"/>
    <w:next w:val="1"/>
    <w:link w:val="56"/>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6">
    <w:name w:val="heading 5"/>
    <w:basedOn w:val="1"/>
    <w:next w:val="1"/>
    <w:link w:val="5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59"/>
    <w:qFormat/>
    <w:uiPriority w:val="0"/>
    <w:pPr>
      <w:keepNext/>
      <w:keepLines/>
      <w:spacing w:before="240" w:after="64" w:line="320" w:lineRule="auto"/>
      <w:outlineLvl w:val="6"/>
    </w:pPr>
    <w:rPr>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1260"/>
      <w:jc w:val="left"/>
    </w:pPr>
    <w:rPr>
      <w:sz w:val="18"/>
      <w:szCs w:val="18"/>
    </w:rPr>
  </w:style>
  <w:style w:type="paragraph" w:styleId="10">
    <w:name w:val="List Number 2"/>
    <w:basedOn w:val="1"/>
    <w:qFormat/>
    <w:uiPriority w:val="0"/>
    <w:pPr>
      <w:numPr>
        <w:ilvl w:val="0"/>
        <w:numId w:val="2"/>
      </w:numPr>
      <w:tabs>
        <w:tab w:val="left" w:pos="567"/>
        <w:tab w:val="clear" w:pos="425"/>
      </w:tabs>
      <w:adjustRightInd w:val="0"/>
      <w:spacing w:line="300" w:lineRule="auto"/>
      <w:textAlignment w:val="baseline"/>
    </w:pPr>
    <w:rPr>
      <w:kern w:val="0"/>
      <w:sz w:val="28"/>
      <w:szCs w:val="20"/>
    </w:rPr>
  </w:style>
  <w:style w:type="paragraph" w:styleId="11">
    <w:name w:val="Normal Indent"/>
    <w:basedOn w:val="1"/>
    <w:next w:val="12"/>
    <w:qFormat/>
    <w:uiPriority w:val="0"/>
    <w:pPr>
      <w:adjustRightInd w:val="0"/>
      <w:spacing w:line="360" w:lineRule="atLeast"/>
      <w:ind w:firstLine="482"/>
      <w:textAlignment w:val="baseline"/>
    </w:pPr>
    <w:rPr>
      <w:kern w:val="0"/>
      <w:sz w:val="24"/>
      <w:szCs w:val="20"/>
    </w:rPr>
  </w:style>
  <w:style w:type="paragraph" w:styleId="12">
    <w:name w:val="Body Text First Indent 2"/>
    <w:basedOn w:val="13"/>
    <w:next w:val="1"/>
    <w:link w:val="54"/>
    <w:qFormat/>
    <w:uiPriority w:val="0"/>
    <w:pPr>
      <w:ind w:left="420" w:firstLine="420" w:firstLineChars="200"/>
    </w:pPr>
    <w:rPr>
      <w:kern w:val="0"/>
      <w:sz w:val="20"/>
      <w:szCs w:val="20"/>
    </w:rPr>
  </w:style>
  <w:style w:type="paragraph" w:styleId="13">
    <w:name w:val="Body Text Indent"/>
    <w:basedOn w:val="1"/>
    <w:next w:val="14"/>
    <w:link w:val="53"/>
    <w:qFormat/>
    <w:uiPriority w:val="0"/>
    <w:pPr>
      <w:spacing w:after="120"/>
      <w:ind w:left="200" w:leftChars="200"/>
    </w:pPr>
  </w:style>
  <w:style w:type="paragraph" w:styleId="14">
    <w:name w:val="envelope return"/>
    <w:basedOn w:val="1"/>
    <w:next w:val="9"/>
    <w:qFormat/>
    <w:uiPriority w:val="0"/>
    <w:pPr>
      <w:snapToGrid w:val="0"/>
    </w:pPr>
    <w:rPr>
      <w:rFonts w:ascii="Arial" w:hAnsi="Arial"/>
    </w:rPr>
  </w:style>
  <w:style w:type="paragraph" w:styleId="15">
    <w:name w:val="Document Map"/>
    <w:basedOn w:val="1"/>
    <w:next w:val="1"/>
    <w:qFormat/>
    <w:uiPriority w:val="0"/>
    <w:pPr>
      <w:widowControl/>
      <w:shd w:val="clear" w:color="000000" w:fill="000080"/>
      <w:spacing w:line="357" w:lineRule="atLeast"/>
    </w:pPr>
    <w:rPr>
      <w:color w:val="000000"/>
    </w:rPr>
  </w:style>
  <w:style w:type="paragraph" w:styleId="16">
    <w:name w:val="annotation text"/>
    <w:basedOn w:val="1"/>
    <w:link w:val="60"/>
    <w:qFormat/>
    <w:uiPriority w:val="0"/>
    <w:pPr>
      <w:jc w:val="left"/>
    </w:pPr>
  </w:style>
  <w:style w:type="paragraph" w:styleId="17">
    <w:name w:val="Body Text"/>
    <w:basedOn w:val="1"/>
    <w:qFormat/>
    <w:uiPriority w:val="0"/>
    <w:pPr>
      <w:spacing w:after="120"/>
    </w:pPr>
  </w:style>
  <w:style w:type="paragraph" w:styleId="18">
    <w:name w:val="toc 3"/>
    <w:basedOn w:val="1"/>
    <w:next w:val="1"/>
    <w:qFormat/>
    <w:uiPriority w:val="0"/>
    <w:pPr>
      <w:tabs>
        <w:tab w:val="right" w:leader="dot" w:pos="9288"/>
      </w:tabs>
      <w:ind w:left="400" w:leftChars="400"/>
    </w:pPr>
    <w:rPr>
      <w:rFonts w:ascii="宋体"/>
    </w:rPr>
  </w:style>
  <w:style w:type="paragraph" w:styleId="19">
    <w:name w:val="Plain Text"/>
    <w:basedOn w:val="1"/>
    <w:link w:val="61"/>
    <w:qFormat/>
    <w:uiPriority w:val="0"/>
    <w:rPr>
      <w:rFonts w:ascii="宋体"/>
      <w:color w:val="000000"/>
      <w:szCs w:val="20"/>
      <w:u w:color="000000"/>
    </w:rPr>
  </w:style>
  <w:style w:type="paragraph" w:styleId="20">
    <w:name w:val="Date"/>
    <w:basedOn w:val="1"/>
    <w:next w:val="1"/>
    <w:link w:val="62"/>
    <w:qFormat/>
    <w:uiPriority w:val="0"/>
    <w:rPr>
      <w:rFonts w:ascii="Arial" w:hAnsi="Arial" w:eastAsia="仿宋_GB2312"/>
      <w:color w:val="000000"/>
      <w:sz w:val="32"/>
      <w:szCs w:val="20"/>
      <w:u w:color="000000"/>
    </w:rPr>
  </w:style>
  <w:style w:type="paragraph" w:styleId="21">
    <w:name w:val="Body Text Indent 2"/>
    <w:basedOn w:val="1"/>
    <w:link w:val="63"/>
    <w:qFormat/>
    <w:uiPriority w:val="0"/>
    <w:pPr>
      <w:spacing w:after="120" w:line="480" w:lineRule="auto"/>
      <w:ind w:left="420" w:leftChars="200"/>
    </w:pPr>
  </w:style>
  <w:style w:type="paragraph" w:styleId="22">
    <w:name w:val="Balloon Text"/>
    <w:basedOn w:val="1"/>
    <w:link w:val="64"/>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bCs/>
      <w:kern w:val="28"/>
      <w:szCs w:val="32"/>
    </w:rPr>
  </w:style>
  <w:style w:type="paragraph" w:styleId="27">
    <w:name w:val="List"/>
    <w:basedOn w:val="1"/>
    <w:next w:val="1"/>
    <w:qFormat/>
    <w:uiPriority w:val="0"/>
    <w:pPr>
      <w:ind w:left="420" w:hanging="420"/>
    </w:pPr>
    <w:rPr>
      <w:rFonts w:ascii="Arial" w:hAnsi="Arial" w:eastAsia="楷体_GB2312"/>
      <w:sz w:val="28"/>
    </w:rPr>
  </w:style>
  <w:style w:type="paragraph" w:styleId="28">
    <w:name w:val="toc 6"/>
    <w:basedOn w:val="1"/>
    <w:next w:val="1"/>
    <w:qFormat/>
    <w:uiPriority w:val="0"/>
    <w:pPr>
      <w:autoSpaceDE w:val="0"/>
      <w:autoSpaceDN w:val="0"/>
      <w:ind w:left="1700"/>
      <w:jc w:val="left"/>
      <w:textAlignment w:val="baseline"/>
    </w:pPr>
    <w:rPr>
      <w:kern w:val="0"/>
      <w:sz w:val="18"/>
      <w:szCs w:val="18"/>
    </w:rPr>
  </w:style>
  <w:style w:type="paragraph" w:styleId="29">
    <w:name w:val="toc 2"/>
    <w:basedOn w:val="1"/>
    <w:next w:val="1"/>
    <w:qFormat/>
    <w:uiPriority w:val="0"/>
    <w:pPr>
      <w:ind w:left="200" w:leftChars="200"/>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qFormat/>
    <w:uiPriority w:val="0"/>
    <w:pPr>
      <w:numPr>
        <w:ilvl w:val="0"/>
        <w:numId w:val="4"/>
      </w:numPr>
      <w:spacing w:line="360" w:lineRule="auto"/>
      <w:jc w:val="left"/>
      <w:outlineLvl w:val="0"/>
    </w:pPr>
    <w:rPr>
      <w:rFonts w:ascii="Cambria" w:hAnsi="Cambria"/>
      <w:b/>
      <w:bCs/>
      <w:sz w:val="28"/>
      <w:szCs w:val="32"/>
    </w:rPr>
  </w:style>
  <w:style w:type="paragraph" w:styleId="33">
    <w:name w:val="annotation subject"/>
    <w:basedOn w:val="16"/>
    <w:next w:val="16"/>
    <w:link w:val="67"/>
    <w:qFormat/>
    <w:uiPriority w:val="0"/>
    <w:rPr>
      <w:b/>
      <w:bCs/>
    </w:rPr>
  </w:style>
  <w:style w:type="paragraph" w:styleId="34">
    <w:name w:val="Body Text First Indent"/>
    <w:basedOn w:val="17"/>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rFonts w:ascii="Times New Roman" w:hAnsi="Times New Roman" w:eastAsia="宋体" w:cs="Times New Roman"/>
      <w:b/>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333333"/>
      <w:u w:val="none"/>
    </w:rPr>
  </w:style>
  <w:style w:type="character" w:styleId="41">
    <w:name w:val="Emphasis"/>
    <w:qFormat/>
    <w:uiPriority w:val="0"/>
    <w:rPr>
      <w:rFonts w:ascii="Times New Roman" w:hAnsi="Times New Roman" w:eastAsia="宋体" w:cs="Times New Roman"/>
      <w:i/>
      <w:iCs/>
    </w:rPr>
  </w:style>
  <w:style w:type="character" w:styleId="42">
    <w:name w:val="HTML Definition"/>
    <w:qFormat/>
    <w:uiPriority w:val="0"/>
    <w:rPr>
      <w:rFonts w:ascii="Times New Roman" w:hAnsi="Times New Roman" w:eastAsia="宋体" w:cs="Times New Roman"/>
    </w:rPr>
  </w:style>
  <w:style w:type="character" w:styleId="43">
    <w:name w:val="HTML Typewriter"/>
    <w:qFormat/>
    <w:uiPriority w:val="0"/>
    <w:rPr>
      <w:rFonts w:hint="default" w:ascii="monospace" w:hAnsi="monospace" w:eastAsia="monospace" w:cs="monospace"/>
      <w:sz w:val="20"/>
    </w:rPr>
  </w:style>
  <w:style w:type="character" w:styleId="44">
    <w:name w:val="HTML Acronym"/>
    <w:qFormat/>
    <w:uiPriority w:val="0"/>
    <w:rPr>
      <w:rFonts w:ascii="Times New Roman" w:hAnsi="Times New Roman" w:eastAsia="宋体" w:cs="Times New Roman"/>
    </w:rPr>
  </w:style>
  <w:style w:type="character" w:styleId="45">
    <w:name w:val="HTML Variable"/>
    <w:qFormat/>
    <w:uiPriority w:val="0"/>
    <w:rPr>
      <w:rFonts w:ascii="Times New Roman" w:hAnsi="Times New Roman" w:eastAsia="宋体" w:cs="Times New Roman"/>
    </w:rPr>
  </w:style>
  <w:style w:type="character" w:styleId="46">
    <w:name w:val="Hyperlink"/>
    <w:qFormat/>
    <w:uiPriority w:val="0"/>
    <w:rPr>
      <w:rFonts w:ascii="Times New Roman" w:hAnsi="Times New Roman" w:eastAsia="宋体" w:cs="Times New Roman"/>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qFormat/>
    <w:uiPriority w:val="0"/>
    <w:rPr>
      <w:rFonts w:ascii="Times New Roman" w:hAnsi="Times New Roman" w:eastAsia="宋体" w:cs="Times New Roman"/>
    </w:rPr>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ascii="monospace" w:hAnsi="monospace" w:eastAsia="monospace" w:cs="monospace"/>
    </w:rPr>
  </w:style>
  <w:style w:type="paragraph" w:customStyle="1" w:styleId="5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3">
    <w:name w:val="正文文本缩进 Char"/>
    <w:link w:val="13"/>
    <w:qFormat/>
    <w:uiPriority w:val="0"/>
    <w:rPr>
      <w:rFonts w:ascii="Times New Roman" w:hAnsi="Times New Roman" w:eastAsia="宋体" w:cs="Times New Roman"/>
      <w:kern w:val="2"/>
      <w:sz w:val="21"/>
      <w:szCs w:val="24"/>
    </w:rPr>
  </w:style>
  <w:style w:type="character" w:customStyle="1" w:styleId="54">
    <w:name w:val="正文首行缩进 2 Char"/>
    <w:link w:val="12"/>
    <w:qFormat/>
    <w:uiPriority w:val="0"/>
    <w:rPr>
      <w:rFonts w:ascii="Times New Roman" w:hAnsi="Times New Roman" w:eastAsia="宋体" w:cs="Times New Roman"/>
    </w:rPr>
  </w:style>
  <w:style w:type="character" w:customStyle="1" w:styleId="55">
    <w:name w:val="标题 1 Char"/>
    <w:link w:val="2"/>
    <w:qFormat/>
    <w:uiPriority w:val="0"/>
    <w:rPr>
      <w:rFonts w:ascii="Times New Roman" w:hAnsi="Times New Roman" w:eastAsia="宋体" w:cs="Times New Roman"/>
      <w:b/>
      <w:bCs/>
      <w:kern w:val="44"/>
      <w:sz w:val="32"/>
      <w:szCs w:val="44"/>
    </w:rPr>
  </w:style>
  <w:style w:type="character" w:customStyle="1" w:styleId="56">
    <w:name w:val="标题 4 Char"/>
    <w:link w:val="5"/>
    <w:qFormat/>
    <w:uiPriority w:val="0"/>
    <w:rPr>
      <w:rFonts w:ascii="Arial" w:hAnsi="Arial" w:eastAsia="黑体" w:cs="Times New Roman"/>
      <w:b/>
      <w:bCs/>
      <w:color w:val="000000"/>
      <w:sz w:val="28"/>
      <w:szCs w:val="28"/>
      <w:u w:val="none" w:color="000000"/>
      <w:lang w:val="en-US" w:eastAsia="zh-CN" w:bidi="ar-SA"/>
    </w:rPr>
  </w:style>
  <w:style w:type="character" w:customStyle="1" w:styleId="57">
    <w:name w:val="标题 5 Char"/>
    <w:link w:val="6"/>
    <w:qFormat/>
    <w:uiPriority w:val="0"/>
    <w:rPr>
      <w:rFonts w:ascii="Times New Roman" w:hAnsi="Times New Roman" w:eastAsia="宋体" w:cs="Times New Roman"/>
      <w:b/>
      <w:bCs/>
      <w:kern w:val="2"/>
      <w:sz w:val="28"/>
      <w:szCs w:val="28"/>
    </w:rPr>
  </w:style>
  <w:style w:type="character" w:customStyle="1" w:styleId="58">
    <w:name w:val="标题 6 Char"/>
    <w:link w:val="7"/>
    <w:qFormat/>
    <w:uiPriority w:val="0"/>
    <w:rPr>
      <w:rFonts w:ascii="Cambria" w:hAnsi="Cambria" w:eastAsia="宋体" w:cs="Times New Roman"/>
      <w:b/>
      <w:bCs/>
      <w:kern w:val="2"/>
      <w:sz w:val="24"/>
      <w:szCs w:val="24"/>
    </w:rPr>
  </w:style>
  <w:style w:type="character" w:customStyle="1" w:styleId="59">
    <w:name w:val="标题 7 Char"/>
    <w:link w:val="8"/>
    <w:qFormat/>
    <w:uiPriority w:val="0"/>
    <w:rPr>
      <w:rFonts w:ascii="Times New Roman" w:hAnsi="Times New Roman" w:eastAsia="宋体" w:cs="Times New Roman"/>
      <w:b/>
      <w:bCs/>
      <w:kern w:val="2"/>
      <w:sz w:val="24"/>
      <w:szCs w:val="24"/>
    </w:rPr>
  </w:style>
  <w:style w:type="character" w:customStyle="1" w:styleId="60">
    <w:name w:val="批注文字 Char"/>
    <w:link w:val="16"/>
    <w:qFormat/>
    <w:uiPriority w:val="0"/>
    <w:rPr>
      <w:rFonts w:ascii="Times New Roman" w:hAnsi="Times New Roman" w:eastAsia="宋体" w:cs="Times New Roman"/>
      <w:kern w:val="2"/>
      <w:sz w:val="21"/>
      <w:szCs w:val="24"/>
    </w:rPr>
  </w:style>
  <w:style w:type="character" w:customStyle="1" w:styleId="61">
    <w:name w:val="纯文本 Char"/>
    <w:link w:val="19"/>
    <w:qFormat/>
    <w:uiPriority w:val="0"/>
    <w:rPr>
      <w:rFonts w:ascii="宋体" w:hAnsi="Times New Roman" w:eastAsia="宋体" w:cs="Times New Roman"/>
      <w:color w:val="000000"/>
      <w:kern w:val="2"/>
      <w:sz w:val="21"/>
      <w:u w:val="none" w:color="000000"/>
      <w:lang w:val="en-US" w:eastAsia="zh-CN" w:bidi="ar-SA"/>
    </w:rPr>
  </w:style>
  <w:style w:type="character" w:customStyle="1" w:styleId="62">
    <w:name w:val="日期 Char"/>
    <w:link w:val="20"/>
    <w:qFormat/>
    <w:uiPriority w:val="0"/>
    <w:rPr>
      <w:rFonts w:ascii="Arial" w:hAnsi="Arial" w:eastAsia="仿宋_GB2312" w:cs="Times New Roman"/>
      <w:color w:val="000000"/>
      <w:kern w:val="2"/>
      <w:sz w:val="32"/>
      <w:u w:val="none" w:color="000000"/>
    </w:rPr>
  </w:style>
  <w:style w:type="character" w:customStyle="1" w:styleId="63">
    <w:name w:val="正文文本缩进 2 Char"/>
    <w:link w:val="21"/>
    <w:qFormat/>
    <w:uiPriority w:val="0"/>
    <w:rPr>
      <w:rFonts w:ascii="Times New Roman" w:hAnsi="Times New Roman" w:eastAsia="宋体" w:cs="Times New Roman"/>
      <w:kern w:val="2"/>
      <w:sz w:val="21"/>
      <w:szCs w:val="24"/>
    </w:rPr>
  </w:style>
  <w:style w:type="character" w:customStyle="1" w:styleId="64">
    <w:name w:val="批注框文本 Char"/>
    <w:link w:val="22"/>
    <w:qFormat/>
    <w:uiPriority w:val="0"/>
    <w:rPr>
      <w:rFonts w:ascii="Times New Roman" w:hAnsi="Times New Roman" w:eastAsia="宋体" w:cs="Times New Roman"/>
      <w:kern w:val="2"/>
      <w:sz w:val="18"/>
      <w:szCs w:val="18"/>
    </w:rPr>
  </w:style>
  <w:style w:type="character" w:customStyle="1" w:styleId="65">
    <w:name w:val="页脚 Char"/>
    <w:link w:val="23"/>
    <w:qFormat/>
    <w:uiPriority w:val="0"/>
    <w:rPr>
      <w:rFonts w:ascii="Times New Roman" w:hAnsi="Times New Roman" w:eastAsia="宋体" w:cs="Times New Roman"/>
      <w:kern w:val="2"/>
      <w:sz w:val="18"/>
      <w:szCs w:val="18"/>
    </w:rPr>
  </w:style>
  <w:style w:type="character" w:customStyle="1" w:styleId="66">
    <w:name w:val="页眉 Char"/>
    <w:link w:val="24"/>
    <w:qFormat/>
    <w:uiPriority w:val="0"/>
    <w:rPr>
      <w:rFonts w:ascii="Times New Roman" w:hAnsi="Times New Roman" w:eastAsia="宋体" w:cs="Times New Roman"/>
      <w:kern w:val="2"/>
      <w:sz w:val="18"/>
      <w:szCs w:val="18"/>
    </w:rPr>
  </w:style>
  <w:style w:type="character" w:customStyle="1" w:styleId="67">
    <w:name w:val="批注主题 Char"/>
    <w:link w:val="33"/>
    <w:qFormat/>
    <w:uiPriority w:val="0"/>
    <w:rPr>
      <w:rFonts w:ascii="Times New Roman" w:hAnsi="Times New Roman" w:eastAsia="宋体" w:cs="Times New Roman"/>
      <w:b/>
      <w:bCs/>
      <w:kern w:val="2"/>
      <w:sz w:val="21"/>
      <w:szCs w:val="24"/>
    </w:rPr>
  </w:style>
  <w:style w:type="character" w:customStyle="1" w:styleId="68">
    <w:name w:val="图表 Char Char"/>
    <w:link w:val="69"/>
    <w:qFormat/>
    <w:uiPriority w:val="0"/>
    <w:rPr>
      <w:rFonts w:ascii="Times New Roman" w:hAnsi="Times New Roman" w:eastAsia="宋体" w:cs="Times New Roman"/>
      <w:kern w:val="2"/>
      <w:sz w:val="21"/>
      <w:szCs w:val="21"/>
    </w:rPr>
  </w:style>
  <w:style w:type="paragraph" w:customStyle="1" w:styleId="69">
    <w:name w:val="图表"/>
    <w:basedOn w:val="1"/>
    <w:next w:val="1"/>
    <w:link w:val="68"/>
    <w:qFormat/>
    <w:uiPriority w:val="0"/>
    <w:pPr>
      <w:jc w:val="center"/>
    </w:pPr>
    <w:rPr>
      <w:szCs w:val="21"/>
    </w:rPr>
  </w:style>
  <w:style w:type="character" w:customStyle="1" w:styleId="70">
    <w:name w:val="【正文】 Char Char"/>
    <w:link w:val="71"/>
    <w:qFormat/>
    <w:uiPriority w:val="0"/>
    <w:rPr>
      <w:rFonts w:ascii="Times New Roman" w:hAnsi="Times New Roman" w:eastAsia="宋体" w:cs="DokChampa"/>
      <w:kern w:val="2"/>
      <w:sz w:val="24"/>
      <w:szCs w:val="22"/>
    </w:rPr>
  </w:style>
  <w:style w:type="paragraph" w:customStyle="1" w:styleId="71">
    <w:name w:val="【正文】"/>
    <w:basedOn w:val="1"/>
    <w:link w:val="70"/>
    <w:qFormat/>
    <w:uiPriority w:val="0"/>
    <w:pPr>
      <w:spacing w:line="360" w:lineRule="auto"/>
      <w:ind w:firstLine="480" w:firstLineChars="200"/>
    </w:pPr>
    <w:rPr>
      <w:sz w:val="24"/>
      <w:szCs w:val="22"/>
    </w:rPr>
  </w:style>
  <w:style w:type="character" w:customStyle="1" w:styleId="72">
    <w:name w:val="selected"/>
    <w:qFormat/>
    <w:uiPriority w:val="0"/>
    <w:rPr>
      <w:rFonts w:ascii="Times New Roman" w:hAnsi="Times New Roman" w:eastAsia="宋体" w:cs="Times New Roman"/>
      <w:shd w:val="clear" w:color="auto" w:fill="B00006"/>
    </w:rPr>
  </w:style>
  <w:style w:type="character" w:customStyle="1" w:styleId="73">
    <w:name w:val="font21"/>
    <w:basedOn w:val="37"/>
    <w:qFormat/>
    <w:uiPriority w:val="0"/>
    <w:rPr>
      <w:rFonts w:hint="eastAsia" w:ascii="宋体" w:hAnsi="宋体" w:eastAsia="宋体" w:cs="宋体"/>
      <w:color w:val="000000"/>
      <w:sz w:val="18"/>
      <w:szCs w:val="18"/>
      <w:u w:val="none"/>
    </w:rPr>
  </w:style>
  <w:style w:type="character" w:customStyle="1" w:styleId="74">
    <w:name w:val="bds_nopic"/>
    <w:qFormat/>
    <w:uiPriority w:val="0"/>
    <w:rPr>
      <w:rFonts w:ascii="Times New Roman" w:hAnsi="Times New Roman" w:eastAsia="宋体" w:cs="Times New Roman"/>
    </w:rPr>
  </w:style>
  <w:style w:type="character" w:customStyle="1" w:styleId="75">
    <w:name w:val="NormalCharacter"/>
    <w:qFormat/>
    <w:uiPriority w:val="0"/>
    <w:rPr>
      <w:rFonts w:ascii="Times New Roman" w:hAnsi="Times New Roman" w:eastAsia="宋体" w:cs="Times New Roman"/>
      <w:kern w:val="2"/>
      <w:sz w:val="21"/>
      <w:szCs w:val="24"/>
      <w:lang w:val="en-US" w:eastAsia="zh-CN" w:bidi="ar-SA"/>
    </w:rPr>
  </w:style>
  <w:style w:type="character" w:customStyle="1" w:styleId="76">
    <w:name w:val="gpa"/>
    <w:qFormat/>
    <w:uiPriority w:val="0"/>
    <w:rPr>
      <w:rFonts w:ascii="Arial" w:hAnsi="Arial" w:eastAsia="宋体" w:cs="Arial"/>
      <w:sz w:val="15"/>
      <w:szCs w:val="15"/>
    </w:rPr>
  </w:style>
  <w:style w:type="character" w:customStyle="1" w:styleId="77">
    <w:name w:val="正文首行缩进 2 Char1"/>
    <w:qFormat/>
    <w:uiPriority w:val="0"/>
    <w:rPr>
      <w:rFonts w:ascii="Times New Roman" w:hAnsi="Times New Roman" w:eastAsia="宋体" w:cs="Times New Roman"/>
    </w:rPr>
  </w:style>
  <w:style w:type="character" w:customStyle="1" w:styleId="78">
    <w:name w:val="列出段落 Char"/>
    <w:link w:val="79"/>
    <w:qFormat/>
    <w:uiPriority w:val="0"/>
    <w:rPr>
      <w:rFonts w:ascii="Calibri" w:hAnsi="Calibri" w:eastAsia="宋体" w:cs="Times New Roman"/>
      <w:kern w:val="2"/>
      <w:sz w:val="21"/>
      <w:szCs w:val="22"/>
      <w:lang w:val="en-US" w:eastAsia="zh-CN" w:bidi="ar-SA"/>
    </w:rPr>
  </w:style>
  <w:style w:type="paragraph" w:customStyle="1" w:styleId="79">
    <w:name w:val="List Paragraph1"/>
    <w:basedOn w:val="1"/>
    <w:link w:val="78"/>
    <w:qFormat/>
    <w:uiPriority w:val="0"/>
    <w:pPr>
      <w:spacing w:line="312" w:lineRule="auto"/>
      <w:ind w:firstLine="420" w:firstLineChars="200"/>
    </w:pPr>
    <w:rPr>
      <w:rFonts w:ascii="Calibri" w:hAnsi="Calibri"/>
      <w:szCs w:val="22"/>
    </w:rPr>
  </w:style>
  <w:style w:type="character" w:customStyle="1" w:styleId="80">
    <w:name w:val="bds_nopic2"/>
    <w:qFormat/>
    <w:uiPriority w:val="0"/>
    <w:rPr>
      <w:rFonts w:ascii="Times New Roman" w:hAnsi="Times New Roman" w:eastAsia="宋体" w:cs="Times New Roman"/>
    </w:rPr>
  </w:style>
  <w:style w:type="character" w:customStyle="1" w:styleId="81">
    <w:name w:val="font61"/>
    <w:qFormat/>
    <w:uiPriority w:val="0"/>
    <w:rPr>
      <w:rFonts w:hint="default" w:ascii="MS Sans Serif" w:hAnsi="MS Sans Serif" w:eastAsia="MS Sans Serif" w:cs="MS Sans Serif"/>
      <w:color w:val="000000"/>
      <w:sz w:val="18"/>
      <w:szCs w:val="18"/>
      <w:u w:val="none"/>
    </w:rPr>
  </w:style>
  <w:style w:type="character" w:customStyle="1" w:styleId="82">
    <w:name w:val="bds_more1"/>
    <w:qFormat/>
    <w:uiPriority w:val="0"/>
    <w:rPr>
      <w:rFonts w:ascii="Times New Roman" w:hAnsi="Times New Roman" w:eastAsia="宋体" w:cs="Times New Roman"/>
    </w:rPr>
  </w:style>
  <w:style w:type="character" w:customStyle="1" w:styleId="83">
    <w:name w:val="font71"/>
    <w:qFormat/>
    <w:uiPriority w:val="0"/>
    <w:rPr>
      <w:rFonts w:hint="default" w:ascii="MS Sans Serif" w:hAnsi="MS Sans Serif" w:eastAsia="MS Sans Serif" w:cs="MS Sans Serif"/>
      <w:color w:val="000000"/>
      <w:sz w:val="18"/>
      <w:szCs w:val="18"/>
      <w:u w:val="none"/>
    </w:rPr>
  </w:style>
  <w:style w:type="character" w:customStyle="1" w:styleId="84">
    <w:name w:val="first-child"/>
    <w:qFormat/>
    <w:uiPriority w:val="0"/>
    <w:rPr>
      <w:rFonts w:ascii="Times New Roman" w:hAnsi="Times New Roman" w:eastAsia="宋体" w:cs="Times New Roman"/>
    </w:rPr>
  </w:style>
  <w:style w:type="character" w:customStyle="1" w:styleId="85">
    <w:name w:val="bds_nopic1"/>
    <w:qFormat/>
    <w:uiPriority w:val="0"/>
    <w:rPr>
      <w:rFonts w:ascii="Times New Roman" w:hAnsi="Times New Roman" w:eastAsia="宋体" w:cs="Times New Roman"/>
    </w:rPr>
  </w:style>
  <w:style w:type="character" w:customStyle="1" w:styleId="86">
    <w:name w:val="layui-this"/>
    <w:qFormat/>
    <w:uiPriority w:val="0"/>
    <w:rPr>
      <w:rFonts w:ascii="Times New Roman" w:hAnsi="Times New Roman" w:eastAsia="宋体" w:cs="Times New Roman"/>
      <w:bdr w:val="single" w:color="EEEEEE" w:sz="6" w:space="0"/>
      <w:shd w:val="clear" w:color="auto" w:fill="FFFFFF"/>
    </w:rPr>
  </w:style>
  <w:style w:type="character" w:customStyle="1" w:styleId="87">
    <w:name w:val="font81"/>
    <w:qFormat/>
    <w:uiPriority w:val="0"/>
    <w:rPr>
      <w:rFonts w:ascii="Arial Unicode MS" w:hAnsi="Arial Unicode MS" w:eastAsia="Arial Unicode MS" w:cs="Arial Unicode MS"/>
      <w:color w:val="000000"/>
      <w:sz w:val="18"/>
      <w:szCs w:val="18"/>
      <w:u w:val="none"/>
    </w:rPr>
  </w:style>
  <w:style w:type="character" w:customStyle="1" w:styleId="88">
    <w:name w:val="apple-converted-space"/>
    <w:qFormat/>
    <w:uiPriority w:val="0"/>
    <w:rPr>
      <w:rFonts w:ascii="Times New Roman" w:hAnsi="Times New Roman" w:eastAsia="宋体" w:cs="Times New Roman"/>
    </w:rPr>
  </w:style>
  <w:style w:type="character" w:customStyle="1" w:styleId="89">
    <w:name w:val="displayarti"/>
    <w:qFormat/>
    <w:uiPriority w:val="0"/>
    <w:rPr>
      <w:rFonts w:ascii="Times New Roman" w:hAnsi="Times New Roman" w:eastAsia="宋体" w:cs="Times New Roman"/>
      <w:color w:val="FFFFFF"/>
      <w:shd w:val="clear" w:color="auto" w:fill="A00000"/>
    </w:rPr>
  </w:style>
  <w:style w:type="character" w:customStyle="1" w:styleId="90">
    <w:name w:val="font131"/>
    <w:qFormat/>
    <w:uiPriority w:val="0"/>
    <w:rPr>
      <w:rFonts w:hint="eastAsia" w:ascii="宋体" w:hAnsi="宋体" w:eastAsia="宋体" w:cs="宋体"/>
      <w:b/>
      <w:bCs/>
      <w:color w:val="000000"/>
      <w:sz w:val="20"/>
      <w:szCs w:val="20"/>
      <w:u w:val="none"/>
    </w:rPr>
  </w:style>
  <w:style w:type="character" w:customStyle="1" w:styleId="91">
    <w:name w:val="bds_more2"/>
    <w:qFormat/>
    <w:uiPriority w:val="0"/>
    <w:rPr>
      <w:rFonts w:ascii="Times New Roman" w:hAnsi="Times New Roman" w:eastAsia="宋体" w:cs="Times New Roman"/>
    </w:rPr>
  </w:style>
  <w:style w:type="character" w:customStyle="1" w:styleId="92">
    <w:name w:val="bds_more"/>
    <w:qFormat/>
    <w:uiPriority w:val="0"/>
    <w:rPr>
      <w:rFonts w:hint="eastAsia" w:ascii="宋体" w:hAnsi="宋体" w:eastAsia="宋体" w:cs="宋体"/>
    </w:rPr>
  </w:style>
  <w:style w:type="paragraph" w:customStyle="1" w:styleId="93">
    <w:name w:val="Char Char Char Char"/>
    <w:basedOn w:val="1"/>
    <w:qFormat/>
    <w:uiPriority w:val="0"/>
    <w:rPr>
      <w:rFonts w:ascii="Tahoma" w:hAnsi="Tahoma"/>
      <w:sz w:val="24"/>
      <w:szCs w:val="20"/>
    </w:rPr>
  </w:style>
  <w:style w:type="paragraph" w:customStyle="1" w:styleId="94">
    <w:name w:val="标题4"/>
    <w:basedOn w:val="1"/>
    <w:qFormat/>
    <w:uiPriority w:val="0"/>
    <w:pPr>
      <w:numPr>
        <w:ilvl w:val="0"/>
        <w:numId w:val="5"/>
      </w:numPr>
      <w:spacing w:line="360" w:lineRule="auto"/>
      <w:ind w:left="720" w:leftChars="300"/>
      <w:jc w:val="left"/>
    </w:pPr>
    <w:rPr>
      <w:rFonts w:ascii="宋体" w:hAnsi="宋体"/>
      <w:sz w:val="18"/>
      <w:szCs w:val="18"/>
    </w:rPr>
  </w:style>
  <w:style w:type="paragraph" w:customStyle="1" w:styleId="95">
    <w:name w:val="Table Paragraph"/>
    <w:basedOn w:val="1"/>
    <w:qFormat/>
    <w:uiPriority w:val="0"/>
    <w:rPr>
      <w:rFonts w:ascii="宋体" w:hAnsi="宋体" w:cs="宋体"/>
      <w:lang w:val="zh-CN" w:bidi="zh-CN"/>
    </w:rPr>
  </w:style>
  <w:style w:type="paragraph" w:customStyle="1" w:styleId="96">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97">
    <w:name w:val="正文 New"/>
    <w:next w:val="98"/>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8">
    <w:name w:val="正文缩进1"/>
    <w:basedOn w:val="1"/>
    <w:next w:val="15"/>
    <w:qFormat/>
    <w:uiPriority w:val="0"/>
    <w:pPr>
      <w:spacing w:line="360" w:lineRule="atLeast"/>
      <w:ind w:firstLine="482"/>
    </w:pPr>
    <w:rPr>
      <w:sz w:val="24"/>
    </w:rPr>
  </w:style>
  <w:style w:type="paragraph" w:customStyle="1" w:styleId="99">
    <w:name w:val="Char Char Char Char Char Char Char1 Char"/>
    <w:basedOn w:val="1"/>
    <w:qFormat/>
    <w:uiPriority w:val="0"/>
    <w:rPr>
      <w:rFonts w:ascii="Tahoma" w:hAnsi="Tahoma"/>
      <w:sz w:val="24"/>
      <w:szCs w:val="20"/>
    </w:rPr>
  </w:style>
  <w:style w:type="paragraph" w:customStyle="1" w:styleId="100">
    <w:name w:val="Char"/>
    <w:basedOn w:val="1"/>
    <w:qFormat/>
    <w:uiPriority w:val="0"/>
  </w:style>
  <w:style w:type="paragraph" w:customStyle="1" w:styleId="101">
    <w:name w:val="（无样式）"/>
    <w:basedOn w:val="1"/>
    <w:qFormat/>
    <w:uiPriority w:val="0"/>
    <w:pPr>
      <w:widowControl/>
      <w:numPr>
        <w:ilvl w:val="0"/>
        <w:numId w:val="6"/>
      </w:numPr>
      <w:spacing w:line="360" w:lineRule="auto"/>
      <w:ind w:firstLine="0"/>
    </w:pPr>
    <w:rPr>
      <w:sz w:val="24"/>
      <w:szCs w:val="20"/>
    </w:rPr>
  </w:style>
  <w:style w:type="paragraph" w:customStyle="1" w:styleId="10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3">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104">
    <w:name w:val="_Style 102"/>
    <w:qFormat/>
    <w:uiPriority w:val="0"/>
    <w:rPr>
      <w:rFonts w:ascii="Times New Roman" w:hAnsi="Times New Roman" w:eastAsia="宋体" w:cs="Times New Roman"/>
      <w:kern w:val="2"/>
      <w:sz w:val="21"/>
      <w:szCs w:val="24"/>
      <w:lang w:val="en-US" w:eastAsia="zh-CN" w:bidi="ar-SA"/>
    </w:rPr>
  </w:style>
  <w:style w:type="paragraph" w:customStyle="1" w:styleId="105">
    <w:name w:val="Char1"/>
    <w:basedOn w:val="1"/>
    <w:next w:val="1"/>
    <w:qFormat/>
    <w:uiPriority w:val="0"/>
    <w:pPr>
      <w:widowControl/>
      <w:spacing w:line="360" w:lineRule="auto"/>
      <w:jc w:val="left"/>
    </w:pPr>
    <w:rPr>
      <w:kern w:val="0"/>
      <w:szCs w:val="20"/>
      <w:lang w:eastAsia="en-US"/>
    </w:rPr>
  </w:style>
  <w:style w:type="paragraph" w:customStyle="1" w:styleId="106">
    <w:name w:val="_Style 2"/>
    <w:basedOn w:val="1"/>
    <w:qFormat/>
    <w:uiPriority w:val="0"/>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正文"/>
    <w:basedOn w:val="1"/>
    <w:qFormat/>
    <w:uiPriority w:val="0"/>
    <w:pPr>
      <w:widowControl/>
      <w:snapToGrid w:val="0"/>
      <w:ind w:firstLine="560"/>
      <w:jc w:val="left"/>
    </w:pPr>
    <w:rPr>
      <w:rFonts w:ascii="仿宋_GB2312"/>
      <w:color w:val="191919"/>
      <w:sz w:val="28"/>
      <w:szCs w:val="28"/>
    </w:rPr>
  </w:style>
  <w:style w:type="paragraph" w:customStyle="1" w:styleId="109">
    <w:name w:val="列出段落1"/>
    <w:basedOn w:val="1"/>
    <w:qFormat/>
    <w:uiPriority w:val="0"/>
    <w:pPr>
      <w:ind w:firstLine="420" w:firstLineChars="200"/>
    </w:pPr>
  </w:style>
  <w:style w:type="paragraph" w:customStyle="1" w:styleId="110">
    <w:name w:val="HtmlNormal"/>
    <w:basedOn w:val="1"/>
    <w:qFormat/>
    <w:uiPriority w:val="0"/>
    <w:pPr>
      <w:widowControl/>
      <w:spacing w:before="100" w:beforeAutospacing="1" w:after="100" w:afterAutospacing="1"/>
      <w:jc w:val="left"/>
    </w:pPr>
    <w:rPr>
      <w:rFonts w:ascii="宋体" w:hAnsi="宋体"/>
      <w:kern w:val="0"/>
      <w:sz w:val="24"/>
    </w:rPr>
  </w:style>
  <w:style w:type="paragraph" w:styleId="111">
    <w:name w:val="List Paragraph"/>
    <w:basedOn w:val="1"/>
    <w:qFormat/>
    <w:uiPriority w:val="0"/>
    <w:pPr>
      <w:spacing w:line="360" w:lineRule="auto"/>
      <w:ind w:firstLine="420" w:firstLineChars="200"/>
    </w:pPr>
    <w:rPr>
      <w:rFonts w:ascii="宋体" w:hAnsi="宋体" w:cs="宋体"/>
      <w:sz w:val="24"/>
    </w:rPr>
  </w:style>
  <w:style w:type="paragraph" w:customStyle="1" w:styleId="112">
    <w:name w:val="列出段落11"/>
    <w:basedOn w:val="1"/>
    <w:qFormat/>
    <w:uiPriority w:val="0"/>
    <w:pPr>
      <w:spacing w:after="120" w:line="360" w:lineRule="auto"/>
      <w:ind w:firstLine="420" w:firstLineChars="200"/>
    </w:pPr>
    <w:rPr>
      <w:rFonts w:ascii="Calibri" w:hAnsi="Calibri"/>
      <w:szCs w:val="22"/>
    </w:rPr>
  </w:style>
  <w:style w:type="paragraph" w:customStyle="1" w:styleId="113">
    <w:name w:val="_Style 4"/>
    <w:basedOn w:val="1"/>
    <w:qFormat/>
    <w:uiPriority w:val="0"/>
    <w:pPr>
      <w:adjustRightInd w:val="0"/>
      <w:ind w:firstLine="420" w:firstLineChars="200"/>
      <w:jc w:val="left"/>
      <w:textAlignment w:val="baseline"/>
    </w:pPr>
    <w:rPr>
      <w:kern w:val="0"/>
      <w:szCs w:val="20"/>
    </w:rPr>
  </w:style>
  <w:style w:type="paragraph" w:customStyle="1" w:styleId="114">
    <w:name w:val="List Paragraph2"/>
    <w:basedOn w:val="1"/>
    <w:qFormat/>
    <w:uiPriority w:val="0"/>
    <w:pPr>
      <w:spacing w:line="360" w:lineRule="auto"/>
      <w:ind w:firstLine="420"/>
    </w:pPr>
    <w:rPr>
      <w:color w:val="000000"/>
      <w:sz w:val="24"/>
      <w:szCs w:val="21"/>
    </w:rPr>
  </w:style>
  <w:style w:type="paragraph" w:customStyle="1" w:styleId="115">
    <w:name w:val="正文文字 8"/>
    <w:basedOn w:val="1"/>
    <w:next w:val="1"/>
    <w:qFormat/>
    <w:uiPriority w:val="0"/>
    <w:pPr>
      <w:ind w:left="240"/>
    </w:pPr>
    <w:rPr>
      <w:sz w:val="16"/>
    </w:rPr>
  </w:style>
  <w:style w:type="paragraph" w:customStyle="1" w:styleId="116">
    <w:name w:val="样式1"/>
    <w:basedOn w:val="1"/>
    <w:qFormat/>
    <w:uiPriority w:val="0"/>
    <w:pPr>
      <w:spacing w:line="360" w:lineRule="auto"/>
      <w:jc w:val="center"/>
    </w:pPr>
    <w:rPr>
      <w:b/>
      <w:sz w:val="30"/>
      <w:szCs w:val="30"/>
    </w:rPr>
  </w:style>
  <w:style w:type="paragraph" w:customStyle="1" w:styleId="117">
    <w:name w:val="列表2"/>
    <w:basedOn w:val="1"/>
    <w:next w:val="1"/>
    <w:qFormat/>
    <w:uiPriority w:val="0"/>
    <w:pPr>
      <w:numPr>
        <w:ilvl w:val="0"/>
        <w:numId w:val="7"/>
      </w:numPr>
      <w:spacing w:line="200" w:lineRule="atLeast"/>
    </w:pPr>
    <w:rPr>
      <w:rFonts w:eastAsia="仿宋"/>
      <w:sz w:val="28"/>
    </w:rPr>
  </w:style>
  <w:style w:type="paragraph" w:customStyle="1" w:styleId="118">
    <w:name w:val="标题3-副本"/>
    <w:basedOn w:val="26"/>
    <w:qFormat/>
    <w:uiPriority w:val="0"/>
    <w:pPr>
      <w:numPr>
        <w:ilvl w:val="0"/>
        <w:numId w:val="0"/>
      </w:numPr>
      <w:ind w:left="840"/>
    </w:pPr>
    <w:rPr>
      <w:rFonts w:ascii="Times New Roman" w:hAnsi="Times New Roman"/>
    </w:rPr>
  </w:style>
  <w:style w:type="paragraph" w:customStyle="1" w:styleId="119">
    <w:name w:val="_Style 117"/>
    <w:basedOn w:val="1"/>
    <w:next w:val="1"/>
    <w:qFormat/>
    <w:uiPriority w:val="0"/>
    <w:pPr>
      <w:pBdr>
        <w:bottom w:val="single" w:color="auto" w:sz="6" w:space="1"/>
      </w:pBdr>
      <w:jc w:val="center"/>
    </w:pPr>
    <w:rPr>
      <w:rFonts w:ascii="Arial"/>
      <w:vanish/>
      <w:sz w:val="16"/>
    </w:rPr>
  </w:style>
  <w:style w:type="paragraph" w:customStyle="1" w:styleId="120">
    <w:name w:val="_Style 118"/>
    <w:basedOn w:val="1"/>
    <w:next w:val="1"/>
    <w:qFormat/>
    <w:uiPriority w:val="0"/>
    <w:pPr>
      <w:pBdr>
        <w:top w:val="single" w:color="auto" w:sz="6" w:space="1"/>
      </w:pBdr>
      <w:jc w:val="center"/>
    </w:pPr>
    <w:rPr>
      <w:rFonts w:ascii="Arial"/>
      <w:vanish/>
      <w:sz w:val="16"/>
    </w:rPr>
  </w:style>
  <w:style w:type="paragraph" w:customStyle="1" w:styleId="121">
    <w:name w:val="无间隔1"/>
    <w:basedOn w:val="1"/>
    <w:qFormat/>
    <w:uiPriority w:val="0"/>
    <w:pPr>
      <w:widowControl/>
      <w:adjustRightInd w:val="0"/>
      <w:snapToGrid w:val="0"/>
      <w:jc w:val="left"/>
    </w:pPr>
    <w:rPr>
      <w:rFonts w:ascii="Tahoma" w:hAnsi="Tahoma" w:eastAsia="微软雅黑"/>
      <w:kern w:val="0"/>
      <w:sz w:val="24"/>
      <w:szCs w:val="22"/>
    </w:rPr>
  </w:style>
  <w:style w:type="paragraph" w:customStyle="1" w:styleId="122">
    <w:name w:val="text-tag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3">
    <w:name w:val="font11"/>
    <w:qFormat/>
    <w:uiPriority w:val="0"/>
    <w:rPr>
      <w:rFonts w:hint="eastAsia" w:ascii="宋体" w:hAnsi="宋体" w:eastAsia="宋体" w:cs="宋体"/>
      <w:color w:val="000000"/>
      <w:sz w:val="16"/>
      <w:szCs w:val="16"/>
      <w:u w:val="none"/>
    </w:rPr>
  </w:style>
  <w:style w:type="character" w:customStyle="1" w:styleId="124">
    <w:name w:val="font31"/>
    <w:basedOn w:val="37"/>
    <w:qFormat/>
    <w:uiPriority w:val="0"/>
    <w:rPr>
      <w:rFonts w:ascii="宋体" w:hAnsi="宋体" w:eastAsia="宋体" w:cs="宋体"/>
      <w:color w:val="000000"/>
      <w:sz w:val="16"/>
      <w:szCs w:val="16"/>
      <w:u w:val="none"/>
    </w:rPr>
  </w:style>
  <w:style w:type="character" w:customStyle="1" w:styleId="125">
    <w:name w:val="font41"/>
    <w:basedOn w:val="37"/>
    <w:qFormat/>
    <w:uiPriority w:val="0"/>
    <w:rPr>
      <w:rFonts w:hint="eastAsia" w:ascii="宋体" w:hAnsi="宋体" w:eastAsia="宋体" w:cs="宋体"/>
      <w:color w:val="000000"/>
      <w:sz w:val="21"/>
      <w:szCs w:val="21"/>
      <w:u w:val="none"/>
    </w:rPr>
  </w:style>
  <w:style w:type="character" w:customStyle="1" w:styleId="126">
    <w:name w:val="hover"/>
    <w:basedOn w:val="37"/>
    <w:qFormat/>
    <w:uiPriority w:val="0"/>
  </w:style>
  <w:style w:type="character" w:customStyle="1" w:styleId="127">
    <w:name w:val="hover1"/>
    <w:basedOn w:val="37"/>
    <w:qFormat/>
    <w:uiPriority w:val="0"/>
    <w:rPr>
      <w:color w:val="2590EB"/>
    </w:rPr>
  </w:style>
  <w:style w:type="character" w:customStyle="1" w:styleId="128">
    <w:name w:val="hover2"/>
    <w:basedOn w:val="37"/>
    <w:qFormat/>
    <w:uiPriority w:val="0"/>
    <w:rPr>
      <w:color w:val="2590EB"/>
    </w:rPr>
  </w:style>
  <w:style w:type="character" w:customStyle="1" w:styleId="129">
    <w:name w:val="hover3"/>
    <w:basedOn w:val="37"/>
    <w:qFormat/>
    <w:uiPriority w:val="0"/>
    <w:rPr>
      <w:color w:val="2590EB"/>
      <w:shd w:val="clear" w:color="auto" w:fill="E9F4FD"/>
    </w:rPr>
  </w:style>
  <w:style w:type="table" w:customStyle="1" w:styleId="1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82</Pages>
  <Words>20218</Words>
  <Characters>21844</Characters>
  <Lines>367</Lines>
  <Paragraphs>103</Paragraphs>
  <TotalTime>1</TotalTime>
  <ScaleCrop>false</ScaleCrop>
  <LinksUpToDate>false</LinksUpToDate>
  <CharactersWithSpaces>22341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2025-08-18T01:34:00Z</dcterms:created>
  <dc:creator>陈倩倩</dc:creator>
  <cp:lastModifiedBy>韦韦</cp:lastModifiedBy>
  <cp:lastPrinted>2023-02-03T03:19:00Z</cp:lastPrinted>
  <dcterms:modified xsi:type="dcterms:W3CDTF">2025-08-29T05:25:17Z</dcterms:modified>
  <dc:title>滁州市人力资源和社会保障信息中心信息网络设备采购及安装项目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8DB45D7797904C5B98A3CC3408F11A01_13</vt:lpwstr>
  </property>
  <property fmtid="{D5CDD505-2E9C-101B-9397-08002B2CF9AE}" pid="4" name="KSOTemplateDocerSaveRecord">
    <vt:lpwstr>eyJoZGlkIjoiZmQ5MGI3YTdkMjVkZTZjM2ZjZTQ5YjMxYTJjZjRlOWEiLCJ1c2VySWQiOiIzNjE4MjQ5In0=</vt:lpwstr>
  </property>
</Properties>
</file>