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35C56">
      <w:pPr>
        <w:tabs>
          <w:tab w:val="left" w:pos="315"/>
          <w:tab w:val="left" w:pos="8820"/>
        </w:tabs>
        <w:spacing w:beforeLines="100" w:afterLines="50" w:line="500" w:lineRule="exact"/>
        <w:ind w:right="267" w:rightChars="127"/>
        <w:jc w:val="center"/>
        <w:rPr>
          <w:rFonts w:ascii="宋体" w:hAnsi="宋体" w:eastAsia="宋体"/>
          <w:b/>
          <w:bCs/>
          <w:color w:val="auto"/>
          <w:sz w:val="52"/>
          <w:szCs w:val="52"/>
          <w:highlight w:val="none"/>
        </w:rPr>
      </w:pPr>
    </w:p>
    <w:p w14:paraId="3EA990EB">
      <w:pPr>
        <w:tabs>
          <w:tab w:val="left" w:pos="315"/>
          <w:tab w:val="left" w:pos="8820"/>
        </w:tabs>
        <w:spacing w:beforeLines="100" w:afterLines="50" w:line="500" w:lineRule="exact"/>
        <w:ind w:right="267" w:rightChars="127"/>
        <w:jc w:val="center"/>
        <w:rPr>
          <w:rFonts w:ascii="宋体" w:hAnsi="宋体" w:eastAsia="宋体"/>
          <w:b/>
          <w:bCs/>
          <w:color w:val="auto"/>
          <w:sz w:val="52"/>
          <w:szCs w:val="52"/>
          <w:highlight w:val="none"/>
        </w:rPr>
      </w:pPr>
    </w:p>
    <w:p w14:paraId="4DFDA2C7">
      <w:pPr>
        <w:tabs>
          <w:tab w:val="left" w:pos="315"/>
          <w:tab w:val="left" w:pos="8820"/>
        </w:tabs>
        <w:spacing w:beforeLines="100" w:afterLines="50" w:line="500" w:lineRule="exact"/>
        <w:ind w:right="267" w:rightChars="127"/>
        <w:jc w:val="center"/>
        <w:rPr>
          <w:rFonts w:ascii="宋体" w:hAnsi="宋体" w:eastAsia="宋体"/>
          <w:b/>
          <w:bCs/>
          <w:color w:val="auto"/>
          <w:sz w:val="52"/>
          <w:szCs w:val="52"/>
          <w:highlight w:val="none"/>
        </w:rPr>
      </w:pPr>
      <w:bookmarkStart w:id="0" w:name="_Hlk9544796"/>
      <w:r>
        <w:rPr>
          <w:rFonts w:hint="eastAsia" w:ascii="宋体" w:hAnsi="宋体" w:eastAsia="宋体"/>
          <w:b/>
          <w:bCs/>
          <w:color w:val="auto"/>
          <w:sz w:val="52"/>
          <w:szCs w:val="52"/>
          <w:highlight w:val="none"/>
        </w:rPr>
        <w:t>安徽省政府采购项目</w:t>
      </w:r>
    </w:p>
    <w:p w14:paraId="2804E2BD">
      <w:pPr>
        <w:tabs>
          <w:tab w:val="left" w:pos="315"/>
          <w:tab w:val="left" w:pos="8820"/>
        </w:tabs>
        <w:spacing w:beforeLines="100" w:afterLines="50" w:line="500" w:lineRule="exact"/>
        <w:ind w:right="267" w:rightChars="127"/>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rPr>
        <w:t>（服务类）</w:t>
      </w:r>
    </w:p>
    <w:p w14:paraId="08A6EE20">
      <w:pPr>
        <w:tabs>
          <w:tab w:val="left" w:pos="315"/>
          <w:tab w:val="left" w:pos="8820"/>
        </w:tabs>
        <w:spacing w:beforeLines="100" w:afterLines="50" w:line="500" w:lineRule="exact"/>
        <w:ind w:right="267" w:rightChars="127"/>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（2024年版）</w:t>
      </w:r>
    </w:p>
    <w:p w14:paraId="47F885F2">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734F11F2">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019C0B04">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06293EEC">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17EA5E05">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54936C6C">
      <w:pPr>
        <w:tabs>
          <w:tab w:val="left" w:pos="2410"/>
        </w:tabs>
        <w:autoSpaceDE w:val="0"/>
        <w:autoSpaceDN w:val="0"/>
        <w:adjustRightInd w:val="0"/>
        <w:snapToGrid w:val="0"/>
        <w:spacing w:line="360" w:lineRule="auto"/>
        <w:rPr>
          <w:rFonts w:hint="eastAsia" w:ascii="宋体" w:hAnsi="宋体" w:eastAsia="宋体"/>
          <w:b/>
          <w:color w:val="auto"/>
          <w:spacing w:val="20"/>
          <w:kern w:val="0"/>
          <w:sz w:val="32"/>
          <w:szCs w:val="32"/>
          <w:highlight w:val="none"/>
        </w:rPr>
      </w:pPr>
    </w:p>
    <w:p w14:paraId="5278AAC7">
      <w:pPr>
        <w:tabs>
          <w:tab w:val="left" w:pos="2410"/>
        </w:tabs>
        <w:autoSpaceDE w:val="0"/>
        <w:autoSpaceDN w:val="0"/>
        <w:adjustRightInd w:val="0"/>
        <w:snapToGrid w:val="0"/>
        <w:spacing w:line="360" w:lineRule="auto"/>
        <w:ind w:left="1806" w:hanging="1806" w:hangingChars="500"/>
        <w:rPr>
          <w:rFonts w:hint="default" w:ascii="宋体" w:hAnsi="宋体" w:eastAsia="宋体"/>
          <w:b/>
          <w:color w:val="auto"/>
          <w:spacing w:val="20"/>
          <w:kern w:val="0"/>
          <w:sz w:val="32"/>
          <w:szCs w:val="32"/>
          <w:highlight w:val="none"/>
          <w:u w:val="single"/>
          <w:lang w:val="en-US"/>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滁州市科学技术馆展教辅助服务及运行保障项目（2026年-2028年）（二次）</w:t>
      </w:r>
    </w:p>
    <w:p w14:paraId="6EABC52C">
      <w:pPr>
        <w:tabs>
          <w:tab w:val="left" w:pos="2410"/>
        </w:tabs>
        <w:autoSpaceDE w:val="0"/>
        <w:autoSpaceDN w:val="0"/>
        <w:adjustRightInd w:val="0"/>
        <w:snapToGrid w:val="0"/>
        <w:spacing w:line="360" w:lineRule="auto"/>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项目编号：</w:t>
      </w:r>
      <w:r>
        <w:rPr>
          <w:rFonts w:hint="default" w:ascii="宋体" w:hAnsi="宋体" w:eastAsia="宋体"/>
          <w:b/>
          <w:color w:val="auto"/>
          <w:spacing w:val="20"/>
          <w:kern w:val="0"/>
          <w:sz w:val="32"/>
          <w:szCs w:val="32"/>
          <w:highlight w:val="none"/>
          <w:u w:val="single"/>
          <w:lang w:eastAsia="zh-CN"/>
        </w:rPr>
        <w:t>czsjcg202601-002</w:t>
      </w:r>
    </w:p>
    <w:p w14:paraId="0C5A2F06">
      <w:pPr>
        <w:tabs>
          <w:tab w:val="left" w:pos="2410"/>
        </w:tabs>
        <w:autoSpaceDE w:val="0"/>
        <w:autoSpaceDN w:val="0"/>
        <w:adjustRightInd w:val="0"/>
        <w:snapToGrid w:val="0"/>
        <w:spacing w:line="360" w:lineRule="auto"/>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eastAsia="zh-CN"/>
        </w:rPr>
        <w:t>滁州市科学技术馆</w:t>
      </w:r>
      <w:r>
        <w:rPr>
          <w:rFonts w:hint="eastAsia" w:ascii="宋体" w:hAnsi="宋体" w:eastAsia="宋体"/>
          <w:b/>
          <w:color w:val="auto"/>
          <w:spacing w:val="20"/>
          <w:kern w:val="0"/>
          <w:sz w:val="32"/>
          <w:szCs w:val="32"/>
          <w:highlight w:val="none"/>
          <w:u w:val="single"/>
        </w:rPr>
        <w:t xml:space="preserve"> </w:t>
      </w:r>
    </w:p>
    <w:p w14:paraId="38158706">
      <w:pPr>
        <w:tabs>
          <w:tab w:val="left" w:pos="2410"/>
        </w:tabs>
        <w:autoSpaceDE w:val="0"/>
        <w:autoSpaceDN w:val="0"/>
        <w:adjustRightInd w:val="0"/>
        <w:snapToGrid w:val="0"/>
        <w:spacing w:line="360" w:lineRule="auto"/>
        <w:rPr>
          <w:rFonts w:hint="eastAsia" w:ascii="宋体" w:hAnsi="宋体" w:eastAsia="宋体"/>
          <w:b/>
          <w:color w:val="auto"/>
          <w:spacing w:val="20"/>
          <w:kern w:val="0"/>
          <w:sz w:val="32"/>
          <w:szCs w:val="32"/>
          <w:highlight w:val="none"/>
          <w:lang w:eastAsia="zh-CN"/>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eastAsia="zh-CN"/>
        </w:rPr>
        <w:t>滁州市政府采购中心</w:t>
      </w:r>
    </w:p>
    <w:p w14:paraId="2F5D2224">
      <w:pPr>
        <w:tabs>
          <w:tab w:val="left" w:pos="2410"/>
        </w:tabs>
        <w:autoSpaceDE w:val="0"/>
        <w:autoSpaceDN w:val="0"/>
        <w:adjustRightInd w:val="0"/>
        <w:snapToGrid w:val="0"/>
        <w:spacing w:line="360" w:lineRule="auto"/>
        <w:rPr>
          <w:rFonts w:hint="eastAsia" w:ascii="宋体" w:hAnsi="宋体" w:eastAsia="宋体"/>
          <w:b/>
          <w:color w:val="auto"/>
          <w:spacing w:val="20"/>
          <w:kern w:val="0"/>
          <w:sz w:val="32"/>
          <w:szCs w:val="32"/>
          <w:highlight w:val="none"/>
        </w:rPr>
      </w:pPr>
    </w:p>
    <w:p w14:paraId="4919220E">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r>
        <w:rPr>
          <w:rFonts w:hint="eastAsia" w:ascii="宋体" w:hAnsi="宋体" w:eastAsia="宋体"/>
          <w:b/>
          <w:color w:val="auto"/>
          <w:sz w:val="36"/>
          <w:highlight w:val="none"/>
          <w:u w:val="single"/>
        </w:rPr>
        <w:t xml:space="preserve"> 202</w:t>
      </w:r>
      <w:r>
        <w:rPr>
          <w:rFonts w:hint="eastAsia" w:ascii="宋体" w:hAnsi="宋体" w:eastAsia="宋体"/>
          <w:b/>
          <w:color w:val="auto"/>
          <w:sz w:val="36"/>
          <w:highlight w:val="none"/>
          <w:u w:val="single"/>
          <w:lang w:val="en-US" w:eastAsia="zh-CN"/>
        </w:rPr>
        <w:t>6</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u w:val="single"/>
          <w:lang w:val="en-US" w:eastAsia="zh-CN"/>
        </w:rPr>
        <w:t xml:space="preserve">1 </w:t>
      </w:r>
      <w:r>
        <w:rPr>
          <w:rFonts w:hint="eastAsia" w:ascii="宋体" w:hAnsi="宋体" w:eastAsia="宋体"/>
          <w:b/>
          <w:color w:val="auto"/>
          <w:sz w:val="36"/>
          <w:highlight w:val="none"/>
        </w:rPr>
        <w:t>月</w:t>
      </w:r>
    </w:p>
    <w:p w14:paraId="3641CC44">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75FC0532">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3E04F2C4">
      <w:pPr>
        <w:pStyle w:val="22"/>
        <w:tabs>
          <w:tab w:val="right" w:leader="dot" w:pos="8306"/>
        </w:tabs>
        <w:rPr>
          <w:color w:val="auto"/>
          <w:sz w:val="28"/>
          <w:szCs w:val="28"/>
          <w:highlight w:val="none"/>
        </w:rPr>
      </w:pPr>
      <w:r>
        <w:rPr>
          <w:rFonts w:hint="eastAsia" w:ascii="宋体" w:hAnsi="宋体" w:eastAsia="宋体" w:cs="宋体"/>
          <w:b/>
          <w:color w:val="auto"/>
          <w:sz w:val="28"/>
          <w:szCs w:val="28"/>
          <w:highlight w:val="none"/>
        </w:rPr>
        <w:fldChar w:fldCharType="begin"/>
      </w:r>
      <w:r>
        <w:rPr>
          <w:rFonts w:hint="eastAsia" w:ascii="宋体" w:hAnsi="宋体" w:eastAsia="宋体" w:cs="宋体"/>
          <w:b/>
          <w:color w:val="auto"/>
          <w:sz w:val="28"/>
          <w:szCs w:val="28"/>
          <w:highlight w:val="none"/>
        </w:rPr>
        <w:instrText xml:space="preserve"> TOC \o "1-2" \h \z \u </w:instrText>
      </w:r>
      <w:r>
        <w:rPr>
          <w:rFonts w:hint="eastAsia" w:ascii="宋体" w:hAnsi="宋体" w:eastAsia="宋体" w:cs="宋体"/>
          <w:b/>
          <w:color w:val="auto"/>
          <w:sz w:val="28"/>
          <w:szCs w:val="28"/>
          <w:highlight w:val="none"/>
        </w:rPr>
        <w:fldChar w:fldCharType="separate"/>
      </w:r>
      <w:r>
        <w:rPr>
          <w:rFonts w:asciiTheme="minorEastAsia" w:hAnsiTheme="minorEastAsia"/>
          <w:b/>
          <w:color w:val="auto"/>
          <w:sz w:val="28"/>
          <w:szCs w:val="28"/>
          <w:highlight w:val="none"/>
        </w:rPr>
        <w:fldChar w:fldCharType="begin"/>
      </w:r>
      <w:r>
        <w:rPr>
          <w:rFonts w:asciiTheme="minorEastAsia" w:hAnsiTheme="minorEastAsia"/>
          <w:b/>
          <w:color w:val="auto"/>
          <w:sz w:val="28"/>
          <w:szCs w:val="28"/>
          <w:highlight w:val="none"/>
        </w:rPr>
        <w:instrText xml:space="preserve"> </w:instrText>
      </w:r>
      <w:r>
        <w:rPr>
          <w:rFonts w:hint="eastAsia" w:asciiTheme="minorEastAsia" w:hAnsiTheme="minorEastAsia"/>
          <w:b/>
          <w:color w:val="auto"/>
          <w:sz w:val="28"/>
          <w:szCs w:val="28"/>
          <w:highlight w:val="none"/>
        </w:rPr>
        <w:instrText xml:space="preserve">TOC \o "1-2" \h \z \u</w:instrText>
      </w:r>
      <w:r>
        <w:rPr>
          <w:rFonts w:asciiTheme="minorEastAsia" w:hAnsiTheme="minorEastAsia"/>
          <w:b/>
          <w:color w:val="auto"/>
          <w:sz w:val="28"/>
          <w:szCs w:val="28"/>
          <w:highlight w:val="none"/>
        </w:rPr>
        <w:instrText xml:space="preserve"> </w:instrText>
      </w:r>
      <w:r>
        <w:rPr>
          <w:rFonts w:asciiTheme="minorEastAsia" w:hAnsiTheme="minorEastAsia"/>
          <w:b/>
          <w:color w:val="auto"/>
          <w:sz w:val="28"/>
          <w:szCs w:val="28"/>
          <w:highlight w:val="none"/>
        </w:rPr>
        <w:fldChar w:fldCharType="separate"/>
      </w:r>
      <w:r>
        <w:rPr>
          <w:color w:val="auto"/>
          <w:sz w:val="28"/>
          <w:szCs w:val="28"/>
          <w:highlight w:val="none"/>
        </w:rPr>
        <w:fldChar w:fldCharType="begin"/>
      </w:r>
      <w:r>
        <w:rPr>
          <w:color w:val="auto"/>
          <w:sz w:val="28"/>
          <w:szCs w:val="28"/>
          <w:highlight w:val="none"/>
        </w:rPr>
        <w:instrText xml:space="preserve"> HYPERLINK \l "_Toc32331" </w:instrText>
      </w:r>
      <w:r>
        <w:rPr>
          <w:color w:val="auto"/>
          <w:sz w:val="28"/>
          <w:szCs w:val="28"/>
          <w:highlight w:val="none"/>
        </w:rPr>
        <w:fldChar w:fldCharType="separate"/>
      </w:r>
      <w:r>
        <w:rPr>
          <w:rFonts w:hint="eastAsia" w:asciiTheme="minorEastAsia" w:hAnsiTheme="minorEastAsia"/>
          <w:color w:val="auto"/>
          <w:sz w:val="28"/>
          <w:szCs w:val="28"/>
          <w:highlight w:val="none"/>
        </w:rPr>
        <w:t xml:space="preserve">第一章 </w:t>
      </w:r>
      <w:r>
        <w:rPr>
          <w:rFonts w:asciiTheme="minorEastAsia" w:hAnsiTheme="minorEastAsia"/>
          <w:color w:val="auto"/>
          <w:sz w:val="28"/>
          <w:szCs w:val="28"/>
          <w:highlight w:val="none"/>
        </w:rPr>
        <w:t xml:space="preserve"> 投标邀请</w:t>
      </w:r>
      <w:r>
        <w:rPr>
          <w:color w:val="auto"/>
          <w:sz w:val="28"/>
          <w:szCs w:val="28"/>
          <w:highlight w:val="none"/>
        </w:rPr>
        <w:tab/>
      </w:r>
      <w:r>
        <w:rPr>
          <w:rFonts w:hint="eastAsia"/>
          <w:color w:val="auto"/>
          <w:sz w:val="28"/>
          <w:szCs w:val="28"/>
          <w:highlight w:val="none"/>
          <w:lang w:val="en-US" w:eastAsia="zh-CN"/>
        </w:rPr>
        <w:t>1</w:t>
      </w:r>
      <w:r>
        <w:rPr>
          <w:color w:val="auto"/>
          <w:sz w:val="28"/>
          <w:szCs w:val="28"/>
          <w:highlight w:val="none"/>
        </w:rPr>
        <w:fldChar w:fldCharType="end"/>
      </w:r>
    </w:p>
    <w:p w14:paraId="39415BB8">
      <w:pPr>
        <w:pStyle w:val="22"/>
        <w:tabs>
          <w:tab w:val="right" w:leader="dot" w:pos="8306"/>
        </w:tabs>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"_Toc8888" </w:instrText>
      </w:r>
      <w:r>
        <w:rPr>
          <w:color w:val="auto"/>
          <w:sz w:val="28"/>
          <w:szCs w:val="28"/>
          <w:highlight w:val="none"/>
        </w:rPr>
        <w:fldChar w:fldCharType="separate"/>
      </w:r>
      <w:r>
        <w:rPr>
          <w:rFonts w:hint="eastAsia" w:asciiTheme="minorEastAsia" w:hAnsiTheme="minorEastAsia"/>
          <w:color w:val="auto"/>
          <w:sz w:val="28"/>
          <w:szCs w:val="28"/>
          <w:highlight w:val="none"/>
        </w:rPr>
        <w:t>第二章</w:t>
      </w:r>
      <w:r>
        <w:rPr>
          <w:rFonts w:asciiTheme="minorEastAsia" w:hAnsiTheme="minorEastAsia"/>
          <w:color w:val="auto"/>
          <w:sz w:val="28"/>
          <w:szCs w:val="28"/>
          <w:highlight w:val="none"/>
        </w:rPr>
        <w:t xml:space="preserve"> </w:t>
      </w:r>
      <w:r>
        <w:rPr>
          <w:rFonts w:hint="eastAsia" w:asciiTheme="minorEastAsia" w:hAnsiTheme="minorEastAsia"/>
          <w:color w:val="auto"/>
          <w:sz w:val="28"/>
          <w:szCs w:val="28"/>
          <w:highlight w:val="none"/>
        </w:rPr>
        <w:t xml:space="preserve"> </w:t>
      </w:r>
      <w:r>
        <w:rPr>
          <w:rFonts w:asciiTheme="minorEastAsia" w:hAnsiTheme="minorEastAsia"/>
          <w:color w:val="auto"/>
          <w:sz w:val="28"/>
          <w:szCs w:val="28"/>
          <w:highlight w:val="none"/>
        </w:rPr>
        <w:t>投标人须知</w:t>
      </w:r>
      <w:r>
        <w:rPr>
          <w:color w:val="auto"/>
          <w:sz w:val="28"/>
          <w:szCs w:val="28"/>
          <w:highlight w:val="none"/>
        </w:rPr>
        <w:tab/>
      </w:r>
      <w:r>
        <w:rPr>
          <w:rFonts w:hint="eastAsia"/>
          <w:color w:val="auto"/>
          <w:sz w:val="28"/>
          <w:szCs w:val="28"/>
          <w:highlight w:val="none"/>
          <w:lang w:val="en-US" w:eastAsia="zh-CN"/>
        </w:rPr>
        <w:t>6</w:t>
      </w:r>
      <w:r>
        <w:rPr>
          <w:rFonts w:hint="eastAsia"/>
          <w:color w:val="auto"/>
          <w:sz w:val="28"/>
          <w:szCs w:val="28"/>
          <w:highlight w:val="none"/>
        </w:rPr>
        <w:fldChar w:fldCharType="end"/>
      </w:r>
    </w:p>
    <w:p w14:paraId="18451FAE">
      <w:pPr>
        <w:pStyle w:val="22"/>
        <w:tabs>
          <w:tab w:val="right" w:leader="dot" w:pos="8306"/>
        </w:tabs>
        <w:rPr>
          <w:rFonts w:hint="eastAsia"/>
          <w:color w:val="auto"/>
          <w:sz w:val="28"/>
          <w:szCs w:val="28"/>
          <w:highlight w:val="none"/>
          <w:lang w:eastAsia="zh-CN"/>
        </w:rPr>
      </w:pPr>
      <w:r>
        <w:rPr>
          <w:color w:val="auto"/>
          <w:sz w:val="28"/>
          <w:szCs w:val="28"/>
          <w:highlight w:val="none"/>
        </w:rPr>
        <w:fldChar w:fldCharType="begin"/>
      </w:r>
      <w:r>
        <w:rPr>
          <w:color w:val="auto"/>
          <w:sz w:val="28"/>
          <w:szCs w:val="28"/>
          <w:highlight w:val="none"/>
        </w:rPr>
        <w:instrText xml:space="preserve"> HYPERLINK \l "_Toc22605" </w:instrText>
      </w:r>
      <w:r>
        <w:rPr>
          <w:color w:val="auto"/>
          <w:sz w:val="28"/>
          <w:szCs w:val="28"/>
          <w:highlight w:val="none"/>
        </w:rPr>
        <w:fldChar w:fldCharType="separate"/>
      </w:r>
      <w:r>
        <w:rPr>
          <w:rFonts w:hint="eastAsia" w:asciiTheme="minorEastAsia" w:hAnsiTheme="minorEastAsia"/>
          <w:color w:val="auto"/>
          <w:sz w:val="28"/>
          <w:szCs w:val="28"/>
          <w:highlight w:val="none"/>
        </w:rPr>
        <w:t>第三章  采购需求</w:t>
      </w:r>
      <w:r>
        <w:rPr>
          <w:color w:val="auto"/>
          <w:sz w:val="28"/>
          <w:szCs w:val="28"/>
          <w:highlight w:val="none"/>
        </w:rPr>
        <w:tab/>
      </w:r>
      <w:r>
        <w:rPr>
          <w:rFonts w:hint="eastAsia"/>
          <w:color w:val="auto"/>
          <w:sz w:val="28"/>
          <w:szCs w:val="28"/>
          <w:highlight w:val="none"/>
        </w:rPr>
        <w:t>2</w:t>
      </w:r>
      <w:r>
        <w:rPr>
          <w:rFonts w:hint="eastAsia"/>
          <w:color w:val="auto"/>
          <w:sz w:val="28"/>
          <w:szCs w:val="28"/>
          <w:highlight w:val="none"/>
        </w:rPr>
        <w:fldChar w:fldCharType="end"/>
      </w:r>
      <w:r>
        <w:rPr>
          <w:rFonts w:hint="eastAsia"/>
          <w:color w:val="auto"/>
          <w:sz w:val="28"/>
          <w:szCs w:val="28"/>
          <w:highlight w:val="none"/>
          <w:lang w:val="en-US" w:eastAsia="zh-CN"/>
        </w:rPr>
        <w:t>4</w:t>
      </w:r>
    </w:p>
    <w:p w14:paraId="166F0DD6">
      <w:pPr>
        <w:pStyle w:val="22"/>
        <w:tabs>
          <w:tab w:val="right" w:leader="dot" w:pos="8306"/>
        </w:tabs>
        <w:rPr>
          <w:rFonts w:hint="eastAsia" w:eastAsiaTheme="minorEastAsia"/>
          <w:color w:val="auto"/>
          <w:sz w:val="28"/>
          <w:szCs w:val="28"/>
          <w:highlight w:val="none"/>
          <w:lang w:val="en-US" w:eastAsia="zh-CN"/>
        </w:rPr>
      </w:pPr>
      <w:r>
        <w:rPr>
          <w:color w:val="auto"/>
          <w:sz w:val="28"/>
          <w:szCs w:val="28"/>
          <w:highlight w:val="none"/>
        </w:rPr>
        <w:fldChar w:fldCharType="begin"/>
      </w:r>
      <w:r>
        <w:rPr>
          <w:color w:val="auto"/>
          <w:sz w:val="28"/>
          <w:szCs w:val="28"/>
          <w:highlight w:val="none"/>
        </w:rPr>
        <w:instrText xml:space="preserve"> HYPERLINK \l "_Toc30824" </w:instrText>
      </w:r>
      <w:r>
        <w:rPr>
          <w:color w:val="auto"/>
          <w:sz w:val="28"/>
          <w:szCs w:val="28"/>
          <w:highlight w:val="none"/>
        </w:rPr>
        <w:fldChar w:fldCharType="separate"/>
      </w:r>
      <w:r>
        <w:rPr>
          <w:rFonts w:hint="eastAsia" w:asciiTheme="minorEastAsia" w:hAnsiTheme="minorEastAsia"/>
          <w:color w:val="auto"/>
          <w:sz w:val="28"/>
          <w:szCs w:val="28"/>
          <w:highlight w:val="none"/>
        </w:rPr>
        <w:t>第四章  评标方法和标准（综合评分法）</w:t>
      </w:r>
      <w:r>
        <w:rPr>
          <w:color w:val="auto"/>
          <w:sz w:val="28"/>
          <w:szCs w:val="28"/>
          <w:highlight w:val="none"/>
        </w:rPr>
        <w:tab/>
      </w:r>
      <w:r>
        <w:rPr>
          <w:rFonts w:hint="eastAsia"/>
          <w:color w:val="auto"/>
          <w:sz w:val="28"/>
          <w:szCs w:val="28"/>
          <w:highlight w:val="none"/>
          <w:lang w:val="en-US" w:eastAsia="zh-CN"/>
        </w:rPr>
        <w:t>5</w:t>
      </w:r>
      <w:r>
        <w:rPr>
          <w:rFonts w:hint="eastAsia"/>
          <w:color w:val="auto"/>
          <w:sz w:val="28"/>
          <w:szCs w:val="28"/>
          <w:highlight w:val="none"/>
        </w:rPr>
        <w:fldChar w:fldCharType="end"/>
      </w:r>
      <w:r>
        <w:rPr>
          <w:rFonts w:hint="eastAsia"/>
          <w:color w:val="auto"/>
          <w:sz w:val="28"/>
          <w:szCs w:val="28"/>
          <w:highlight w:val="none"/>
          <w:lang w:val="en-US" w:eastAsia="zh-CN"/>
        </w:rPr>
        <w:t>5</w:t>
      </w:r>
    </w:p>
    <w:p w14:paraId="325B09DD">
      <w:pPr>
        <w:pStyle w:val="22"/>
        <w:tabs>
          <w:tab w:val="right" w:leader="dot" w:pos="8306"/>
        </w:tabs>
        <w:rPr>
          <w:rFonts w:hint="eastAsia" w:eastAsiaTheme="minorEastAsia"/>
          <w:color w:val="auto"/>
          <w:sz w:val="28"/>
          <w:szCs w:val="28"/>
          <w:highlight w:val="none"/>
          <w:lang w:val="en-US" w:eastAsia="zh-CN"/>
        </w:rPr>
      </w:pPr>
      <w:r>
        <w:rPr>
          <w:color w:val="auto"/>
          <w:sz w:val="28"/>
          <w:szCs w:val="28"/>
          <w:highlight w:val="none"/>
        </w:rPr>
        <w:fldChar w:fldCharType="begin"/>
      </w:r>
      <w:r>
        <w:rPr>
          <w:color w:val="auto"/>
          <w:sz w:val="28"/>
          <w:szCs w:val="28"/>
          <w:highlight w:val="none"/>
        </w:rPr>
        <w:instrText xml:space="preserve"> HYPERLINK \l "_Toc20405" </w:instrText>
      </w:r>
      <w:r>
        <w:rPr>
          <w:color w:val="auto"/>
          <w:sz w:val="28"/>
          <w:szCs w:val="28"/>
          <w:highlight w:val="none"/>
        </w:rPr>
        <w:fldChar w:fldCharType="separate"/>
      </w:r>
      <w:r>
        <w:rPr>
          <w:rFonts w:hint="eastAsia" w:asciiTheme="minorEastAsia" w:hAnsiTheme="minorEastAsia"/>
          <w:color w:val="auto"/>
          <w:sz w:val="28"/>
          <w:szCs w:val="28"/>
          <w:highlight w:val="none"/>
        </w:rPr>
        <w:t xml:space="preserve">第五章  </w:t>
      </w:r>
      <w:r>
        <w:rPr>
          <w:rFonts w:asciiTheme="minorEastAsia" w:hAnsiTheme="minorEastAsia"/>
          <w:color w:val="auto"/>
          <w:sz w:val="28"/>
          <w:szCs w:val="28"/>
          <w:highlight w:val="none"/>
        </w:rPr>
        <w:t>政府采购合同</w:t>
      </w:r>
      <w:r>
        <w:rPr>
          <w:color w:val="auto"/>
          <w:sz w:val="28"/>
          <w:szCs w:val="28"/>
          <w:highlight w:val="none"/>
        </w:rPr>
        <w:tab/>
      </w:r>
      <w:r>
        <w:rPr>
          <w:rFonts w:hint="eastAsia"/>
          <w:color w:val="auto"/>
          <w:sz w:val="28"/>
          <w:szCs w:val="28"/>
          <w:highlight w:val="none"/>
          <w:lang w:val="en-US" w:eastAsia="zh-CN"/>
        </w:rPr>
        <w:t>6</w:t>
      </w:r>
      <w:r>
        <w:rPr>
          <w:rFonts w:hint="eastAsia"/>
          <w:color w:val="auto"/>
          <w:sz w:val="28"/>
          <w:szCs w:val="28"/>
          <w:highlight w:val="none"/>
        </w:rPr>
        <w:fldChar w:fldCharType="end"/>
      </w:r>
      <w:r>
        <w:rPr>
          <w:rFonts w:hint="eastAsia"/>
          <w:color w:val="auto"/>
          <w:sz w:val="28"/>
          <w:szCs w:val="28"/>
          <w:highlight w:val="none"/>
          <w:lang w:val="en-US" w:eastAsia="zh-CN"/>
        </w:rPr>
        <w:t>8</w:t>
      </w:r>
    </w:p>
    <w:p w14:paraId="6A2D04C2">
      <w:pPr>
        <w:pStyle w:val="22"/>
        <w:tabs>
          <w:tab w:val="right" w:leader="dot" w:pos="8306"/>
        </w:tabs>
        <w:rPr>
          <w:rFonts w:hint="eastAsia" w:eastAsiaTheme="minorEastAsia"/>
          <w:color w:val="auto"/>
          <w:sz w:val="28"/>
          <w:szCs w:val="28"/>
          <w:highlight w:val="none"/>
          <w:lang w:val="en-US" w:eastAsia="zh-CN"/>
        </w:rPr>
      </w:pPr>
      <w:r>
        <w:rPr>
          <w:color w:val="auto"/>
          <w:sz w:val="28"/>
          <w:szCs w:val="28"/>
          <w:highlight w:val="none"/>
        </w:rPr>
        <w:fldChar w:fldCharType="begin"/>
      </w:r>
      <w:r>
        <w:rPr>
          <w:color w:val="auto"/>
          <w:sz w:val="28"/>
          <w:szCs w:val="28"/>
          <w:highlight w:val="none"/>
        </w:rPr>
        <w:instrText xml:space="preserve"> HYPERLINK \l "_Toc13555" </w:instrText>
      </w:r>
      <w:r>
        <w:rPr>
          <w:color w:val="auto"/>
          <w:sz w:val="28"/>
          <w:szCs w:val="28"/>
          <w:highlight w:val="none"/>
        </w:rPr>
        <w:fldChar w:fldCharType="separate"/>
      </w:r>
      <w:r>
        <w:rPr>
          <w:rFonts w:hint="eastAsia" w:asciiTheme="minorEastAsia" w:hAnsiTheme="minorEastAsia"/>
          <w:color w:val="auto"/>
          <w:sz w:val="28"/>
          <w:szCs w:val="28"/>
          <w:highlight w:val="none"/>
        </w:rPr>
        <w:t>第六章  投标文件格式</w:t>
      </w:r>
      <w:r>
        <w:rPr>
          <w:color w:val="auto"/>
          <w:sz w:val="28"/>
          <w:szCs w:val="28"/>
          <w:highlight w:val="none"/>
        </w:rPr>
        <w:tab/>
      </w:r>
      <w:r>
        <w:rPr>
          <w:rFonts w:hint="eastAsia"/>
          <w:color w:val="auto"/>
          <w:sz w:val="28"/>
          <w:szCs w:val="28"/>
          <w:highlight w:val="none"/>
          <w:lang w:val="en-US" w:eastAsia="zh-CN"/>
        </w:rPr>
        <w:t>7</w:t>
      </w:r>
      <w:r>
        <w:rPr>
          <w:rFonts w:hint="eastAsia"/>
          <w:color w:val="auto"/>
          <w:sz w:val="28"/>
          <w:szCs w:val="28"/>
          <w:highlight w:val="none"/>
        </w:rPr>
        <w:fldChar w:fldCharType="end"/>
      </w:r>
      <w:r>
        <w:rPr>
          <w:rFonts w:hint="eastAsia"/>
          <w:color w:val="auto"/>
          <w:sz w:val="28"/>
          <w:szCs w:val="28"/>
          <w:highlight w:val="none"/>
          <w:lang w:val="en-US" w:eastAsia="zh-CN"/>
        </w:rPr>
        <w:t>9</w:t>
      </w:r>
    </w:p>
    <w:p w14:paraId="66443CE4">
      <w:pPr>
        <w:pStyle w:val="22"/>
        <w:tabs>
          <w:tab w:val="right" w:leader="dot" w:pos="8306"/>
        </w:tabs>
        <w:rPr>
          <w:rFonts w:hint="eastAsia" w:eastAsiaTheme="minorEastAsia"/>
          <w:color w:val="auto"/>
          <w:sz w:val="28"/>
          <w:szCs w:val="28"/>
          <w:highlight w:val="none"/>
          <w:lang w:val="en-US" w:eastAsia="zh-CN"/>
        </w:rPr>
      </w:pPr>
      <w:r>
        <w:rPr>
          <w:color w:val="auto"/>
          <w:sz w:val="28"/>
          <w:szCs w:val="28"/>
          <w:highlight w:val="none"/>
        </w:rPr>
        <w:fldChar w:fldCharType="begin"/>
      </w:r>
      <w:r>
        <w:rPr>
          <w:color w:val="auto"/>
          <w:sz w:val="28"/>
          <w:szCs w:val="28"/>
          <w:highlight w:val="none"/>
        </w:rPr>
        <w:instrText xml:space="preserve"> HYPERLINK \l "_Toc20819" </w:instrText>
      </w:r>
      <w:r>
        <w:rPr>
          <w:color w:val="auto"/>
          <w:sz w:val="28"/>
          <w:szCs w:val="28"/>
          <w:highlight w:val="none"/>
        </w:rPr>
        <w:fldChar w:fldCharType="separate"/>
      </w:r>
      <w:r>
        <w:rPr>
          <w:rFonts w:hint="eastAsia" w:asciiTheme="minorEastAsia" w:hAnsiTheme="minorEastAsia"/>
          <w:color w:val="auto"/>
          <w:sz w:val="28"/>
          <w:szCs w:val="28"/>
          <w:highlight w:val="none"/>
        </w:rPr>
        <w:t>第七章</w:t>
      </w:r>
      <w:r>
        <w:rPr>
          <w:rFonts w:hint="eastAsia" w:ascii="宋体" w:hAnsi="宋体" w:eastAsia="宋体"/>
          <w:bCs/>
          <w:color w:val="auto"/>
          <w:sz w:val="28"/>
          <w:szCs w:val="28"/>
          <w:highlight w:val="none"/>
        </w:rPr>
        <w:t xml:space="preserve">  政府采购</w:t>
      </w:r>
      <w:r>
        <w:rPr>
          <w:rFonts w:hint="eastAsia" w:asciiTheme="minorEastAsia" w:hAnsiTheme="minorEastAsia"/>
          <w:color w:val="auto"/>
          <w:sz w:val="28"/>
          <w:szCs w:val="28"/>
          <w:highlight w:val="none"/>
        </w:rPr>
        <w:t>供应</w:t>
      </w:r>
      <w:r>
        <w:rPr>
          <w:rFonts w:hint="eastAsia" w:ascii="宋体" w:hAnsi="宋体" w:eastAsia="宋体"/>
          <w:bCs/>
          <w:color w:val="auto"/>
          <w:sz w:val="28"/>
          <w:szCs w:val="28"/>
          <w:highlight w:val="none"/>
        </w:rPr>
        <w:t>商询问函和质疑函范本</w:t>
      </w:r>
      <w:r>
        <w:rPr>
          <w:color w:val="auto"/>
          <w:sz w:val="28"/>
          <w:szCs w:val="28"/>
          <w:highlight w:val="none"/>
        </w:rPr>
        <w:tab/>
      </w:r>
      <w:r>
        <w:rPr>
          <w:rFonts w:hint="eastAsia"/>
          <w:color w:val="auto"/>
          <w:sz w:val="28"/>
          <w:szCs w:val="28"/>
          <w:highlight w:val="none"/>
          <w:lang w:val="en-US" w:eastAsia="zh-CN"/>
        </w:rPr>
        <w:t>9</w:t>
      </w:r>
      <w:r>
        <w:rPr>
          <w:rFonts w:hint="eastAsia"/>
          <w:color w:val="auto"/>
          <w:sz w:val="28"/>
          <w:szCs w:val="28"/>
          <w:highlight w:val="none"/>
        </w:rPr>
        <w:fldChar w:fldCharType="end"/>
      </w:r>
      <w:r>
        <w:rPr>
          <w:rFonts w:hint="eastAsia"/>
          <w:color w:val="auto"/>
          <w:sz w:val="28"/>
          <w:szCs w:val="28"/>
          <w:highlight w:val="none"/>
          <w:lang w:val="en-US" w:eastAsia="zh-CN"/>
        </w:rPr>
        <w:t>7</w:t>
      </w:r>
    </w:p>
    <w:p w14:paraId="16B3D53C">
      <w:pPr>
        <w:pStyle w:val="22"/>
        <w:tabs>
          <w:tab w:val="right" w:leader="dot" w:pos="8306"/>
        </w:tabs>
        <w:rPr>
          <w:rFonts w:hint="eastAsia" w:ascii="宋体" w:hAnsi="宋体" w:eastAsia="宋体" w:cs="宋体"/>
          <w:color w:val="auto"/>
          <w:sz w:val="28"/>
          <w:szCs w:val="28"/>
          <w:highlight w:val="none"/>
        </w:rPr>
      </w:pPr>
      <w:r>
        <w:rPr>
          <w:rFonts w:asciiTheme="minorEastAsia" w:hAnsiTheme="minorEastAsia" w:eastAsiaTheme="minorEastAsia"/>
          <w:color w:val="auto"/>
          <w:sz w:val="28"/>
          <w:szCs w:val="28"/>
          <w:highlight w:val="none"/>
        </w:rPr>
        <w:fldChar w:fldCharType="end"/>
      </w:r>
    </w:p>
    <w:p w14:paraId="5169A2FE">
      <w:pPr>
        <w:spacing w:line="360" w:lineRule="auto"/>
        <w:rPr>
          <w:rFonts w:asciiTheme="minorEastAsia" w:hAnsiTheme="minorEastAsia" w:eastAsiaTheme="minorEastAsia"/>
          <w:b/>
          <w:color w:val="auto"/>
          <w:sz w:val="32"/>
          <w:highlight w:val="none"/>
        </w:rPr>
      </w:pPr>
      <w:r>
        <w:rPr>
          <w:rFonts w:hint="eastAsia" w:ascii="宋体" w:hAnsi="宋体" w:eastAsia="宋体" w:cs="宋体"/>
          <w:color w:val="auto"/>
          <w:sz w:val="28"/>
          <w:szCs w:val="28"/>
          <w:highlight w:val="none"/>
        </w:rPr>
        <w:fldChar w:fldCharType="end"/>
      </w:r>
    </w:p>
    <w:p w14:paraId="7A263DFD">
      <w:pPr>
        <w:spacing w:line="360" w:lineRule="auto"/>
        <w:jc w:val="center"/>
        <w:outlineLvl w:val="1"/>
        <w:rPr>
          <w:rFonts w:asciiTheme="minorEastAsia" w:hAnsiTheme="minorEastAsia" w:eastAsiaTheme="minorEastAsia"/>
          <w:b/>
          <w:color w:val="auto"/>
          <w:sz w:val="28"/>
          <w:highlight w:val="none"/>
        </w:rPr>
        <w:sectPr>
          <w:footerReference r:id="rId5" w:type="default"/>
          <w:pgSz w:w="11906" w:h="16838"/>
          <w:pgMar w:top="1440" w:right="1800" w:bottom="1440" w:left="1800" w:header="851" w:footer="992" w:gutter="0"/>
          <w:pgNumType w:fmt="decimal"/>
          <w:cols w:space="425" w:num="1"/>
          <w:docGrid w:type="lines" w:linePitch="312" w:charSpace="0"/>
        </w:sectPr>
      </w:pPr>
    </w:p>
    <w:p w14:paraId="23E13A08">
      <w:pPr>
        <w:spacing w:line="360" w:lineRule="auto"/>
        <w:jc w:val="center"/>
        <w:outlineLvl w:val="0"/>
        <w:rPr>
          <w:rFonts w:asciiTheme="minorEastAsia" w:hAnsiTheme="minorEastAsia" w:eastAsiaTheme="minorEastAsia"/>
          <w:b/>
          <w:color w:val="auto"/>
          <w:sz w:val="28"/>
          <w:highlight w:val="none"/>
        </w:rPr>
      </w:pPr>
      <w:bookmarkStart w:id="1" w:name="_Toc32628"/>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421E65A2">
      <w:pPr>
        <w:keepNext/>
        <w:keepLines/>
        <w:ind w:firstLine="560" w:firstLineChars="200"/>
        <w:rPr>
          <w:rFonts w:ascii="仿宋" w:hAnsi="仿宋" w:eastAsia="仿宋" w:cs="仿宋"/>
          <w:color w:val="auto"/>
          <w:sz w:val="28"/>
          <w:szCs w:val="28"/>
          <w:highlight w:val="none"/>
        </w:rPr>
      </w:pPr>
      <w:bookmarkStart w:id="2" w:name="_Toc28359079"/>
      <w:bookmarkEnd w:id="2"/>
      <w:bookmarkStart w:id="3" w:name="_Toc35393621"/>
      <w:bookmarkEnd w:id="3"/>
      <w:bookmarkStart w:id="4" w:name="_Toc35393790"/>
      <w:bookmarkEnd w:id="4"/>
      <w:bookmarkStart w:id="5" w:name="_Toc58430305"/>
      <w:bookmarkEnd w:id="5"/>
      <w:bookmarkStart w:id="6" w:name="_Toc28359002"/>
      <w:bookmarkEnd w:id="6"/>
      <w:bookmarkStart w:id="7" w:name="_Hlk24379207"/>
      <w:bookmarkStart w:id="8" w:name="_Toc1215"/>
      <w:r>
        <w:rPr>
          <w:rFonts w:hint="eastAsia" w:ascii="仿宋" w:hAnsi="仿宋" w:eastAsia="仿宋" w:cs="仿宋"/>
          <w:color w:val="auto"/>
          <w:sz w:val="28"/>
          <w:szCs w:val="28"/>
          <w:highlight w:val="none"/>
        </w:rPr>
        <w:t>项目概况</w:t>
      </w:r>
    </w:p>
    <w:p w14:paraId="3723A8BB">
      <w:pPr>
        <w:wordWrap w:val="0"/>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lang w:val="en-US" w:eastAsia="zh-CN"/>
        </w:rPr>
        <w:t>滁州市科学技术馆展教辅助服务及运行保障项目（2026年-2028年）（二次）</w:t>
      </w:r>
      <w:r>
        <w:rPr>
          <w:rFonts w:hint="eastAsia" w:ascii="仿宋" w:hAnsi="仿宋" w:eastAsia="仿宋" w:cs="仿宋"/>
          <w:color w:val="auto"/>
          <w:sz w:val="28"/>
          <w:szCs w:val="28"/>
          <w:highlight w:val="none"/>
        </w:rPr>
        <w:t>的潜在投标人应在</w:t>
      </w:r>
      <w:r>
        <w:rPr>
          <w:rFonts w:hint="eastAsia" w:ascii="仿宋" w:hAnsi="仿宋" w:eastAsia="仿宋" w:cs="仿宋"/>
          <w:color w:val="auto"/>
          <w:sz w:val="28"/>
          <w:szCs w:val="28"/>
          <w:highlight w:val="none"/>
          <w:u w:val="single"/>
        </w:rPr>
        <w:t>滁州市公共资源交易中心网（http：//ggzy.chuzhou.gov.cn/）</w:t>
      </w:r>
      <w:r>
        <w:rPr>
          <w:rFonts w:hint="eastAsia" w:ascii="仿宋" w:hAnsi="仿宋" w:eastAsia="仿宋" w:cs="仿宋"/>
          <w:color w:val="auto"/>
          <w:sz w:val="28"/>
          <w:szCs w:val="28"/>
          <w:highlight w:val="none"/>
        </w:rPr>
        <w:t>获取招标文件，并于</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01月26日</w:t>
      </w:r>
      <w:r>
        <w:rPr>
          <w:rFonts w:hint="eastAsia" w:ascii="仿宋" w:hAnsi="仿宋" w:eastAsia="仿宋" w:cs="仿宋"/>
          <w:color w:val="auto"/>
          <w:sz w:val="28"/>
          <w:szCs w:val="28"/>
          <w:highlight w:val="none"/>
          <w:u w:val="single"/>
        </w:rPr>
        <w:t>08点</w:t>
      </w:r>
      <w:r>
        <w:rPr>
          <w:rFonts w:hint="eastAsia" w:ascii="仿宋" w:hAnsi="仿宋" w:eastAsia="仿宋" w:cs="仿宋"/>
          <w:color w:val="auto"/>
          <w:sz w:val="28"/>
          <w:szCs w:val="28"/>
          <w:highlight w:val="none"/>
          <w:u w:val="single"/>
          <w:lang w:val="en-US" w:eastAsia="zh-CN"/>
        </w:rPr>
        <w:t>5</w:t>
      </w:r>
      <w:r>
        <w:rPr>
          <w:rFonts w:hint="eastAsia" w:ascii="仿宋" w:hAnsi="仿宋" w:eastAsia="仿宋" w:cs="仿宋"/>
          <w:color w:val="auto"/>
          <w:sz w:val="28"/>
          <w:szCs w:val="28"/>
          <w:highlight w:val="none"/>
          <w:u w:val="single"/>
        </w:rPr>
        <w:t>0分</w:t>
      </w:r>
      <w:r>
        <w:rPr>
          <w:rFonts w:hint="eastAsia" w:ascii="仿宋" w:hAnsi="仿宋" w:eastAsia="仿宋" w:cs="仿宋"/>
          <w:color w:val="auto"/>
          <w:sz w:val="28"/>
          <w:szCs w:val="28"/>
          <w:highlight w:val="none"/>
        </w:rPr>
        <w:t>（北京时间）前递交投标文件。</w:t>
      </w:r>
    </w:p>
    <w:bookmarkEnd w:id="7"/>
    <w:p w14:paraId="0C4C0A09">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p>
    <w:p w14:paraId="425ADE01">
      <w:pPr>
        <w:keepNext w:val="0"/>
        <w:keepLines w:val="0"/>
        <w:pageBreakBefore w:val="0"/>
        <w:widowControl w:val="0"/>
        <w:kinsoku/>
        <w:wordWrap/>
        <w:overflowPunct/>
        <w:topLinePunct w:val="0"/>
        <w:autoSpaceDE/>
        <w:autoSpaceDN/>
        <w:bidi w:val="0"/>
        <w:adjustRightInd/>
        <w:snapToGrid/>
        <w:ind w:right="0" w:rightChars="0" w:firstLine="560" w:firstLineChars="200"/>
        <w:jc w:val="left"/>
        <w:textAlignment w:val="auto"/>
        <w:rPr>
          <w:rFonts w:hint="eastAsia" w:ascii="仿宋" w:hAnsi="仿宋" w:eastAsia="仿宋" w:cs="Times New Roman"/>
          <w:color w:val="auto"/>
          <w:sz w:val="28"/>
          <w:szCs w:val="28"/>
          <w:highlight w:val="none"/>
          <w:lang w:eastAsia="zh-CN"/>
        </w:rPr>
      </w:pPr>
      <w:bookmarkStart w:id="9" w:name="_Toc35393622"/>
      <w:bookmarkEnd w:id="9"/>
      <w:bookmarkStart w:id="10" w:name="_Toc58430306"/>
      <w:bookmarkEnd w:id="10"/>
      <w:bookmarkStart w:id="11" w:name="_Toc28359003"/>
      <w:bookmarkEnd w:id="11"/>
      <w:bookmarkStart w:id="12" w:name="_Toc35393791"/>
      <w:bookmarkEnd w:id="12"/>
      <w:bookmarkStart w:id="13" w:name="_Toc28359080"/>
      <w:r>
        <w:rPr>
          <w:rFonts w:hint="eastAsia" w:ascii="仿宋" w:hAnsi="仿宋" w:eastAsia="仿宋" w:cs="Times New Roman"/>
          <w:color w:val="auto"/>
          <w:sz w:val="28"/>
          <w:szCs w:val="28"/>
          <w:highlight w:val="none"/>
          <w:lang w:eastAsia="zh-CN"/>
        </w:rPr>
        <w:t>项目编号：</w:t>
      </w:r>
      <w:r>
        <w:rPr>
          <w:rFonts w:hint="default" w:ascii="仿宋" w:hAnsi="仿宋" w:eastAsia="仿宋" w:cs="Times New Roman"/>
          <w:color w:val="auto"/>
          <w:sz w:val="28"/>
          <w:szCs w:val="28"/>
          <w:highlight w:val="none"/>
          <w:lang w:eastAsia="zh-CN"/>
        </w:rPr>
        <w:t>czsjcg202601-002</w:t>
      </w:r>
    </w:p>
    <w:p w14:paraId="5385F178">
      <w:pPr>
        <w:keepNext w:val="0"/>
        <w:keepLines w:val="0"/>
        <w:pageBreakBefore w:val="0"/>
        <w:widowControl w:val="0"/>
        <w:kinsoku/>
        <w:wordWrap/>
        <w:overflowPunct/>
        <w:topLinePunct w:val="0"/>
        <w:autoSpaceDE/>
        <w:autoSpaceDN/>
        <w:bidi w:val="0"/>
        <w:adjustRightInd/>
        <w:snapToGrid/>
        <w:ind w:right="0" w:rightChars="0" w:firstLine="560" w:firstLineChars="200"/>
        <w:jc w:val="left"/>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eastAsia="zh-CN"/>
        </w:rPr>
        <w:t>项目名称：滁州市科学技术馆展教辅助服务及运行保障项目（2026年-2028年）（</w:t>
      </w:r>
      <w:r>
        <w:rPr>
          <w:rFonts w:hint="eastAsia" w:ascii="仿宋" w:hAnsi="仿宋" w:eastAsia="仿宋" w:cs="Times New Roman"/>
          <w:color w:val="auto"/>
          <w:sz w:val="28"/>
          <w:szCs w:val="28"/>
          <w:highlight w:val="none"/>
          <w:lang w:val="en-US" w:eastAsia="zh-CN"/>
        </w:rPr>
        <w:t>二次）</w:t>
      </w:r>
    </w:p>
    <w:p w14:paraId="090B4BA5">
      <w:pPr>
        <w:keepNext w:val="0"/>
        <w:keepLines w:val="0"/>
        <w:pageBreakBefore w:val="0"/>
        <w:widowControl w:val="0"/>
        <w:kinsoku/>
        <w:wordWrap/>
        <w:overflowPunct/>
        <w:topLinePunct w:val="0"/>
        <w:autoSpaceDE/>
        <w:autoSpaceDN/>
        <w:bidi w:val="0"/>
        <w:adjustRightInd/>
        <w:snapToGrid/>
        <w:ind w:right="0" w:rightChars="0" w:firstLine="560" w:firstLineChars="200"/>
        <w:jc w:val="left"/>
        <w:textAlignment w:val="auto"/>
        <w:rPr>
          <w:rFonts w:hint="default" w:ascii="仿宋" w:hAnsi="仿宋" w:eastAsia="仿宋"/>
          <w:color w:val="auto"/>
          <w:sz w:val="28"/>
          <w:szCs w:val="28"/>
          <w:highlight w:val="none"/>
          <w:lang w:val="en-US" w:eastAsia="zh-CN"/>
        </w:rPr>
      </w:pPr>
      <w:r>
        <w:rPr>
          <w:rFonts w:hint="eastAsia" w:ascii="仿宋" w:hAnsi="仿宋" w:eastAsia="仿宋" w:cs="Times New Roman"/>
          <w:color w:val="auto"/>
          <w:sz w:val="28"/>
          <w:szCs w:val="28"/>
          <w:highlight w:val="none"/>
        </w:rPr>
        <w:t>预算</w:t>
      </w:r>
      <w:r>
        <w:rPr>
          <w:rFonts w:hint="eastAsia" w:ascii="仿宋" w:hAnsi="仿宋" w:eastAsia="仿宋"/>
          <w:color w:val="auto"/>
          <w:sz w:val="28"/>
          <w:szCs w:val="28"/>
          <w:highlight w:val="none"/>
          <w:lang w:val="en-US" w:eastAsia="zh-CN"/>
        </w:rPr>
        <w:t>金额：1800000.00元/年</w:t>
      </w:r>
    </w:p>
    <w:p w14:paraId="1CC52B85">
      <w:pPr>
        <w:keepNext w:val="0"/>
        <w:keepLines w:val="0"/>
        <w:pageBreakBefore w:val="0"/>
        <w:widowControl w:val="0"/>
        <w:kinsoku/>
        <w:wordWrap/>
        <w:overflowPunct/>
        <w:topLinePunct w:val="0"/>
        <w:autoSpaceDE/>
        <w:autoSpaceDN/>
        <w:bidi w:val="0"/>
        <w:adjustRightInd/>
        <w:snapToGrid/>
        <w:ind w:right="0" w:rightChars="0" w:firstLine="560" w:firstLineChars="200"/>
        <w:jc w:val="left"/>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最高限价：1800000.00元/年，投标报价不得高于最高限价，否则按无效投标处理。</w:t>
      </w:r>
    </w:p>
    <w:p w14:paraId="240F4725">
      <w:pPr>
        <w:keepNext w:val="0"/>
        <w:keepLines w:val="0"/>
        <w:pageBreakBefore w:val="0"/>
        <w:widowControl w:val="0"/>
        <w:kinsoku/>
        <w:wordWrap/>
        <w:overflowPunct/>
        <w:topLinePunct w:val="0"/>
        <w:autoSpaceDE/>
        <w:autoSpaceDN/>
        <w:bidi w:val="0"/>
        <w:adjustRightInd/>
        <w:snapToGrid/>
        <w:ind w:right="0" w:rightChars="0" w:firstLine="560" w:firstLineChars="200"/>
        <w:jc w:val="left"/>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olor w:val="auto"/>
          <w:sz w:val="28"/>
          <w:szCs w:val="28"/>
          <w:highlight w:val="none"/>
          <w:lang w:val="en-US" w:eastAsia="zh-CN"/>
        </w:rPr>
        <w:t>采购需求</w:t>
      </w:r>
      <w:r>
        <w:rPr>
          <w:rFonts w:hint="eastAsia" w:ascii="仿宋" w:hAnsi="仿宋" w:eastAsia="仿宋" w:cs="Times New Roman"/>
          <w:color w:val="auto"/>
          <w:sz w:val="28"/>
          <w:szCs w:val="28"/>
          <w:highlight w:val="none"/>
          <w:lang w:val="en-US" w:eastAsia="zh-CN"/>
        </w:rPr>
        <w:t>：</w:t>
      </w:r>
      <w:r>
        <w:rPr>
          <w:rFonts w:hint="eastAsia" w:ascii="仿宋" w:hAnsi="仿宋" w:eastAsia="仿宋" w:cs="Times New Roman"/>
          <w:color w:val="auto"/>
          <w:sz w:val="28"/>
          <w:szCs w:val="28"/>
          <w:highlight w:val="none"/>
          <w:lang w:eastAsia="zh-CN"/>
        </w:rPr>
        <w:t>滁州市科学技术馆展教辅助服务及运行保障</w:t>
      </w:r>
      <w:r>
        <w:rPr>
          <w:rFonts w:hint="eastAsia" w:ascii="仿宋" w:hAnsi="仿宋" w:eastAsia="仿宋" w:cs="Times New Roman"/>
          <w:color w:val="auto"/>
          <w:sz w:val="28"/>
          <w:szCs w:val="28"/>
          <w:highlight w:val="none"/>
          <w:lang w:val="en-US" w:eastAsia="zh-CN"/>
        </w:rPr>
        <w:t>服务。</w:t>
      </w:r>
    </w:p>
    <w:p w14:paraId="00102F4B">
      <w:pPr>
        <w:keepNext w:val="0"/>
        <w:keepLines w:val="0"/>
        <w:pageBreakBefore w:val="0"/>
        <w:widowControl w:val="0"/>
        <w:kinsoku/>
        <w:wordWrap/>
        <w:overflowPunct/>
        <w:topLinePunct w:val="0"/>
        <w:autoSpaceDE/>
        <w:autoSpaceDN/>
        <w:bidi w:val="0"/>
        <w:adjustRightInd/>
        <w:snapToGrid/>
        <w:ind w:right="0" w:rightChars="0" w:firstLine="560" w:firstLineChars="200"/>
        <w:jc w:val="left"/>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合同履行期限:服务期三年，合同一年一签。</w:t>
      </w:r>
      <w:bookmarkStart w:id="14" w:name="_Toc20911"/>
    </w:p>
    <w:p w14:paraId="0D11CA6D">
      <w:pPr>
        <w:keepNext w:val="0"/>
        <w:keepLines w:val="0"/>
        <w:pageBreakBefore w:val="0"/>
        <w:widowControl w:val="0"/>
        <w:kinsoku/>
        <w:wordWrap/>
        <w:overflowPunct/>
        <w:topLinePunct w:val="0"/>
        <w:autoSpaceDE/>
        <w:autoSpaceDN/>
        <w:bidi w:val="0"/>
        <w:adjustRightInd/>
        <w:snapToGrid/>
        <w:ind w:right="0" w:rightChars="0" w:firstLine="560" w:firstLineChars="200"/>
        <w:jc w:val="left"/>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本项目不接受联合体投标。</w:t>
      </w:r>
      <w:bookmarkEnd w:id="13"/>
      <w:bookmarkEnd w:id="14"/>
    </w:p>
    <w:p w14:paraId="11C08372">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二、申请人的资格要求</w:t>
      </w:r>
    </w:p>
    <w:p w14:paraId="1EC2BB99">
      <w:pPr>
        <w:ind w:firstLine="560" w:firstLineChars="200"/>
        <w:rPr>
          <w:rFonts w:ascii="仿宋" w:hAnsi="仿宋" w:eastAsia="仿宋" w:cs="Times New Roman"/>
          <w:color w:val="auto"/>
          <w:sz w:val="28"/>
          <w:szCs w:val="28"/>
          <w:highlight w:val="none"/>
        </w:rPr>
      </w:pPr>
      <w:bookmarkStart w:id="15" w:name="_Toc35393623"/>
      <w:bookmarkEnd w:id="15"/>
      <w:bookmarkStart w:id="16" w:name="_Toc35393792"/>
      <w:bookmarkEnd w:id="16"/>
      <w:bookmarkStart w:id="17" w:name="_Toc58430307"/>
      <w:r>
        <w:rPr>
          <w:rFonts w:hint="eastAsia" w:ascii="仿宋" w:hAnsi="仿宋" w:eastAsia="仿宋" w:cs="Times New Roman"/>
          <w:color w:val="auto"/>
          <w:sz w:val="28"/>
          <w:szCs w:val="28"/>
          <w:highlight w:val="none"/>
        </w:rPr>
        <w:t>1.满足《中华人民共和国政府采购法》第二十二条规定；</w:t>
      </w:r>
    </w:p>
    <w:p w14:paraId="7A52261A">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2.落实政府采购政策需满足的资格要求：</w:t>
      </w:r>
      <w:r>
        <w:rPr>
          <w:rFonts w:hint="eastAsia" w:ascii="仿宋" w:hAnsi="仿宋" w:eastAsia="仿宋" w:cs="Times New Roman"/>
          <w:color w:val="auto"/>
          <w:sz w:val="28"/>
          <w:szCs w:val="28"/>
          <w:highlight w:val="none"/>
          <w:lang w:val="en-US" w:eastAsia="zh-CN"/>
        </w:rPr>
        <w:t>按照财政部、工业和信息化部制定的《政府采购促进中小企业发展管理办法》，本项目为专门面向中小企业采购项目。企业划型标准按照《关于印发中小企业划型标准规定的通知》（工信部联企业〔2011〕300号）规定执行</w:t>
      </w:r>
      <w:r>
        <w:rPr>
          <w:rFonts w:hint="eastAsia" w:ascii="仿宋" w:hAnsi="仿宋" w:eastAsia="仿宋" w:cs="Times New Roman"/>
          <w:color w:val="auto"/>
          <w:sz w:val="28"/>
          <w:szCs w:val="28"/>
          <w:highlight w:val="none"/>
        </w:rPr>
        <w:t>。</w:t>
      </w:r>
    </w:p>
    <w:p w14:paraId="2A426B4C">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3.本项目的特定资格要求：</w:t>
      </w:r>
      <w:r>
        <w:rPr>
          <w:rFonts w:hint="eastAsia" w:ascii="仿宋" w:hAnsi="仿宋" w:eastAsia="仿宋" w:cs="Times New Roman"/>
          <w:color w:val="auto"/>
          <w:sz w:val="28"/>
          <w:szCs w:val="28"/>
          <w:highlight w:val="none"/>
          <w:lang w:val="en-US" w:eastAsia="zh-CN"/>
        </w:rPr>
        <w:t>/</w:t>
      </w:r>
      <w:r>
        <w:rPr>
          <w:rFonts w:hint="eastAsia" w:ascii="仿宋" w:hAnsi="仿宋" w:eastAsia="仿宋" w:cs="Times New Roman"/>
          <w:color w:val="auto"/>
          <w:sz w:val="28"/>
          <w:szCs w:val="28"/>
          <w:highlight w:val="none"/>
        </w:rPr>
        <w:t>。</w:t>
      </w:r>
    </w:p>
    <w:p w14:paraId="56346478">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4.信誉要求：投标人不得存在以下情形：</w:t>
      </w:r>
    </w:p>
    <w:p w14:paraId="6CDBE8CB">
      <w:pPr>
        <w:ind w:firstLine="560" w:firstLineChars="20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rPr>
        <w:t>①被列入“信用中国”网站“失信被执行人”的</w:t>
      </w:r>
      <w:r>
        <w:rPr>
          <w:rFonts w:hint="eastAsia" w:ascii="仿宋" w:hAnsi="仿宋" w:eastAsia="仿宋" w:cs="Times New Roman"/>
          <w:color w:val="auto"/>
          <w:sz w:val="28"/>
          <w:szCs w:val="28"/>
          <w:highlight w:val="none"/>
          <w:lang w:eastAsia="zh-CN"/>
        </w:rPr>
        <w:t>；</w:t>
      </w:r>
    </w:p>
    <w:p w14:paraId="22755B72">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②被列入“信用中国”网站“重大税收违法失信主体”的；</w:t>
      </w:r>
    </w:p>
    <w:p w14:paraId="57D92383">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③被列入“信用中国”网站 “严重失信主体名单”的；</w:t>
      </w:r>
    </w:p>
    <w:p w14:paraId="14876A28">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④在</w:t>
      </w:r>
      <w:bookmarkStart w:id="18" w:name="OLE_LINK127"/>
      <w:bookmarkStart w:id="19" w:name="OLE_LINK128"/>
      <w:bookmarkStart w:id="20" w:name="OLE_LINK129"/>
      <w:r>
        <w:rPr>
          <w:rFonts w:hint="eastAsia" w:ascii="仿宋" w:hAnsi="仿宋" w:eastAsia="仿宋" w:cs="Times New Roman"/>
          <w:color w:val="auto"/>
          <w:sz w:val="28"/>
          <w:szCs w:val="28"/>
          <w:highlight w:val="none"/>
        </w:rPr>
        <w:t>“信用中国”网站</w:t>
      </w:r>
      <w:bookmarkEnd w:id="18"/>
      <w:bookmarkEnd w:id="19"/>
      <w:bookmarkEnd w:id="20"/>
      <w:r>
        <w:rPr>
          <w:rFonts w:hint="eastAsia" w:ascii="仿宋" w:hAnsi="仿宋" w:eastAsia="仿宋" w:cs="Times New Roman"/>
          <w:color w:val="auto"/>
          <w:sz w:val="28"/>
          <w:szCs w:val="28"/>
          <w:highlight w:val="none"/>
        </w:rPr>
        <w:t>上披露的仍在公示期的严重失信行为(具体行为类别及判定依据见“信用中国”查询的严重失信行为类别及判定依据)的。</w:t>
      </w:r>
    </w:p>
    <w:p w14:paraId="7D08E206">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⑤被列入国家企业信用信息公示系统网站“经营异常名录”或者“严重违法失信名单”的。</w:t>
      </w:r>
    </w:p>
    <w:p w14:paraId="7D938D15">
      <w:pPr>
        <w:ind w:firstLine="560" w:firstLineChars="200"/>
        <w:rPr>
          <w:rFonts w:hint="eastAsia" w:ascii="仿宋" w:hAnsi="仿宋" w:eastAsia="仿宋" w:cs="Times New Roman"/>
          <w:color w:val="auto"/>
          <w:sz w:val="28"/>
          <w:szCs w:val="28"/>
          <w:highlight w:val="none"/>
        </w:rPr>
      </w:pPr>
      <w:bookmarkStart w:id="21" w:name="OLE_LINK113"/>
      <w:bookmarkStart w:id="22" w:name="OLE_LINK114"/>
      <w:r>
        <w:rPr>
          <w:rFonts w:hint="eastAsia" w:ascii="仿宋" w:hAnsi="仿宋" w:eastAsia="仿宋" w:cs="Times New Roman"/>
          <w:color w:val="auto"/>
          <w:sz w:val="28"/>
          <w:szCs w:val="28"/>
          <w:highlight w:val="none"/>
        </w:rPr>
        <w:t>⑥</w:t>
      </w:r>
      <w:bookmarkEnd w:id="21"/>
      <w:bookmarkEnd w:id="22"/>
      <w:r>
        <w:rPr>
          <w:rFonts w:hint="eastAsia" w:ascii="仿宋" w:hAnsi="仿宋" w:eastAsia="仿宋" w:cs="Times New Roman"/>
          <w:color w:val="auto"/>
          <w:sz w:val="28"/>
          <w:szCs w:val="28"/>
          <w:highlight w:val="none"/>
        </w:rPr>
        <w:t>被列入中国政府采购网站“政府采购严重违法失信行为信息记录”的</w:t>
      </w:r>
      <w:r>
        <w:rPr>
          <w:rFonts w:hint="eastAsia" w:ascii="仿宋" w:hAnsi="仿宋" w:eastAsia="仿宋" w:cs="Times New Roman"/>
          <w:color w:val="auto"/>
          <w:sz w:val="28"/>
          <w:szCs w:val="28"/>
          <w:highlight w:val="none"/>
          <w:lang w:eastAsia="zh-CN"/>
        </w:rPr>
        <w:t>。</w:t>
      </w:r>
    </w:p>
    <w:p w14:paraId="4202C75F">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⑦前三年有行贿犯罪行为的单位和个人</w:t>
      </w:r>
      <w:r>
        <w:rPr>
          <w:rFonts w:hint="eastAsia" w:ascii="仿宋" w:hAnsi="仿宋" w:eastAsia="仿宋" w:cs="Times New Roman"/>
          <w:color w:val="auto"/>
          <w:sz w:val="28"/>
          <w:szCs w:val="28"/>
          <w:highlight w:val="none"/>
          <w:lang w:eastAsia="zh-CN"/>
        </w:rPr>
        <w:t>。</w:t>
      </w:r>
    </w:p>
    <w:p w14:paraId="14AF00E6">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5.投标人所属分公司、办事处等分支机构存在第4款信誉要求①-⑦项情形之一的，接受投标人参加本项目。</w:t>
      </w:r>
    </w:p>
    <w:p w14:paraId="53ED4C06">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备注：第4、5条按照“关于联合惩戒失信行为加强信用查询管理的通知”查询或承诺。</w:t>
      </w:r>
    </w:p>
    <w:bookmarkEnd w:id="17"/>
    <w:p w14:paraId="2A5969FD">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三、获取招标文件</w:t>
      </w:r>
    </w:p>
    <w:p w14:paraId="1B8911E1">
      <w:pPr>
        <w:ind w:firstLine="560" w:firstLineChars="200"/>
        <w:rPr>
          <w:rFonts w:ascii="仿宋" w:hAnsi="仿宋" w:eastAsia="仿宋" w:cs="Times New Roman"/>
          <w:color w:val="auto"/>
          <w:sz w:val="28"/>
          <w:szCs w:val="28"/>
          <w:highlight w:val="none"/>
          <w:u w:val="single"/>
        </w:rPr>
      </w:pPr>
      <w:bookmarkStart w:id="23" w:name="_Toc35393624"/>
      <w:bookmarkEnd w:id="23"/>
      <w:bookmarkStart w:id="24" w:name="_Toc35393793"/>
      <w:bookmarkEnd w:id="24"/>
      <w:bookmarkStart w:id="25" w:name="_Toc28359005"/>
      <w:bookmarkEnd w:id="25"/>
      <w:bookmarkStart w:id="26" w:name="_Toc28359082"/>
      <w:bookmarkEnd w:id="26"/>
      <w:bookmarkStart w:id="27" w:name="_Toc58430308"/>
      <w:r>
        <w:rPr>
          <w:rFonts w:hint="eastAsia" w:ascii="仿宋" w:hAnsi="仿宋" w:eastAsia="仿宋" w:cs="Times New Roman"/>
          <w:color w:val="auto"/>
          <w:sz w:val="28"/>
          <w:szCs w:val="28"/>
          <w:highlight w:val="none"/>
        </w:rPr>
        <w:t>时间：</w:t>
      </w:r>
      <w:r>
        <w:rPr>
          <w:rFonts w:hint="eastAsia" w:ascii="仿宋" w:hAnsi="仿宋" w:eastAsia="仿宋" w:cs="Times New Roman"/>
          <w:color w:val="auto"/>
          <w:sz w:val="28"/>
          <w:szCs w:val="28"/>
          <w:highlight w:val="none"/>
          <w:u w:val="single"/>
        </w:rPr>
        <w:t>202</w:t>
      </w:r>
      <w:r>
        <w:rPr>
          <w:rFonts w:hint="eastAsia" w:ascii="仿宋" w:hAnsi="仿宋" w:eastAsia="仿宋" w:cs="Times New Roman"/>
          <w:color w:val="auto"/>
          <w:sz w:val="28"/>
          <w:szCs w:val="28"/>
          <w:highlight w:val="none"/>
          <w:u w:val="single"/>
          <w:lang w:val="en-US" w:eastAsia="zh-CN"/>
        </w:rPr>
        <w:t>6</w:t>
      </w:r>
      <w:r>
        <w:rPr>
          <w:rFonts w:hint="eastAsia" w:ascii="仿宋" w:hAnsi="仿宋" w:eastAsia="仿宋" w:cs="Times New Roman"/>
          <w:color w:val="auto"/>
          <w:sz w:val="28"/>
          <w:szCs w:val="28"/>
          <w:highlight w:val="none"/>
          <w:u w:val="single"/>
        </w:rPr>
        <w:t>年</w:t>
      </w:r>
      <w:r>
        <w:rPr>
          <w:rFonts w:hint="eastAsia" w:ascii="仿宋" w:hAnsi="仿宋" w:eastAsia="仿宋" w:cs="Times New Roman"/>
          <w:color w:val="auto"/>
          <w:sz w:val="28"/>
          <w:szCs w:val="28"/>
          <w:highlight w:val="none"/>
          <w:u w:val="single"/>
          <w:lang w:val="en-US" w:eastAsia="zh-CN"/>
        </w:rPr>
        <w:t>01</w:t>
      </w:r>
      <w:r>
        <w:rPr>
          <w:rFonts w:hint="eastAsia" w:ascii="仿宋" w:hAnsi="仿宋" w:eastAsia="仿宋" w:cs="Times New Roman"/>
          <w:color w:val="auto"/>
          <w:sz w:val="28"/>
          <w:szCs w:val="28"/>
          <w:highlight w:val="none"/>
          <w:u w:val="single"/>
        </w:rPr>
        <w:t>月</w:t>
      </w:r>
      <w:r>
        <w:rPr>
          <w:rFonts w:hint="eastAsia" w:ascii="仿宋" w:hAnsi="仿宋" w:eastAsia="仿宋" w:cs="Times New Roman"/>
          <w:color w:val="auto"/>
          <w:sz w:val="28"/>
          <w:szCs w:val="28"/>
          <w:highlight w:val="none"/>
          <w:u w:val="single"/>
          <w:lang w:val="en-US" w:eastAsia="zh-CN"/>
        </w:rPr>
        <w:t>05</w:t>
      </w:r>
      <w:r>
        <w:rPr>
          <w:rFonts w:hint="eastAsia" w:ascii="仿宋" w:hAnsi="仿宋" w:eastAsia="仿宋" w:cs="Times New Roman"/>
          <w:color w:val="auto"/>
          <w:sz w:val="28"/>
          <w:szCs w:val="28"/>
          <w:highlight w:val="none"/>
          <w:u w:val="single"/>
        </w:rPr>
        <w:t>日</w:t>
      </w:r>
      <w:r>
        <w:rPr>
          <w:rFonts w:hint="eastAsia" w:ascii="仿宋" w:hAnsi="仿宋" w:eastAsia="仿宋" w:cs="Times New Roman"/>
          <w:color w:val="auto"/>
          <w:sz w:val="28"/>
          <w:szCs w:val="28"/>
          <w:highlight w:val="none"/>
        </w:rPr>
        <w:t>至</w:t>
      </w:r>
      <w:r>
        <w:rPr>
          <w:rFonts w:hint="eastAsia" w:ascii="仿宋" w:hAnsi="仿宋" w:eastAsia="仿宋" w:cs="Times New Roman"/>
          <w:color w:val="auto"/>
          <w:sz w:val="28"/>
          <w:szCs w:val="28"/>
          <w:highlight w:val="none"/>
          <w:u w:val="single"/>
        </w:rPr>
        <w:t>20</w:t>
      </w:r>
      <w:r>
        <w:rPr>
          <w:rFonts w:hint="eastAsia" w:ascii="仿宋" w:hAnsi="仿宋" w:eastAsia="仿宋" w:cs="Times New Roman"/>
          <w:color w:val="auto"/>
          <w:sz w:val="28"/>
          <w:szCs w:val="28"/>
          <w:highlight w:val="none"/>
          <w:u w:val="single"/>
          <w:lang w:val="en-US" w:eastAsia="zh-CN"/>
        </w:rPr>
        <w:t>26</w:t>
      </w:r>
      <w:r>
        <w:rPr>
          <w:rFonts w:hint="eastAsia" w:ascii="仿宋" w:hAnsi="仿宋" w:eastAsia="仿宋" w:cs="Times New Roman"/>
          <w:color w:val="auto"/>
          <w:sz w:val="28"/>
          <w:szCs w:val="28"/>
          <w:highlight w:val="none"/>
          <w:u w:val="single"/>
        </w:rPr>
        <w:t>年</w:t>
      </w:r>
      <w:r>
        <w:rPr>
          <w:rFonts w:hint="eastAsia" w:ascii="仿宋" w:hAnsi="仿宋" w:eastAsia="仿宋" w:cs="Times New Roman"/>
          <w:color w:val="auto"/>
          <w:sz w:val="28"/>
          <w:szCs w:val="28"/>
          <w:highlight w:val="none"/>
          <w:u w:val="single"/>
          <w:lang w:val="en-US" w:eastAsia="zh-CN"/>
        </w:rPr>
        <w:t>01月26日</w:t>
      </w:r>
    </w:p>
    <w:p w14:paraId="5A909A9B">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地点：滁州市公共资源交易中心网</w:t>
      </w:r>
    </w:p>
    <w:p w14:paraId="3F5ECBD3">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方式：网上下载</w:t>
      </w:r>
    </w:p>
    <w:p w14:paraId="6DAB6A7E">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售价：0元</w:t>
      </w:r>
    </w:p>
    <w:bookmarkEnd w:id="27"/>
    <w:p w14:paraId="69624F7A">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四、提交投标文件截止时间、开标时间和地点</w:t>
      </w:r>
    </w:p>
    <w:p w14:paraId="1110B0EC">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u w:val="single"/>
        </w:rPr>
        <w:t>202</w:t>
      </w:r>
      <w:r>
        <w:rPr>
          <w:rFonts w:hint="eastAsia" w:ascii="仿宋" w:hAnsi="仿宋" w:eastAsia="仿宋" w:cs="Times New Roman"/>
          <w:color w:val="auto"/>
          <w:sz w:val="28"/>
          <w:szCs w:val="28"/>
          <w:highlight w:val="none"/>
          <w:u w:val="single"/>
          <w:lang w:val="en-US" w:eastAsia="zh-CN"/>
        </w:rPr>
        <w:t>6</w:t>
      </w:r>
      <w:r>
        <w:rPr>
          <w:rFonts w:hint="eastAsia" w:ascii="仿宋" w:hAnsi="仿宋" w:eastAsia="仿宋" w:cs="Times New Roman"/>
          <w:color w:val="auto"/>
          <w:sz w:val="28"/>
          <w:szCs w:val="28"/>
          <w:highlight w:val="none"/>
          <w:u w:val="single"/>
        </w:rPr>
        <w:t>年</w:t>
      </w:r>
      <w:r>
        <w:rPr>
          <w:rFonts w:hint="eastAsia" w:ascii="仿宋" w:hAnsi="仿宋" w:eastAsia="仿宋" w:cs="Times New Roman"/>
          <w:color w:val="auto"/>
          <w:sz w:val="28"/>
          <w:szCs w:val="28"/>
          <w:highlight w:val="none"/>
          <w:u w:val="single"/>
          <w:lang w:val="en-US" w:eastAsia="zh-CN"/>
        </w:rPr>
        <w:t>01月26日0</w:t>
      </w:r>
      <w:r>
        <w:rPr>
          <w:rFonts w:hint="eastAsia" w:ascii="仿宋" w:hAnsi="仿宋" w:eastAsia="仿宋" w:cs="Times New Roman"/>
          <w:color w:val="auto"/>
          <w:sz w:val="28"/>
          <w:szCs w:val="28"/>
          <w:highlight w:val="none"/>
          <w:u w:val="single"/>
        </w:rPr>
        <w:t>8点</w:t>
      </w:r>
      <w:r>
        <w:rPr>
          <w:rFonts w:hint="eastAsia" w:ascii="仿宋" w:hAnsi="仿宋" w:eastAsia="仿宋" w:cs="Times New Roman"/>
          <w:color w:val="auto"/>
          <w:sz w:val="28"/>
          <w:szCs w:val="28"/>
          <w:highlight w:val="none"/>
          <w:u w:val="single"/>
          <w:lang w:val="en-US" w:eastAsia="zh-CN"/>
        </w:rPr>
        <w:t>5</w:t>
      </w:r>
      <w:r>
        <w:rPr>
          <w:rFonts w:hint="eastAsia" w:ascii="仿宋" w:hAnsi="仿宋" w:eastAsia="仿宋" w:cs="Times New Roman"/>
          <w:color w:val="auto"/>
          <w:sz w:val="28"/>
          <w:szCs w:val="28"/>
          <w:highlight w:val="none"/>
          <w:u w:val="single"/>
        </w:rPr>
        <w:t>0分</w:t>
      </w:r>
      <w:r>
        <w:rPr>
          <w:rFonts w:hint="eastAsia" w:ascii="仿宋" w:hAnsi="仿宋" w:eastAsia="仿宋" w:cs="Times New Roman"/>
          <w:color w:val="auto"/>
          <w:sz w:val="28"/>
          <w:szCs w:val="28"/>
          <w:highlight w:val="none"/>
        </w:rPr>
        <w:t>（北京时间）</w:t>
      </w:r>
    </w:p>
    <w:p w14:paraId="0EAF9848">
      <w:pPr>
        <w:ind w:firstLine="560" w:firstLineChars="200"/>
        <w:rPr>
          <w:rFonts w:ascii="宋体" w:hAnsi="宋体" w:eastAsia="宋体"/>
          <w:color w:val="auto"/>
          <w:sz w:val="24"/>
          <w:szCs w:val="18"/>
          <w:highlight w:val="none"/>
        </w:rPr>
      </w:pPr>
      <w:r>
        <w:rPr>
          <w:rFonts w:hint="eastAsia" w:ascii="仿宋" w:hAnsi="仿宋" w:eastAsia="仿宋" w:cs="Times New Roman"/>
          <w:color w:val="auto"/>
          <w:sz w:val="28"/>
          <w:szCs w:val="28"/>
          <w:highlight w:val="none"/>
        </w:rPr>
        <w:t>地点：</w:t>
      </w:r>
      <w:r>
        <w:rPr>
          <w:rFonts w:hint="eastAsia" w:ascii="仿宋" w:hAnsi="仿宋" w:eastAsia="仿宋" w:cs="Times New Roman"/>
          <w:color w:val="auto"/>
          <w:sz w:val="28"/>
          <w:szCs w:val="28"/>
          <w:highlight w:val="none"/>
          <w:lang w:val="en-US" w:eastAsia="zh-CN"/>
        </w:rPr>
        <w:t>滁州市公共资源交易平台电子交易系统</w:t>
      </w:r>
    </w:p>
    <w:p w14:paraId="11D9D685">
      <w:pPr>
        <w:keepNext/>
        <w:keepLines/>
        <w:spacing w:before="260" w:after="260"/>
        <w:jc w:val="left"/>
        <w:rPr>
          <w:rFonts w:ascii="黑体" w:hAnsi="黑体" w:eastAsia="黑体" w:cs="黑体"/>
          <w:color w:val="auto"/>
          <w:sz w:val="28"/>
          <w:szCs w:val="28"/>
          <w:highlight w:val="none"/>
        </w:rPr>
      </w:pPr>
      <w:bookmarkStart w:id="28" w:name="_Toc35393625"/>
      <w:bookmarkEnd w:id="28"/>
      <w:bookmarkStart w:id="29" w:name="_Toc35393794"/>
      <w:bookmarkEnd w:id="29"/>
      <w:bookmarkStart w:id="30" w:name="_Toc58430309"/>
      <w:bookmarkEnd w:id="30"/>
      <w:bookmarkStart w:id="31" w:name="_Toc28359007"/>
      <w:bookmarkEnd w:id="31"/>
      <w:r>
        <w:rPr>
          <w:rFonts w:hint="eastAsia" w:ascii="黑体" w:hAnsi="黑体" w:eastAsia="黑体" w:cs="黑体"/>
          <w:color w:val="auto"/>
          <w:sz w:val="28"/>
          <w:szCs w:val="28"/>
          <w:highlight w:val="none"/>
        </w:rPr>
        <w:t>五、公告期限</w:t>
      </w:r>
    </w:p>
    <w:p w14:paraId="50358D33">
      <w:pPr>
        <w:ind w:firstLine="560" w:firstLineChars="200"/>
        <w:jc w:val="left"/>
        <w:rPr>
          <w:rFonts w:ascii="仿宋" w:hAnsi="仿宋" w:eastAsia="仿宋" w:cs="Times New Roman"/>
          <w:color w:val="auto"/>
          <w:sz w:val="28"/>
          <w:szCs w:val="28"/>
          <w:highlight w:val="none"/>
        </w:rPr>
      </w:pPr>
      <w:bookmarkStart w:id="32" w:name="_Toc58430310"/>
      <w:bookmarkEnd w:id="32"/>
      <w:r>
        <w:rPr>
          <w:rFonts w:hint="eastAsia" w:ascii="仿宋" w:hAnsi="仿宋" w:eastAsia="仿宋" w:cs="Times New Roman"/>
          <w:color w:val="auto"/>
          <w:sz w:val="28"/>
          <w:szCs w:val="28"/>
          <w:highlight w:val="none"/>
        </w:rPr>
        <w:t>自本公告发布之日起5个工作日。</w:t>
      </w:r>
    </w:p>
    <w:p w14:paraId="0D8284CD">
      <w:pPr>
        <w:keepNext/>
        <w:keepLines/>
        <w:spacing w:before="260" w:after="260"/>
        <w:rPr>
          <w:rFonts w:ascii="黑体" w:hAnsi="黑体" w:eastAsia="黑体" w:cs="黑体"/>
          <w:color w:val="auto"/>
          <w:sz w:val="28"/>
          <w:szCs w:val="28"/>
          <w:highlight w:val="none"/>
        </w:rPr>
      </w:pPr>
      <w:bookmarkStart w:id="33" w:name="_Toc31539"/>
      <w:bookmarkStart w:id="34" w:name="_Toc35393626"/>
      <w:bookmarkStart w:id="35" w:name="_Toc35393795"/>
      <w:r>
        <w:rPr>
          <w:rFonts w:hint="eastAsia" w:ascii="黑体" w:hAnsi="黑体" w:eastAsia="黑体" w:cs="黑体"/>
          <w:color w:val="auto"/>
          <w:sz w:val="28"/>
          <w:szCs w:val="28"/>
          <w:highlight w:val="none"/>
        </w:rPr>
        <w:t>六、</w:t>
      </w:r>
      <w:bookmarkEnd w:id="33"/>
      <w:r>
        <w:rPr>
          <w:rFonts w:hint="eastAsia" w:ascii="黑体" w:hAnsi="黑体" w:eastAsia="黑体" w:cs="黑体"/>
          <w:color w:val="auto"/>
          <w:sz w:val="28"/>
          <w:szCs w:val="28"/>
          <w:highlight w:val="none"/>
        </w:rPr>
        <w:t>其他补充事宜</w:t>
      </w:r>
      <w:bookmarkEnd w:id="34"/>
      <w:bookmarkEnd w:id="35"/>
    </w:p>
    <w:p w14:paraId="633DE041">
      <w:pPr>
        <w:keepNext w:val="0"/>
        <w:keepLines w:val="0"/>
        <w:pageBreakBefore w:val="0"/>
        <w:widowControl w:val="0"/>
        <w:kinsoku/>
        <w:wordWrap w:val="0"/>
        <w:overflowPunct/>
        <w:topLinePunct w:val="0"/>
        <w:autoSpaceDE/>
        <w:autoSpaceDN/>
        <w:bidi w:val="0"/>
        <w:adjustRightInd/>
        <w:snapToGrid/>
        <w:ind w:firstLine="560" w:firstLineChars="200"/>
        <w:jc w:val="left"/>
        <w:textAlignment w:val="auto"/>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2.CA数字证书有关问题：安徽CA客服400-880-4959、0550-3019013（工作日），CFCA客服025-66085508 、0550-3801669（工作日）；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15C0DBEE">
      <w:pPr>
        <w:ind w:firstLine="560" w:firstLineChars="200"/>
        <w:jc w:val="left"/>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2.请投标人登录滁州市公共资源交易中心网站查看参加本项目的程序。（具体操作步骤和程序请参见服务指南&gt;交易须知&gt;投标人填写投标信息、下载文件及网上提问操作手册）。</w:t>
      </w:r>
    </w:p>
    <w:p w14:paraId="5A071971">
      <w:pPr>
        <w:ind w:firstLine="560" w:firstLineChars="200"/>
        <w:jc w:val="left"/>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3.本项目采用不见面开标（远程解密)方式，开标时投标人无须至开标现场进行解密，开标采取远程解密方式解密投标文件，解密方式为：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w:t>
      </w:r>
    </w:p>
    <w:p w14:paraId="4BB50835">
      <w:pPr>
        <w:ind w:firstLine="560" w:firstLineChars="200"/>
        <w:jc w:val="left"/>
        <w:rPr>
          <w:rFonts w:ascii="宋体" w:hAnsi="宋体" w:eastAsia="宋体"/>
          <w:color w:val="auto"/>
          <w:sz w:val="24"/>
          <w:szCs w:val="18"/>
          <w:highlight w:val="none"/>
        </w:rPr>
      </w:pPr>
      <w:r>
        <w:rPr>
          <w:rFonts w:hint="eastAsia" w:ascii="仿宋" w:hAnsi="仿宋" w:eastAsia="仿宋" w:cs="Times New Roman"/>
          <w:color w:val="auto"/>
          <w:sz w:val="28"/>
          <w:szCs w:val="28"/>
          <w:highlight w:val="none"/>
        </w:rPr>
        <w:t>4.投标人接到远程解密指令后，须在规定时间内解密。因投标人自身原因导致投标文件在规定时间内未能解密、解密失败或解密超时，投标文件无效；因采购代理机构原因或网上平台发生故障，导致无法按时完成投标文件解密的，经采购代理机构申请后可延迟解密时间。</w:t>
      </w:r>
    </w:p>
    <w:bookmarkEnd w:id="8"/>
    <w:p w14:paraId="7D93D4BB">
      <w:pPr>
        <w:keepNext/>
        <w:keepLines/>
        <w:spacing w:before="260" w:after="260"/>
        <w:rPr>
          <w:rFonts w:ascii="黑体" w:hAnsi="黑体" w:eastAsia="黑体" w:cs="黑体"/>
          <w:color w:val="auto"/>
          <w:sz w:val="28"/>
          <w:szCs w:val="28"/>
          <w:highlight w:val="none"/>
        </w:rPr>
      </w:pPr>
      <w:bookmarkStart w:id="36" w:name="_Toc3854"/>
      <w:bookmarkStart w:id="37" w:name="_Toc7265"/>
      <w:r>
        <w:rPr>
          <w:rFonts w:hint="eastAsia" w:ascii="黑体" w:hAnsi="黑体" w:eastAsia="黑体" w:cs="黑体"/>
          <w:color w:val="auto"/>
          <w:sz w:val="28"/>
          <w:szCs w:val="28"/>
          <w:highlight w:val="none"/>
          <w:lang w:val="en-US" w:eastAsia="zh-CN"/>
        </w:rPr>
        <w:t>八</w:t>
      </w:r>
      <w:r>
        <w:rPr>
          <w:rFonts w:hint="eastAsia" w:ascii="黑体" w:hAnsi="黑体" w:eastAsia="黑体" w:cs="黑体"/>
          <w:color w:val="auto"/>
          <w:sz w:val="28"/>
          <w:szCs w:val="28"/>
          <w:highlight w:val="none"/>
        </w:rPr>
        <w:t>、</w:t>
      </w:r>
      <w:bookmarkEnd w:id="36"/>
      <w:bookmarkEnd w:id="37"/>
      <w:r>
        <w:rPr>
          <w:rFonts w:hint="eastAsia" w:ascii="黑体" w:hAnsi="黑体" w:eastAsia="黑体" w:cs="黑体"/>
          <w:color w:val="auto"/>
          <w:sz w:val="28"/>
          <w:szCs w:val="28"/>
          <w:highlight w:val="none"/>
        </w:rPr>
        <w:t>对本次招标提出询问，请按以下方式联系</w:t>
      </w:r>
    </w:p>
    <w:p w14:paraId="700F70C3">
      <w:pPr>
        <w:ind w:firstLine="560" w:firstLineChars="200"/>
        <w:jc w:val="left"/>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1.采购人信息</w:t>
      </w:r>
    </w:p>
    <w:p w14:paraId="2DD6719A">
      <w:pPr>
        <w:ind w:firstLine="560" w:firstLineChars="200"/>
        <w:jc w:val="left"/>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rPr>
        <w:t>名称：</w:t>
      </w:r>
      <w:r>
        <w:rPr>
          <w:rFonts w:hint="eastAsia" w:ascii="仿宋" w:hAnsi="仿宋" w:eastAsia="仿宋" w:cs="Times New Roman"/>
          <w:color w:val="auto"/>
          <w:sz w:val="28"/>
          <w:szCs w:val="28"/>
          <w:highlight w:val="none"/>
          <w:u w:val="single"/>
          <w:lang w:eastAsia="zh-CN"/>
        </w:rPr>
        <w:t>滁州市科学技术馆</w:t>
      </w:r>
    </w:p>
    <w:p w14:paraId="6E0E8DF1">
      <w:pPr>
        <w:ind w:firstLine="560" w:firstLineChars="200"/>
        <w:jc w:val="left"/>
        <w:rPr>
          <w:rFonts w:hint="eastAsia" w:ascii="仿宋" w:hAnsi="仿宋" w:eastAsia="仿宋"/>
          <w:color w:val="auto"/>
          <w:sz w:val="28"/>
          <w:szCs w:val="28"/>
          <w:highlight w:val="none"/>
          <w:u w:val="single"/>
          <w:lang w:eastAsia="zh-CN"/>
        </w:rPr>
      </w:pPr>
      <w:r>
        <w:rPr>
          <w:rFonts w:hint="eastAsia" w:ascii="仿宋" w:hAnsi="仿宋" w:eastAsia="仿宋" w:cs="Times New Roman"/>
          <w:color w:val="auto"/>
          <w:sz w:val="28"/>
          <w:szCs w:val="28"/>
          <w:highlight w:val="none"/>
        </w:rPr>
        <w:t>地址：</w:t>
      </w:r>
      <w:r>
        <w:rPr>
          <w:rFonts w:hint="eastAsia" w:ascii="仿宋" w:hAnsi="仿宋" w:eastAsia="仿宋" w:cs="Times New Roman"/>
          <w:color w:val="auto"/>
          <w:sz w:val="28"/>
          <w:szCs w:val="28"/>
          <w:highlight w:val="none"/>
          <w:u w:val="single"/>
          <w:lang w:val="en-US" w:eastAsia="zh-CN"/>
        </w:rPr>
        <w:t>滁州市市政务中心西北角</w:t>
      </w:r>
    </w:p>
    <w:p w14:paraId="2D46DF13">
      <w:pPr>
        <w:ind w:firstLine="560" w:firstLineChars="200"/>
        <w:jc w:val="left"/>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rPr>
        <w:t>联系方式：</w:t>
      </w:r>
      <w:r>
        <w:rPr>
          <w:rFonts w:hint="eastAsia" w:ascii="仿宋" w:hAnsi="仿宋" w:eastAsia="仿宋" w:cs="Times New Roman"/>
          <w:color w:val="auto"/>
          <w:sz w:val="28"/>
          <w:szCs w:val="28"/>
          <w:highlight w:val="none"/>
          <w:u w:val="single"/>
          <w:lang w:val="en-US" w:eastAsia="zh-CN"/>
        </w:rPr>
        <w:t>18949759209</w:t>
      </w:r>
    </w:p>
    <w:p w14:paraId="3571BCEB">
      <w:pPr>
        <w:ind w:firstLine="560" w:firstLineChars="200"/>
        <w:jc w:val="left"/>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2.采购代理机构信息</w:t>
      </w:r>
    </w:p>
    <w:p w14:paraId="7FA88DB2">
      <w:pPr>
        <w:ind w:firstLine="560" w:firstLineChars="200"/>
        <w:jc w:val="left"/>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名称：</w:t>
      </w:r>
      <w:r>
        <w:rPr>
          <w:rFonts w:hint="eastAsia" w:ascii="仿宋" w:hAnsi="仿宋" w:eastAsia="仿宋" w:cs="Times New Roman"/>
          <w:color w:val="auto"/>
          <w:sz w:val="28"/>
          <w:szCs w:val="28"/>
          <w:highlight w:val="none"/>
          <w:u w:val="single"/>
          <w:lang w:eastAsia="zh-CN"/>
        </w:rPr>
        <w:t>滁州市政府采购中心</w:t>
      </w:r>
      <w:r>
        <w:rPr>
          <w:rFonts w:hint="eastAsia" w:ascii="仿宋" w:hAnsi="仿宋" w:eastAsia="仿宋" w:cs="Times New Roman"/>
          <w:color w:val="auto"/>
          <w:sz w:val="28"/>
          <w:szCs w:val="28"/>
          <w:highlight w:val="none"/>
        </w:rPr>
        <w:t>　</w:t>
      </w:r>
    </w:p>
    <w:p w14:paraId="37081A50">
      <w:pPr>
        <w:ind w:firstLine="560" w:firstLineChars="200"/>
        <w:jc w:val="left"/>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rPr>
        <w:t>地址：</w:t>
      </w:r>
      <w:r>
        <w:rPr>
          <w:rFonts w:hint="eastAsia" w:ascii="仿宋" w:hAnsi="仿宋" w:eastAsia="仿宋" w:cs="Times New Roman"/>
          <w:color w:val="auto"/>
          <w:sz w:val="28"/>
          <w:szCs w:val="28"/>
          <w:highlight w:val="none"/>
          <w:u w:val="single"/>
          <w:lang w:eastAsia="zh-CN"/>
        </w:rPr>
        <w:t>滁州市龙蟠大道109号房产商务大厦2楼</w:t>
      </w:r>
    </w:p>
    <w:p w14:paraId="0A59458F">
      <w:pPr>
        <w:ind w:firstLine="560" w:firstLineChars="200"/>
        <w:jc w:val="left"/>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rPr>
        <w:t>联系方式：</w:t>
      </w:r>
      <w:r>
        <w:rPr>
          <w:rFonts w:hint="eastAsia" w:ascii="仿宋" w:hAnsi="仿宋" w:eastAsia="仿宋" w:cs="Times New Roman"/>
          <w:color w:val="auto"/>
          <w:sz w:val="28"/>
          <w:szCs w:val="28"/>
          <w:highlight w:val="none"/>
          <w:u w:val="single"/>
          <w:lang w:eastAsia="zh-CN"/>
        </w:rPr>
        <w:t>0550-3519519、18005505728</w:t>
      </w:r>
    </w:p>
    <w:p w14:paraId="37FCAD66">
      <w:pPr>
        <w:ind w:firstLine="560" w:firstLineChars="200"/>
        <w:jc w:val="left"/>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3.政府采购监督管理部门信息</w:t>
      </w:r>
    </w:p>
    <w:p w14:paraId="1C77BC2F">
      <w:pPr>
        <w:ind w:firstLine="560" w:firstLineChars="200"/>
        <w:jc w:val="left"/>
        <w:rPr>
          <w:rFonts w:hint="eastAsia" w:ascii="仿宋" w:hAnsi="仿宋" w:eastAsia="仿宋" w:cs="Times New Roman"/>
          <w:color w:val="auto"/>
          <w:sz w:val="28"/>
          <w:szCs w:val="28"/>
          <w:highlight w:val="none"/>
          <w:u w:val="single"/>
        </w:rPr>
      </w:pPr>
      <w:r>
        <w:rPr>
          <w:rFonts w:hint="eastAsia" w:ascii="仿宋" w:hAnsi="仿宋" w:eastAsia="仿宋" w:cs="Times New Roman"/>
          <w:color w:val="auto"/>
          <w:sz w:val="28"/>
          <w:szCs w:val="28"/>
          <w:highlight w:val="none"/>
        </w:rPr>
        <w:t>名称：</w:t>
      </w:r>
      <w:r>
        <w:rPr>
          <w:rFonts w:hint="eastAsia" w:ascii="仿宋" w:hAnsi="仿宋" w:eastAsia="仿宋" w:cs="Times New Roman"/>
          <w:color w:val="auto"/>
          <w:sz w:val="28"/>
          <w:szCs w:val="28"/>
          <w:highlight w:val="none"/>
          <w:u w:val="single"/>
          <w:lang w:val="en-US" w:eastAsia="zh-CN"/>
        </w:rPr>
        <w:t>滁州市公共资源交易监督管理局</w:t>
      </w:r>
    </w:p>
    <w:p w14:paraId="2D0E049A">
      <w:pPr>
        <w:ind w:firstLine="560" w:firstLineChars="200"/>
        <w:jc w:val="left"/>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地址：</w:t>
      </w:r>
      <w:r>
        <w:rPr>
          <w:rFonts w:hint="eastAsia" w:ascii="仿宋" w:hAnsi="仿宋" w:eastAsia="仿宋" w:cs="Times New Roman"/>
          <w:color w:val="auto"/>
          <w:sz w:val="28"/>
          <w:szCs w:val="28"/>
          <w:highlight w:val="none"/>
          <w:u w:val="single"/>
          <w:lang w:eastAsia="zh-CN"/>
        </w:rPr>
        <w:t>滁州市龙蟠大道109号房产商务大厦</w:t>
      </w:r>
      <w:r>
        <w:rPr>
          <w:rFonts w:hint="eastAsia" w:ascii="仿宋" w:hAnsi="仿宋" w:eastAsia="仿宋" w:cs="Times New Roman"/>
          <w:color w:val="auto"/>
          <w:sz w:val="28"/>
          <w:szCs w:val="28"/>
          <w:highlight w:val="none"/>
          <w:u w:val="single"/>
          <w:lang w:val="en-US" w:eastAsia="zh-CN"/>
        </w:rPr>
        <w:t>3</w:t>
      </w:r>
      <w:r>
        <w:rPr>
          <w:rFonts w:hint="eastAsia" w:ascii="仿宋" w:hAnsi="仿宋" w:eastAsia="仿宋" w:cs="Times New Roman"/>
          <w:color w:val="auto"/>
          <w:sz w:val="28"/>
          <w:szCs w:val="28"/>
          <w:highlight w:val="none"/>
          <w:u w:val="single"/>
          <w:lang w:eastAsia="zh-CN"/>
        </w:rPr>
        <w:t>楼</w:t>
      </w:r>
    </w:p>
    <w:p w14:paraId="6151CB86">
      <w:pPr>
        <w:ind w:firstLine="560" w:firstLineChars="200"/>
        <w:jc w:val="left"/>
        <w:rPr>
          <w:rFonts w:hint="default" w:ascii="仿宋" w:hAnsi="仿宋" w:eastAsia="仿宋" w:cs="Times New Roman"/>
          <w:color w:val="auto"/>
          <w:sz w:val="28"/>
          <w:szCs w:val="28"/>
          <w:highlight w:val="none"/>
          <w:u w:val="single"/>
          <w:lang w:val="en-US" w:eastAsia="zh-CN"/>
        </w:rPr>
      </w:pPr>
      <w:r>
        <w:rPr>
          <w:rFonts w:hint="eastAsia" w:ascii="仿宋" w:hAnsi="仿宋" w:eastAsia="仿宋" w:cs="Times New Roman"/>
          <w:color w:val="auto"/>
          <w:sz w:val="28"/>
          <w:szCs w:val="28"/>
          <w:highlight w:val="none"/>
        </w:rPr>
        <w:t>联系方式：</w:t>
      </w:r>
      <w:r>
        <w:rPr>
          <w:rFonts w:hint="eastAsia" w:ascii="仿宋" w:hAnsi="仿宋" w:eastAsia="仿宋" w:cs="Times New Roman"/>
          <w:color w:val="auto"/>
          <w:sz w:val="28"/>
          <w:szCs w:val="28"/>
          <w:highlight w:val="none"/>
          <w:u w:val="single"/>
        </w:rPr>
        <w:t>0550-3801656</w:t>
      </w:r>
    </w:p>
    <w:p w14:paraId="586564C9">
      <w:pPr>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14:paraId="03B9419D">
      <w:pPr>
        <w:spacing w:line="360" w:lineRule="auto"/>
        <w:jc w:val="center"/>
        <w:outlineLvl w:val="0"/>
        <w:rPr>
          <w:rFonts w:asciiTheme="minorEastAsia" w:hAnsiTheme="minorEastAsia" w:eastAsiaTheme="minorEastAsia"/>
          <w:b/>
          <w:color w:val="auto"/>
          <w:sz w:val="28"/>
          <w:highlight w:val="none"/>
        </w:rPr>
      </w:pPr>
      <w:bookmarkStart w:id="38" w:name="_Toc12267"/>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38"/>
    </w:p>
    <w:p w14:paraId="180B2826">
      <w:pPr>
        <w:spacing w:line="360" w:lineRule="auto"/>
        <w:jc w:val="center"/>
        <w:outlineLvl w:val="1"/>
        <w:rPr>
          <w:rFonts w:asciiTheme="minorEastAsia" w:hAnsiTheme="minorEastAsia" w:eastAsiaTheme="minorEastAsia"/>
          <w:b/>
          <w:color w:val="auto"/>
          <w:sz w:val="24"/>
          <w:highlight w:val="none"/>
        </w:rPr>
      </w:pPr>
      <w:bookmarkStart w:id="39" w:name="_Toc13589"/>
      <w:bookmarkStart w:id="40" w:name="_Toc26722"/>
      <w:bookmarkStart w:id="41" w:name="_Toc7178"/>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39"/>
      <w:bookmarkEnd w:id="40"/>
      <w:bookmarkEnd w:id="41"/>
    </w:p>
    <w:p w14:paraId="173FABE7">
      <w:pPr>
        <w:spacing w:line="500" w:lineRule="exact"/>
        <w:ind w:left="-420" w:leftChars="-200" w:firstLine="435"/>
        <w:rPr>
          <w:rFonts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注：</w:t>
      </w:r>
      <w:r>
        <w:rPr>
          <w:rFonts w:hint="eastAsia" w:ascii="宋体" w:hAnsi="宋体" w:eastAsia="宋体" w:cs="宋体"/>
          <w:color w:val="auto"/>
          <w:sz w:val="24"/>
          <w:szCs w:val="18"/>
          <w:highlight w:val="none"/>
        </w:rPr>
        <w:t>本表是本项目的具体要求，是对投标人须知的具体补充和修改，如有不一致，以本表为准。</w:t>
      </w:r>
    </w:p>
    <w:tbl>
      <w:tblPr>
        <w:tblStyle w:val="31"/>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1870"/>
        <w:gridCol w:w="6660"/>
      </w:tblGrid>
      <w:tr w14:paraId="39013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4FDA11EB">
            <w:pPr>
              <w:pStyle w:val="51"/>
              <w:keepNext w:val="0"/>
              <w:keepLines w:val="0"/>
              <w:widowControl w:val="0"/>
              <w:suppressLineNumbers w:val="0"/>
              <w:spacing w:before="0" w:beforeAutospacing="0" w:after="0" w:afterAutospacing="0" w:line="500" w:lineRule="exact"/>
              <w:ind w:left="0" w:right="0"/>
              <w:rPr>
                <w:rFonts w:hint="default"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条款号</w:t>
            </w:r>
          </w:p>
        </w:tc>
        <w:tc>
          <w:tcPr>
            <w:tcW w:w="969" w:type="pct"/>
            <w:vAlign w:val="center"/>
          </w:tcPr>
          <w:p w14:paraId="714F9579">
            <w:pPr>
              <w:pStyle w:val="51"/>
              <w:keepNext w:val="0"/>
              <w:keepLines w:val="0"/>
              <w:widowControl w:val="0"/>
              <w:suppressLineNumbers w:val="0"/>
              <w:spacing w:before="0" w:beforeAutospacing="0" w:after="0" w:afterAutospacing="0" w:line="500" w:lineRule="exact"/>
              <w:ind w:left="0" w:right="0"/>
              <w:rPr>
                <w:rFonts w:hint="default"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条款名称</w:t>
            </w:r>
          </w:p>
        </w:tc>
        <w:tc>
          <w:tcPr>
            <w:tcW w:w="3451" w:type="pct"/>
            <w:vAlign w:val="center"/>
          </w:tcPr>
          <w:p w14:paraId="6D55B1E3">
            <w:pPr>
              <w:pStyle w:val="51"/>
              <w:keepNext w:val="0"/>
              <w:keepLines w:val="0"/>
              <w:widowControl w:val="0"/>
              <w:suppressLineNumbers w:val="0"/>
              <w:spacing w:before="0" w:beforeAutospacing="0" w:after="0" w:afterAutospacing="0" w:line="500" w:lineRule="exact"/>
              <w:ind w:left="0" w:right="0"/>
              <w:rPr>
                <w:rFonts w:hint="default"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内容、说明与要求</w:t>
            </w:r>
          </w:p>
        </w:tc>
      </w:tr>
      <w:tr w14:paraId="1B8A6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1C7369DD">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5.2</w:t>
            </w:r>
          </w:p>
        </w:tc>
        <w:tc>
          <w:tcPr>
            <w:tcW w:w="969" w:type="pct"/>
            <w:vAlign w:val="center"/>
          </w:tcPr>
          <w:p w14:paraId="4047AD04">
            <w:pPr>
              <w:pStyle w:val="51"/>
              <w:keepNext w:val="0"/>
              <w:keepLines w:val="0"/>
              <w:widowControl w:val="0"/>
              <w:suppressLineNumbers w:val="0"/>
              <w:spacing w:before="0" w:beforeAutospacing="0" w:after="0" w:afterAutospacing="0" w:line="500" w:lineRule="exact"/>
              <w:ind w:left="0" w:right="0"/>
              <w:jc w:val="left"/>
              <w:rPr>
                <w:rFonts w:hint="default" w:ascii="宋体" w:hAnsi="宋体" w:eastAsia="宋体" w:cs="宋体"/>
                <w:b w:val="0"/>
                <w:color w:val="auto"/>
                <w:sz w:val="24"/>
                <w:highlight w:val="none"/>
              </w:rPr>
            </w:pPr>
            <w:r>
              <w:rPr>
                <w:rFonts w:hint="eastAsia" w:ascii="宋体" w:hAnsi="宋体" w:eastAsia="宋体" w:cs="宋体"/>
                <w:b w:val="0"/>
                <w:color w:val="auto"/>
                <w:kern w:val="2"/>
                <w:sz w:val="24"/>
                <w:szCs w:val="22"/>
                <w:highlight w:val="none"/>
              </w:rPr>
              <w:t>现场考察或标前答疑会</w:t>
            </w:r>
          </w:p>
        </w:tc>
        <w:tc>
          <w:tcPr>
            <w:tcW w:w="3451" w:type="pct"/>
            <w:vAlign w:val="center"/>
          </w:tcPr>
          <w:p w14:paraId="76571874">
            <w:pPr>
              <w:keepNext w:val="0"/>
              <w:keepLines w:val="0"/>
              <w:suppressLineNumbers w:val="0"/>
              <w:spacing w:before="0" w:beforeAutospacing="0" w:after="0" w:afterAutospacing="0" w:line="500" w:lineRule="exact"/>
              <w:ind w:left="0" w:right="0"/>
              <w:rPr>
                <w:rFonts w:hint="default" w:ascii="宋体" w:hAnsi="宋体" w:eastAsia="宋体" w:cs="宋体"/>
                <w:bCs/>
                <w:color w:val="auto"/>
                <w:sz w:val="24"/>
                <w:szCs w:val="20"/>
                <w:highlight w:val="none"/>
              </w:rPr>
            </w:pP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0"/>
                <w:highlight w:val="none"/>
              </w:rPr>
              <w:t>不组织或不召开</w:t>
            </w:r>
          </w:p>
          <w:p w14:paraId="464879B5">
            <w:pPr>
              <w:keepNext w:val="0"/>
              <w:keepLines w:val="0"/>
              <w:suppressLineNumbers w:val="0"/>
              <w:spacing w:before="0" w:beforeAutospacing="0" w:after="0" w:afterAutospacing="0" w:line="500" w:lineRule="exact"/>
              <w:ind w:left="0" w:right="0"/>
              <w:rPr>
                <w:rFonts w:hint="default" w:ascii="宋体" w:hAnsi="宋体" w:eastAsia="宋体" w:cs="宋体"/>
                <w:bCs/>
                <w:color w:val="auto"/>
                <w:sz w:val="24"/>
                <w:szCs w:val="20"/>
                <w:highlight w:val="none"/>
              </w:rPr>
            </w:pPr>
            <w:r>
              <w:rPr>
                <w:rFonts w:hint="eastAsia" w:ascii="宋体" w:hAnsi="宋体" w:eastAsia="宋体" w:cs="宋体"/>
                <w:color w:val="auto"/>
                <w:sz w:val="24"/>
                <w:szCs w:val="20"/>
                <w:highlight w:val="none"/>
              </w:rPr>
              <w:t>□</w:t>
            </w:r>
            <w:r>
              <w:rPr>
                <w:rFonts w:hint="eastAsia" w:ascii="宋体" w:hAnsi="宋体" w:eastAsia="宋体" w:cs="宋体"/>
                <w:bCs/>
                <w:color w:val="auto"/>
                <w:sz w:val="24"/>
                <w:szCs w:val="20"/>
                <w:highlight w:val="none"/>
              </w:rPr>
              <w:t>统一组织或统一召开</w:t>
            </w:r>
          </w:p>
          <w:p w14:paraId="21C6741C">
            <w:pPr>
              <w:keepNext w:val="0"/>
              <w:keepLines w:val="0"/>
              <w:suppressLineNumbers w:val="0"/>
              <w:spacing w:before="0" w:beforeAutospacing="0" w:after="0" w:afterAutospacing="0" w:line="500" w:lineRule="exact"/>
              <w:ind w:left="0" w:right="0"/>
              <w:rPr>
                <w:rFonts w:hint="default" w:ascii="宋体" w:hAnsi="宋体" w:eastAsia="宋体" w:cs="宋体"/>
                <w:bCs/>
                <w:color w:val="auto"/>
                <w:sz w:val="24"/>
                <w:szCs w:val="20"/>
                <w:highlight w:val="none"/>
                <w:u w:val="single"/>
              </w:rPr>
            </w:pPr>
            <w:r>
              <w:rPr>
                <w:rFonts w:hint="eastAsia" w:ascii="宋体" w:hAnsi="宋体" w:eastAsia="宋体" w:cs="宋体"/>
                <w:bCs/>
                <w:color w:val="auto"/>
                <w:sz w:val="24"/>
                <w:szCs w:val="20"/>
                <w:highlight w:val="none"/>
              </w:rPr>
              <w:t>时间：</w:t>
            </w:r>
            <w:r>
              <w:rPr>
                <w:rFonts w:hint="eastAsia" w:ascii="宋体" w:hAnsi="宋体" w:eastAsia="宋体" w:cs="宋体"/>
                <w:bCs/>
                <w:color w:val="auto"/>
                <w:sz w:val="24"/>
                <w:szCs w:val="20"/>
                <w:highlight w:val="none"/>
                <w:u w:val="single"/>
              </w:rPr>
              <w:t xml:space="preserve">  /  </w:t>
            </w:r>
            <w:r>
              <w:rPr>
                <w:rFonts w:hint="eastAsia" w:ascii="宋体" w:hAnsi="宋体" w:eastAsia="宋体" w:cs="宋体"/>
                <w:bCs/>
                <w:color w:val="auto"/>
                <w:sz w:val="24"/>
                <w:szCs w:val="20"/>
                <w:highlight w:val="none"/>
              </w:rPr>
              <w:t>年</w:t>
            </w:r>
            <w:r>
              <w:rPr>
                <w:rFonts w:hint="eastAsia" w:ascii="宋体" w:hAnsi="宋体" w:eastAsia="宋体" w:cs="宋体"/>
                <w:bCs/>
                <w:color w:val="auto"/>
                <w:sz w:val="24"/>
                <w:szCs w:val="20"/>
                <w:highlight w:val="none"/>
                <w:u w:val="single"/>
              </w:rPr>
              <w:t xml:space="preserve"> / </w:t>
            </w:r>
            <w:r>
              <w:rPr>
                <w:rFonts w:hint="eastAsia" w:ascii="宋体" w:hAnsi="宋体" w:eastAsia="宋体" w:cs="宋体"/>
                <w:bCs/>
                <w:color w:val="auto"/>
                <w:sz w:val="24"/>
                <w:szCs w:val="20"/>
                <w:highlight w:val="none"/>
              </w:rPr>
              <w:t>月</w:t>
            </w:r>
            <w:r>
              <w:rPr>
                <w:rFonts w:hint="eastAsia" w:ascii="宋体" w:hAnsi="宋体" w:eastAsia="宋体" w:cs="宋体"/>
                <w:bCs/>
                <w:color w:val="auto"/>
                <w:sz w:val="24"/>
                <w:szCs w:val="20"/>
                <w:highlight w:val="none"/>
                <w:u w:val="single"/>
              </w:rPr>
              <w:t xml:space="preserve"> / </w:t>
            </w:r>
            <w:r>
              <w:rPr>
                <w:rFonts w:hint="eastAsia" w:ascii="宋体" w:hAnsi="宋体" w:eastAsia="宋体" w:cs="宋体"/>
                <w:bCs/>
                <w:color w:val="auto"/>
                <w:sz w:val="24"/>
                <w:szCs w:val="20"/>
                <w:highlight w:val="none"/>
              </w:rPr>
              <w:t>日</w:t>
            </w:r>
            <w:r>
              <w:rPr>
                <w:rFonts w:hint="eastAsia" w:ascii="宋体" w:hAnsi="宋体" w:eastAsia="宋体" w:cs="宋体"/>
                <w:bCs/>
                <w:color w:val="auto"/>
                <w:sz w:val="24"/>
                <w:szCs w:val="20"/>
                <w:highlight w:val="none"/>
                <w:u w:val="single"/>
              </w:rPr>
              <w:t xml:space="preserve"> / </w:t>
            </w:r>
            <w:r>
              <w:rPr>
                <w:rFonts w:hint="eastAsia" w:ascii="宋体" w:hAnsi="宋体" w:eastAsia="宋体" w:cs="宋体"/>
                <w:bCs/>
                <w:color w:val="auto"/>
                <w:sz w:val="24"/>
                <w:szCs w:val="20"/>
                <w:highlight w:val="none"/>
              </w:rPr>
              <w:t>时</w:t>
            </w:r>
            <w:r>
              <w:rPr>
                <w:rFonts w:hint="eastAsia" w:ascii="宋体" w:hAnsi="宋体" w:eastAsia="宋体" w:cs="宋体"/>
                <w:bCs/>
                <w:color w:val="auto"/>
                <w:sz w:val="24"/>
                <w:szCs w:val="20"/>
                <w:highlight w:val="none"/>
                <w:u w:val="single"/>
              </w:rPr>
              <w:t xml:space="preserve"> / </w:t>
            </w:r>
            <w:r>
              <w:rPr>
                <w:rFonts w:hint="eastAsia" w:ascii="宋体" w:hAnsi="宋体" w:eastAsia="宋体" w:cs="宋体"/>
                <w:bCs/>
                <w:color w:val="auto"/>
                <w:sz w:val="24"/>
                <w:szCs w:val="20"/>
                <w:highlight w:val="none"/>
              </w:rPr>
              <w:t>分</w:t>
            </w:r>
          </w:p>
          <w:p w14:paraId="6F23CBC9">
            <w:pPr>
              <w:keepNext w:val="0"/>
              <w:keepLines w:val="0"/>
              <w:suppressLineNumbers w:val="0"/>
              <w:spacing w:before="0" w:beforeAutospacing="0" w:after="0" w:afterAutospacing="0" w:line="500" w:lineRule="exact"/>
              <w:ind w:left="0" w:right="0"/>
              <w:rPr>
                <w:rFonts w:hint="default" w:ascii="宋体" w:hAnsi="宋体" w:eastAsia="宋体" w:cs="宋体"/>
                <w:bCs/>
                <w:color w:val="auto"/>
                <w:sz w:val="24"/>
                <w:szCs w:val="20"/>
                <w:highlight w:val="none"/>
                <w:u w:val="single"/>
              </w:rPr>
            </w:pPr>
            <w:r>
              <w:rPr>
                <w:rFonts w:hint="eastAsia" w:ascii="宋体" w:hAnsi="宋体" w:eastAsia="宋体" w:cs="宋体"/>
                <w:bCs/>
                <w:color w:val="auto"/>
                <w:sz w:val="24"/>
                <w:szCs w:val="20"/>
                <w:highlight w:val="none"/>
              </w:rPr>
              <w:t>地点：</w:t>
            </w:r>
            <w:r>
              <w:rPr>
                <w:rFonts w:hint="eastAsia" w:ascii="宋体" w:hAnsi="宋体" w:eastAsia="宋体" w:cs="宋体"/>
                <w:bCs/>
                <w:color w:val="auto"/>
                <w:sz w:val="24"/>
                <w:szCs w:val="20"/>
                <w:highlight w:val="none"/>
                <w:u w:val="single"/>
              </w:rPr>
              <w:t xml:space="preserve">    /               </w:t>
            </w:r>
          </w:p>
          <w:p w14:paraId="5DA5AED4">
            <w:pPr>
              <w:keepNext w:val="0"/>
              <w:keepLines w:val="0"/>
              <w:suppressLineNumbers w:val="0"/>
              <w:spacing w:before="0" w:beforeAutospacing="0" w:after="0" w:afterAutospacing="0" w:line="500" w:lineRule="exact"/>
              <w:ind w:left="0" w:right="0"/>
              <w:rPr>
                <w:rFonts w:hint="default" w:ascii="宋体" w:hAnsi="宋体" w:eastAsia="宋体" w:cs="宋体"/>
                <w:bCs/>
                <w:color w:val="auto"/>
                <w:sz w:val="24"/>
                <w:szCs w:val="20"/>
                <w:highlight w:val="none"/>
                <w:u w:val="single"/>
              </w:rPr>
            </w:pPr>
            <w:r>
              <w:rPr>
                <w:rFonts w:hint="eastAsia" w:ascii="宋体" w:hAnsi="宋体" w:eastAsia="宋体" w:cs="宋体"/>
                <w:bCs/>
                <w:color w:val="auto"/>
                <w:sz w:val="24"/>
                <w:szCs w:val="20"/>
                <w:highlight w:val="none"/>
              </w:rPr>
              <w:t>联系人及联系电话：</w:t>
            </w:r>
            <w:r>
              <w:rPr>
                <w:rFonts w:hint="eastAsia" w:ascii="宋体" w:hAnsi="宋体" w:eastAsia="宋体" w:cs="宋体"/>
                <w:bCs/>
                <w:color w:val="auto"/>
                <w:sz w:val="24"/>
                <w:szCs w:val="20"/>
                <w:highlight w:val="none"/>
                <w:u w:val="single"/>
              </w:rPr>
              <w:t xml:space="preserve">   /    </w:t>
            </w:r>
          </w:p>
          <w:p w14:paraId="10111EC1">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Cs w:val="0"/>
                <w:color w:val="auto"/>
                <w:sz w:val="24"/>
                <w:highlight w:val="none"/>
              </w:rPr>
              <w:t>注：如投标人未参加采购人统一组织的现场考察或采购人统一召开的标前答疑会，视同放弃现场考察或标前答疑会，由此引起的一切责任由投标人自行承担。</w:t>
            </w:r>
          </w:p>
        </w:tc>
      </w:tr>
      <w:tr w14:paraId="2B9AC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5748B25C">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6.1</w:t>
            </w:r>
          </w:p>
        </w:tc>
        <w:tc>
          <w:tcPr>
            <w:tcW w:w="969" w:type="pct"/>
            <w:vAlign w:val="center"/>
          </w:tcPr>
          <w:p w14:paraId="59566D7B">
            <w:pPr>
              <w:pStyle w:val="51"/>
              <w:keepNext w:val="0"/>
              <w:keepLines w:val="0"/>
              <w:widowControl w:val="0"/>
              <w:suppressLineNumbers w:val="0"/>
              <w:spacing w:before="0" w:beforeAutospacing="0" w:after="0" w:afterAutospacing="0" w:line="500" w:lineRule="exact"/>
              <w:ind w:left="0" w:right="0"/>
              <w:jc w:val="left"/>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网上询问截止时间</w:t>
            </w:r>
          </w:p>
        </w:tc>
        <w:tc>
          <w:tcPr>
            <w:tcW w:w="3451" w:type="pct"/>
            <w:vAlign w:val="center"/>
          </w:tcPr>
          <w:p w14:paraId="7913D2F4">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u w:val="none"/>
                <w:lang w:val="en-US" w:eastAsia="zh-CN"/>
              </w:rPr>
              <w:t>2026</w:t>
            </w:r>
            <w:r>
              <w:rPr>
                <w:rFonts w:hint="eastAsia" w:ascii="宋体" w:hAnsi="宋体" w:eastAsia="宋体" w:cs="宋体"/>
                <w:b w:val="0"/>
                <w:color w:val="auto"/>
                <w:sz w:val="24"/>
                <w:highlight w:val="none"/>
                <w:u w:val="none"/>
              </w:rPr>
              <w:t>年</w:t>
            </w:r>
            <w:r>
              <w:rPr>
                <w:rFonts w:hint="eastAsia" w:ascii="宋体" w:hAnsi="宋体" w:eastAsia="宋体" w:cs="宋体"/>
                <w:b w:val="0"/>
                <w:color w:val="auto"/>
                <w:sz w:val="24"/>
                <w:highlight w:val="none"/>
                <w:u w:val="none"/>
                <w:lang w:val="en-US" w:eastAsia="zh-CN"/>
              </w:rPr>
              <w:t>01</w:t>
            </w:r>
            <w:r>
              <w:rPr>
                <w:rFonts w:hint="eastAsia" w:ascii="宋体" w:hAnsi="宋体" w:eastAsia="宋体" w:cs="宋体"/>
                <w:b w:val="0"/>
                <w:color w:val="auto"/>
                <w:sz w:val="24"/>
                <w:highlight w:val="none"/>
                <w:u w:val="none"/>
              </w:rPr>
              <w:t>月</w:t>
            </w:r>
            <w:r>
              <w:rPr>
                <w:rFonts w:hint="eastAsia" w:ascii="宋体" w:hAnsi="宋体" w:eastAsia="宋体" w:cs="宋体"/>
                <w:b w:val="0"/>
                <w:color w:val="auto"/>
                <w:sz w:val="24"/>
                <w:highlight w:val="none"/>
                <w:u w:val="none"/>
                <w:lang w:val="en-US" w:eastAsia="zh-CN"/>
              </w:rPr>
              <w:t>14</w:t>
            </w:r>
            <w:r>
              <w:rPr>
                <w:rFonts w:hint="eastAsia" w:ascii="宋体" w:hAnsi="宋体" w:eastAsia="宋体" w:cs="宋体"/>
                <w:b w:val="0"/>
                <w:color w:val="auto"/>
                <w:sz w:val="24"/>
                <w:highlight w:val="none"/>
                <w:u w:val="none"/>
              </w:rPr>
              <w:t>日17时30分</w:t>
            </w:r>
            <w:r>
              <w:rPr>
                <w:rFonts w:hint="eastAsia" w:ascii="宋体" w:hAnsi="宋体" w:eastAsia="宋体" w:cs="宋体"/>
                <w:b w:val="0"/>
                <w:color w:val="auto"/>
                <w:sz w:val="24"/>
                <w:highlight w:val="none"/>
              </w:rPr>
              <w:t>（公告期限界满之日）</w:t>
            </w:r>
          </w:p>
        </w:tc>
      </w:tr>
      <w:tr w14:paraId="23D71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2F96F6A0">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7.1</w:t>
            </w:r>
          </w:p>
        </w:tc>
        <w:tc>
          <w:tcPr>
            <w:tcW w:w="969" w:type="pct"/>
            <w:vAlign w:val="center"/>
          </w:tcPr>
          <w:p w14:paraId="27C1D5C8">
            <w:pPr>
              <w:pStyle w:val="51"/>
              <w:keepNext w:val="0"/>
              <w:keepLines w:val="0"/>
              <w:widowControl w:val="0"/>
              <w:suppressLineNumbers w:val="0"/>
              <w:spacing w:before="0" w:beforeAutospacing="0" w:after="0" w:afterAutospacing="0" w:line="500" w:lineRule="exact"/>
              <w:ind w:left="0" w:right="0"/>
              <w:jc w:val="left"/>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包别划分</w:t>
            </w:r>
          </w:p>
        </w:tc>
        <w:tc>
          <w:tcPr>
            <w:tcW w:w="3451" w:type="pct"/>
            <w:vAlign w:val="center"/>
          </w:tcPr>
          <w:p w14:paraId="0B66E2CD">
            <w:pPr>
              <w:pStyle w:val="51"/>
              <w:keepNext w:val="0"/>
              <w:keepLines w:val="0"/>
              <w:widowControl w:val="0"/>
              <w:suppressLineNumbers w:val="0"/>
              <w:spacing w:before="0" w:beforeAutospacing="0" w:after="0" w:afterAutospacing="0" w:line="500" w:lineRule="exact"/>
              <w:ind w:left="0" w:right="0"/>
              <w:jc w:val="both"/>
              <w:rPr>
                <w:rFonts w:hint="eastAsia"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color w:val="auto"/>
                <w:sz w:val="24"/>
                <w:highlight w:val="none"/>
              </w:rPr>
              <w:t xml:space="preserve">不分包     </w:t>
            </w:r>
            <w:r>
              <w:rPr>
                <w:rFonts w:hint="eastAsia" w:ascii="宋体" w:hAnsi="宋体" w:eastAsia="宋体" w:cs="宋体"/>
                <w:b w:val="0"/>
                <w:color w:val="auto"/>
                <w:sz w:val="24"/>
                <w:highlight w:val="none"/>
                <w:lang w:eastAsia="zh-CN"/>
              </w:rPr>
              <w:t>□</w:t>
            </w:r>
            <w:r>
              <w:rPr>
                <w:rFonts w:hint="eastAsia" w:ascii="宋体" w:hAnsi="宋体" w:eastAsia="宋体" w:cs="宋体"/>
                <w:b w:val="0"/>
                <w:color w:val="auto"/>
                <w:sz w:val="24"/>
                <w:highlight w:val="none"/>
              </w:rPr>
              <w:t>分为</w:t>
            </w:r>
            <w:r>
              <w:rPr>
                <w:rFonts w:hint="eastAsia" w:ascii="宋体" w:hAnsi="宋体" w:eastAsia="宋体" w:cs="宋体"/>
                <w:b w:val="0"/>
                <w:color w:val="auto"/>
                <w:sz w:val="24"/>
                <w:highlight w:val="none"/>
                <w:u w:val="single"/>
                <w:lang w:val="en-US" w:eastAsia="zh-CN"/>
              </w:rPr>
              <w:t xml:space="preserve"> / </w:t>
            </w:r>
            <w:r>
              <w:rPr>
                <w:rFonts w:hint="eastAsia" w:ascii="宋体" w:hAnsi="宋体" w:eastAsia="宋体" w:cs="宋体"/>
                <w:b w:val="0"/>
                <w:color w:val="auto"/>
                <w:sz w:val="24"/>
                <w:highlight w:val="none"/>
              </w:rPr>
              <w:t>个包</w:t>
            </w:r>
          </w:p>
          <w:p w14:paraId="6815DEFD">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u w:val="single"/>
                <w:lang w:val="en-US" w:eastAsia="zh-CN"/>
              </w:rPr>
            </w:pPr>
            <w:r>
              <w:rPr>
                <w:rFonts w:hint="eastAsia" w:ascii="宋体" w:hAnsi="宋体" w:eastAsia="宋体" w:cs="宋体"/>
                <w:b w:val="0"/>
                <w:color w:val="auto"/>
                <w:sz w:val="24"/>
                <w:highlight w:val="none"/>
              </w:rPr>
              <w:t>投标人对多个包进行投标的中标包数规定：</w:t>
            </w:r>
            <w:r>
              <w:rPr>
                <w:rFonts w:hint="eastAsia" w:ascii="宋体" w:hAnsi="宋体" w:eastAsia="宋体" w:cs="宋体"/>
                <w:b w:val="0"/>
                <w:color w:val="auto"/>
                <w:sz w:val="24"/>
                <w:highlight w:val="none"/>
                <w:u w:val="single"/>
                <w:lang w:val="en-US" w:eastAsia="zh-CN"/>
              </w:rPr>
              <w:t xml:space="preserve"> </w:t>
            </w:r>
            <w:r>
              <w:rPr>
                <w:rFonts w:hint="eastAsia" w:ascii="宋体" w:hAnsi="宋体" w:eastAsia="宋体" w:cs="宋体"/>
                <w:b w:val="0"/>
                <w:color w:val="auto"/>
                <w:sz w:val="24"/>
                <w:highlight w:val="none"/>
                <w:u w:val="single"/>
              </w:rPr>
              <w:t>/</w:t>
            </w:r>
            <w:r>
              <w:rPr>
                <w:rFonts w:hint="eastAsia" w:ascii="宋体" w:hAnsi="宋体" w:eastAsia="宋体" w:cs="宋体"/>
                <w:b w:val="0"/>
                <w:color w:val="auto"/>
                <w:sz w:val="24"/>
                <w:highlight w:val="none"/>
                <w:u w:val="single"/>
                <w:lang w:val="en-US" w:eastAsia="zh-CN"/>
              </w:rPr>
              <w:t xml:space="preserve"> </w:t>
            </w:r>
            <w:r>
              <w:rPr>
                <w:rFonts w:hint="eastAsia" w:ascii="宋体" w:hAnsi="宋体" w:eastAsia="宋体" w:cs="宋体"/>
                <w:b w:val="0"/>
                <w:color w:val="auto"/>
                <w:sz w:val="24"/>
                <w:highlight w:val="none"/>
                <w:u w:val="single"/>
              </w:rPr>
              <w:t xml:space="preserve"> </w:t>
            </w:r>
          </w:p>
        </w:tc>
      </w:tr>
      <w:tr w14:paraId="1AE38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79" w:type="pct"/>
            <w:vAlign w:val="center"/>
          </w:tcPr>
          <w:p w14:paraId="55798DC8">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10.1</w:t>
            </w:r>
          </w:p>
        </w:tc>
        <w:tc>
          <w:tcPr>
            <w:tcW w:w="969" w:type="pct"/>
            <w:vAlign w:val="center"/>
          </w:tcPr>
          <w:p w14:paraId="5FC2ADD3">
            <w:pPr>
              <w:pStyle w:val="51"/>
              <w:keepNext w:val="0"/>
              <w:keepLines w:val="0"/>
              <w:widowControl w:val="0"/>
              <w:suppressLineNumbers w:val="0"/>
              <w:spacing w:before="0" w:beforeAutospacing="0" w:after="0" w:afterAutospacing="0" w:line="500" w:lineRule="exact"/>
              <w:ind w:left="0" w:right="0"/>
              <w:jc w:val="left"/>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投标保证金</w:t>
            </w:r>
          </w:p>
        </w:tc>
        <w:tc>
          <w:tcPr>
            <w:tcW w:w="3451" w:type="pct"/>
            <w:vAlign w:val="center"/>
          </w:tcPr>
          <w:p w14:paraId="051D6829">
            <w:pPr>
              <w:keepNext w:val="0"/>
              <w:keepLines w:val="0"/>
              <w:suppressLineNumbers w:val="0"/>
              <w:spacing w:before="0" w:beforeAutospacing="0" w:after="0" w:afterAutospacing="0" w:line="500" w:lineRule="exact"/>
              <w:ind w:left="0" w:right="0"/>
              <w:rPr>
                <w:rFonts w:hint="default" w:ascii="宋体" w:hAnsi="宋体" w:eastAsia="宋体" w:cs="宋体"/>
                <w:color w:val="auto"/>
                <w:szCs w:val="20"/>
                <w:highlight w:val="none"/>
              </w:rPr>
            </w:pPr>
            <w:r>
              <w:rPr>
                <w:rFonts w:hint="eastAsia" w:ascii="宋体" w:hAnsi="宋体" w:eastAsia="宋体" w:cs="宋体"/>
                <w:bCs/>
                <w:color w:val="auto"/>
                <w:kern w:val="0"/>
                <w:sz w:val="24"/>
                <w:szCs w:val="28"/>
                <w:highlight w:val="none"/>
              </w:rPr>
              <w:t>不收取</w:t>
            </w:r>
          </w:p>
        </w:tc>
      </w:tr>
      <w:tr w14:paraId="1C43E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564DEEB4">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11.1</w:t>
            </w:r>
          </w:p>
        </w:tc>
        <w:tc>
          <w:tcPr>
            <w:tcW w:w="969" w:type="pct"/>
            <w:vAlign w:val="center"/>
          </w:tcPr>
          <w:p w14:paraId="17370DA4">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投标有效期</w:t>
            </w:r>
          </w:p>
        </w:tc>
        <w:tc>
          <w:tcPr>
            <w:tcW w:w="3451" w:type="pct"/>
            <w:vAlign w:val="center"/>
          </w:tcPr>
          <w:p w14:paraId="3E4645F0">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u w:val="single"/>
              </w:rPr>
              <w:t xml:space="preserve"> 90 </w:t>
            </w:r>
            <w:r>
              <w:rPr>
                <w:rFonts w:hint="eastAsia" w:ascii="宋体" w:hAnsi="宋体" w:eastAsia="宋体" w:cs="宋体"/>
                <w:b w:val="0"/>
                <w:color w:val="auto"/>
                <w:sz w:val="24"/>
                <w:highlight w:val="none"/>
              </w:rPr>
              <w:t>日历日</w:t>
            </w:r>
          </w:p>
        </w:tc>
      </w:tr>
      <w:tr w14:paraId="704F5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1C0692CA">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13.1</w:t>
            </w:r>
          </w:p>
        </w:tc>
        <w:tc>
          <w:tcPr>
            <w:tcW w:w="969" w:type="pct"/>
            <w:vAlign w:val="center"/>
          </w:tcPr>
          <w:p w14:paraId="3B2A272C">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投标文件解密时间</w:t>
            </w:r>
          </w:p>
        </w:tc>
        <w:tc>
          <w:tcPr>
            <w:tcW w:w="3451" w:type="pct"/>
            <w:vAlign w:val="center"/>
          </w:tcPr>
          <w:p w14:paraId="70A997C2">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u w:val="single"/>
              </w:rPr>
            </w:pPr>
            <w:r>
              <w:rPr>
                <w:rFonts w:hint="eastAsia" w:ascii="宋体" w:hAnsi="宋体" w:eastAsia="宋体" w:cs="宋体"/>
                <w:b w:val="0"/>
                <w:color w:val="auto"/>
                <w:sz w:val="24"/>
                <w:highlight w:val="none"/>
              </w:rPr>
              <w:t>投标截止时间后</w:t>
            </w:r>
            <w:r>
              <w:rPr>
                <w:rFonts w:hint="eastAsia" w:ascii="宋体" w:hAnsi="宋体" w:eastAsia="宋体" w:cs="宋体"/>
                <w:b w:val="0"/>
                <w:color w:val="auto"/>
                <w:sz w:val="24"/>
                <w:highlight w:val="none"/>
                <w:u w:val="single"/>
              </w:rPr>
              <w:t xml:space="preserve"> 60 </w:t>
            </w:r>
            <w:r>
              <w:rPr>
                <w:rFonts w:hint="eastAsia" w:ascii="宋体" w:hAnsi="宋体" w:eastAsia="宋体" w:cs="宋体"/>
                <w:b w:val="0"/>
                <w:color w:val="auto"/>
                <w:sz w:val="24"/>
                <w:highlight w:val="none"/>
              </w:rPr>
              <w:t>分钟内</w:t>
            </w:r>
            <w:r>
              <w:rPr>
                <w:rFonts w:hint="eastAsia" w:ascii="宋体" w:hAnsi="宋体" w:eastAsia="宋体" w:cs="宋体"/>
                <w:b w:val="0"/>
                <w:color w:val="auto"/>
                <w:sz w:val="24"/>
                <w:szCs w:val="24"/>
                <w:highlight w:val="none"/>
              </w:rPr>
              <w:t>（以本项目网上招投标系统解密倒计时为准）</w:t>
            </w:r>
          </w:p>
        </w:tc>
      </w:tr>
      <w:tr w14:paraId="30599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6CCAA19B">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14.1</w:t>
            </w:r>
          </w:p>
        </w:tc>
        <w:tc>
          <w:tcPr>
            <w:tcW w:w="969" w:type="pct"/>
            <w:vAlign w:val="center"/>
          </w:tcPr>
          <w:p w14:paraId="4F46C9BF">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资格审查</w:t>
            </w:r>
          </w:p>
        </w:tc>
        <w:tc>
          <w:tcPr>
            <w:tcW w:w="3451" w:type="pct"/>
            <w:vAlign w:val="center"/>
          </w:tcPr>
          <w:p w14:paraId="3B5DA91F">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bCs w:val="0"/>
                <w:color w:val="auto"/>
                <w:sz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highlight w:val="none"/>
              </w:rPr>
              <w:t>采购人审查</w:t>
            </w:r>
          </w:p>
          <w:p w14:paraId="2780BC03">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u w:val="singl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highlight w:val="none"/>
              </w:rPr>
              <w:t>采购人出具委托函委托采购代理机构进行审查</w:t>
            </w:r>
          </w:p>
        </w:tc>
      </w:tr>
      <w:tr w14:paraId="7D6E3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13F99AFB">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17.2</w:t>
            </w:r>
          </w:p>
        </w:tc>
        <w:tc>
          <w:tcPr>
            <w:tcW w:w="969" w:type="pct"/>
            <w:vAlign w:val="center"/>
          </w:tcPr>
          <w:p w14:paraId="325B066D">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评标方法</w:t>
            </w:r>
          </w:p>
        </w:tc>
        <w:tc>
          <w:tcPr>
            <w:tcW w:w="3451" w:type="pct"/>
            <w:vAlign w:val="center"/>
          </w:tcPr>
          <w:p w14:paraId="3488D5EB">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szCs w:val="24"/>
                <w:highlight w:val="none"/>
              </w:rPr>
              <w:t>最低评标价法</w:t>
            </w:r>
          </w:p>
          <w:p w14:paraId="17A9864A">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szCs w:val="24"/>
                <w:highlight w:val="none"/>
              </w:rPr>
              <w:t>综合评分法</w:t>
            </w:r>
          </w:p>
        </w:tc>
      </w:tr>
      <w:tr w14:paraId="68C98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7FD64249">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17.3</w:t>
            </w:r>
          </w:p>
        </w:tc>
        <w:tc>
          <w:tcPr>
            <w:tcW w:w="969" w:type="pct"/>
            <w:vAlign w:val="center"/>
          </w:tcPr>
          <w:p w14:paraId="1ED0E633">
            <w:pPr>
              <w:pStyle w:val="51"/>
              <w:keepNext w:val="0"/>
              <w:keepLines w:val="0"/>
              <w:widowControl w:val="0"/>
              <w:suppressLineNumbers w:val="0"/>
              <w:spacing w:before="0" w:beforeAutospacing="0" w:after="0" w:afterAutospacing="0" w:line="500" w:lineRule="exact"/>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报价扣除</w:t>
            </w:r>
          </w:p>
          <w:p w14:paraId="48D44D30">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i/>
                <w:color w:val="auto"/>
                <w:sz w:val="24"/>
                <w:highlight w:val="none"/>
              </w:rPr>
            </w:pPr>
            <w:r>
              <w:rPr>
                <w:rFonts w:hint="eastAsia" w:ascii="宋体" w:hAnsi="宋体" w:eastAsia="宋体" w:cs="宋体"/>
                <w:b w:val="0"/>
                <w:i/>
                <w:iCs/>
                <w:color w:val="auto"/>
                <w:sz w:val="24"/>
                <w:highlight w:val="none"/>
              </w:rPr>
              <w:t>（非专门面向中小企业采购项目适用）</w:t>
            </w:r>
          </w:p>
        </w:tc>
        <w:tc>
          <w:tcPr>
            <w:tcW w:w="3451" w:type="pct"/>
            <w:vAlign w:val="center"/>
          </w:tcPr>
          <w:p w14:paraId="67DF7424">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（1）</w:t>
            </w:r>
            <w:r>
              <w:rPr>
                <w:rFonts w:hint="default"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w:t>
            </w:r>
            <w:r>
              <w:rPr>
                <w:rFonts w:hint="eastAsia" w:ascii="宋体" w:hAnsi="宋体" w:eastAsia="宋体"/>
                <w:b w:val="0"/>
                <w:color w:val="auto"/>
                <w:sz w:val="24"/>
                <w:highlight w:val="none"/>
                <w:u w:val="none"/>
              </w:rPr>
              <w:t>；</w:t>
            </w:r>
          </w:p>
          <w:p w14:paraId="2663A934">
            <w:pPr>
              <w:pStyle w:val="51"/>
              <w:keepNext w:val="0"/>
              <w:keepLines w:val="0"/>
              <w:widowControl w:val="0"/>
              <w:suppressLineNumbers w:val="0"/>
              <w:spacing w:before="0" w:beforeAutospacing="0" w:after="0" w:afterAutospacing="0" w:line="500" w:lineRule="exact"/>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（2）监狱企业价格扣除：同</w:t>
            </w:r>
            <w:r>
              <w:rPr>
                <w:rFonts w:hint="default"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5E9CC9E8">
            <w:pPr>
              <w:pStyle w:val="51"/>
              <w:keepNext w:val="0"/>
              <w:keepLines w:val="0"/>
              <w:widowControl w:val="0"/>
              <w:suppressLineNumbers w:val="0"/>
              <w:spacing w:before="0" w:beforeAutospacing="0" w:after="0" w:afterAutospacing="0" w:line="500" w:lineRule="exact"/>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（3）残疾人福利性单位价格扣除：同</w:t>
            </w:r>
            <w:r>
              <w:rPr>
                <w:rFonts w:hint="default"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233D7A03">
            <w:pPr>
              <w:pStyle w:val="51"/>
              <w:keepNext w:val="0"/>
              <w:keepLines w:val="0"/>
              <w:widowControl w:val="0"/>
              <w:suppressLineNumbers w:val="0"/>
              <w:spacing w:before="0" w:beforeAutospacing="0" w:after="0" w:afterAutospacing="0" w:line="500" w:lineRule="exact"/>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rPr>
              <w:t>/</w:t>
            </w:r>
            <w:r>
              <w:rPr>
                <w:rFonts w:hint="eastAsia" w:ascii="宋体" w:hAnsi="宋体" w:eastAsia="宋体"/>
                <w:b w:val="0"/>
                <w:color w:val="auto"/>
                <w:sz w:val="24"/>
                <w:highlight w:val="none"/>
              </w:rPr>
              <w:t>。</w:t>
            </w:r>
          </w:p>
          <w:p w14:paraId="25B95A04">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rPr>
              <w:t>/</w:t>
            </w:r>
            <w:r>
              <w:rPr>
                <w:rFonts w:hint="eastAsia" w:ascii="宋体" w:hAnsi="宋体" w:eastAsia="宋体"/>
                <w:b w:val="0"/>
                <w:color w:val="auto"/>
                <w:sz w:val="24"/>
                <w:highlight w:val="none"/>
              </w:rPr>
              <w:t>。</w:t>
            </w:r>
          </w:p>
        </w:tc>
      </w:tr>
      <w:tr w14:paraId="59E4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036B55AE">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21.1</w:t>
            </w:r>
          </w:p>
        </w:tc>
        <w:tc>
          <w:tcPr>
            <w:tcW w:w="969" w:type="pct"/>
            <w:vAlign w:val="center"/>
          </w:tcPr>
          <w:p w14:paraId="7D52F551">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评标委员会推荐中标候选人的数量</w:t>
            </w:r>
          </w:p>
        </w:tc>
        <w:tc>
          <w:tcPr>
            <w:tcW w:w="3451" w:type="pct"/>
            <w:vAlign w:val="center"/>
          </w:tcPr>
          <w:p w14:paraId="34AA55BB">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u w:val="single"/>
              </w:rPr>
            </w:pPr>
            <w:r>
              <w:rPr>
                <w:rFonts w:hint="eastAsia" w:ascii="宋体" w:hAnsi="宋体" w:eastAsia="宋体" w:cs="宋体"/>
                <w:b w:val="0"/>
                <w:color w:val="auto"/>
                <w:sz w:val="24"/>
                <w:szCs w:val="24"/>
                <w:highlight w:val="none"/>
              </w:rPr>
              <w:t>评标委员会推荐3名中标候选人</w:t>
            </w:r>
          </w:p>
        </w:tc>
      </w:tr>
      <w:tr w14:paraId="62E98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6F5B964C">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21.2</w:t>
            </w:r>
          </w:p>
        </w:tc>
        <w:tc>
          <w:tcPr>
            <w:tcW w:w="969" w:type="pct"/>
            <w:vAlign w:val="center"/>
          </w:tcPr>
          <w:p w14:paraId="0B1E666C">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确定中标人</w:t>
            </w:r>
          </w:p>
        </w:tc>
        <w:tc>
          <w:tcPr>
            <w:tcW w:w="3451" w:type="pct"/>
            <w:vAlign w:val="center"/>
          </w:tcPr>
          <w:p w14:paraId="4989BF25">
            <w:pPr>
              <w:keepNext w:val="0"/>
              <w:keepLines w:val="0"/>
              <w:suppressLineNumbers w:val="0"/>
              <w:spacing w:before="0" w:beforeAutospacing="0" w:after="0" w:afterAutospacing="0" w:line="500" w:lineRule="exact"/>
              <w:ind w:left="0" w:right="0"/>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sym w:font="Wingdings" w:char="00A8"/>
            </w:r>
            <w:r>
              <w:rPr>
                <w:rFonts w:hint="eastAsia" w:ascii="宋体" w:hAnsi="宋体" w:eastAsia="宋体" w:cs="宋体"/>
                <w:color w:val="auto"/>
                <w:kern w:val="0"/>
                <w:sz w:val="24"/>
                <w:szCs w:val="24"/>
                <w:highlight w:val="none"/>
              </w:rPr>
              <w:t>采购人委托评标委员会确定</w:t>
            </w:r>
          </w:p>
          <w:p w14:paraId="30FF2BB0">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bCs w:val="0"/>
                <w:color w:val="auto"/>
                <w:kern w:val="2"/>
                <w:sz w:val="24"/>
                <w:szCs w:val="24"/>
                <w:highlight w:val="none"/>
              </w:rPr>
              <w:t>☑采购人确定</w:t>
            </w:r>
          </w:p>
        </w:tc>
      </w:tr>
      <w:tr w14:paraId="4B59B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6E190258">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23.3</w:t>
            </w:r>
          </w:p>
        </w:tc>
        <w:tc>
          <w:tcPr>
            <w:tcW w:w="969" w:type="pct"/>
            <w:vAlign w:val="center"/>
          </w:tcPr>
          <w:p w14:paraId="7141568C">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随中标结果公告同时公告的内容</w:t>
            </w:r>
          </w:p>
        </w:tc>
        <w:tc>
          <w:tcPr>
            <w:tcW w:w="3451" w:type="pct"/>
            <w:vAlign w:val="center"/>
          </w:tcPr>
          <w:p w14:paraId="494361A7">
            <w:pPr>
              <w:pStyle w:val="51"/>
              <w:keepNext w:val="0"/>
              <w:keepLines w:val="0"/>
              <w:widowControl w:val="0"/>
              <w:numPr>
                <w:ilvl w:val="0"/>
                <w:numId w:val="0"/>
              </w:numPr>
              <w:suppressLineNumbers w:val="0"/>
              <w:spacing w:before="0" w:beforeAutospacing="0" w:after="0" w:afterAutospacing="0" w:line="500" w:lineRule="exact"/>
              <w:ind w:left="0" w:right="0" w:rightChars="0"/>
              <w:jc w:val="both"/>
              <w:rPr>
                <w:rFonts w:hint="eastAsia" w:ascii="宋体" w:hAnsi="宋体" w:eastAsia="宋体" w:cs="宋体"/>
                <w:b w:val="0"/>
                <w:i/>
                <w:iCs/>
                <w:color w:val="auto"/>
                <w:sz w:val="24"/>
                <w:highlight w:val="none"/>
                <w:lang w:val="en-US" w:eastAsia="zh-CN"/>
              </w:rPr>
            </w:pPr>
            <w:r>
              <w:rPr>
                <w:rFonts w:hint="eastAsia" w:ascii="宋体" w:hAnsi="宋体" w:eastAsia="宋体" w:cs="宋体"/>
                <w:b w:val="0"/>
                <w:color w:val="auto"/>
                <w:sz w:val="24"/>
                <w:highlight w:val="none"/>
                <w:lang w:eastAsia="zh-CN"/>
              </w:rPr>
              <w:t>（</w:t>
            </w:r>
            <w:r>
              <w:rPr>
                <w:rFonts w:hint="eastAsia" w:ascii="宋体" w:hAnsi="宋体" w:eastAsia="宋体" w:cs="宋体"/>
                <w:b w:val="0"/>
                <w:color w:val="auto"/>
                <w:sz w:val="24"/>
                <w:highlight w:val="none"/>
                <w:lang w:val="en-US" w:eastAsia="zh-CN"/>
              </w:rPr>
              <w:t>1</w:t>
            </w:r>
            <w:r>
              <w:rPr>
                <w:rFonts w:hint="eastAsia" w:ascii="宋体" w:hAnsi="宋体" w:eastAsia="宋体" w:cs="宋体"/>
                <w:b w:val="0"/>
                <w:color w:val="auto"/>
                <w:sz w:val="24"/>
                <w:highlight w:val="none"/>
                <w:lang w:eastAsia="zh-CN"/>
              </w:rPr>
              <w:t>）</w:t>
            </w:r>
            <w:r>
              <w:rPr>
                <w:rFonts w:hint="eastAsia" w:ascii="宋体" w:hAnsi="宋体" w:eastAsia="宋体" w:cs="宋体"/>
                <w:b w:val="0"/>
                <w:color w:val="auto"/>
                <w:sz w:val="24"/>
                <w:highlight w:val="none"/>
              </w:rPr>
              <w:t>中小企业声明函；</w:t>
            </w:r>
            <w:r>
              <w:rPr>
                <w:rFonts w:hint="eastAsia" w:ascii="宋体" w:hAnsi="宋体" w:eastAsia="宋体" w:cs="宋体"/>
                <w:b w:val="0"/>
                <w:i/>
                <w:iCs/>
                <w:color w:val="auto"/>
                <w:sz w:val="24"/>
                <w:highlight w:val="none"/>
                <w:lang w:val="en-US" w:eastAsia="zh-CN"/>
              </w:rPr>
              <w:t xml:space="preserve"> </w:t>
            </w:r>
          </w:p>
          <w:p w14:paraId="7963EEED">
            <w:pPr>
              <w:pStyle w:val="51"/>
              <w:keepNext w:val="0"/>
              <w:keepLines w:val="0"/>
              <w:widowControl w:val="0"/>
              <w:numPr>
                <w:ilvl w:val="0"/>
                <w:numId w:val="0"/>
              </w:numPr>
              <w:suppressLineNumbers w:val="0"/>
              <w:spacing w:before="0" w:beforeAutospacing="0" w:after="0" w:afterAutospacing="0" w:line="500" w:lineRule="exact"/>
              <w:ind w:left="0" w:right="0" w:rightChars="0"/>
              <w:jc w:val="both"/>
              <w:rPr>
                <w:rFonts w:hint="default" w:ascii="宋体" w:hAnsi="宋体" w:eastAsia="宋体" w:cs="宋体"/>
                <w:b w:val="0"/>
                <w:i/>
                <w:color w:val="auto"/>
                <w:sz w:val="24"/>
                <w:highlight w:val="none"/>
              </w:rPr>
            </w:pPr>
            <w:r>
              <w:rPr>
                <w:rFonts w:hint="eastAsia" w:ascii="宋体" w:hAnsi="宋体" w:eastAsia="宋体" w:cs="宋体"/>
                <w:b w:val="0"/>
                <w:color w:val="auto"/>
                <w:sz w:val="24"/>
                <w:highlight w:val="none"/>
              </w:rPr>
              <w:t>（2）残疾人福利性单位声明函；</w:t>
            </w:r>
            <w:r>
              <w:rPr>
                <w:rFonts w:hint="eastAsia" w:ascii="宋体" w:hAnsi="宋体" w:eastAsia="宋体" w:cs="宋体"/>
                <w:b w:val="0"/>
                <w:i/>
                <w:iCs/>
                <w:color w:val="auto"/>
                <w:sz w:val="24"/>
                <w:highlight w:val="none"/>
              </w:rPr>
              <w:t>（如有）</w:t>
            </w:r>
          </w:p>
          <w:p w14:paraId="7EBED34B">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bCs w:val="0"/>
                <w:color w:val="auto"/>
                <w:sz w:val="24"/>
                <w:szCs w:val="24"/>
                <w:highlight w:val="none"/>
              </w:rPr>
            </w:pPr>
            <w:r>
              <w:rPr>
                <w:rFonts w:hint="eastAsia" w:ascii="宋体" w:hAnsi="宋体" w:eastAsia="宋体" w:cs="宋体"/>
                <w:b w:val="0"/>
                <w:color w:val="auto"/>
                <w:sz w:val="24"/>
                <w:highlight w:val="none"/>
              </w:rPr>
              <w:t>（3）中标（成交）供应商的评审总得分</w:t>
            </w:r>
            <w:r>
              <w:rPr>
                <w:rFonts w:hint="eastAsia" w:ascii="宋体" w:hAnsi="宋体" w:eastAsia="宋体" w:cs="宋体"/>
                <w:b w:val="0"/>
                <w:i/>
                <w:iCs/>
                <w:color w:val="auto"/>
                <w:sz w:val="24"/>
                <w:highlight w:val="none"/>
              </w:rPr>
              <w:t>；</w:t>
            </w:r>
          </w:p>
        </w:tc>
      </w:tr>
      <w:tr w14:paraId="368E0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5CD4D624">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24.1</w:t>
            </w:r>
          </w:p>
        </w:tc>
        <w:tc>
          <w:tcPr>
            <w:tcW w:w="969" w:type="pct"/>
            <w:vAlign w:val="center"/>
          </w:tcPr>
          <w:p w14:paraId="72AEDD31">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中标通知书发出的形式</w:t>
            </w:r>
          </w:p>
        </w:tc>
        <w:tc>
          <w:tcPr>
            <w:tcW w:w="3451" w:type="pct"/>
            <w:vAlign w:val="center"/>
          </w:tcPr>
          <w:p w14:paraId="7CDE61A5">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□书面     </w:t>
            </w:r>
            <w:r>
              <w:rPr>
                <w:rFonts w:hint="eastAsia" w:ascii="宋体" w:hAnsi="宋体" w:eastAsia="宋体" w:cs="宋体"/>
                <w:b w:val="0"/>
                <w:bCs w:val="0"/>
                <w:color w:val="auto"/>
                <w:sz w:val="24"/>
                <w:szCs w:val="24"/>
                <w:highlight w:val="none"/>
              </w:rPr>
              <w:sym w:font="Wingdings" w:char="00FE"/>
            </w:r>
            <w:r>
              <w:rPr>
                <w:rFonts w:hint="eastAsia" w:ascii="宋体" w:hAnsi="宋体" w:eastAsia="宋体" w:cs="宋体"/>
                <w:b w:val="0"/>
                <w:bCs w:val="0"/>
                <w:color w:val="auto"/>
                <w:sz w:val="24"/>
                <w:szCs w:val="24"/>
                <w:highlight w:val="none"/>
              </w:rPr>
              <w:t>数据电文</w:t>
            </w:r>
          </w:p>
        </w:tc>
      </w:tr>
      <w:tr w14:paraId="1944F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1FEB882B">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25.1</w:t>
            </w:r>
          </w:p>
        </w:tc>
        <w:tc>
          <w:tcPr>
            <w:tcW w:w="969" w:type="pct"/>
            <w:vAlign w:val="center"/>
          </w:tcPr>
          <w:p w14:paraId="016F2099">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告知招标结果的形式</w:t>
            </w:r>
          </w:p>
        </w:tc>
        <w:tc>
          <w:tcPr>
            <w:tcW w:w="3451" w:type="pct"/>
            <w:vAlign w:val="center"/>
          </w:tcPr>
          <w:p w14:paraId="78A65A08">
            <w:pPr>
              <w:keepNext w:val="0"/>
              <w:keepLines w:val="0"/>
              <w:suppressLineNumbers w:val="0"/>
              <w:spacing w:before="0" w:beforeAutospacing="0" w:after="0" w:afterAutospacing="0" w:line="500" w:lineRule="exact"/>
              <w:ind w:left="0" w:right="0"/>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sym w:font="Wingdings" w:char="00FE"/>
            </w:r>
            <w:r>
              <w:rPr>
                <w:rFonts w:hint="eastAsia" w:ascii="宋体" w:hAnsi="宋体" w:eastAsia="宋体" w:cs="宋体"/>
                <w:color w:val="auto"/>
                <w:kern w:val="0"/>
                <w:sz w:val="24"/>
                <w:szCs w:val="24"/>
                <w:highlight w:val="none"/>
              </w:rPr>
              <w:t>投标人自行登录电子</w:t>
            </w:r>
            <w:r>
              <w:rPr>
                <w:rFonts w:hint="eastAsia" w:ascii="宋体" w:hAnsi="宋体" w:eastAsia="宋体" w:cs="宋体"/>
                <w:color w:val="auto"/>
                <w:sz w:val="24"/>
                <w:szCs w:val="24"/>
                <w:highlight w:val="none"/>
              </w:rPr>
              <w:t>交易</w:t>
            </w:r>
            <w:r>
              <w:rPr>
                <w:rFonts w:hint="eastAsia" w:ascii="宋体" w:hAnsi="宋体" w:eastAsia="宋体" w:cs="宋体"/>
                <w:color w:val="auto"/>
                <w:kern w:val="0"/>
                <w:sz w:val="24"/>
                <w:szCs w:val="24"/>
                <w:highlight w:val="none"/>
              </w:rPr>
              <w:t>系统查看</w:t>
            </w:r>
          </w:p>
          <w:p w14:paraId="685ED9E8">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□评标现场告知</w:t>
            </w:r>
          </w:p>
        </w:tc>
      </w:tr>
      <w:tr w14:paraId="4B733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579" w:type="pct"/>
            <w:vAlign w:val="center"/>
          </w:tcPr>
          <w:p w14:paraId="6A466953">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26.1</w:t>
            </w:r>
          </w:p>
        </w:tc>
        <w:tc>
          <w:tcPr>
            <w:tcW w:w="969" w:type="pct"/>
            <w:vAlign w:val="center"/>
          </w:tcPr>
          <w:p w14:paraId="3DEA372C">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履约保证金</w:t>
            </w:r>
          </w:p>
        </w:tc>
        <w:tc>
          <w:tcPr>
            <w:tcW w:w="3451" w:type="pct"/>
          </w:tcPr>
          <w:p w14:paraId="4B861798">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341D51B9">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☑免收</w:t>
            </w:r>
          </w:p>
          <w:p w14:paraId="6ACDFC8E">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□合同价的</w:t>
            </w:r>
            <w:r>
              <w:rPr>
                <w:rFonts w:hint="eastAsia" w:ascii="宋体" w:hAnsi="宋体" w:eastAsia="宋体"/>
                <w:bCs/>
                <w:color w:val="auto"/>
                <w:kern w:val="0"/>
                <w:sz w:val="24"/>
                <w:szCs w:val="28"/>
                <w:highlight w:val="none"/>
                <w:u w:val="single"/>
              </w:rPr>
              <w:t xml:space="preserve"> / </w:t>
            </w:r>
            <w:r>
              <w:rPr>
                <w:rFonts w:hint="default" w:ascii="宋体" w:hAnsi="宋体" w:eastAsia="宋体"/>
                <w:bCs/>
                <w:color w:val="auto"/>
                <w:kern w:val="0"/>
                <w:sz w:val="24"/>
                <w:szCs w:val="28"/>
                <w:highlight w:val="none"/>
              </w:rPr>
              <w:t>%</w:t>
            </w:r>
          </w:p>
          <w:p w14:paraId="67092A25">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定额收取：人民币元</w:t>
            </w:r>
          </w:p>
          <w:p w14:paraId="3F86BA5E">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75C3773F">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hint="default" w:ascii="宋体" w:hAnsi="宋体" w:eastAsia="宋体"/>
                <w:bCs/>
                <w:color w:val="auto"/>
                <w:kern w:val="0"/>
                <w:sz w:val="24"/>
                <w:szCs w:val="28"/>
                <w:highlight w:val="none"/>
              </w:rPr>
              <w:t>函</w:t>
            </w:r>
          </w:p>
          <w:p w14:paraId="2303D562">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u w:val="single"/>
              </w:rPr>
            </w:pPr>
            <w:r>
              <w:rPr>
                <w:rFonts w:hint="eastAsia" w:ascii="宋体" w:hAnsi="宋体" w:eastAsia="宋体"/>
                <w:bCs/>
                <w:color w:val="auto"/>
                <w:kern w:val="0"/>
                <w:sz w:val="24"/>
                <w:szCs w:val="28"/>
                <w:highlight w:val="none"/>
              </w:rPr>
              <w:t>（3）收取单位：</w:t>
            </w:r>
            <w:r>
              <w:rPr>
                <w:rFonts w:hint="eastAsia" w:ascii="宋体" w:hAnsi="宋体" w:eastAsia="宋体"/>
                <w:bCs/>
                <w:color w:val="auto"/>
                <w:kern w:val="0"/>
                <w:sz w:val="24"/>
                <w:szCs w:val="28"/>
                <w:highlight w:val="none"/>
                <w:u w:val="single"/>
              </w:rPr>
              <w:t>/</w:t>
            </w:r>
          </w:p>
          <w:p w14:paraId="1D690A5E">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（4）收取账号：</w:t>
            </w:r>
            <w:r>
              <w:rPr>
                <w:rFonts w:hint="eastAsia" w:ascii="宋体" w:hAnsi="宋体" w:eastAsia="宋体"/>
                <w:bCs/>
                <w:color w:val="auto"/>
                <w:kern w:val="0"/>
                <w:sz w:val="24"/>
                <w:szCs w:val="28"/>
                <w:highlight w:val="none"/>
                <w:u w:val="single"/>
              </w:rPr>
              <w:t>/</w:t>
            </w:r>
          </w:p>
          <w:p w14:paraId="6A7D6960">
            <w:pPr>
              <w:keepNext w:val="0"/>
              <w:keepLines w:val="0"/>
              <w:suppressLineNumbers w:val="0"/>
              <w:spacing w:before="0" w:beforeAutospacing="0" w:after="0" w:afterAutospacing="0" w:line="360" w:lineRule="auto"/>
              <w:ind w:left="0" w:right="0"/>
              <w:rPr>
                <w:rFonts w:hint="default" w:ascii="宋体" w:hAnsi="宋体" w:eastAsia="宋体"/>
                <w:color w:val="auto"/>
                <w:sz w:val="24"/>
                <w:szCs w:val="20"/>
                <w:highlight w:val="none"/>
              </w:rPr>
            </w:pPr>
            <w:r>
              <w:rPr>
                <w:rFonts w:hint="eastAsia" w:ascii="宋体" w:hAnsi="宋体" w:eastAsia="宋体"/>
                <w:bCs/>
                <w:color w:val="auto"/>
                <w:kern w:val="0"/>
                <w:sz w:val="24"/>
                <w:szCs w:val="28"/>
                <w:highlight w:val="none"/>
              </w:rPr>
              <w:t>（5）</w:t>
            </w:r>
            <w:r>
              <w:rPr>
                <w:rFonts w:hint="eastAsia" w:ascii="宋体" w:hAnsi="宋体" w:eastAsia="宋体"/>
                <w:color w:val="auto"/>
                <w:sz w:val="24"/>
                <w:szCs w:val="20"/>
                <w:highlight w:val="none"/>
              </w:rPr>
              <w:t>退还时间：</w:t>
            </w:r>
            <w:r>
              <w:rPr>
                <w:rFonts w:hint="eastAsia" w:ascii="宋体" w:hAnsi="宋体" w:eastAsia="宋体"/>
                <w:bCs/>
                <w:color w:val="auto"/>
                <w:kern w:val="0"/>
                <w:sz w:val="24"/>
                <w:szCs w:val="28"/>
                <w:highlight w:val="none"/>
                <w:u w:val="single"/>
              </w:rPr>
              <w:t>/</w:t>
            </w:r>
          </w:p>
          <w:p w14:paraId="57728A0C">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3677114D">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4FDA189A">
            <w:pPr>
              <w:keepNext w:val="0"/>
              <w:keepLines w:val="0"/>
              <w:suppressLineNumbers w:val="0"/>
              <w:spacing w:before="0" w:beforeAutospacing="0" w:after="0" w:afterAutospacing="0" w:line="500" w:lineRule="exact"/>
              <w:ind w:left="0" w:right="0"/>
              <w:rPr>
                <w:rFonts w:hint="default" w:ascii="宋体" w:hAnsi="宋体" w:eastAsia="宋体" w:cs="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58C18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79" w:type="pct"/>
            <w:vAlign w:val="center"/>
          </w:tcPr>
          <w:p w14:paraId="7EB40CF0">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27.1</w:t>
            </w:r>
          </w:p>
        </w:tc>
        <w:tc>
          <w:tcPr>
            <w:tcW w:w="969" w:type="pct"/>
            <w:vAlign w:val="center"/>
          </w:tcPr>
          <w:p w14:paraId="7154A0E9">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签订合同和合同公告时间</w:t>
            </w:r>
          </w:p>
        </w:tc>
        <w:tc>
          <w:tcPr>
            <w:tcW w:w="3451" w:type="pct"/>
          </w:tcPr>
          <w:p w14:paraId="0E41ADD5">
            <w:pPr>
              <w:keepNext w:val="0"/>
              <w:keepLines w:val="0"/>
              <w:suppressLineNumbers w:val="0"/>
              <w:adjustRightInd w:val="0"/>
              <w:snapToGrid w:val="0"/>
              <w:spacing w:before="0" w:beforeAutospacing="0" w:after="0" w:afterAutospacing="0" w:line="500" w:lineRule="exact"/>
              <w:ind w:left="0" w:right="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（1）采购人与中标人应当自发出中标通知书之日起7个工作日内签订合同，采购合同签订之日起2个工作日内完成政府采购合同公开。</w:t>
            </w:r>
          </w:p>
          <w:p w14:paraId="1A0CC909">
            <w:pPr>
              <w:keepNext w:val="0"/>
              <w:keepLines w:val="0"/>
              <w:suppressLineNumbers w:val="0"/>
              <w:adjustRightInd w:val="0"/>
              <w:snapToGrid w:val="0"/>
              <w:spacing w:before="0" w:beforeAutospacing="0" w:after="0" w:afterAutospacing="0" w:line="500" w:lineRule="exact"/>
              <w:ind w:left="0" w:right="0"/>
              <w:rPr>
                <w:rFonts w:hint="default"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2）采购人与中标人不得擅自变更合同，依照政府采购法确需变更政府采购合同内容的，采购人应当自合同变更之日起2个工作日内在安徽省政府采购网和滁州市公共资源交易中心网发布政府采购合同变更公告，但涉及国家秘密、商业秘密的信息和其他依法不得公开的信息除外。</w:t>
            </w:r>
          </w:p>
        </w:tc>
      </w:tr>
      <w:tr w14:paraId="6DD56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50250766">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28.1</w:t>
            </w:r>
          </w:p>
        </w:tc>
        <w:tc>
          <w:tcPr>
            <w:tcW w:w="969" w:type="pct"/>
            <w:vAlign w:val="center"/>
          </w:tcPr>
          <w:p w14:paraId="34A3DC3A">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代理费用</w:t>
            </w:r>
          </w:p>
        </w:tc>
        <w:tc>
          <w:tcPr>
            <w:tcW w:w="3451" w:type="pct"/>
            <w:vAlign w:val="center"/>
          </w:tcPr>
          <w:p w14:paraId="160FD60D">
            <w:pPr>
              <w:keepNext w:val="0"/>
              <w:keepLines w:val="0"/>
              <w:suppressLineNumbers w:val="0"/>
              <w:spacing w:before="39" w:beforeAutospacing="0" w:after="0" w:afterAutospacing="0" w:line="500" w:lineRule="exact"/>
              <w:ind w:left="0" w:right="0"/>
              <w:rPr>
                <w:rFonts w:hint="default" w:ascii="宋体" w:hAnsi="宋体" w:eastAsia="宋体" w:cs="宋体"/>
                <w:color w:val="auto"/>
                <w:sz w:val="24"/>
                <w:szCs w:val="24"/>
                <w:highlight w:val="none"/>
              </w:rPr>
            </w:pPr>
            <w:r>
              <w:rPr>
                <w:rFonts w:hint="eastAsia" w:ascii="宋体" w:hAnsi="宋体" w:eastAsia="宋体" w:cs="宋体"/>
                <w:bCs/>
                <w:color w:val="auto"/>
                <w:kern w:val="0"/>
                <w:sz w:val="24"/>
                <w:szCs w:val="28"/>
                <w:highlight w:val="none"/>
              </w:rPr>
              <w:t>（1）收费对象</w:t>
            </w:r>
            <w:r>
              <w:rPr>
                <w:rFonts w:hint="eastAsia" w:ascii="宋体" w:hAnsi="宋体" w:eastAsia="宋体" w:cs="宋体"/>
                <w:color w:val="auto"/>
                <w:spacing w:val="-12"/>
                <w:sz w:val="24"/>
                <w:szCs w:val="24"/>
                <w:highlight w:val="none"/>
              </w:rPr>
              <w:t>：</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color w:val="auto"/>
                <w:spacing w:val="14"/>
                <w:sz w:val="24"/>
                <w:szCs w:val="24"/>
                <w:highlight w:val="none"/>
              </w:rPr>
              <w:t xml:space="preserve">采购人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color w:val="auto"/>
                <w:spacing w:val="14"/>
                <w:sz w:val="24"/>
                <w:szCs w:val="24"/>
                <w:highlight w:val="none"/>
              </w:rPr>
              <w:t>中标人</w:t>
            </w:r>
          </w:p>
          <w:p w14:paraId="76BA5085">
            <w:pPr>
              <w:keepNext w:val="0"/>
              <w:keepLines w:val="0"/>
              <w:suppressLineNumbers w:val="0"/>
              <w:spacing w:before="24" w:beforeAutospacing="0" w:after="0" w:afterAutospacing="0" w:line="500" w:lineRule="exact"/>
              <w:ind w:left="0" w:right="0"/>
              <w:rPr>
                <w:rFonts w:hint="default"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（2）收取方式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银行转账</w:t>
            </w:r>
          </w:p>
          <w:p w14:paraId="312A2312">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bCs w:val="0"/>
                <w:color w:val="auto"/>
                <w:sz w:val="24"/>
                <w:highlight w:val="none"/>
              </w:rPr>
              <w:t>（3）</w:t>
            </w:r>
            <w:r>
              <w:rPr>
                <w:rFonts w:hint="eastAsia" w:ascii="宋体" w:hAnsi="宋体" w:eastAsia="宋体" w:cs="宋体"/>
                <w:b w:val="0"/>
                <w:color w:val="auto"/>
                <w:sz w:val="24"/>
                <w:highlight w:val="none"/>
              </w:rPr>
              <w:t>收费标准：</w:t>
            </w:r>
            <w:r>
              <w:rPr>
                <w:rFonts w:hint="eastAsia" w:ascii="宋体" w:hAnsi="宋体" w:eastAsia="宋体" w:cs="宋体"/>
                <w:b w:val="0"/>
                <w:color w:val="auto"/>
                <w:sz w:val="24"/>
                <w:highlight w:val="none"/>
                <w:u w:val="single"/>
                <w:lang w:val="en-US" w:eastAsia="zh-CN"/>
              </w:rPr>
              <w:t>/</w:t>
            </w:r>
            <w:r>
              <w:rPr>
                <w:rFonts w:hint="eastAsia" w:ascii="宋体" w:hAnsi="宋体" w:eastAsia="宋体" w:cs="宋体"/>
                <w:b w:val="0"/>
                <w:bCs w:val="0"/>
                <w:color w:val="auto"/>
                <w:kern w:val="2"/>
                <w:sz w:val="24"/>
                <w:szCs w:val="24"/>
                <w:highlight w:val="none"/>
                <w:u w:val="single"/>
              </w:rPr>
              <w:t>。</w:t>
            </w:r>
          </w:p>
        </w:tc>
      </w:tr>
      <w:tr w14:paraId="2298D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2111DCEC">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31.3</w:t>
            </w:r>
          </w:p>
        </w:tc>
        <w:tc>
          <w:tcPr>
            <w:tcW w:w="969" w:type="pct"/>
            <w:vAlign w:val="center"/>
          </w:tcPr>
          <w:p w14:paraId="1BFF5B56">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质疑函递交方式、接收部门、联系电话和通讯地址</w:t>
            </w:r>
          </w:p>
        </w:tc>
        <w:tc>
          <w:tcPr>
            <w:tcW w:w="3451" w:type="pct"/>
            <w:vAlign w:val="center"/>
          </w:tcPr>
          <w:p w14:paraId="4344ABDA">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递交方式：</w:t>
            </w:r>
            <w:r>
              <w:rPr>
                <w:rFonts w:hint="eastAsia" w:ascii="宋体" w:hAnsi="宋体" w:eastAsia="宋体" w:cs="宋体"/>
                <w:color w:val="auto"/>
                <w:sz w:val="24"/>
                <w:highlight w:val="none"/>
                <w:u w:val="single"/>
              </w:rPr>
              <w:t>投标人可以通过书面形式提出，也可以通过线上提出质疑【通过线上向滁州市公共资源交易中心网电子交易系统提出质疑（具体操作步骤和程序请参见服务指南&gt;交易须知&gt;在线异议、质疑和投诉操作手册）】。一份质疑函只能针对一个项目提出质疑，且针对同一采购程序环节的质疑应当一次性提出；</w:t>
            </w:r>
          </w:p>
          <w:p w14:paraId="11D4FCBA">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bCs w:val="0"/>
                <w:color w:val="auto"/>
                <w:sz w:val="24"/>
                <w:szCs w:val="18"/>
                <w:highlight w:val="none"/>
              </w:rPr>
            </w:pPr>
            <w:r>
              <w:rPr>
                <w:rFonts w:hint="eastAsia" w:ascii="宋体" w:hAnsi="宋体" w:eastAsia="宋体" w:cs="宋体"/>
                <w:b w:val="0"/>
                <w:color w:val="auto"/>
                <w:sz w:val="24"/>
                <w:highlight w:val="none"/>
              </w:rPr>
              <w:t>接收部门：</w:t>
            </w:r>
            <w:r>
              <w:rPr>
                <w:rFonts w:hint="eastAsia" w:ascii="宋体" w:hAnsi="宋体" w:eastAsia="宋体" w:cs="宋体"/>
                <w:color w:val="auto"/>
                <w:sz w:val="24"/>
                <w:highlight w:val="none"/>
                <w:u w:val="single"/>
                <w:lang w:eastAsia="zh-CN"/>
              </w:rPr>
              <w:t>滁州市科学技术馆、滁州市政府采购中心</w:t>
            </w:r>
            <w:r>
              <w:rPr>
                <w:rFonts w:hint="eastAsia" w:ascii="宋体" w:hAnsi="宋体" w:eastAsia="宋体" w:cs="宋体"/>
                <w:color w:val="auto"/>
                <w:sz w:val="24"/>
                <w:highlight w:val="none"/>
                <w:u w:val="single"/>
              </w:rPr>
              <w:t>；</w:t>
            </w:r>
          </w:p>
          <w:p w14:paraId="1FFACFAF">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color w:val="auto"/>
                <w:sz w:val="24"/>
                <w:highlight w:val="none"/>
                <w:u w:val="single"/>
              </w:rPr>
            </w:pPr>
            <w:r>
              <w:rPr>
                <w:rFonts w:hint="eastAsia" w:ascii="宋体" w:hAnsi="宋体" w:eastAsia="宋体" w:cs="宋体"/>
                <w:b w:val="0"/>
                <w:color w:val="auto"/>
                <w:sz w:val="24"/>
                <w:highlight w:val="none"/>
              </w:rPr>
              <w:t>联系电话：</w:t>
            </w:r>
            <w:r>
              <w:rPr>
                <w:rFonts w:hint="eastAsia" w:ascii="宋体" w:hAnsi="宋体" w:eastAsia="宋体" w:cs="宋体"/>
                <w:b/>
                <w:bCs w:val="0"/>
                <w:color w:val="auto"/>
                <w:sz w:val="24"/>
                <w:highlight w:val="none"/>
                <w:u w:val="single"/>
                <w:lang w:val="en-US" w:eastAsia="zh-CN"/>
              </w:rPr>
              <w:t>1894975920</w:t>
            </w:r>
            <w:r>
              <w:rPr>
                <w:rFonts w:hint="eastAsia" w:ascii="宋体" w:hAnsi="宋体" w:eastAsia="宋体" w:cs="宋体"/>
                <w:b/>
                <w:bCs w:val="0"/>
                <w:color w:val="auto"/>
                <w:sz w:val="24"/>
                <w:highlight w:val="none"/>
                <w:u w:val="single"/>
              </w:rPr>
              <w:t>、</w:t>
            </w:r>
            <w:r>
              <w:rPr>
                <w:rFonts w:hint="eastAsia" w:ascii="宋体" w:hAnsi="宋体" w:eastAsia="宋体" w:cs="宋体"/>
                <w:color w:val="auto"/>
                <w:sz w:val="24"/>
                <w:highlight w:val="none"/>
                <w:u w:val="single"/>
                <w:lang w:eastAsia="zh-CN"/>
              </w:rPr>
              <w:t>0550-3519519</w:t>
            </w:r>
            <w:r>
              <w:rPr>
                <w:rFonts w:hint="eastAsia" w:ascii="宋体" w:hAnsi="宋体" w:eastAsia="宋体" w:cs="宋体"/>
                <w:color w:val="auto"/>
                <w:sz w:val="24"/>
                <w:highlight w:val="none"/>
                <w:u w:val="single"/>
              </w:rPr>
              <w:t>；</w:t>
            </w:r>
          </w:p>
          <w:p w14:paraId="4FCE843B">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通讯地址：</w:t>
            </w:r>
            <w:r>
              <w:rPr>
                <w:rFonts w:hint="eastAsia" w:ascii="宋体" w:hAnsi="宋体" w:eastAsia="宋体" w:cs="宋体"/>
                <w:color w:val="auto"/>
                <w:sz w:val="24"/>
                <w:highlight w:val="none"/>
                <w:u w:val="single"/>
                <w:lang w:eastAsia="zh-CN"/>
              </w:rPr>
              <w:t>滁州市市政务中心西北角</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滁州市龙蟠大道109号房产商务大厦2楼</w:t>
            </w:r>
            <w:r>
              <w:rPr>
                <w:rFonts w:hint="eastAsia" w:ascii="宋体" w:hAnsi="宋体" w:eastAsia="宋体" w:cs="宋体"/>
                <w:color w:val="auto"/>
                <w:sz w:val="24"/>
                <w:highlight w:val="none"/>
                <w:u w:val="single"/>
              </w:rPr>
              <w:t>。</w:t>
            </w:r>
          </w:p>
        </w:tc>
      </w:tr>
      <w:tr w14:paraId="0F86D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2DC68D81">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32</w:t>
            </w:r>
          </w:p>
        </w:tc>
        <w:tc>
          <w:tcPr>
            <w:tcW w:w="969" w:type="pct"/>
            <w:vAlign w:val="center"/>
          </w:tcPr>
          <w:p w14:paraId="7D29927B">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其他内容</w:t>
            </w:r>
          </w:p>
        </w:tc>
        <w:tc>
          <w:tcPr>
            <w:tcW w:w="3451" w:type="pct"/>
            <w:vAlign w:val="center"/>
          </w:tcPr>
          <w:p w14:paraId="30EA1F97">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1.解释权：</w:t>
            </w:r>
          </w:p>
          <w:p w14:paraId="635391B5">
            <w:pPr>
              <w:keepNext w:val="0"/>
              <w:keepLines w:val="0"/>
              <w:suppressLineNumbers w:val="0"/>
              <w:spacing w:before="0" w:beforeAutospacing="0" w:after="0" w:afterAutospacing="0" w:line="500" w:lineRule="exact"/>
              <w:ind w:left="0" w:right="0"/>
              <w:rPr>
                <w:rFonts w:hint="default"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（1）构成本招标文件的各个组成文件应互为解释，互为说明；</w:t>
            </w:r>
          </w:p>
          <w:p w14:paraId="7D2CD9BA">
            <w:pPr>
              <w:keepNext w:val="0"/>
              <w:keepLines w:val="0"/>
              <w:suppressLineNumbers w:val="0"/>
              <w:spacing w:before="0" w:beforeAutospacing="0" w:after="0" w:afterAutospacing="0" w:line="500" w:lineRule="exact"/>
              <w:ind w:left="0" w:right="0"/>
              <w:rPr>
                <w:rFonts w:hint="default"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023747AF">
            <w:pPr>
              <w:keepNext w:val="0"/>
              <w:keepLines w:val="0"/>
              <w:suppressLineNumbers w:val="0"/>
              <w:spacing w:before="0" w:beforeAutospacing="0" w:after="0" w:afterAutospacing="0" w:line="500" w:lineRule="exact"/>
              <w:ind w:left="0" w:right="0"/>
              <w:rPr>
                <w:rFonts w:hint="default"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51C23CBE">
            <w:pPr>
              <w:keepNext w:val="0"/>
              <w:keepLines w:val="0"/>
              <w:suppressLineNumbers w:val="0"/>
              <w:spacing w:before="0" w:beforeAutospacing="0" w:after="0" w:afterAutospacing="0" w:line="500" w:lineRule="exact"/>
              <w:ind w:left="0" w:right="0"/>
              <w:rPr>
                <w:rFonts w:hint="default"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（4）除招标文件中有特别规定外，仅适用于招标投标阶段的规定，按招标公告、投标邀请、投标人须知、评标方法和标准、投标文件格式的先后顺序解释；</w:t>
            </w:r>
          </w:p>
          <w:p w14:paraId="17F3D456">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（5）按本款前述规定仍不能形成结论的，由采购人负责解释。</w:t>
            </w:r>
          </w:p>
          <w:p w14:paraId="2E7976DE">
            <w:pPr>
              <w:keepNext w:val="0"/>
              <w:keepLines w:val="0"/>
              <w:suppressLineNumbers w:val="0"/>
              <w:spacing w:before="0" w:beforeAutospacing="0" w:after="0" w:afterAutospacing="0" w:line="500" w:lineRule="exact"/>
              <w:ind w:left="0" w:right="0"/>
              <w:rPr>
                <w:rFonts w:hint="default"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2.“政采贷”融资指引：有融资需求的</w:t>
            </w:r>
            <w:r>
              <w:rPr>
                <w:rFonts w:hint="eastAsia" w:ascii="宋体" w:hAnsi="宋体" w:eastAsia="宋体" w:cs="宋体"/>
                <w:color w:val="auto"/>
                <w:sz w:val="24"/>
                <w:szCs w:val="24"/>
                <w:highlight w:val="none"/>
              </w:rPr>
              <w:t>中标人</w:t>
            </w:r>
            <w:r>
              <w:rPr>
                <w:rFonts w:hint="eastAsia" w:ascii="宋体" w:hAnsi="宋体" w:eastAsia="宋体" w:cs="宋体"/>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中标人</w:t>
            </w:r>
            <w:r>
              <w:rPr>
                <w:rFonts w:hint="eastAsia" w:ascii="宋体" w:hAnsi="宋体" w:eastAsia="宋体" w:cs="宋体"/>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中标人</w:t>
            </w:r>
            <w:r>
              <w:rPr>
                <w:rFonts w:hint="eastAsia" w:ascii="宋体" w:hAnsi="宋体" w:eastAsia="宋体" w:cs="宋体"/>
                <w:bCs/>
                <w:color w:val="auto"/>
                <w:sz w:val="24"/>
                <w:szCs w:val="24"/>
                <w:highlight w:val="none"/>
              </w:rPr>
              <w:t>融资申请信息推送第三方平台、意向金融机构。</w:t>
            </w:r>
          </w:p>
          <w:p w14:paraId="57122EEA">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3.电子保函指引：中标人可访问安徽省政府采购网“融资/保函”栏目，申请办理电子保函（包括：履约保函、预付款保函）。</w:t>
            </w:r>
          </w:p>
          <w:p w14:paraId="7BD96A8D">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4.部分可提供线下政采贷的金融机构：</w:t>
            </w:r>
          </w:p>
          <w:p w14:paraId="39A9ACCB">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市本级</w:t>
            </w:r>
          </w:p>
          <w:p w14:paraId="0609A7D0">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金融机构名称：兴业银行滁州分行</w:t>
            </w:r>
          </w:p>
          <w:p w14:paraId="64373278">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安徽省滁州市琅琊区丰乐大道1090号</w:t>
            </w:r>
          </w:p>
          <w:p w14:paraId="65CF4D05">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伏庚：17755080811</w:t>
            </w:r>
          </w:p>
          <w:p w14:paraId="51ACE162">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5.特别提示：</w:t>
            </w:r>
          </w:p>
          <w:p w14:paraId="6222B83C">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（1）投标人应填写投标信息并下载招标文件，否则无法上传投标文件。</w:t>
            </w:r>
          </w:p>
          <w:p w14:paraId="07E04208">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注：投标人如为联合体的，牵头人必须完善投标人信息，并在上传投标文件环节添加联合体投标信息。</w:t>
            </w:r>
          </w:p>
          <w:p w14:paraId="334A2C4E">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2）本项目采用电子招标投标，请投标人在滁州市公共资源交易中心网&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4009980000。</w:t>
            </w:r>
          </w:p>
          <w:p w14:paraId="44970140">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（3）如果过程中出现招标文件更改，应以最后发布的招标答疑澄清文件中的模板制作本项目最新投标文件。</w:t>
            </w:r>
          </w:p>
          <w:p w14:paraId="23FBDEEA">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（4）投标人应当用本单位CA数字证书制作投标文件，制作成功后进行投标文件上传。 </w:t>
            </w:r>
          </w:p>
          <w:p w14:paraId="27243396">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5）投标人须用CA数字证书盖章和加密投标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7F48BD7E">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（6）请投标人注意加密投标文件CA数字证书的有效期，不在有效期的CA数字证书无法解密投标文件。</w:t>
            </w:r>
          </w:p>
          <w:p w14:paraId="68FDB4B2">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（7）投标人投标MAC地址或投标人联系人或联系电话相同的，由评标委员会否决其投标，并报告监管部门作不良行为处理和进一步调查。</w:t>
            </w:r>
          </w:p>
          <w:p w14:paraId="6B8DE6FA">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（8）投标人单方面出现其他投标人材料的，由评标委员会否决其投标。</w:t>
            </w:r>
          </w:p>
          <w:p w14:paraId="703DC6DC">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9）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484B5E8D">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10）电子加密投标文件上传到系统后，需要投标企业和招标代理公司到开标截止时间后共同解锁，不存在商务报价等投标信息通过系统泄密的风险；投标截止时间前，已上传的投标文件也可以撤回修改。集中到开标截止时间前上传电子加密投标文件，可能出现由于投标企业制作电子投标文件不熟练、网络拥堵等不可预知的情况而且无法及时解决，丧失投标机会，请各投标企业提前制作、上传电子加密投标文件，否则由于无法及时上传电子加密投标文件而废标或无效投标的情况，责任自负！</w:t>
            </w:r>
          </w:p>
          <w:p w14:paraId="5CEDACE4">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6.评标过程中的澄清、说明或补正：</w:t>
            </w:r>
          </w:p>
          <w:p w14:paraId="43EC7045">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（1）评标委员会通过网上招投标系统将需要澄清、说明或补正的内容以询标函的形式发送给投标人，投标人应安排专人登录网上招投标系统并保持在线状态，以便及时接收评标委员会可能发出的询标函。</w:t>
            </w:r>
          </w:p>
          <w:p w14:paraId="32F87E62">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p w14:paraId="471CB36C">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7.同义词语：</w:t>
            </w:r>
          </w:p>
          <w:p w14:paraId="59A0233C">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招标文件第六章  投标文件格式、附件1“关于联合惩戒失信行为 加强信用查询管理的通知”等章节中 “招标人”、“供应商”，等同于“采购人”、“投标人”。</w:t>
            </w:r>
          </w:p>
          <w:p w14:paraId="25F5714D">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8.落实政府采购支持节能产品、环境标志产品政策。</w:t>
            </w:r>
          </w:p>
        </w:tc>
      </w:tr>
    </w:tbl>
    <w:p w14:paraId="489121A9">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42" w:name="_Toc24882"/>
      <w:bookmarkStart w:id="43" w:name="_Toc9427"/>
      <w:bookmarkStart w:id="44" w:name="_Toc4006"/>
      <w:r>
        <w:rPr>
          <w:rFonts w:hint="eastAsia" w:asciiTheme="minorEastAsia" w:hAnsiTheme="minorEastAsia" w:eastAsiaTheme="minorEastAsia"/>
          <w:b/>
          <w:color w:val="auto"/>
          <w:sz w:val="24"/>
          <w:highlight w:val="none"/>
        </w:rPr>
        <w:t>二、</w:t>
      </w:r>
      <w:r>
        <w:rPr>
          <w:rFonts w:asciiTheme="minorEastAsia" w:hAnsiTheme="minorEastAsia" w:eastAsiaTheme="minorEastAsia"/>
          <w:b/>
          <w:color w:val="auto"/>
          <w:sz w:val="24"/>
          <w:highlight w:val="none"/>
        </w:rPr>
        <w:t>投标人须知</w:t>
      </w:r>
      <w:r>
        <w:rPr>
          <w:rFonts w:hint="eastAsia" w:asciiTheme="minorEastAsia" w:hAnsiTheme="minorEastAsia" w:eastAsiaTheme="minorEastAsia"/>
          <w:b/>
          <w:color w:val="auto"/>
          <w:sz w:val="24"/>
          <w:highlight w:val="none"/>
        </w:rPr>
        <w:t>正文</w:t>
      </w:r>
      <w:bookmarkEnd w:id="42"/>
      <w:bookmarkEnd w:id="43"/>
      <w:bookmarkEnd w:id="44"/>
    </w:p>
    <w:p w14:paraId="44CE49CF">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1.采购人、采购代理机构及投标人</w:t>
      </w:r>
    </w:p>
    <w:p w14:paraId="0A3D7971">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1.1采购人：是指依法开展政府采购活动的国家机关、事业单位、团体组织。</w:t>
      </w:r>
    </w:p>
    <w:p w14:paraId="1F3F85B6">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1.2采购代理机构：是指集中采购机构或从事采购代理业务的社会中介机构。</w:t>
      </w:r>
    </w:p>
    <w:p w14:paraId="48B31A19">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1.3政府采购监督管理部门：各级人民政府指定的有关部门依法履行与政府采购活动有关的监督管理职责。</w:t>
      </w:r>
    </w:p>
    <w:p w14:paraId="17930DDE">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1.4投标人：是指向采购人提供货物、工程或者服务的法人、其他组织或者自然人。分支机构不得参加政府采购活动，但银行、保险、石油石化、电力、电信等特殊行业除外。本项目的投标人须满足以下条件：</w:t>
      </w:r>
    </w:p>
    <w:p w14:paraId="62BFDD1E">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1.4.1具备《中华人民共和国政府采购法》第二十二条关于供应商条件的规定，遵守本项目采购人本级和上级财政部门政府采购的有关规定。</w:t>
      </w:r>
    </w:p>
    <w:p w14:paraId="7130CA26">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1.4.2以采购代理机构认可的方式获得了本项目的招标文件。</w:t>
      </w:r>
    </w:p>
    <w:p w14:paraId="6EEE6C0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1.4.3若采购需求中写明允许采购进口产品，投标人应保证所投产品可履行合法报通关手续进入中国关境内。</w:t>
      </w:r>
    </w:p>
    <w:p w14:paraId="1B4CC04E">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若采购需求中未写明允许采购进口产品，如投标人所投产品为进口产品，其投标将被认定为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67BF66A2">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1.5若招标公告中允许联合体投标，对联合体规定如下：</w:t>
      </w:r>
    </w:p>
    <w:p w14:paraId="13A6419A">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1.5.1两个以上供应商可以组成一个投标联合体，以一个投标人的身份投标。联合体投标的，招标文件获取手续由联合体中任一成员单位办理均可。</w:t>
      </w:r>
    </w:p>
    <w:p w14:paraId="54588117">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1.5.2联合体各方均应符合《中华人民共和国政府采购法》第二十二条规定的条件。</w:t>
      </w:r>
    </w:p>
    <w:p w14:paraId="659E913C">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1.5.3采购人根据采购项目对投标人的特殊要求，联合体中至少应当有一方符合相关规定。</w:t>
      </w:r>
    </w:p>
    <w:p w14:paraId="49CBD970">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1.5.4联合体各方应签订联合协议，明确约定联合体各方承担的工作和相应的责任，并将联合协议作为投标文件的一部分提交。</w:t>
      </w:r>
    </w:p>
    <w:p w14:paraId="7D701FC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1.5.5大中型企业、其他自然人、法人或者非法人组织与小型、微型企业组成联合体共同参加投标，联合协议中应写明小型、微型企业的协议合同金额占到联合协议投标总金额的比例。</w:t>
      </w:r>
    </w:p>
    <w:p w14:paraId="264FAFB1">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1.5.6联合体中有同类资质的供应商按照联合体分工承担相同工作的，应当按照资质等级较低的供应商确定资质等级。</w:t>
      </w:r>
    </w:p>
    <w:p w14:paraId="5CB581BB">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1.5.7以联合体形式参加政府采购活动的，联合体各方不得再单独参加或者与其他供应商另外组成联合体参加本项目投标，否则相关投标将被认定为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1DA1847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1.5.8对联合体投标的其他资格要求见申请人的资格要求。</w:t>
      </w:r>
    </w:p>
    <w:p w14:paraId="75E2689C">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2.资金落实情况</w:t>
      </w:r>
    </w:p>
    <w:p w14:paraId="61118080">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2.1本项目的采购人已获得足以支付本次招标后所签订的合同项下的资金。</w:t>
      </w:r>
    </w:p>
    <w:p w14:paraId="33EE2FE3">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3.投标费用</w:t>
      </w:r>
    </w:p>
    <w:p w14:paraId="7E7989D9">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不论投标的结果如何，投标人应承担所有与准备和参加投标有关的费用。</w:t>
      </w:r>
    </w:p>
    <w:p w14:paraId="27A37510">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4.适用法律</w:t>
      </w:r>
    </w:p>
    <w:p w14:paraId="7C110522">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34BD96AB">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5.招标文件构成</w:t>
      </w:r>
    </w:p>
    <w:p w14:paraId="5560263A">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5.1招标文件包括下列内容：</w:t>
      </w:r>
    </w:p>
    <w:p w14:paraId="341C579A">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第一章  投标邀请</w:t>
      </w:r>
    </w:p>
    <w:p w14:paraId="1A4CD58F">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投标人须知</w:t>
      </w:r>
    </w:p>
    <w:p w14:paraId="4897A973">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采购需求</w:t>
      </w:r>
    </w:p>
    <w:p w14:paraId="1AB45E75">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评标方法和标准</w:t>
      </w:r>
    </w:p>
    <w:p w14:paraId="791B27EA">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政府采购合同</w:t>
      </w:r>
    </w:p>
    <w:p w14:paraId="54F405D5">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  投标文件格式</w:t>
      </w:r>
    </w:p>
    <w:p w14:paraId="04D44E69">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第七章  政府采购询问函和质疑函范本</w:t>
      </w:r>
    </w:p>
    <w:p w14:paraId="69C77EC4">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5.2现场考察（</w:t>
      </w:r>
      <w:r>
        <w:rPr>
          <w:rFonts w:hint="eastAsia" w:ascii="宋体" w:hAnsi="宋体" w:eastAsia="宋体" w:cs="宋体"/>
          <w:bCs/>
          <w:color w:val="auto"/>
          <w:sz w:val="24"/>
          <w:szCs w:val="24"/>
          <w:highlight w:val="none"/>
        </w:rPr>
        <w:t>标前答疑会</w:t>
      </w:r>
      <w:r>
        <w:rPr>
          <w:rFonts w:hint="eastAsia" w:ascii="宋体" w:hAnsi="宋体" w:eastAsia="宋体" w:cs="宋体"/>
          <w:color w:val="auto"/>
          <w:sz w:val="24"/>
          <w:szCs w:val="24"/>
          <w:highlight w:val="none"/>
        </w:rPr>
        <w:t>）及相关事项见</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w:t>
      </w:r>
    </w:p>
    <w:p w14:paraId="4965C75F">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5.3投标人应认真阅读招标文件所有的事项、格式、条款和技术规范等。</w:t>
      </w:r>
    </w:p>
    <w:p w14:paraId="395A3B01">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6.招标文件的澄清与修改</w:t>
      </w:r>
    </w:p>
    <w:p w14:paraId="3AB057E5">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r>
        <w:rPr>
          <w:rFonts w:ascii="宋体" w:hAnsi="宋体" w:eastAsia="宋体"/>
          <w:color w:val="auto"/>
          <w:sz w:val="24"/>
          <w:highlight w:val="none"/>
        </w:rPr>
        <w:t>投标人如对招标文件内容有疑问，</w:t>
      </w:r>
      <w:r>
        <w:rPr>
          <w:rFonts w:hint="eastAsia" w:ascii="宋体" w:hAnsi="宋体" w:eastAsia="宋体"/>
          <w:color w:val="auto"/>
          <w:sz w:val="24"/>
          <w:highlight w:val="none"/>
        </w:rPr>
        <w:t>可</w:t>
      </w:r>
      <w:r>
        <w:rPr>
          <w:rFonts w:ascii="宋体" w:hAnsi="宋体" w:eastAsia="宋体"/>
          <w:color w:val="auto"/>
          <w:sz w:val="24"/>
          <w:highlight w:val="none"/>
        </w:rPr>
        <w:t>在</w:t>
      </w:r>
      <w:r>
        <w:rPr>
          <w:rFonts w:ascii="宋体" w:hAnsi="宋体" w:eastAsia="宋体"/>
          <w:color w:val="auto"/>
          <w:sz w:val="24"/>
          <w:highlight w:val="none"/>
          <w:u w:val="single"/>
        </w:rPr>
        <w:t>投标人须知前附表</w:t>
      </w:r>
      <w:r>
        <w:rPr>
          <w:rFonts w:ascii="宋体" w:hAnsi="宋体" w:eastAsia="宋体"/>
          <w:color w:val="auto"/>
          <w:sz w:val="24"/>
          <w:highlight w:val="none"/>
        </w:rPr>
        <w:t>规定的</w:t>
      </w:r>
      <w:r>
        <w:rPr>
          <w:rFonts w:hint="eastAsia" w:ascii="宋体" w:hAnsi="宋体" w:eastAsia="宋体"/>
          <w:color w:val="auto"/>
          <w:sz w:val="24"/>
          <w:highlight w:val="none"/>
        </w:rPr>
        <w:t>网上询问</w:t>
      </w:r>
      <w:r>
        <w:rPr>
          <w:rFonts w:ascii="宋体" w:hAnsi="宋体" w:eastAsia="宋体"/>
          <w:color w:val="auto"/>
          <w:sz w:val="24"/>
          <w:highlight w:val="none"/>
        </w:rPr>
        <w:t>截止时间前提交给采购代理机构。</w:t>
      </w:r>
    </w:p>
    <w:p w14:paraId="56B41ED3">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6.2采购人可主动地或在答复投标人提出的询问时对招标文件进行澄清与修改。采购代理机构将在安徽省政府采购网和滁州市公共资源交易中心网以发布更正公告的方式，澄清或修改招标文件，更正公告的内容作为招标文件的组成部分，对投标人起约束作用。投标人应主动上网查询。采购代理机构不承担投标人未及时关注相关信息引发的相关责任。</w:t>
      </w:r>
    </w:p>
    <w:p w14:paraId="57076E6E">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1DC410D0">
      <w:pPr>
        <w:spacing w:line="500" w:lineRule="exact"/>
        <w:ind w:left="-420" w:leftChars="-200" w:firstLine="436" w:firstLineChars="182"/>
        <w:jc w:val="left"/>
        <w:rPr>
          <w:rFonts w:ascii="宋体" w:hAnsi="宋体" w:eastAsia="宋体" w:cs="宋体"/>
          <w:i/>
          <w:iCs/>
          <w:color w:val="auto"/>
          <w:sz w:val="24"/>
          <w:szCs w:val="24"/>
          <w:highlight w:val="none"/>
        </w:rPr>
      </w:pPr>
      <w:r>
        <w:rPr>
          <w:rFonts w:hint="eastAsia" w:ascii="宋体" w:hAnsi="宋体" w:eastAsia="宋体" w:cs="宋体"/>
          <w:color w:val="auto"/>
          <w:sz w:val="24"/>
          <w:szCs w:val="24"/>
          <w:highlight w:val="none"/>
        </w:rPr>
        <w:t>6.4对于没有提出疑问又参与了本项目投标的投标人将被视为完全认同本招标文件（含更正公告的内容）</w:t>
      </w:r>
      <w:r>
        <w:rPr>
          <w:rFonts w:hint="eastAsia" w:ascii="宋体" w:hAnsi="宋体" w:eastAsia="宋体" w:cs="宋体"/>
          <w:i/>
          <w:color w:val="auto"/>
          <w:sz w:val="24"/>
          <w:szCs w:val="24"/>
          <w:highlight w:val="none"/>
        </w:rPr>
        <w:t>。</w:t>
      </w:r>
    </w:p>
    <w:p w14:paraId="71F0EB6F">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7.投标范围及投标文件中标准和计量单位的使用</w:t>
      </w:r>
    </w:p>
    <w:p w14:paraId="4B9D6EF0">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7.1项目有分包的，投标人可对招标文件其中某一个或几个分包进行投标，除非在</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中另有规定。</w:t>
      </w:r>
    </w:p>
    <w:p w14:paraId="4DED2277">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7.2投标人应当对所投分包招标文件中“采购需求”所列的所有内容进行投标，如仅响应所投包别中的部分内容，其所投包别的投标将被认定为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3BE2C13B">
      <w:pPr>
        <w:spacing w:line="500" w:lineRule="exact"/>
        <w:ind w:left="-420" w:leftChars="-200" w:firstLine="436" w:firstLineChars="182"/>
        <w:jc w:val="left"/>
        <w:rPr>
          <w:rFonts w:ascii="宋体" w:hAnsi="宋体" w:eastAsia="宋体" w:cs="宋体"/>
          <w:color w:val="auto"/>
          <w:sz w:val="24"/>
          <w:szCs w:val="24"/>
          <w:highlight w:val="none"/>
        </w:rPr>
      </w:pPr>
      <w:bookmarkStart w:id="45" w:name="_Hlk16458980"/>
      <w:r>
        <w:rPr>
          <w:rFonts w:hint="eastAsia" w:ascii="宋体" w:hAnsi="宋体" w:eastAsia="宋体" w:cs="宋体"/>
          <w:color w:val="auto"/>
          <w:sz w:val="24"/>
          <w:szCs w:val="24"/>
          <w:highlight w:val="none"/>
        </w:rPr>
        <w:t>7.3无论招标文件中是否要求，投标人所投货物、服务及工程（如有）均应符合国家强制性标准。</w:t>
      </w:r>
    </w:p>
    <w:bookmarkEnd w:id="45"/>
    <w:p w14:paraId="03ADFFCE">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7.4投标人与采购代理机构之间与投标有关的所有往来通知、函件和投标文件均用中文表述。投标人随投标文件提供的证明文件和资料可以为其它语言，但必须附中文译文。翻译的中文资料与外文资料出现差异时，以中文为准。</w:t>
      </w:r>
    </w:p>
    <w:p w14:paraId="6A482BE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7.5除招标文件中有特殊要求外，投标文件中所使用的计量单位，应采用中华人民共和国法定计量单位。</w:t>
      </w:r>
    </w:p>
    <w:p w14:paraId="1FBBEA78">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8.投标文件构成</w:t>
      </w:r>
    </w:p>
    <w:p w14:paraId="42C82D44">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8.1投标人应完整地按招标文件提供的投标文件格式及要求编写投标文件，具体内容详见本项目投标文件格式的相关内容。</w:t>
      </w:r>
    </w:p>
    <w:p w14:paraId="650B9A55">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8.2投标人应提交招标文件要求的证明文件，证明其投标内容符合招标文件规定，该证明文件是投标文件的一部分。证明文件形式可以是文字资料、图纸和数据</w:t>
      </w:r>
      <w:bookmarkStart w:id="46" w:name="_Hlk11703583"/>
      <w:r>
        <w:rPr>
          <w:rFonts w:hint="eastAsia" w:ascii="宋体" w:hAnsi="宋体" w:eastAsia="宋体" w:cs="宋体"/>
          <w:color w:val="auto"/>
          <w:sz w:val="24"/>
          <w:szCs w:val="24"/>
          <w:highlight w:val="none"/>
        </w:rPr>
        <w:t>等。</w:t>
      </w:r>
    </w:p>
    <w:bookmarkEnd w:id="46"/>
    <w:p w14:paraId="26535721">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8.3为保证公平公正，除非另有规定或说明，投标人对同一项目投标时，不得同时提供备选投标方案。</w:t>
      </w:r>
    </w:p>
    <w:p w14:paraId="4375BDED">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9.投标报价</w:t>
      </w:r>
    </w:p>
    <w:p w14:paraId="6BBEB267">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9.1投标人的报价应当包括满足本次招标全部采购需求。除招标文件另有规定外，所有投标均应以人民币报价。投标人的投标报价应遵守《中华人民共和国价格法》。</w:t>
      </w:r>
    </w:p>
    <w:p w14:paraId="5B211B78">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9.2投标人报价超过招标文件规定的预算金额或者分项、分包最高限价，其投标将被认定为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032CB69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9.3投标报价在合同履行过程中是固定不变的，不得以任何理由予以变更。任何包含价格调整要求的投标，其投标将被认定为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02EE7E4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102C6314">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9.5采购人不接受具有附加条件的报价。</w:t>
      </w:r>
    </w:p>
    <w:p w14:paraId="46505BE8">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10.投标保证金</w:t>
      </w:r>
    </w:p>
    <w:p w14:paraId="188952EB">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10.1本项目不收取投标保证金。</w:t>
      </w:r>
    </w:p>
    <w:p w14:paraId="156A060E">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11.投标有效期</w:t>
      </w:r>
    </w:p>
    <w:p w14:paraId="77AFF114">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11.1投标有效期为从投标截止之日算起的日历天数，投标有效期详见</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w:t>
      </w:r>
    </w:p>
    <w:p w14:paraId="48EA3E8E">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11.2在投标有效期内，投标人的投标保持有效，投标人不得要求撤销或修改其投标文件。投标有效期不满足要求的投标，其投标将被认定为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2496B4FB">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11.3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122516FE">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12.投标文件的递交、修改与撤回</w:t>
      </w:r>
    </w:p>
    <w:p w14:paraId="69D7F6D7">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12.1投标人应当在招标公告规定的投标截止时间前，将加密的投标文件在电子交易系统上传。</w:t>
      </w:r>
    </w:p>
    <w:p w14:paraId="6F2FC99C">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374DAAD7">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13.开标</w:t>
      </w:r>
    </w:p>
    <w:p w14:paraId="3FA1E336">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13.1开标时，各投标人应在</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规定的解密时间前对其投标文件进行解密。</w:t>
      </w:r>
    </w:p>
    <w:p w14:paraId="3C823077">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13.2开标时，采购代理机构将通过网上开标系统公布开标结果，公布内容包括投标人名称、投标价格及招标文件规定的内容。</w:t>
      </w:r>
    </w:p>
    <w:p w14:paraId="097DFFAE">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13.3采购人或采购代理机构将对开标过程进行记录，并存档备查。</w:t>
      </w:r>
    </w:p>
    <w:p w14:paraId="045B655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13.4投标人代表对开标过程和开标记录有疑义，以及认为采购人、采购代理机构相关工作人员有需要回避的情形的，应当场提出询问或者回避申请。</w:t>
      </w:r>
    </w:p>
    <w:p w14:paraId="07BF32FF">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14.资格审查及组建评标委员会</w:t>
      </w:r>
    </w:p>
    <w:p w14:paraId="2F00B032">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14.1采购人或采购代理机构依据法律法规和招标文件中规定的内容，对投标人资格进行审查，未通过资格审查的投标人不进入评标。</w:t>
      </w:r>
    </w:p>
    <w:p w14:paraId="08B6432E">
      <w:pPr>
        <w:spacing w:line="500" w:lineRule="exact"/>
        <w:ind w:left="-420" w:leftChars="-200" w:firstLine="436" w:firstLineChars="182"/>
        <w:jc w:val="left"/>
        <w:rPr>
          <w:rFonts w:ascii="宋体" w:hAnsi="宋体" w:eastAsia="宋体" w:cs="宋体"/>
          <w:color w:val="auto"/>
          <w:sz w:val="24"/>
          <w:szCs w:val="24"/>
          <w:highlight w:val="none"/>
        </w:rPr>
      </w:pPr>
      <w:bookmarkStart w:id="47" w:name="_Hlk24663244"/>
      <w:r>
        <w:rPr>
          <w:rFonts w:hint="eastAsia" w:ascii="宋体" w:hAnsi="宋体" w:eastAsia="宋体" w:cs="宋体"/>
          <w:color w:val="auto"/>
          <w:sz w:val="24"/>
          <w:szCs w:val="24"/>
          <w:highlight w:val="none"/>
        </w:rPr>
        <w:t>14.2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4358A0F1">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23F5E576">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47"/>
    <w:p w14:paraId="4DFB6C6B">
      <w:pPr>
        <w:spacing w:line="500" w:lineRule="exact"/>
        <w:ind w:left="-420" w:leftChars="-200" w:firstLine="436" w:firstLineChars="182"/>
        <w:jc w:val="left"/>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14.3按照《中华人民共和国政府采购法》、《中华人民共和国政府采购法实施条例》及本项目本级和上级财政部门、政府采购监督管理部门的有关规定依法组建的评标委员会，负责本项目评标工作。</w:t>
      </w:r>
    </w:p>
    <w:p w14:paraId="711278F9">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15.投标文件符合性审查与澄清</w:t>
      </w:r>
    </w:p>
    <w:p w14:paraId="76108E0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15.1符合性审查是指依据招标文件的规定，从投标文件的有效性和完整性对招标文件的响应程度进行审查，以确定是否对招标文件的实质性要求做出响应。</w:t>
      </w:r>
    </w:p>
    <w:p w14:paraId="653E0FE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15.2投标文件的澄清</w:t>
      </w:r>
    </w:p>
    <w:p w14:paraId="3563AB71">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w:t>
      </w:r>
    </w:p>
    <w:p w14:paraId="6BAC9046">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本项目采用远程开标，具体操作方法详见服务指南&gt;交易须知&gt;开标大厅远程解密、质疑(异议)及回复以及评标过程中询标流程操作手册。</w:t>
      </w:r>
    </w:p>
    <w:p w14:paraId="6D0F563E">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15.2.2投标人的澄清、说明或补正将作为投标文件的一部分。</w:t>
      </w:r>
    </w:p>
    <w:p w14:paraId="29301A0C">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15.2.3评标委员会对投标人提交的澄清、说明或补正有疑问的，可以要求投标人进一步澄清、说明或补正，直至满足评标委员会的要求。</w:t>
      </w:r>
    </w:p>
    <w:p w14:paraId="2E12F638">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15.3投标文件报价出现前后不一致的，按照下列规定修正：</w:t>
      </w:r>
    </w:p>
    <w:p w14:paraId="523582BA">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（1）投标文件中开标一览表内容与投标文件中相应内容不一致的，以开标一览表为准；</w:t>
      </w:r>
    </w:p>
    <w:p w14:paraId="38903453">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（2）大写金额和小写金额不一致的，以大写金额为准；</w:t>
      </w:r>
    </w:p>
    <w:p w14:paraId="5A56C0D9">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（3）单价金额小数点或者百分比有明显错位的，以开标一览表的总价为准，并修改单价；</w:t>
      </w:r>
    </w:p>
    <w:p w14:paraId="19D55AA7">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（4）总价金额与按单价汇总金额不一致的，以单价金额计算结果为准。</w:t>
      </w:r>
    </w:p>
    <w:p w14:paraId="0152BC85">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同时出现两种以上不一致的，按照前款规定的顺序修正。修正后的报价按照第15.4条的规定经投标人确认后产生约束力，无论投标人是接受或是拒绝调整后的价格，都应当由投标人在系统中确认。投标人拒绝对投标文件出现的错漏按上述原则进行修正、澄清、说明，其投标将被认定为投标无效。</w:t>
      </w:r>
    </w:p>
    <w:p w14:paraId="5142084B">
      <w:pPr>
        <w:spacing w:line="500" w:lineRule="exact"/>
        <w:ind w:left="-420" w:leftChars="-200" w:firstLine="436" w:firstLineChars="182"/>
        <w:jc w:val="left"/>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对不同文字文本投标文件的解释发生异议的，以中文文本为准。</w:t>
      </w:r>
    </w:p>
    <w:p w14:paraId="585C4BC7">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16.投标无效</w:t>
      </w:r>
    </w:p>
    <w:p w14:paraId="5BB41AA2">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16.1根据本招标文件的规定，评标委员会要审查每份投标文件是否实质上响应了招标文件的要求。投标人不得通过修正或撤销不符合要求的偏离，从而使其投标成为实质上响应的投标。</w:t>
      </w:r>
    </w:p>
    <w:p w14:paraId="69E312D9">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评标委员会决定投标的响应性只根据招标文件要求和投标文件内容。</w:t>
      </w:r>
    </w:p>
    <w:p w14:paraId="34C9732B">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无论何种原因，即使投标人投标时携带了证书材料的原件，但投标文件中未提供与之内容完全一致的扫描件的，评标委员会视同其未提供。</w:t>
      </w:r>
    </w:p>
    <w:p w14:paraId="6EECF0E7">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16.2如发现下列情况之一的，其投标将被认定为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06A19776">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（1）投标文件未按照招标文件规定要求签署、盖章的；</w:t>
      </w:r>
    </w:p>
    <w:p w14:paraId="6A8825FF">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（2）不具备招标文件中规定的资格要求的；</w:t>
      </w:r>
    </w:p>
    <w:p w14:paraId="6EC1B378">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（3）报价超过招标文件中规定的预算金额或者最高限价的；</w:t>
      </w:r>
    </w:p>
    <w:p w14:paraId="4DEA5EF6">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（4）投标文件含有采购人不能接受的附加条件的；</w:t>
      </w:r>
    </w:p>
    <w:p w14:paraId="7A41A2D4">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（5）法律、法规和招标文件规定的其他无效情形。</w:t>
      </w:r>
    </w:p>
    <w:p w14:paraId="46940DD3">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17.比较与评价</w:t>
      </w:r>
    </w:p>
    <w:p w14:paraId="16033993">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17.1经符合性审查合格的投标文件，评标委员会将根据招标文件确定的评标方法和标准，对其投标文件作进一步的比较与评价。</w:t>
      </w:r>
    </w:p>
    <w:p w14:paraId="40CB0DE1">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17.2评标严格按照招标文件的要求和条件进行。根据实际情况，在</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中规定采用下列评标方法，详细评标方法和标准见招标文件第四章：</w:t>
      </w:r>
    </w:p>
    <w:p w14:paraId="4A7F4A0F">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（1）最低评标价法，是指投标文件满足招标文件全部实质性要求，且投标报价最低的投标人为中标候选人的评标方法。</w:t>
      </w:r>
    </w:p>
    <w:p w14:paraId="53F79168">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（2）综合评分法，是指投标文件满足招标文件全部实质性要求，且按照评审因素的量化指标评审得分最高的投标人为中标候选人的评标方法。</w:t>
      </w:r>
    </w:p>
    <w:p w14:paraId="2662F651">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17.3根据《政府采购促进中小企业发展管理办法》（财库〔2020〕46号）、《三部门联合发布关于促进残疾人就业政府采购政策的通知》（财库〔2017〕141号）和《财政部 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中规定的标准扣除后的价格参与评审。对于同时属于小微企业、监狱企业或残疾人福利性单位的，不重复进行投标报价扣除。</w:t>
      </w:r>
    </w:p>
    <w:p w14:paraId="4C9BBB1B">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接受大中型企业与小微企业组成联合体或者允许大中型企业向一家或者多家小微企业分包的，对于联合协议或者分包意向协议约定小微企业的合同份额占到合同总金额30%以上的，可给予联合体或者大中型企业的投标报价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中规定的标准扣除后的价格参与评审。组成联合体或者接受分包的小微企业与联合体内其他企业、分包企业之间存在直接控股、管理关系的，不享受价格扣除优惠政策。</w:t>
      </w:r>
    </w:p>
    <w:p w14:paraId="0E0294B3">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以联合体形式参加政府采购活动，联合体各方均为中小企业的，联合体视同中小企业。其中，联合体各方均为小微企业的，联合体视同小微企业。</w:t>
      </w:r>
    </w:p>
    <w:p w14:paraId="0F720F22">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18.废标、重新招标与变更采购方式</w:t>
      </w:r>
    </w:p>
    <w:p w14:paraId="580B7A45">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18.1出现下列情形之一，将导致项目废标：</w:t>
      </w:r>
    </w:p>
    <w:p w14:paraId="7E2A9CDE">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（1）符合专业条件的供应商或者对招标文件做实质性响应的供应商不足规定数量的；</w:t>
      </w:r>
    </w:p>
    <w:p w14:paraId="06D760E1">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56CE51C5">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（3）投标人的报价均超过了采购预算，采购人不能支付的；</w:t>
      </w:r>
    </w:p>
    <w:p w14:paraId="2B96DEEA">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（4）因重大变故，采购任务取消的。</w:t>
      </w:r>
    </w:p>
    <w:p w14:paraId="452041F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18.2公开招标数额标准以上的采购项目，投标截止后投标人不足3家或者通过资格审查或符合性审查的投标人不足3家的，除采购任务取消情形外，按照以下方式处理：</w:t>
      </w:r>
    </w:p>
    <w:p w14:paraId="23D34BA2">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（1）招标文件存在不合理条款或者招标程序不符合规定的，采购人、采购代理机构改正后依法重新招标；</w:t>
      </w:r>
    </w:p>
    <w:p w14:paraId="514B6B18">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（2）招标文件没有不合理条款、招标程序符合规定，需要采用其他采购方式采购的，采购人应当依法报政府采购监督管理部门批准。</w:t>
      </w:r>
    </w:p>
    <w:p w14:paraId="2FFC924A">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19.保密要求</w:t>
      </w:r>
    </w:p>
    <w:p w14:paraId="0EFAF20F">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19.1评标将在严格保密的情况下进行。</w:t>
      </w:r>
    </w:p>
    <w:p w14:paraId="3D2E3485">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19.2有关人员应当遵守评标工作纪律，不得泄露评标文件、评标情况和评标中获悉的国家秘密、商业秘密。</w:t>
      </w:r>
    </w:p>
    <w:p w14:paraId="6F1FA7D6">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20.中标候选人的确定原则及标准</w:t>
      </w:r>
    </w:p>
    <w:p w14:paraId="4C5E6406">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20.1评标委员会依据本项目招标文件所约定的评标方法，对实质上响应招标文件的投标人按下列方法进行排序，确定中标候选人：</w:t>
      </w:r>
    </w:p>
    <w:p w14:paraId="6A52D499">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出现两家或两家以上相同者，采取评标委员会随机抽取的方式确定中标候选顺序。</w:t>
      </w:r>
    </w:p>
    <w:p w14:paraId="081E3C3B">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（2）采用综合评分法的，评标结果按评审后得分由高到低顺序排列。得分相同的，按投标报价由低到高顺序排列。得分与投标报价均相同的，则采取评标委员会随机抽取的方式确定中标候选顺序。</w:t>
      </w:r>
    </w:p>
    <w:p w14:paraId="16702A58">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21.确定中标候选人和中标人</w:t>
      </w:r>
    </w:p>
    <w:p w14:paraId="63EBBE0C">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21.1评标委员会将根据评标标准，按</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中规定数量推荐中标候选人。</w:t>
      </w:r>
    </w:p>
    <w:p w14:paraId="1CA4A299">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21.2按</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中规定，由评标委员会或采购人确定中标人。</w:t>
      </w:r>
    </w:p>
    <w:p w14:paraId="4A31FB97">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21.3因重大变故采购任务取消时，采购人有权拒绝任何投标人中标，且对受影响的投标人不承担任何责任。</w:t>
      </w:r>
    </w:p>
    <w:p w14:paraId="5CF7AA70">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22.编写评标报告</w:t>
      </w:r>
    </w:p>
    <w:p w14:paraId="189803B3">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57E9F4B9">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23.中标结果公告</w:t>
      </w:r>
    </w:p>
    <w:p w14:paraId="103FC1E7">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23.1除</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由评标委员会直接确定中标人外，在评标结束后2个工作日内，采购代理机构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63C4F8B0">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23.2自中标人确定之日起2个工作日内，采购代理机构将在安徽省政府采购网（www.ccgp-anhui.gov.cn）和滁州市公共资源交易中心网上发布中标结果公告。</w:t>
      </w:r>
    </w:p>
    <w:p w14:paraId="3F6373CF">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23.3中标结果公告内容应当包括采购人及其委托的采购代理机构的名称、地址、联系方式，项目名称和项目编号，中标人名称、地址和中标金额，主要中标标的的名称、规格型号、数量、单价、服务要求、中标公告期限、评审专家名单以及投标人须知前附表中约定进行公告的内容。中标公告期限为1个工作日。</w:t>
      </w:r>
    </w:p>
    <w:p w14:paraId="143079CC">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24.中标通知书</w:t>
      </w:r>
    </w:p>
    <w:p w14:paraId="04C7AB16">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24.1</w:t>
      </w:r>
      <w:r>
        <w:rPr>
          <w:rFonts w:ascii="宋体" w:hAnsi="宋体" w:eastAsia="宋体"/>
          <w:color w:val="auto"/>
          <w:sz w:val="24"/>
          <w:highlight w:val="none"/>
        </w:rPr>
        <w:t>采购代理机构发布中标结果公告</w:t>
      </w:r>
      <w:r>
        <w:rPr>
          <w:rFonts w:hint="eastAsia" w:ascii="宋体" w:hAnsi="宋体" w:eastAsia="宋体"/>
          <w:iCs/>
          <w:color w:val="auto"/>
          <w:sz w:val="24"/>
          <w:highlight w:val="none"/>
        </w:rPr>
        <w:t>的</w:t>
      </w:r>
      <w:r>
        <w:rPr>
          <w:rFonts w:ascii="宋体" w:hAnsi="宋体" w:eastAsia="宋体"/>
          <w:color w:val="auto"/>
          <w:sz w:val="24"/>
          <w:highlight w:val="none"/>
        </w:rPr>
        <w:t>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形式向中标人发出中标通知书。</w:t>
      </w:r>
      <w:r>
        <w:rPr>
          <w:rFonts w:hint="eastAsia" w:ascii="宋体" w:hAnsi="宋体" w:eastAsia="宋体"/>
          <w:color w:val="auto"/>
          <w:sz w:val="24"/>
          <w:highlight w:val="none"/>
        </w:rPr>
        <w:t>中标通知书须加盖采购人、采购代理机构公章并经公共资源交易中心加盖见证章后，方可发出。</w:t>
      </w:r>
    </w:p>
    <w:p w14:paraId="100D46D1">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24.2中标通知书对采购人和中标人具有同等法律效力。中标通知书发出以后，采购人改变中标结果或者中标人放弃中标，应当承担相应的法律责任。</w:t>
      </w:r>
    </w:p>
    <w:p w14:paraId="4A261576">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24.3中标通知书是合同的组成部分。</w:t>
      </w:r>
    </w:p>
    <w:p w14:paraId="6FD8044D">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25.告知招标结果</w:t>
      </w:r>
    </w:p>
    <w:p w14:paraId="7E482745">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25.1在公告中标结果的同时，采购代理机构同时以</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规定的形式告知未通过资格审查的投标人未通过的原因；采用综合评分法评审的，还将告知未中标人本人的评审得分和排序。</w:t>
      </w:r>
    </w:p>
    <w:p w14:paraId="63B34EC8">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26.履约保证金</w:t>
      </w:r>
    </w:p>
    <w:p w14:paraId="6E4108BB">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26.1中标人应按照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规定缴纳履约保证金。</w:t>
      </w:r>
    </w:p>
    <w:p w14:paraId="649E8889">
      <w:pPr>
        <w:spacing w:line="500" w:lineRule="exact"/>
        <w:ind w:left="-420" w:leftChars="-200" w:firstLine="436" w:firstLineChars="182"/>
        <w:jc w:val="left"/>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26.2如果中标人没有按照上述履约保证金的规定执行，将视为放弃中标资格。在此情况下，采购人可确定下一中标候选人为中标人，也可以重新开展采购活动。</w:t>
      </w:r>
    </w:p>
    <w:p w14:paraId="34AA0C36">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27.签订合同</w:t>
      </w:r>
    </w:p>
    <w:p w14:paraId="6774C095">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27.1采购人与中标人应当按照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规定的时间内完成政府采购合同签订及合同公告。</w:t>
      </w:r>
    </w:p>
    <w:p w14:paraId="473CCCE8">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27.2招标文件、中标人的投标文件及其澄清文件等，均为签订合同的依据。</w:t>
      </w:r>
    </w:p>
    <w:p w14:paraId="38F96F95">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27.3中标人拒绝与采购人签订合同的，采购人可以按照评审报告推荐的中标候选人名单排序，确定下一中标候选人为中标人，也可以重新开展政府采购活动。</w:t>
      </w:r>
    </w:p>
    <w:p w14:paraId="3287B5BE">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27.4依据《政府采购促进中小企业发展管理办法》（财库〔2020〕46号）规定享受扶持政策获得政府采购合同的，小微企业不得将合同分包给大中型企业，中型企业不得将合同分包给大型企业。</w:t>
      </w:r>
    </w:p>
    <w:p w14:paraId="5BCB60A2">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28.代理费用</w:t>
      </w:r>
    </w:p>
    <w:p w14:paraId="53F38697">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28.1本项目代理费用的收取按</w:t>
      </w:r>
      <w:r>
        <w:rPr>
          <w:rFonts w:hint="eastAsia" w:ascii="宋体" w:hAnsi="宋体" w:eastAsia="宋体" w:cs="宋体"/>
          <w:color w:val="auto"/>
          <w:sz w:val="24"/>
          <w:szCs w:val="24"/>
          <w:highlight w:val="none"/>
          <w:u w:val="single"/>
        </w:rPr>
        <w:t>投标人须知前附表的</w:t>
      </w:r>
      <w:r>
        <w:rPr>
          <w:rFonts w:hint="eastAsia" w:ascii="宋体" w:hAnsi="宋体" w:eastAsia="宋体" w:cs="宋体"/>
          <w:color w:val="auto"/>
          <w:sz w:val="24"/>
          <w:szCs w:val="24"/>
          <w:highlight w:val="none"/>
        </w:rPr>
        <w:t>规定执行。</w:t>
      </w:r>
    </w:p>
    <w:p w14:paraId="04FA410F">
      <w:pPr>
        <w:spacing w:line="500" w:lineRule="exact"/>
        <w:ind w:left="-420" w:leftChars="-200" w:firstLine="439" w:firstLineChars="182"/>
        <w:jc w:val="left"/>
        <w:outlineLvl w:val="2"/>
        <w:rPr>
          <w:rFonts w:ascii="宋体" w:hAnsi="宋体" w:eastAsia="宋体" w:cs="宋体"/>
          <w:b/>
          <w:color w:val="auto"/>
          <w:sz w:val="24"/>
          <w:szCs w:val="24"/>
          <w:highlight w:val="none"/>
        </w:rPr>
      </w:pPr>
      <w:bookmarkStart w:id="48" w:name="_Toc2583661"/>
      <w:bookmarkStart w:id="49" w:name="_Toc518923100"/>
      <w:r>
        <w:rPr>
          <w:rFonts w:hint="eastAsia" w:ascii="宋体" w:hAnsi="宋体" w:eastAsia="宋体" w:cs="宋体"/>
          <w:b/>
          <w:color w:val="auto"/>
          <w:sz w:val="24"/>
          <w:szCs w:val="24"/>
          <w:highlight w:val="none"/>
        </w:rPr>
        <w:t>29.廉洁自律规定</w:t>
      </w:r>
      <w:bookmarkEnd w:id="48"/>
      <w:bookmarkEnd w:id="49"/>
    </w:p>
    <w:p w14:paraId="4718D828">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29.1采购代理机构工作人员不得以不正当手段获取政府采购代理业务，不得与采购人、供应商恶意串通。</w:t>
      </w:r>
    </w:p>
    <w:p w14:paraId="6EDA1EC7">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29.2采购代理机构工作人员不得接受采购人或者供应商组织的宴请、旅游、娱乐，不得收受礼品、现金、有价证券等，不得向采购人或者供应商报销应当由个人承担的费用。</w:t>
      </w:r>
    </w:p>
    <w:p w14:paraId="7889CF07">
      <w:pPr>
        <w:spacing w:line="500" w:lineRule="exact"/>
        <w:ind w:left="-420" w:leftChars="-200" w:firstLine="439" w:firstLineChars="182"/>
        <w:jc w:val="left"/>
        <w:outlineLvl w:val="2"/>
        <w:rPr>
          <w:rFonts w:ascii="宋体" w:hAnsi="宋体" w:eastAsia="宋体" w:cs="宋体"/>
          <w:b/>
          <w:color w:val="auto"/>
          <w:sz w:val="24"/>
          <w:szCs w:val="24"/>
          <w:highlight w:val="none"/>
        </w:rPr>
      </w:pPr>
      <w:bookmarkStart w:id="50" w:name="_Toc2583662"/>
      <w:bookmarkStart w:id="51" w:name="_Toc518923101"/>
      <w:r>
        <w:rPr>
          <w:rFonts w:hint="eastAsia" w:ascii="宋体" w:hAnsi="宋体" w:eastAsia="宋体" w:cs="宋体"/>
          <w:b/>
          <w:color w:val="auto"/>
          <w:sz w:val="24"/>
          <w:szCs w:val="24"/>
          <w:highlight w:val="none"/>
        </w:rPr>
        <w:t>30.人员回避</w:t>
      </w:r>
      <w:bookmarkEnd w:id="50"/>
      <w:bookmarkEnd w:id="51"/>
    </w:p>
    <w:p w14:paraId="34173BF0">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投标人认为采购人员及其相关人员有法律法规所列与其他供应商有利害关系的，可以向采购人或采购代理机构书面提出回避申请，并说明理由。</w:t>
      </w:r>
    </w:p>
    <w:p w14:paraId="3486EF67">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31.质疑的提出与接收</w:t>
      </w:r>
    </w:p>
    <w:p w14:paraId="7BB012E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04D35D61">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16DF348A">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31.3采购代理机构质疑函接收部门、联系电话和通讯地址，见</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w:t>
      </w:r>
    </w:p>
    <w:p w14:paraId="54142D1A">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注：上述条款中所要求的书面形式包含通过电子交易系统递交方式。</w:t>
      </w:r>
    </w:p>
    <w:p w14:paraId="50BA645A">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32.投诉</w:t>
      </w:r>
    </w:p>
    <w:p w14:paraId="52D9BE38">
      <w:pPr>
        <w:keepNext w:val="0"/>
        <w:keepLines w:val="0"/>
        <w:pageBreakBefore w:val="0"/>
        <w:widowControl w:val="0"/>
        <w:kinsoku/>
        <w:wordWrap w:val="0"/>
        <w:overflowPunct/>
        <w:topLinePunct w:val="0"/>
        <w:autoSpaceDE/>
        <w:autoSpaceDN/>
        <w:bidi w:val="0"/>
        <w:adjustRightInd/>
        <w:snapToGrid/>
        <w:spacing w:line="500" w:lineRule="exact"/>
        <w:ind w:left="-420" w:leftChars="-200" w:firstLine="436" w:firstLineChars="182"/>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32.1质疑投标人对采购人、采购代理机构的答复不满意，或者采购人、采购代理机构未在规定的时间内答复的，可以在答复期满后十五个工作日内按有关规定，以书面形式（http://ggzy.chuzhou.gov.cn/fwzn/011001/011001001/011001001003/20200727/7fb88e17-63dd-4f17-b17c-290526c6eda8.html）向同级政府采购监督管理部门提出投诉或者线上提交投诉材料（http://ggzy.chuzhou.gov.cn/fwzn/011001/011001001/011001001003/20200221/b079d9ca-90f2-4cce-aa7c-94a444e7ac91.html）。</w:t>
      </w:r>
    </w:p>
    <w:p w14:paraId="074E60CB">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32.2政府采购监督管理部门应当在收到投诉后30个工作日内，对投诉事项作出处理决定，并以书面形式通知投诉人和与投诉事项有关的当事人，并在安徽省政府采购网公告。政府采购监督管理部门处理投诉事项，需要检验、检测、鉴定、专家评审以及需要投诉人补正材料的，所需时间不计算在投诉处理期限内。</w:t>
      </w:r>
    </w:p>
    <w:p w14:paraId="5A0F7354">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32.3政府采购监督管理部门在处理投诉事项期间，可以视具体情况书面通知采购人暂停采购活动，但暂停时间最长不得超过30日。</w:t>
      </w:r>
    </w:p>
    <w:p w14:paraId="12BBE2A4">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33.需要补充的其他内容</w:t>
      </w:r>
    </w:p>
    <w:p w14:paraId="69C72115">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需要补充的其他内容，见</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w:t>
      </w:r>
    </w:p>
    <w:p w14:paraId="4992B219">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44A3F098">
      <w:pPr>
        <w:numPr>
          <w:ilvl w:val="0"/>
          <w:numId w:val="0"/>
        </w:numPr>
        <w:spacing w:line="360" w:lineRule="auto"/>
        <w:jc w:val="center"/>
        <w:outlineLvl w:val="0"/>
        <w:rPr>
          <w:rFonts w:hint="eastAsia" w:asciiTheme="minorEastAsia" w:hAnsiTheme="minorEastAsia" w:eastAsiaTheme="minorEastAsia"/>
          <w:b/>
          <w:color w:val="auto"/>
          <w:sz w:val="28"/>
          <w:highlight w:val="none"/>
          <w:lang w:eastAsia="zh-CN"/>
        </w:rPr>
      </w:pPr>
      <w:bookmarkStart w:id="52" w:name="_Toc2384"/>
      <w:r>
        <w:rPr>
          <w:rFonts w:hint="eastAsia" w:cs="@仿宋_GB2312" w:asciiTheme="minorEastAsia" w:hAnsiTheme="minorEastAsia" w:eastAsiaTheme="minorEastAsia"/>
          <w:b/>
          <w:color w:val="auto"/>
          <w:kern w:val="2"/>
          <w:sz w:val="28"/>
          <w:highlight w:val="none"/>
          <w:lang w:val="en-US" w:eastAsia="zh-CN" w:bidi="ar-SA"/>
        </w:rPr>
        <w:t>第三章</w:t>
      </w:r>
      <w:r>
        <w:rPr>
          <w:rFonts w:hint="eastAsia"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lang w:val="en-US" w:eastAsia="zh-CN"/>
        </w:rPr>
        <w:t xml:space="preserve"> </w:t>
      </w:r>
      <w:r>
        <w:rPr>
          <w:rFonts w:hint="eastAsia" w:asciiTheme="minorEastAsia" w:hAnsiTheme="minorEastAsia" w:eastAsiaTheme="minorEastAsia"/>
          <w:b/>
          <w:color w:val="auto"/>
          <w:sz w:val="28"/>
          <w:highlight w:val="none"/>
        </w:rPr>
        <w:t>采购需求</w:t>
      </w:r>
      <w:bookmarkEnd w:id="52"/>
    </w:p>
    <w:p w14:paraId="76B254DB">
      <w:pPr>
        <w:keepNext w:val="0"/>
        <w:keepLines w:val="0"/>
        <w:pageBreakBefore w:val="0"/>
        <w:widowControl w:val="0"/>
        <w:kinsoku/>
        <w:wordWrap/>
        <w:overflowPunct/>
        <w:topLinePunct w:val="0"/>
        <w:autoSpaceDE/>
        <w:autoSpaceDN/>
        <w:bidi w:val="0"/>
        <w:adjustRightInd/>
        <w:snapToGrid/>
        <w:spacing w:line="500" w:lineRule="exact"/>
        <w:ind w:left="-420" w:leftChars="-20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前注：</w:t>
      </w:r>
    </w:p>
    <w:p w14:paraId="4777CE4D">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1.本采购需求中提出的服务方案仅为参考，如无明确限制，投标人可以进行优化，提供满足采购人实际需要的更优（或者性能实质上不低于的）服务方案，且此方案须经评标委员会评审认可。</w:t>
      </w:r>
    </w:p>
    <w:p w14:paraId="68BF5998">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2.政府采购政策（包括但不限于下列具体政策要求）：</w:t>
      </w:r>
    </w:p>
    <w:p w14:paraId="66D469A1">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在投标文件中提供所投产品须具有市场监管总局公布的《参与实施政府采购节能产品认证机构目录》中的认证机构出具的、处于有效期内的节能产品认证证书。</w:t>
      </w:r>
    </w:p>
    <w:p w14:paraId="201D786C">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1AA66408">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3.如采购人允许采用分包方式履行合同的，应当明确可以分包履行的相关内容。</w:t>
      </w:r>
    </w:p>
    <w:p w14:paraId="01281738">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outlineLvl w:val="1"/>
        <w:rPr>
          <w:rFonts w:hint="eastAsia" w:ascii="宋体" w:hAnsi="宋体" w:eastAsia="宋体" w:cs="宋体"/>
          <w:b/>
          <w:color w:val="auto"/>
          <w:sz w:val="24"/>
          <w:szCs w:val="24"/>
          <w:highlight w:val="none"/>
        </w:rPr>
      </w:pPr>
      <w:bookmarkStart w:id="53" w:name="_Toc27048"/>
      <w:bookmarkStart w:id="54" w:name="_Toc4148"/>
      <w:bookmarkStart w:id="55" w:name="_Toc21798"/>
      <w:bookmarkStart w:id="56" w:name="_Hlk23621890"/>
      <w:r>
        <w:rPr>
          <w:rFonts w:hint="eastAsia" w:ascii="宋体" w:hAnsi="宋体" w:eastAsia="宋体" w:cs="宋体"/>
          <w:b/>
          <w:color w:val="auto"/>
          <w:sz w:val="24"/>
          <w:szCs w:val="24"/>
          <w:highlight w:val="none"/>
        </w:rPr>
        <w:t>一、采购需求前附表</w:t>
      </w:r>
      <w:bookmarkEnd w:id="53"/>
      <w:bookmarkEnd w:id="54"/>
      <w:bookmarkEnd w:id="55"/>
    </w:p>
    <w:tbl>
      <w:tblPr>
        <w:tblStyle w:val="31"/>
        <w:tblW w:w="54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0"/>
        <w:gridCol w:w="6855"/>
      </w:tblGrid>
      <w:tr w14:paraId="0761B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1" w:type="pct"/>
            <w:vAlign w:val="center"/>
          </w:tcPr>
          <w:p w14:paraId="12BC8EFE">
            <w:pPr>
              <w:pStyle w:val="52"/>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500" w:lineRule="exact"/>
              <w:ind w:left="0" w:right="0" w:firstLine="0" w:firstLineChars="0"/>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序号</w:t>
            </w:r>
          </w:p>
        </w:tc>
        <w:tc>
          <w:tcPr>
            <w:tcW w:w="998" w:type="pct"/>
            <w:vAlign w:val="center"/>
          </w:tcPr>
          <w:p w14:paraId="22D826F3">
            <w:pPr>
              <w:pStyle w:val="5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条款名称</w:t>
            </w:r>
          </w:p>
        </w:tc>
        <w:tc>
          <w:tcPr>
            <w:tcW w:w="3509" w:type="pct"/>
            <w:vAlign w:val="center"/>
          </w:tcPr>
          <w:p w14:paraId="4BAD0CD4">
            <w:pPr>
              <w:pStyle w:val="5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内容、说明与要求</w:t>
            </w:r>
          </w:p>
        </w:tc>
      </w:tr>
      <w:tr w14:paraId="37D6E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491" w:type="pct"/>
            <w:vAlign w:val="center"/>
          </w:tcPr>
          <w:p w14:paraId="20D1E185">
            <w:pPr>
              <w:pStyle w:val="52"/>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500" w:lineRule="exact"/>
              <w:ind w:left="0" w:right="0" w:firstLine="0" w:firstLineChars="0"/>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p>
        </w:tc>
        <w:tc>
          <w:tcPr>
            <w:tcW w:w="998" w:type="pct"/>
            <w:vAlign w:val="center"/>
          </w:tcPr>
          <w:p w14:paraId="298C1946">
            <w:pPr>
              <w:pStyle w:val="5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付款方式</w:t>
            </w:r>
          </w:p>
        </w:tc>
        <w:tc>
          <w:tcPr>
            <w:tcW w:w="3509" w:type="pct"/>
            <w:vAlign w:val="center"/>
          </w:tcPr>
          <w:p w14:paraId="632776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根据每月对服务内容检查考核结果支付服务费用（考核标准按采购人规定要求执行）。考核合格，采购人于次月15日前支付上月的服务费；考核不合格，采购人依据考核情况酌情扣减服务费且同步进行整改，</w:t>
            </w:r>
            <w:r>
              <w:rPr>
                <w:rFonts w:hint="eastAsia" w:ascii="宋体" w:hAnsi="宋体" w:eastAsia="宋体" w:cs="宋体"/>
                <w:b w:val="0"/>
                <w:color w:val="auto"/>
                <w:sz w:val="24"/>
                <w:szCs w:val="24"/>
                <w:highlight w:val="none"/>
                <w:lang w:val="en-US" w:eastAsia="zh-CN"/>
              </w:rPr>
              <w:t>若整改仍不合格的终止合同</w:t>
            </w:r>
            <w:r>
              <w:rPr>
                <w:rFonts w:hint="eastAsia" w:ascii="宋体" w:hAnsi="宋体" w:eastAsia="宋体" w:cs="宋体"/>
                <w:color w:val="auto"/>
                <w:sz w:val="24"/>
                <w:szCs w:val="24"/>
                <w:highlight w:val="none"/>
                <w:lang w:val="en-US" w:eastAsia="zh-CN"/>
              </w:rPr>
              <w:t>。</w:t>
            </w:r>
          </w:p>
        </w:tc>
      </w:tr>
      <w:tr w14:paraId="471B2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1" w:type="pct"/>
            <w:vAlign w:val="center"/>
          </w:tcPr>
          <w:p w14:paraId="7D0AB2D0">
            <w:pPr>
              <w:pStyle w:val="52"/>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500" w:lineRule="exact"/>
              <w:ind w:left="0" w:right="0" w:firstLine="0" w:firstLineChars="0"/>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w:t>
            </w:r>
          </w:p>
        </w:tc>
        <w:tc>
          <w:tcPr>
            <w:tcW w:w="998" w:type="pct"/>
            <w:vAlign w:val="center"/>
          </w:tcPr>
          <w:p w14:paraId="3D800FC9">
            <w:pPr>
              <w:pStyle w:val="5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服务地点</w:t>
            </w:r>
          </w:p>
        </w:tc>
        <w:tc>
          <w:tcPr>
            <w:tcW w:w="3509" w:type="pct"/>
            <w:vAlign w:val="center"/>
          </w:tcPr>
          <w:p w14:paraId="55628C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滁州市科学技术馆 ，采购人指定地点。</w:t>
            </w:r>
          </w:p>
        </w:tc>
      </w:tr>
      <w:tr w14:paraId="4D786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491" w:type="pct"/>
            <w:vAlign w:val="center"/>
          </w:tcPr>
          <w:p w14:paraId="352DD33F">
            <w:pPr>
              <w:pStyle w:val="52"/>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500" w:lineRule="exact"/>
              <w:ind w:left="0" w:right="0" w:firstLine="0" w:firstLineChars="0"/>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3</w:t>
            </w:r>
          </w:p>
        </w:tc>
        <w:tc>
          <w:tcPr>
            <w:tcW w:w="998" w:type="pct"/>
            <w:vAlign w:val="center"/>
          </w:tcPr>
          <w:p w14:paraId="269AEB0F">
            <w:pPr>
              <w:pStyle w:val="5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服务期限</w:t>
            </w:r>
          </w:p>
        </w:tc>
        <w:tc>
          <w:tcPr>
            <w:tcW w:w="3509" w:type="pct"/>
            <w:vAlign w:val="center"/>
          </w:tcPr>
          <w:p w14:paraId="4464BC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left"/>
              <w:textAlignment w:val="auto"/>
              <w:rPr>
                <w:rFonts w:hint="eastAsia"/>
                <w:color w:val="auto"/>
                <w:szCs w:val="20"/>
                <w:highlight w:val="none"/>
                <w:lang w:val="en-US" w:eastAsia="zh-CN"/>
              </w:rPr>
            </w:pPr>
            <w:r>
              <w:rPr>
                <w:rFonts w:hint="eastAsia" w:ascii="宋体" w:hAnsi="宋体" w:eastAsia="宋体" w:cs="宋体"/>
                <w:color w:val="auto"/>
                <w:sz w:val="24"/>
                <w:szCs w:val="24"/>
                <w:highlight w:val="none"/>
                <w:lang w:val="en-US" w:eastAsia="zh-CN"/>
              </w:rPr>
              <w:t>服务期三年，合同一年一签。</w:t>
            </w:r>
          </w:p>
        </w:tc>
      </w:tr>
      <w:tr w14:paraId="015AE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1" w:type="pct"/>
            <w:vAlign w:val="center"/>
          </w:tcPr>
          <w:p w14:paraId="60B12BCF">
            <w:pPr>
              <w:pStyle w:val="52"/>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500" w:lineRule="exact"/>
              <w:ind w:left="0" w:right="0" w:firstLine="0" w:firstLineChars="0"/>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4</w:t>
            </w:r>
          </w:p>
        </w:tc>
        <w:tc>
          <w:tcPr>
            <w:tcW w:w="998" w:type="pct"/>
            <w:vAlign w:val="center"/>
          </w:tcPr>
          <w:p w14:paraId="3E33A1D6">
            <w:pPr>
              <w:pStyle w:val="5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本项目采购标的名称及所属行业</w:t>
            </w:r>
          </w:p>
        </w:tc>
        <w:tc>
          <w:tcPr>
            <w:tcW w:w="3509" w:type="pct"/>
            <w:vAlign w:val="center"/>
          </w:tcPr>
          <w:p w14:paraId="41801A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r>
              <w:rPr>
                <w:rFonts w:hint="eastAsia" w:ascii="宋体" w:hAnsi="宋体" w:eastAsia="宋体" w:cs="宋体"/>
                <w:color w:val="auto"/>
                <w:sz w:val="24"/>
                <w:szCs w:val="24"/>
                <w:highlight w:val="none"/>
                <w:lang w:val="en-US" w:eastAsia="zh-CN"/>
              </w:rPr>
              <w:t>滁州市科学技术馆展教辅助服务及运行保障项目（2026年-2028年）</w:t>
            </w:r>
          </w:p>
          <w:p w14:paraId="5BB7AA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所属行业：</w:t>
            </w:r>
            <w:r>
              <w:rPr>
                <w:rFonts w:hint="eastAsia" w:ascii="宋体" w:hAnsi="宋体" w:eastAsia="宋体" w:cs="宋体"/>
                <w:color w:val="auto"/>
                <w:sz w:val="24"/>
                <w:szCs w:val="24"/>
                <w:highlight w:val="none"/>
                <w:lang w:val="en-US" w:eastAsia="zh-CN"/>
              </w:rPr>
              <w:t>物业管理</w:t>
            </w:r>
          </w:p>
        </w:tc>
      </w:tr>
    </w:tbl>
    <w:p w14:paraId="1E010760">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outlineLvl w:val="1"/>
        <w:rPr>
          <w:rFonts w:hint="eastAsia" w:ascii="宋体" w:hAnsi="宋体" w:eastAsia="宋体" w:cs="宋体"/>
          <w:b/>
          <w:color w:val="auto"/>
          <w:sz w:val="24"/>
          <w:szCs w:val="24"/>
          <w:highlight w:val="none"/>
          <w:lang w:val="en-US" w:eastAsia="zh-CN"/>
        </w:rPr>
      </w:pPr>
      <w:bookmarkStart w:id="57" w:name="_Hlk16461016"/>
      <w:bookmarkStart w:id="58" w:name="_Toc8753"/>
      <w:bookmarkStart w:id="59" w:name="_Toc16543"/>
      <w:bookmarkStart w:id="60" w:name="_Toc19851"/>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w:t>
      </w:r>
      <w:bookmarkEnd w:id="56"/>
      <w:bookmarkEnd w:id="57"/>
      <w:bookmarkEnd w:id="58"/>
      <w:bookmarkEnd w:id="59"/>
      <w:r>
        <w:rPr>
          <w:rFonts w:hint="eastAsia" w:ascii="宋体" w:hAnsi="宋体" w:eastAsia="宋体" w:cs="宋体"/>
          <w:b/>
          <w:color w:val="auto"/>
          <w:sz w:val="24"/>
          <w:szCs w:val="24"/>
          <w:highlight w:val="none"/>
        </w:rPr>
        <w:t>项目概况及需求</w:t>
      </w:r>
      <w:bookmarkEnd w:id="60"/>
    </w:p>
    <w:p w14:paraId="68F7E65B">
      <w:pPr>
        <w:widowControl/>
        <w:spacing w:line="500" w:lineRule="exact"/>
        <w:ind w:firstLine="420"/>
        <w:outlineLvl w:val="1"/>
        <w:rPr>
          <w:rFonts w:hint="eastAsia" w:ascii="宋体" w:hAnsi="宋体" w:eastAsia="宋体" w:cs="宋体"/>
          <w:color w:val="auto"/>
          <w:sz w:val="24"/>
          <w:szCs w:val="24"/>
          <w:highlight w:val="none"/>
        </w:rPr>
      </w:pPr>
      <w:bookmarkStart w:id="61" w:name="_Toc25917"/>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项目概况</w:t>
      </w:r>
    </w:p>
    <w:p w14:paraId="47A00AB2">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滁州市科技馆位于市政务中心西北角，总建设面积15515平方米，其中，地上建筑面积9695平方米，地下车库5820平方米。根据科技馆功能需要，馆内主要分为展览展示区、教育培训区、科技报告厅（数字科普影院）、办公服务区等功能区。馆内常设展厅面积约为4800平方米，设儿童展厅、安全岛、探索与发现、智慧之光和科学生活展厅五个主题展厅；科技馆常年向社会公众免费开放，除展厅参观外，还常年举办各类临展、科普报告、创客教育、学术交流等活动。</w:t>
      </w:r>
    </w:p>
    <w:p w14:paraId="094585B5">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馆属区域包含供配电系统、强弱电系统、给排水系统、消防系统、监控系统、智能化信息系统、网络通讯、电梯系统、空调及通风系统、地下车库（道闸系统）、照明系统、安检与检票系统、会务系统、展品展项、特效影院、电子显示屏等。电梯、空调、消防、</w:t>
      </w:r>
      <w:r>
        <w:rPr>
          <w:rFonts w:hint="eastAsia" w:ascii="宋体" w:hAnsi="宋体" w:eastAsia="宋体" w:cs="宋体"/>
          <w:color w:val="auto"/>
          <w:sz w:val="24"/>
          <w:szCs w:val="24"/>
          <w:highlight w:val="none"/>
          <w:lang w:val="en-US" w:eastAsia="zh-CN"/>
        </w:rPr>
        <w:t>监控、网络、取票检票</w:t>
      </w:r>
      <w:r>
        <w:rPr>
          <w:rFonts w:hint="eastAsia" w:ascii="宋体" w:hAnsi="宋体" w:eastAsia="宋体" w:cs="宋体"/>
          <w:color w:val="auto"/>
          <w:sz w:val="24"/>
          <w:szCs w:val="24"/>
          <w:highlight w:val="none"/>
          <w:lang w:val="zh-CN" w:eastAsia="zh-CN"/>
        </w:rPr>
        <w:t>等设施，做好馆内日常维护工作。</w:t>
      </w:r>
    </w:p>
    <w:p w14:paraId="635D1EC2">
      <w:pPr>
        <w:widowControl/>
        <w:spacing w:line="500" w:lineRule="exact"/>
        <w:ind w:firstLine="42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合同履行期内中标人按</w:t>
      </w:r>
      <w:r>
        <w:rPr>
          <w:rFonts w:hint="eastAsia" w:ascii="宋体" w:hAnsi="宋体" w:eastAsia="宋体" w:cs="宋体"/>
          <w:color w:val="auto"/>
          <w:sz w:val="24"/>
          <w:szCs w:val="24"/>
          <w:highlight w:val="none"/>
          <w:lang w:val="zh-CN" w:eastAsia="zh-CN"/>
        </w:rPr>
        <w:t>科技馆开闭馆时间和相关管理规定执行，全年开馆时间不少于</w:t>
      </w:r>
      <w:r>
        <w:rPr>
          <w:rFonts w:hint="eastAsia" w:ascii="宋体" w:hAnsi="宋体" w:eastAsia="宋体" w:cs="宋体"/>
          <w:color w:val="auto"/>
          <w:sz w:val="24"/>
          <w:szCs w:val="24"/>
          <w:highlight w:val="none"/>
          <w:lang w:val="en-US" w:eastAsia="zh-CN"/>
        </w:rPr>
        <w:t>250天</w:t>
      </w:r>
      <w:r>
        <w:rPr>
          <w:rFonts w:hint="eastAsia" w:ascii="宋体" w:hAnsi="宋体" w:eastAsia="宋体" w:cs="宋体"/>
          <w:color w:val="auto"/>
          <w:sz w:val="24"/>
          <w:szCs w:val="24"/>
          <w:highlight w:val="none"/>
          <w:lang w:val="zh-CN" w:eastAsia="zh-CN"/>
        </w:rPr>
        <w:t>。双休日、节假日尤为保障重点，须与采购人工作节奏密切配合。</w:t>
      </w:r>
    </w:p>
    <w:p w14:paraId="16FB43EA">
      <w:pPr>
        <w:widowControl/>
        <w:spacing w:line="500" w:lineRule="exact"/>
        <w:ind w:firstLine="420"/>
        <w:outlineLvl w:val="1"/>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运行模式</w:t>
      </w:r>
    </w:p>
    <w:p w14:paraId="79A8C6B6">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负责</w:t>
      </w:r>
      <w:r>
        <w:rPr>
          <w:rFonts w:hint="eastAsia" w:ascii="宋体" w:hAnsi="宋体" w:eastAsia="宋体" w:cs="宋体"/>
          <w:color w:val="auto"/>
          <w:sz w:val="24"/>
          <w:szCs w:val="24"/>
          <w:highlight w:val="none"/>
          <w:lang w:val="en-US" w:eastAsia="zh-CN"/>
        </w:rPr>
        <w:t>滁州市科学技术馆展教辅助服务及运行保障项目（2026年-2028年）</w:t>
      </w:r>
      <w:r>
        <w:rPr>
          <w:rFonts w:hint="eastAsia" w:ascii="宋体" w:hAnsi="宋体" w:eastAsia="宋体" w:cs="宋体"/>
          <w:color w:val="auto"/>
          <w:sz w:val="24"/>
          <w:szCs w:val="24"/>
          <w:highlight w:val="none"/>
          <w:lang w:val="zh-CN" w:eastAsia="zh-CN"/>
        </w:rPr>
        <w:t>，采购人对中标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运行管理进行全程监督，同时提供必要的工作环境协调服务。</w:t>
      </w:r>
    </w:p>
    <w:p w14:paraId="33012861">
      <w:pPr>
        <w:widowControl/>
        <w:spacing w:line="500" w:lineRule="exact"/>
        <w:ind w:firstLine="42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（三）协助做好滁州市科技馆年度工作任务（工作任务将依据实际工作需求进行动态调整，所涉数据仅作参考使用。）</w:t>
      </w:r>
    </w:p>
    <w:p w14:paraId="67EDE51A">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开馆时间≥250 天；</w:t>
      </w:r>
    </w:p>
    <w:p w14:paraId="65E83BF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参观观众满意度≥95%；</w:t>
      </w:r>
    </w:p>
    <w:p w14:paraId="3388307B">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协办临展≥1场、每场≥30天，参观量≥10000人次；</w:t>
      </w:r>
    </w:p>
    <w:p w14:paraId="255DA333">
      <w:pPr>
        <w:widowControl/>
        <w:spacing w:line="500" w:lineRule="exact"/>
        <w:ind w:firstLine="420"/>
        <w:outlineLvl w:val="1"/>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球幕影院≥700场次；</w:t>
      </w:r>
    </w:p>
    <w:p w14:paraId="050A2809">
      <w:pPr>
        <w:widowControl/>
        <w:spacing w:line="500" w:lineRule="exact"/>
        <w:ind w:firstLine="420"/>
        <w:outlineLvl w:val="1"/>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助力“双减 ”科普活动；</w:t>
      </w:r>
    </w:p>
    <w:p w14:paraId="0798E902">
      <w:pPr>
        <w:widowControl/>
        <w:spacing w:line="500" w:lineRule="exact"/>
        <w:ind w:firstLine="420"/>
        <w:outlineLvl w:val="1"/>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公益科普课不少于4</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val="zh-CN" w:eastAsia="zh-CN"/>
        </w:rPr>
        <w:t>课时，不少于2000人次参与课程；</w:t>
      </w:r>
    </w:p>
    <w:p w14:paraId="78EBE82F">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eastAsia="zh-CN"/>
        </w:rPr>
        <w:t>全国科普日、科技活动周重大型科普活动每年不少于2场次，参与人数不少于300人/场；</w:t>
      </w:r>
    </w:p>
    <w:p w14:paraId="5D27121F">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zh-CN" w:eastAsia="zh-CN"/>
        </w:rPr>
        <w:t>主题系列活动不少于20场次，每场次不少于200人参与；</w:t>
      </w:r>
    </w:p>
    <w:p w14:paraId="1C92BFD0">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zh-CN" w:eastAsia="zh-CN"/>
        </w:rPr>
        <w:t>主题系列活动不少于20场次，每场次不少于200人参与；</w:t>
      </w:r>
    </w:p>
    <w:p w14:paraId="23B210C8">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zh-CN" w:eastAsia="zh-CN"/>
        </w:rPr>
        <w:t>不少于100 场次科学实验表演，参与科学实验秀人群不少于 20000 人；</w:t>
      </w:r>
    </w:p>
    <w:p w14:paraId="4E1513D9">
      <w:pPr>
        <w:widowControl/>
        <w:spacing w:line="500" w:lineRule="exact"/>
        <w:ind w:firstLine="42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val="zh-CN" w:eastAsia="zh-CN"/>
        </w:rPr>
        <w:t>科普实验秀不少于 20 场次。</w:t>
      </w:r>
    </w:p>
    <w:p w14:paraId="0DCDA997">
      <w:pPr>
        <w:widowControl/>
        <w:spacing w:line="500" w:lineRule="exact"/>
        <w:ind w:firstLine="42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（四）服务团队及岗位要求</w:t>
      </w:r>
    </w:p>
    <w:bookmarkEnd w:id="61"/>
    <w:tbl>
      <w:tblPr>
        <w:tblStyle w:val="77"/>
        <w:tblW w:w="93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4"/>
        <w:gridCol w:w="834"/>
        <w:gridCol w:w="6811"/>
      </w:tblGrid>
      <w:tr w14:paraId="2A554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734" w:type="dxa"/>
            <w:vAlign w:val="top"/>
          </w:tcPr>
          <w:p w14:paraId="6378535A">
            <w:pPr>
              <w:pStyle w:val="78"/>
              <w:keepNext w:val="0"/>
              <w:keepLines w:val="0"/>
              <w:pageBreakBefore w:val="0"/>
              <w:wordWrap/>
              <w:overflowPunct/>
              <w:topLinePunct w:val="0"/>
              <w:autoSpaceDE w:val="0"/>
              <w:autoSpaceDN w:val="0"/>
              <w:bidi w:val="0"/>
              <w:adjustRightInd w:val="0"/>
              <w:spacing w:before="120" w:line="560" w:lineRule="exact"/>
              <w:ind w:left="636"/>
              <w:rPr>
                <w:rFonts w:hint="eastAsia" w:ascii="宋体" w:hAnsi="宋体" w:eastAsia="宋体" w:cs="宋体"/>
                <w:b w:val="0"/>
                <w:bCs w:val="0"/>
                <w:color w:val="auto"/>
                <w:sz w:val="24"/>
                <w:szCs w:val="24"/>
                <w:highlight w:val="none"/>
              </w:rPr>
            </w:pPr>
            <w:bookmarkStart w:id="62" w:name="_Toc23919"/>
            <w:bookmarkEnd w:id="62"/>
            <w:r>
              <w:rPr>
                <w:rFonts w:hint="eastAsia" w:ascii="宋体" w:hAnsi="宋体" w:eastAsia="宋体" w:cs="宋体"/>
                <w:b w:val="0"/>
                <w:bCs w:val="0"/>
                <w:color w:val="auto"/>
                <w:spacing w:val="-9"/>
                <w:sz w:val="24"/>
                <w:szCs w:val="24"/>
                <w:highlight w:val="none"/>
              </w:rPr>
              <w:t>部门</w:t>
            </w:r>
          </w:p>
        </w:tc>
        <w:tc>
          <w:tcPr>
            <w:tcW w:w="834" w:type="dxa"/>
            <w:vAlign w:val="top"/>
          </w:tcPr>
          <w:p w14:paraId="003F2F17">
            <w:pPr>
              <w:pStyle w:val="78"/>
              <w:keepNext w:val="0"/>
              <w:keepLines w:val="0"/>
              <w:pageBreakBefore w:val="0"/>
              <w:wordWrap/>
              <w:overflowPunct/>
              <w:topLinePunct w:val="0"/>
              <w:autoSpaceDE w:val="0"/>
              <w:autoSpaceDN w:val="0"/>
              <w:bidi w:val="0"/>
              <w:adjustRightInd w:val="0"/>
              <w:spacing w:before="120" w:line="560" w:lineRule="exact"/>
              <w:ind w:left="18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9"/>
                <w:sz w:val="24"/>
                <w:szCs w:val="24"/>
                <w:highlight w:val="none"/>
              </w:rPr>
              <w:t>人数</w:t>
            </w:r>
          </w:p>
        </w:tc>
        <w:tc>
          <w:tcPr>
            <w:tcW w:w="6811" w:type="dxa"/>
            <w:vAlign w:val="top"/>
          </w:tcPr>
          <w:p w14:paraId="6203CC7A">
            <w:pPr>
              <w:pStyle w:val="78"/>
              <w:keepNext w:val="0"/>
              <w:keepLines w:val="0"/>
              <w:pageBreakBefore w:val="0"/>
              <w:wordWrap/>
              <w:overflowPunct/>
              <w:topLinePunct w:val="0"/>
              <w:autoSpaceDE w:val="0"/>
              <w:autoSpaceDN w:val="0"/>
              <w:bidi w:val="0"/>
              <w:adjustRightInd w:val="0"/>
              <w:spacing w:before="120" w:line="560" w:lineRule="exact"/>
              <w:ind w:left="2328"/>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4"/>
                <w:sz w:val="24"/>
                <w:szCs w:val="24"/>
                <w:highlight w:val="none"/>
              </w:rPr>
              <w:t>工作人员配置及职能</w:t>
            </w:r>
          </w:p>
        </w:tc>
      </w:tr>
      <w:tr w14:paraId="492BA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734" w:type="dxa"/>
            <w:vAlign w:val="center"/>
          </w:tcPr>
          <w:p w14:paraId="0A70D640">
            <w:pPr>
              <w:pStyle w:val="78"/>
              <w:keepNext w:val="0"/>
              <w:keepLines w:val="0"/>
              <w:pageBreakBefore w:val="0"/>
              <w:wordWrap/>
              <w:overflowPunct/>
              <w:topLinePunct w:val="0"/>
              <w:autoSpaceDE w:val="0"/>
              <w:autoSpaceDN w:val="0"/>
              <w:bidi w:val="0"/>
              <w:adjustRightInd w:val="0"/>
              <w:spacing w:before="147" w:line="560" w:lineRule="exact"/>
              <w:jc w:val="center"/>
              <w:rPr>
                <w:rFonts w:hint="eastAsia" w:ascii="宋体" w:hAnsi="宋体" w:eastAsia="宋体" w:cs="宋体"/>
                <w:b w:val="0"/>
                <w:bCs w:val="0"/>
                <w:color w:val="auto"/>
                <w:spacing w:val="-3"/>
                <w:sz w:val="24"/>
                <w:szCs w:val="24"/>
                <w:highlight w:val="none"/>
              </w:rPr>
            </w:pPr>
            <w:r>
              <w:rPr>
                <w:rFonts w:hint="eastAsia" w:ascii="宋体" w:hAnsi="宋体" w:eastAsia="宋体" w:cs="宋体"/>
                <w:b w:val="0"/>
                <w:bCs w:val="0"/>
                <w:color w:val="auto"/>
                <w:spacing w:val="-3"/>
                <w:sz w:val="24"/>
                <w:szCs w:val="24"/>
                <w:highlight w:val="none"/>
              </w:rPr>
              <w:t>项目负责人</w:t>
            </w:r>
          </w:p>
        </w:tc>
        <w:tc>
          <w:tcPr>
            <w:tcW w:w="834" w:type="dxa"/>
            <w:vAlign w:val="top"/>
          </w:tcPr>
          <w:p w14:paraId="5522E250">
            <w:pPr>
              <w:pStyle w:val="78"/>
              <w:keepNext w:val="0"/>
              <w:keepLines w:val="0"/>
              <w:pageBreakBefore w:val="0"/>
              <w:wordWrap/>
              <w:overflowPunct/>
              <w:topLinePunct w:val="0"/>
              <w:autoSpaceDE w:val="0"/>
              <w:autoSpaceDN w:val="0"/>
              <w:bidi w:val="0"/>
              <w:adjustRightInd w:val="0"/>
              <w:spacing w:before="148" w:line="560" w:lineRule="exact"/>
              <w:ind w:left="37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p>
        </w:tc>
        <w:tc>
          <w:tcPr>
            <w:tcW w:w="6811" w:type="dxa"/>
            <w:vAlign w:val="top"/>
          </w:tcPr>
          <w:p w14:paraId="6A728833">
            <w:pPr>
              <w:pStyle w:val="78"/>
              <w:keepNext w:val="0"/>
              <w:keepLines w:val="0"/>
              <w:pageBreakBefore w:val="0"/>
              <w:wordWrap/>
              <w:overflowPunct/>
              <w:topLinePunct w:val="0"/>
              <w:autoSpaceDE w:val="0"/>
              <w:autoSpaceDN w:val="0"/>
              <w:bidi w:val="0"/>
              <w:adjustRightInd w:val="0"/>
              <w:spacing w:before="117" w:line="560" w:lineRule="exact"/>
              <w:ind w:left="12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1"/>
                <w:sz w:val="24"/>
                <w:szCs w:val="24"/>
                <w:highlight w:val="none"/>
                <w:lang w:eastAsia="zh-CN"/>
              </w:rPr>
              <w:t>大专</w:t>
            </w:r>
            <w:r>
              <w:rPr>
                <w:rFonts w:hint="eastAsia" w:ascii="宋体" w:hAnsi="宋体" w:eastAsia="宋体" w:cs="宋体"/>
                <w:b w:val="0"/>
                <w:bCs w:val="0"/>
                <w:color w:val="auto"/>
                <w:spacing w:val="-2"/>
                <w:sz w:val="24"/>
                <w:szCs w:val="24"/>
                <w:highlight w:val="none"/>
                <w:lang w:eastAsia="zh-CN"/>
              </w:rPr>
              <w:t>及</w:t>
            </w:r>
            <w:r>
              <w:rPr>
                <w:rFonts w:hint="eastAsia" w:ascii="宋体" w:hAnsi="宋体" w:eastAsia="宋体" w:cs="宋体"/>
                <w:b w:val="0"/>
                <w:bCs w:val="0"/>
                <w:color w:val="auto"/>
                <w:spacing w:val="-2"/>
                <w:sz w:val="24"/>
                <w:szCs w:val="24"/>
                <w:highlight w:val="none"/>
              </w:rPr>
              <w:t>以上</w:t>
            </w:r>
            <w:r>
              <w:rPr>
                <w:rFonts w:hint="eastAsia" w:ascii="宋体" w:hAnsi="宋体" w:eastAsia="宋体" w:cs="宋体"/>
                <w:b w:val="0"/>
                <w:bCs w:val="0"/>
                <w:color w:val="auto"/>
                <w:spacing w:val="-2"/>
                <w:sz w:val="24"/>
                <w:szCs w:val="24"/>
                <w:highlight w:val="none"/>
                <w:lang w:eastAsia="zh-CN"/>
              </w:rPr>
              <w:t>学历</w:t>
            </w:r>
            <w:r>
              <w:rPr>
                <w:rFonts w:hint="eastAsia" w:ascii="宋体" w:hAnsi="宋体" w:eastAsia="宋体" w:cs="宋体"/>
                <w:b w:val="0"/>
                <w:bCs w:val="0"/>
                <w:color w:val="auto"/>
                <w:spacing w:val="-2"/>
                <w:sz w:val="24"/>
                <w:szCs w:val="24"/>
                <w:highlight w:val="none"/>
              </w:rPr>
              <w:t>。负责</w:t>
            </w:r>
            <w:r>
              <w:rPr>
                <w:rFonts w:hint="eastAsia" w:ascii="宋体" w:hAnsi="宋体" w:eastAsia="宋体" w:cs="宋体"/>
                <w:b w:val="0"/>
                <w:bCs w:val="0"/>
                <w:color w:val="auto"/>
                <w:spacing w:val="-2"/>
                <w:sz w:val="24"/>
                <w:szCs w:val="24"/>
                <w:highlight w:val="none"/>
                <w:lang w:eastAsia="zh-CN"/>
              </w:rPr>
              <w:t>滁州</w:t>
            </w:r>
            <w:r>
              <w:rPr>
                <w:rFonts w:hint="eastAsia" w:ascii="宋体" w:hAnsi="宋体" w:eastAsia="宋体" w:cs="宋体"/>
                <w:b w:val="0"/>
                <w:bCs w:val="0"/>
                <w:color w:val="auto"/>
                <w:spacing w:val="-2"/>
                <w:sz w:val="24"/>
                <w:szCs w:val="24"/>
                <w:highlight w:val="none"/>
              </w:rPr>
              <w:t>市科技馆展教辅助服务及运行保障项目服务工作。</w:t>
            </w:r>
          </w:p>
        </w:tc>
      </w:tr>
      <w:tr w14:paraId="61ECD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1734" w:type="dxa"/>
            <w:vAlign w:val="top"/>
          </w:tcPr>
          <w:p w14:paraId="7F9633FF">
            <w:pPr>
              <w:pStyle w:val="78"/>
              <w:keepNext w:val="0"/>
              <w:keepLines w:val="0"/>
              <w:pageBreakBefore w:val="0"/>
              <w:wordWrap/>
              <w:overflowPunct/>
              <w:topLinePunct w:val="0"/>
              <w:autoSpaceDE w:val="0"/>
              <w:autoSpaceDN w:val="0"/>
              <w:bidi w:val="0"/>
              <w:adjustRightInd w:val="0"/>
              <w:spacing w:before="147" w:line="560" w:lineRule="exact"/>
              <w:jc w:val="center"/>
              <w:rPr>
                <w:rFonts w:hint="eastAsia" w:ascii="宋体" w:hAnsi="宋体" w:eastAsia="宋体" w:cs="宋体"/>
                <w:b w:val="0"/>
                <w:bCs w:val="0"/>
                <w:color w:val="auto"/>
                <w:spacing w:val="-3"/>
                <w:sz w:val="24"/>
                <w:szCs w:val="24"/>
                <w:highlight w:val="none"/>
              </w:rPr>
            </w:pPr>
            <w:r>
              <w:rPr>
                <w:rFonts w:hint="eastAsia" w:ascii="宋体" w:hAnsi="宋体" w:eastAsia="宋体" w:cs="宋体"/>
                <w:b w:val="0"/>
                <w:bCs w:val="0"/>
                <w:color w:val="auto"/>
                <w:spacing w:val="-3"/>
                <w:sz w:val="24"/>
                <w:szCs w:val="24"/>
                <w:highlight w:val="none"/>
              </w:rPr>
              <w:t>教育活动部负 责人</w:t>
            </w:r>
          </w:p>
        </w:tc>
        <w:tc>
          <w:tcPr>
            <w:tcW w:w="834" w:type="dxa"/>
            <w:vAlign w:val="center"/>
          </w:tcPr>
          <w:p w14:paraId="67229B3C">
            <w:pPr>
              <w:pStyle w:val="78"/>
              <w:keepNext w:val="0"/>
              <w:keepLines w:val="0"/>
              <w:pageBreakBefore w:val="0"/>
              <w:wordWrap/>
              <w:overflowPunct/>
              <w:topLinePunct w:val="0"/>
              <w:autoSpaceDE w:val="0"/>
              <w:autoSpaceDN w:val="0"/>
              <w:bidi w:val="0"/>
              <w:adjustRightInd w:val="0"/>
              <w:spacing w:before="78" w:line="560" w:lineRule="exact"/>
              <w:ind w:left="114"/>
              <w:jc w:val="center"/>
              <w:rPr>
                <w:rFonts w:hint="eastAsia" w:ascii="宋体" w:hAnsi="宋体" w:eastAsia="宋体" w:cs="宋体"/>
                <w:b w:val="0"/>
                <w:bCs w:val="0"/>
                <w:color w:val="auto"/>
                <w:spacing w:val="-1"/>
                <w:sz w:val="24"/>
                <w:szCs w:val="24"/>
                <w:highlight w:val="none"/>
                <w:lang w:eastAsia="zh-CN"/>
              </w:rPr>
            </w:pPr>
            <w:r>
              <w:rPr>
                <w:rFonts w:hint="eastAsia" w:ascii="宋体" w:hAnsi="宋体" w:eastAsia="宋体" w:cs="宋体"/>
                <w:b w:val="0"/>
                <w:bCs w:val="0"/>
                <w:color w:val="auto"/>
                <w:spacing w:val="-1"/>
                <w:sz w:val="24"/>
                <w:szCs w:val="24"/>
                <w:highlight w:val="none"/>
                <w:lang w:eastAsia="zh-CN"/>
              </w:rPr>
              <w:t>1</w:t>
            </w:r>
          </w:p>
        </w:tc>
        <w:tc>
          <w:tcPr>
            <w:tcW w:w="6811" w:type="dxa"/>
            <w:vAlign w:val="top"/>
          </w:tcPr>
          <w:p w14:paraId="7BBC0D0B">
            <w:pPr>
              <w:pStyle w:val="78"/>
              <w:keepNext w:val="0"/>
              <w:keepLines w:val="0"/>
              <w:pageBreakBefore w:val="0"/>
              <w:wordWrap/>
              <w:overflowPunct/>
              <w:topLinePunct w:val="0"/>
              <w:autoSpaceDE w:val="0"/>
              <w:autoSpaceDN w:val="0"/>
              <w:bidi w:val="0"/>
              <w:adjustRightInd w:val="0"/>
              <w:spacing w:before="78" w:line="560" w:lineRule="exact"/>
              <w:ind w:left="114"/>
              <w:rPr>
                <w:rFonts w:hint="eastAsia" w:ascii="宋体" w:hAnsi="宋体" w:eastAsia="宋体" w:cs="宋体"/>
                <w:b w:val="0"/>
                <w:bCs w:val="0"/>
                <w:color w:val="auto"/>
                <w:spacing w:val="-1"/>
                <w:sz w:val="24"/>
                <w:szCs w:val="24"/>
                <w:highlight w:val="none"/>
                <w:lang w:eastAsia="zh-CN"/>
              </w:rPr>
            </w:pPr>
            <w:r>
              <w:rPr>
                <w:rFonts w:hint="eastAsia" w:ascii="宋体" w:hAnsi="宋体" w:eastAsia="宋体" w:cs="宋体"/>
                <w:b w:val="0"/>
                <w:bCs w:val="0"/>
                <w:color w:val="auto"/>
                <w:spacing w:val="-1"/>
                <w:sz w:val="24"/>
                <w:szCs w:val="24"/>
                <w:highlight w:val="none"/>
                <w:lang w:eastAsia="zh-CN"/>
              </w:rPr>
              <w:t>大专及以上学历。协助项目负责人负责</w:t>
            </w:r>
            <w:r>
              <w:rPr>
                <w:rFonts w:hint="eastAsia" w:ascii="宋体" w:hAnsi="宋体" w:eastAsia="宋体" w:cs="宋体"/>
                <w:b w:val="0"/>
                <w:bCs w:val="0"/>
                <w:color w:val="auto"/>
                <w:spacing w:val="-2"/>
                <w:sz w:val="24"/>
                <w:szCs w:val="24"/>
                <w:highlight w:val="none"/>
                <w:lang w:eastAsia="zh-CN"/>
              </w:rPr>
              <w:t>滁州</w:t>
            </w:r>
            <w:r>
              <w:rPr>
                <w:rFonts w:hint="eastAsia" w:ascii="宋体" w:hAnsi="宋体" w:eastAsia="宋体" w:cs="宋体"/>
                <w:b w:val="0"/>
                <w:bCs w:val="0"/>
                <w:color w:val="auto"/>
                <w:spacing w:val="-2"/>
                <w:sz w:val="24"/>
                <w:szCs w:val="24"/>
                <w:highlight w:val="none"/>
              </w:rPr>
              <w:t>市科技馆展教辅助服务及运行保障项目服务工作。</w:t>
            </w:r>
          </w:p>
        </w:tc>
      </w:tr>
      <w:tr w14:paraId="3F5CB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0" w:hRule="atLeast"/>
        </w:trPr>
        <w:tc>
          <w:tcPr>
            <w:tcW w:w="1734" w:type="dxa"/>
            <w:vAlign w:val="center"/>
          </w:tcPr>
          <w:p w14:paraId="27CA8C84">
            <w:pPr>
              <w:pStyle w:val="78"/>
              <w:keepNext w:val="0"/>
              <w:keepLines w:val="0"/>
              <w:pageBreakBefore w:val="0"/>
              <w:wordWrap/>
              <w:overflowPunct/>
              <w:topLinePunct w:val="0"/>
              <w:autoSpaceDE w:val="0"/>
              <w:autoSpaceDN w:val="0"/>
              <w:bidi w:val="0"/>
              <w:adjustRightInd w:val="0"/>
              <w:spacing w:before="78" w:line="560" w:lineRule="exact"/>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2"/>
                <w:sz w:val="24"/>
                <w:szCs w:val="24"/>
                <w:highlight w:val="none"/>
                <w:lang w:eastAsia="zh-CN"/>
              </w:rPr>
              <w:t>运行</w:t>
            </w:r>
            <w:r>
              <w:rPr>
                <w:rFonts w:hint="eastAsia" w:ascii="宋体" w:hAnsi="宋体" w:eastAsia="宋体" w:cs="宋体"/>
                <w:b w:val="0"/>
                <w:bCs w:val="0"/>
                <w:color w:val="auto"/>
                <w:spacing w:val="-2"/>
                <w:sz w:val="24"/>
                <w:szCs w:val="24"/>
                <w:highlight w:val="none"/>
              </w:rPr>
              <w:t>保障部</w:t>
            </w:r>
          </w:p>
        </w:tc>
        <w:tc>
          <w:tcPr>
            <w:tcW w:w="834" w:type="dxa"/>
            <w:vAlign w:val="center"/>
          </w:tcPr>
          <w:p w14:paraId="0AAEC3D0">
            <w:pPr>
              <w:pStyle w:val="78"/>
              <w:keepNext w:val="0"/>
              <w:keepLines w:val="0"/>
              <w:pageBreakBefore w:val="0"/>
              <w:wordWrap/>
              <w:overflowPunct/>
              <w:topLinePunct w:val="0"/>
              <w:autoSpaceDE w:val="0"/>
              <w:autoSpaceDN w:val="0"/>
              <w:bidi w:val="0"/>
              <w:adjustRightInd w:val="0"/>
              <w:spacing w:before="78" w:line="560" w:lineRule="exact"/>
              <w:ind w:left="304"/>
              <w:jc w:val="both"/>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pacing w:val="-7"/>
                <w:sz w:val="24"/>
                <w:szCs w:val="24"/>
                <w:highlight w:val="none"/>
                <w:lang w:val="en-US" w:eastAsia="zh-CN"/>
              </w:rPr>
              <w:t>21</w:t>
            </w:r>
          </w:p>
        </w:tc>
        <w:tc>
          <w:tcPr>
            <w:tcW w:w="6811" w:type="dxa"/>
            <w:vAlign w:val="top"/>
          </w:tcPr>
          <w:p w14:paraId="496588E9">
            <w:pPr>
              <w:pStyle w:val="78"/>
              <w:keepNext w:val="0"/>
              <w:keepLines w:val="0"/>
              <w:pageBreakBefore w:val="0"/>
              <w:wordWrap/>
              <w:overflowPunct/>
              <w:topLinePunct w:val="0"/>
              <w:autoSpaceDE w:val="0"/>
              <w:autoSpaceDN w:val="0"/>
              <w:bidi w:val="0"/>
              <w:adjustRightInd w:val="0"/>
              <w:spacing w:before="115" w:line="560" w:lineRule="exact"/>
              <w:ind w:left="116" w:right="107" w:firstLine="14"/>
              <w:rPr>
                <w:rFonts w:hint="eastAsia" w:ascii="宋体" w:hAnsi="宋体" w:eastAsia="宋体" w:cs="宋体"/>
                <w:b w:val="0"/>
                <w:bCs w:val="0"/>
                <w:color w:val="auto"/>
                <w:spacing w:val="-1"/>
                <w:sz w:val="24"/>
                <w:szCs w:val="24"/>
                <w:highlight w:val="none"/>
              </w:rPr>
            </w:pPr>
            <w:r>
              <w:rPr>
                <w:rFonts w:hint="eastAsia" w:ascii="宋体" w:hAnsi="宋体" w:eastAsia="宋体" w:cs="宋体"/>
                <w:b w:val="0"/>
                <w:bCs w:val="0"/>
                <w:color w:val="auto"/>
                <w:spacing w:val="-2"/>
                <w:sz w:val="24"/>
                <w:szCs w:val="24"/>
                <w:highlight w:val="none"/>
                <w:lang w:val="en-US" w:eastAsia="zh-CN"/>
              </w:rPr>
              <w:t>1.</w:t>
            </w:r>
            <w:r>
              <w:rPr>
                <w:rFonts w:hint="eastAsia" w:ascii="宋体" w:hAnsi="宋体" w:eastAsia="宋体" w:cs="宋体"/>
                <w:b w:val="0"/>
                <w:bCs w:val="0"/>
                <w:color w:val="auto"/>
                <w:spacing w:val="-2"/>
                <w:sz w:val="24"/>
                <w:szCs w:val="24"/>
                <w:highlight w:val="none"/>
              </w:rPr>
              <w:t>保安人员</w:t>
            </w:r>
            <w:r>
              <w:rPr>
                <w:rFonts w:hint="eastAsia" w:ascii="宋体" w:hAnsi="宋体" w:eastAsia="宋体" w:cs="宋体"/>
                <w:b w:val="0"/>
                <w:bCs w:val="0"/>
                <w:color w:val="auto"/>
                <w:spacing w:val="-2"/>
                <w:sz w:val="24"/>
                <w:szCs w:val="24"/>
                <w:highlight w:val="none"/>
                <w:lang w:eastAsia="zh-CN"/>
              </w:rPr>
              <w:t>不少于</w:t>
            </w:r>
            <w:r>
              <w:rPr>
                <w:rFonts w:hint="eastAsia" w:ascii="宋体" w:hAnsi="宋体" w:eastAsia="宋体" w:cs="宋体"/>
                <w:b w:val="0"/>
                <w:bCs w:val="0"/>
                <w:color w:val="auto"/>
                <w:spacing w:val="-2"/>
                <w:sz w:val="24"/>
                <w:szCs w:val="24"/>
                <w:highlight w:val="none"/>
              </w:rPr>
              <w:t>8</w:t>
            </w:r>
            <w:r>
              <w:rPr>
                <w:rFonts w:hint="eastAsia" w:ascii="宋体" w:hAnsi="宋体" w:eastAsia="宋体" w:cs="宋体"/>
                <w:b w:val="0"/>
                <w:bCs w:val="0"/>
                <w:color w:val="auto"/>
                <w:spacing w:val="-2"/>
                <w:sz w:val="24"/>
                <w:szCs w:val="24"/>
                <w:highlight w:val="none"/>
                <w:lang w:eastAsia="zh-CN"/>
              </w:rPr>
              <w:t>人</w:t>
            </w:r>
            <w:r>
              <w:rPr>
                <w:rFonts w:hint="eastAsia" w:ascii="宋体" w:hAnsi="宋体" w:eastAsia="宋体" w:cs="宋体"/>
                <w:b w:val="0"/>
                <w:bCs w:val="0"/>
                <w:color w:val="auto"/>
                <w:spacing w:val="-2"/>
                <w:sz w:val="24"/>
                <w:szCs w:val="24"/>
                <w:highlight w:val="none"/>
              </w:rPr>
              <w:t>，男性，</w:t>
            </w:r>
            <w:r>
              <w:rPr>
                <w:rFonts w:hint="eastAsia" w:ascii="宋体" w:hAnsi="宋体" w:eastAsia="宋体" w:cs="宋体"/>
                <w:b w:val="0"/>
                <w:bCs w:val="0"/>
                <w:color w:val="auto"/>
                <w:spacing w:val="-1"/>
                <w:sz w:val="24"/>
                <w:szCs w:val="24"/>
                <w:highlight w:val="none"/>
                <w:lang w:val="en-US" w:eastAsia="zh-CN"/>
              </w:rPr>
              <w:t>法定退休年龄以内</w:t>
            </w:r>
            <w:r>
              <w:rPr>
                <w:rFonts w:hint="eastAsia" w:ascii="宋体" w:hAnsi="宋体" w:eastAsia="宋体" w:cs="宋体"/>
                <w:b w:val="0"/>
                <w:bCs w:val="0"/>
                <w:color w:val="auto"/>
                <w:spacing w:val="-1"/>
                <w:sz w:val="24"/>
                <w:szCs w:val="24"/>
                <w:highlight w:val="none"/>
              </w:rPr>
              <w:t>，无犯罪记录。思想政治条件好、训练有素、身体健康</w:t>
            </w:r>
            <w:r>
              <w:rPr>
                <w:rFonts w:hint="eastAsia" w:ascii="宋体" w:hAnsi="宋体" w:eastAsia="宋体" w:cs="宋体"/>
                <w:b w:val="0"/>
                <w:bCs w:val="0"/>
                <w:color w:val="auto"/>
                <w:spacing w:val="-1"/>
                <w:sz w:val="24"/>
                <w:szCs w:val="24"/>
                <w:highlight w:val="none"/>
                <w:lang w:eastAsia="zh-CN"/>
              </w:rPr>
              <w:t>。</w:t>
            </w:r>
            <w:r>
              <w:rPr>
                <w:rFonts w:hint="eastAsia" w:ascii="宋体" w:hAnsi="宋体" w:eastAsia="宋体" w:cs="宋体"/>
                <w:b w:val="0"/>
                <w:bCs w:val="0"/>
                <w:color w:val="auto"/>
                <w:spacing w:val="-1"/>
                <w:sz w:val="24"/>
                <w:szCs w:val="24"/>
                <w:highlight w:val="none"/>
              </w:rPr>
              <w:t>负责全馆安全保卫、展厅执勤、防火检查、巡查监控、车辆疏导以及节假日、会展临时安保、24小时值班等工作；</w:t>
            </w:r>
          </w:p>
          <w:p w14:paraId="6780AF06">
            <w:pPr>
              <w:pStyle w:val="78"/>
              <w:keepNext w:val="0"/>
              <w:keepLines w:val="0"/>
              <w:pageBreakBefore w:val="0"/>
              <w:wordWrap/>
              <w:overflowPunct/>
              <w:topLinePunct w:val="0"/>
              <w:autoSpaceDE w:val="0"/>
              <w:autoSpaceDN w:val="0"/>
              <w:bidi w:val="0"/>
              <w:adjustRightInd w:val="0"/>
              <w:spacing w:before="115" w:line="560" w:lineRule="exact"/>
              <w:ind w:left="116" w:right="107" w:firstLine="14"/>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1"/>
                <w:sz w:val="24"/>
                <w:szCs w:val="24"/>
                <w:highlight w:val="none"/>
              </w:rPr>
              <w:t>2.保洁人员</w:t>
            </w:r>
            <w:r>
              <w:rPr>
                <w:rFonts w:hint="eastAsia" w:ascii="宋体" w:hAnsi="宋体" w:eastAsia="宋体" w:cs="宋体"/>
                <w:b w:val="0"/>
                <w:bCs w:val="0"/>
                <w:color w:val="auto"/>
                <w:spacing w:val="-1"/>
                <w:sz w:val="24"/>
                <w:szCs w:val="24"/>
                <w:highlight w:val="none"/>
                <w:lang w:eastAsia="zh-CN"/>
              </w:rPr>
              <w:t>不少于</w:t>
            </w:r>
            <w:r>
              <w:rPr>
                <w:rFonts w:hint="eastAsia" w:ascii="宋体" w:hAnsi="宋体" w:eastAsia="宋体" w:cs="宋体"/>
                <w:b w:val="0"/>
                <w:bCs w:val="0"/>
                <w:color w:val="auto"/>
                <w:spacing w:val="-1"/>
                <w:sz w:val="24"/>
                <w:szCs w:val="24"/>
                <w:highlight w:val="none"/>
                <w:lang w:val="en-US" w:eastAsia="zh-CN"/>
              </w:rPr>
              <w:t>8</w:t>
            </w:r>
            <w:r>
              <w:rPr>
                <w:rFonts w:hint="eastAsia" w:ascii="宋体" w:hAnsi="宋体" w:eastAsia="宋体" w:cs="宋体"/>
                <w:b w:val="0"/>
                <w:bCs w:val="0"/>
                <w:color w:val="auto"/>
                <w:spacing w:val="-1"/>
                <w:sz w:val="24"/>
                <w:szCs w:val="24"/>
                <w:highlight w:val="none"/>
                <w:lang w:eastAsia="zh-CN"/>
              </w:rPr>
              <w:t>人</w:t>
            </w:r>
            <w:r>
              <w:rPr>
                <w:rFonts w:hint="eastAsia" w:ascii="宋体" w:hAnsi="宋体" w:eastAsia="宋体" w:cs="宋体"/>
                <w:b w:val="0"/>
                <w:bCs w:val="0"/>
                <w:color w:val="auto"/>
                <w:spacing w:val="-1"/>
                <w:sz w:val="24"/>
                <w:szCs w:val="24"/>
                <w:highlight w:val="none"/>
              </w:rPr>
              <w:t>，</w:t>
            </w:r>
            <w:r>
              <w:rPr>
                <w:rFonts w:hint="eastAsia" w:ascii="宋体" w:hAnsi="宋体" w:eastAsia="宋体" w:cs="宋体"/>
                <w:b w:val="0"/>
                <w:bCs w:val="0"/>
                <w:color w:val="auto"/>
                <w:spacing w:val="-1"/>
                <w:sz w:val="24"/>
                <w:szCs w:val="24"/>
                <w:highlight w:val="none"/>
                <w:lang w:val="en-US" w:eastAsia="zh-CN"/>
              </w:rPr>
              <w:t>法定退休年龄以内</w:t>
            </w:r>
            <w:r>
              <w:rPr>
                <w:rFonts w:hint="eastAsia" w:ascii="宋体" w:hAnsi="宋体" w:eastAsia="宋体" w:cs="宋体"/>
                <w:b w:val="0"/>
                <w:bCs w:val="0"/>
                <w:color w:val="auto"/>
                <w:spacing w:val="-1"/>
                <w:sz w:val="24"/>
                <w:szCs w:val="24"/>
                <w:highlight w:val="none"/>
              </w:rPr>
              <w:t>，</w:t>
            </w:r>
            <w:r>
              <w:rPr>
                <w:rFonts w:hint="eastAsia" w:ascii="宋体" w:hAnsi="宋体" w:eastAsia="宋体" w:cs="宋体"/>
                <w:b w:val="0"/>
                <w:bCs w:val="0"/>
                <w:color w:val="auto"/>
                <w:spacing w:val="-2"/>
                <w:sz w:val="24"/>
                <w:szCs w:val="24"/>
                <w:highlight w:val="none"/>
              </w:rPr>
              <w:t>无犯罪记录、身体健康</w:t>
            </w:r>
            <w:r>
              <w:rPr>
                <w:rFonts w:hint="eastAsia" w:ascii="宋体" w:hAnsi="宋体" w:eastAsia="宋体" w:cs="宋体"/>
                <w:b w:val="0"/>
                <w:bCs w:val="0"/>
                <w:color w:val="auto"/>
                <w:spacing w:val="-2"/>
                <w:sz w:val="24"/>
                <w:szCs w:val="24"/>
                <w:highlight w:val="none"/>
                <w:lang w:eastAsia="zh-CN"/>
              </w:rPr>
              <w:t>。</w:t>
            </w:r>
            <w:r>
              <w:rPr>
                <w:rFonts w:hint="eastAsia" w:ascii="宋体" w:hAnsi="宋体" w:eastAsia="宋体" w:cs="宋体"/>
                <w:b w:val="0"/>
                <w:bCs w:val="0"/>
                <w:color w:val="auto"/>
                <w:spacing w:val="-2"/>
                <w:sz w:val="24"/>
                <w:szCs w:val="24"/>
                <w:highlight w:val="none"/>
              </w:rPr>
              <w:t>负责全馆卫生保洁、垃</w:t>
            </w:r>
            <w:r>
              <w:rPr>
                <w:rFonts w:hint="eastAsia" w:ascii="宋体" w:hAnsi="宋体" w:eastAsia="宋体" w:cs="宋体"/>
                <w:b w:val="0"/>
                <w:bCs w:val="0"/>
                <w:color w:val="auto"/>
                <w:spacing w:val="-3"/>
                <w:sz w:val="24"/>
                <w:szCs w:val="24"/>
                <w:highlight w:val="none"/>
              </w:rPr>
              <w:t>圾清运、绿化管护、</w:t>
            </w:r>
            <w:r>
              <w:rPr>
                <w:rFonts w:hint="eastAsia" w:ascii="宋体" w:hAnsi="宋体" w:eastAsia="宋体" w:cs="宋体"/>
                <w:b w:val="0"/>
                <w:bCs w:val="0"/>
                <w:color w:val="auto"/>
                <w:spacing w:val="-2"/>
                <w:sz w:val="24"/>
                <w:szCs w:val="24"/>
                <w:highlight w:val="none"/>
              </w:rPr>
              <w:t>教室保洁管理等工作；</w:t>
            </w:r>
          </w:p>
          <w:p w14:paraId="14B58688">
            <w:pPr>
              <w:pStyle w:val="78"/>
              <w:keepNext w:val="0"/>
              <w:keepLines w:val="0"/>
              <w:pageBreakBefore w:val="0"/>
              <w:wordWrap/>
              <w:overflowPunct/>
              <w:topLinePunct w:val="0"/>
              <w:autoSpaceDE w:val="0"/>
              <w:autoSpaceDN w:val="0"/>
              <w:bidi w:val="0"/>
              <w:adjustRightInd w:val="0"/>
              <w:spacing w:before="115" w:line="560" w:lineRule="exact"/>
              <w:ind w:left="112" w:right="107" w:firstLine="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1"/>
                <w:sz w:val="24"/>
                <w:szCs w:val="24"/>
                <w:highlight w:val="none"/>
              </w:rPr>
              <w:t>3.工程技术人员</w:t>
            </w:r>
            <w:r>
              <w:rPr>
                <w:rFonts w:hint="eastAsia" w:ascii="宋体" w:hAnsi="宋体" w:eastAsia="宋体" w:cs="宋体"/>
                <w:b w:val="0"/>
                <w:bCs w:val="0"/>
                <w:color w:val="auto"/>
                <w:spacing w:val="1"/>
                <w:sz w:val="24"/>
                <w:szCs w:val="24"/>
                <w:highlight w:val="none"/>
                <w:lang w:eastAsia="zh-CN"/>
              </w:rPr>
              <w:t>不少于</w:t>
            </w:r>
            <w:r>
              <w:rPr>
                <w:rFonts w:hint="eastAsia" w:ascii="宋体" w:hAnsi="宋体" w:eastAsia="宋体" w:cs="宋体"/>
                <w:b w:val="0"/>
                <w:bCs w:val="0"/>
                <w:color w:val="auto"/>
                <w:spacing w:val="1"/>
                <w:sz w:val="24"/>
                <w:szCs w:val="24"/>
                <w:highlight w:val="none"/>
              </w:rPr>
              <w:t>3</w:t>
            </w:r>
            <w:r>
              <w:rPr>
                <w:rFonts w:hint="eastAsia" w:ascii="宋体" w:hAnsi="宋体" w:eastAsia="宋体" w:cs="宋体"/>
                <w:b w:val="0"/>
                <w:bCs w:val="0"/>
                <w:color w:val="auto"/>
                <w:spacing w:val="-2"/>
                <w:sz w:val="24"/>
                <w:szCs w:val="24"/>
                <w:highlight w:val="none"/>
                <w:lang w:eastAsia="zh-CN"/>
              </w:rPr>
              <w:t>人（含部门主管</w:t>
            </w:r>
            <w:r>
              <w:rPr>
                <w:rFonts w:hint="eastAsia" w:ascii="宋体" w:hAnsi="宋体" w:eastAsia="宋体" w:cs="宋体"/>
                <w:b w:val="0"/>
                <w:bCs w:val="0"/>
                <w:color w:val="auto"/>
                <w:spacing w:val="-2"/>
                <w:sz w:val="24"/>
                <w:szCs w:val="24"/>
                <w:highlight w:val="none"/>
                <w:lang w:val="en-US" w:eastAsia="zh-CN"/>
              </w:rPr>
              <w:t>1人）</w:t>
            </w:r>
            <w:r>
              <w:rPr>
                <w:rFonts w:hint="eastAsia" w:ascii="宋体" w:hAnsi="宋体" w:eastAsia="宋体" w:cs="宋体"/>
                <w:b w:val="0"/>
                <w:bCs w:val="0"/>
                <w:color w:val="auto"/>
                <w:spacing w:val="1"/>
                <w:sz w:val="24"/>
                <w:szCs w:val="24"/>
                <w:highlight w:val="none"/>
              </w:rPr>
              <w:t>，</w:t>
            </w:r>
            <w:r>
              <w:rPr>
                <w:rFonts w:hint="eastAsia" w:ascii="宋体" w:hAnsi="宋体" w:eastAsia="宋体" w:cs="宋体"/>
                <w:b w:val="0"/>
                <w:bCs w:val="0"/>
                <w:color w:val="auto"/>
                <w:spacing w:val="-1"/>
                <w:sz w:val="24"/>
                <w:szCs w:val="24"/>
                <w:highlight w:val="none"/>
              </w:rPr>
              <w:t>须持有与本岗工作相关的资格证书</w:t>
            </w:r>
            <w:r>
              <w:rPr>
                <w:rFonts w:hint="eastAsia" w:ascii="宋体" w:hAnsi="宋体" w:eastAsia="宋体" w:cs="宋体"/>
                <w:b w:val="0"/>
                <w:bCs w:val="0"/>
                <w:color w:val="auto"/>
                <w:spacing w:val="-1"/>
                <w:sz w:val="24"/>
                <w:szCs w:val="24"/>
                <w:highlight w:val="none"/>
                <w:lang w:eastAsia="zh-CN"/>
              </w:rPr>
              <w:t>，</w:t>
            </w:r>
            <w:r>
              <w:rPr>
                <w:rFonts w:hint="eastAsia" w:ascii="宋体" w:hAnsi="宋体" w:eastAsia="宋体" w:cs="宋体"/>
                <w:b w:val="0"/>
                <w:bCs w:val="0"/>
                <w:color w:val="auto"/>
                <w:spacing w:val="-1"/>
                <w:sz w:val="24"/>
                <w:szCs w:val="24"/>
                <w:highlight w:val="none"/>
              </w:rPr>
              <w:t>无犯罪记录</w:t>
            </w:r>
            <w:r>
              <w:rPr>
                <w:rFonts w:hint="eastAsia" w:ascii="宋体" w:hAnsi="宋体" w:eastAsia="宋体" w:cs="宋体"/>
                <w:b w:val="0"/>
                <w:bCs w:val="0"/>
                <w:color w:val="auto"/>
                <w:spacing w:val="-2"/>
                <w:sz w:val="24"/>
                <w:szCs w:val="24"/>
                <w:highlight w:val="none"/>
              </w:rPr>
              <w:t>、身体健康</w:t>
            </w:r>
            <w:r>
              <w:rPr>
                <w:rFonts w:hint="eastAsia" w:ascii="宋体" w:hAnsi="宋体" w:eastAsia="宋体" w:cs="宋体"/>
                <w:b w:val="0"/>
                <w:bCs w:val="0"/>
                <w:color w:val="auto"/>
                <w:spacing w:val="-2"/>
                <w:sz w:val="24"/>
                <w:szCs w:val="24"/>
                <w:highlight w:val="none"/>
                <w:lang w:eastAsia="zh-CN"/>
              </w:rPr>
              <w:t>。</w:t>
            </w:r>
            <w:r>
              <w:rPr>
                <w:rFonts w:hint="eastAsia" w:ascii="宋体" w:hAnsi="宋体" w:eastAsia="宋体" w:cs="宋体"/>
                <w:b w:val="0"/>
                <w:bCs w:val="0"/>
                <w:color w:val="auto"/>
                <w:spacing w:val="1"/>
                <w:sz w:val="24"/>
                <w:szCs w:val="24"/>
                <w:highlight w:val="none"/>
              </w:rPr>
              <w:t>负责全馆水、电、气系统等配套设备设</w:t>
            </w:r>
            <w:r>
              <w:rPr>
                <w:rFonts w:hint="eastAsia" w:ascii="宋体" w:hAnsi="宋体" w:eastAsia="宋体" w:cs="宋体"/>
                <w:b w:val="0"/>
                <w:bCs w:val="0"/>
                <w:color w:val="auto"/>
                <w:spacing w:val="-1"/>
                <w:sz w:val="24"/>
                <w:szCs w:val="24"/>
                <w:highlight w:val="none"/>
              </w:rPr>
              <w:t>施的日常维护（修）等工作，并做好相关巡查记录；</w:t>
            </w:r>
          </w:p>
          <w:p w14:paraId="61051167">
            <w:pPr>
              <w:pStyle w:val="78"/>
              <w:keepNext w:val="0"/>
              <w:keepLines w:val="0"/>
              <w:pageBreakBefore w:val="0"/>
              <w:wordWrap/>
              <w:overflowPunct/>
              <w:topLinePunct w:val="0"/>
              <w:autoSpaceDE w:val="0"/>
              <w:autoSpaceDN w:val="0"/>
              <w:bidi w:val="0"/>
              <w:adjustRightInd w:val="0"/>
              <w:spacing w:before="111" w:line="560" w:lineRule="exact"/>
              <w:ind w:left="114" w:right="107" w:hanging="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2"/>
                <w:sz w:val="24"/>
                <w:szCs w:val="24"/>
                <w:highlight w:val="none"/>
              </w:rPr>
              <w:t>4</w:t>
            </w:r>
            <w:r>
              <w:rPr>
                <w:rFonts w:hint="eastAsia" w:ascii="宋体" w:hAnsi="宋体" w:eastAsia="宋体" w:cs="宋体"/>
                <w:b w:val="0"/>
                <w:bCs w:val="0"/>
                <w:color w:val="auto"/>
                <w:spacing w:val="1"/>
                <w:sz w:val="24"/>
                <w:szCs w:val="24"/>
                <w:highlight w:val="none"/>
              </w:rPr>
              <w:t>.后勤人员</w:t>
            </w:r>
            <w:r>
              <w:rPr>
                <w:rFonts w:hint="eastAsia" w:ascii="宋体" w:hAnsi="宋体" w:eastAsia="宋体" w:cs="宋体"/>
                <w:b w:val="0"/>
                <w:bCs w:val="0"/>
                <w:color w:val="auto"/>
                <w:spacing w:val="1"/>
                <w:sz w:val="24"/>
                <w:szCs w:val="24"/>
                <w:highlight w:val="none"/>
                <w:lang w:eastAsia="zh-CN"/>
              </w:rPr>
              <w:t>不少于</w:t>
            </w:r>
            <w:r>
              <w:rPr>
                <w:rFonts w:hint="eastAsia" w:ascii="宋体" w:hAnsi="宋体" w:eastAsia="宋体" w:cs="宋体"/>
                <w:b w:val="0"/>
                <w:bCs w:val="0"/>
                <w:color w:val="auto"/>
                <w:spacing w:val="1"/>
                <w:sz w:val="24"/>
                <w:szCs w:val="24"/>
                <w:highlight w:val="none"/>
              </w:rPr>
              <w:t>2</w:t>
            </w:r>
            <w:r>
              <w:rPr>
                <w:rFonts w:hint="eastAsia" w:ascii="宋体" w:hAnsi="宋体" w:eastAsia="宋体" w:cs="宋体"/>
                <w:b w:val="0"/>
                <w:bCs w:val="0"/>
                <w:color w:val="auto"/>
                <w:spacing w:val="1"/>
                <w:sz w:val="24"/>
                <w:szCs w:val="24"/>
                <w:highlight w:val="none"/>
                <w:lang w:eastAsia="zh-CN"/>
              </w:rPr>
              <w:t>人</w:t>
            </w:r>
            <w:r>
              <w:rPr>
                <w:rFonts w:hint="eastAsia" w:ascii="宋体" w:hAnsi="宋体" w:eastAsia="宋体" w:cs="宋体"/>
                <w:b w:val="0"/>
                <w:bCs w:val="0"/>
                <w:color w:val="auto"/>
                <w:spacing w:val="1"/>
                <w:sz w:val="24"/>
                <w:szCs w:val="24"/>
                <w:highlight w:val="none"/>
              </w:rPr>
              <w:t>，</w:t>
            </w:r>
            <w:r>
              <w:rPr>
                <w:rFonts w:hint="eastAsia" w:ascii="宋体" w:hAnsi="宋体" w:eastAsia="宋体" w:cs="宋体"/>
                <w:b w:val="0"/>
                <w:bCs w:val="0"/>
                <w:color w:val="auto"/>
                <w:spacing w:val="-2"/>
                <w:sz w:val="24"/>
                <w:szCs w:val="24"/>
                <w:highlight w:val="none"/>
              </w:rPr>
              <w:t>无犯罪记录、身体健康</w:t>
            </w:r>
            <w:r>
              <w:rPr>
                <w:rFonts w:hint="eastAsia" w:ascii="宋体" w:hAnsi="宋体" w:eastAsia="宋体" w:cs="宋体"/>
                <w:b w:val="0"/>
                <w:bCs w:val="0"/>
                <w:color w:val="auto"/>
                <w:spacing w:val="-2"/>
                <w:sz w:val="24"/>
                <w:szCs w:val="24"/>
                <w:highlight w:val="none"/>
                <w:lang w:eastAsia="zh-CN"/>
              </w:rPr>
              <w:t>，</w:t>
            </w:r>
            <w:r>
              <w:rPr>
                <w:rFonts w:hint="eastAsia" w:ascii="宋体" w:hAnsi="宋体" w:eastAsia="宋体" w:cs="宋体"/>
                <w:b w:val="0"/>
                <w:bCs w:val="0"/>
                <w:color w:val="auto"/>
                <w:spacing w:val="1"/>
                <w:sz w:val="24"/>
                <w:szCs w:val="24"/>
                <w:highlight w:val="none"/>
              </w:rPr>
              <w:t>熟练掌握各种会议、接待的台型布置和礼仪接待规范</w:t>
            </w:r>
            <w:r>
              <w:rPr>
                <w:rFonts w:hint="eastAsia" w:ascii="宋体" w:hAnsi="宋体" w:eastAsia="宋体" w:cs="宋体"/>
                <w:b w:val="0"/>
                <w:bCs w:val="0"/>
                <w:color w:val="auto"/>
                <w:spacing w:val="1"/>
                <w:sz w:val="24"/>
                <w:szCs w:val="24"/>
                <w:highlight w:val="none"/>
                <w:lang w:eastAsia="zh-CN"/>
              </w:rPr>
              <w:t>。</w:t>
            </w:r>
            <w:r>
              <w:rPr>
                <w:rFonts w:hint="eastAsia" w:ascii="宋体" w:hAnsi="宋体" w:eastAsia="宋体" w:cs="宋体"/>
                <w:b w:val="0"/>
                <w:bCs w:val="0"/>
                <w:color w:val="auto"/>
                <w:spacing w:val="1"/>
                <w:sz w:val="24"/>
                <w:szCs w:val="24"/>
                <w:highlight w:val="none"/>
              </w:rPr>
              <w:t>负责馆内学术报告厅、会议室、贵宾厅、接待室等后勤服务。</w:t>
            </w:r>
          </w:p>
        </w:tc>
      </w:tr>
      <w:tr w14:paraId="5F4E5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9" w:hRule="atLeast"/>
        </w:trPr>
        <w:tc>
          <w:tcPr>
            <w:tcW w:w="1734" w:type="dxa"/>
            <w:vAlign w:val="center"/>
          </w:tcPr>
          <w:p w14:paraId="09D937F2">
            <w:pPr>
              <w:pStyle w:val="78"/>
              <w:keepNext w:val="0"/>
              <w:keepLines w:val="0"/>
              <w:pageBreakBefore w:val="0"/>
              <w:wordWrap/>
              <w:overflowPunct/>
              <w:topLinePunct w:val="0"/>
              <w:autoSpaceDE w:val="0"/>
              <w:autoSpaceDN w:val="0"/>
              <w:bidi w:val="0"/>
              <w:adjustRightInd w:val="0"/>
              <w:spacing w:before="78" w:line="560" w:lineRule="exact"/>
              <w:ind w:left="275"/>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3"/>
                <w:sz w:val="24"/>
                <w:szCs w:val="24"/>
                <w:highlight w:val="none"/>
              </w:rPr>
              <w:t>展厅服务部</w:t>
            </w:r>
          </w:p>
        </w:tc>
        <w:tc>
          <w:tcPr>
            <w:tcW w:w="834" w:type="dxa"/>
            <w:vAlign w:val="center"/>
          </w:tcPr>
          <w:p w14:paraId="03B4CA77">
            <w:pPr>
              <w:pStyle w:val="78"/>
              <w:keepNext w:val="0"/>
              <w:keepLines w:val="0"/>
              <w:pageBreakBefore w:val="0"/>
              <w:wordWrap/>
              <w:overflowPunct/>
              <w:topLinePunct w:val="0"/>
              <w:autoSpaceDE w:val="0"/>
              <w:autoSpaceDN w:val="0"/>
              <w:bidi w:val="0"/>
              <w:adjustRightInd w:val="0"/>
              <w:spacing w:before="78" w:line="560" w:lineRule="exact"/>
              <w:ind w:left="304"/>
              <w:jc w:val="both"/>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pacing w:val="-7"/>
                <w:sz w:val="24"/>
                <w:szCs w:val="24"/>
                <w:highlight w:val="none"/>
                <w:lang w:val="en-US" w:eastAsia="zh-CN"/>
              </w:rPr>
              <w:t>19</w:t>
            </w:r>
          </w:p>
        </w:tc>
        <w:tc>
          <w:tcPr>
            <w:tcW w:w="6811" w:type="dxa"/>
            <w:vAlign w:val="top"/>
          </w:tcPr>
          <w:p w14:paraId="29AE9948">
            <w:pPr>
              <w:pStyle w:val="78"/>
              <w:keepNext w:val="0"/>
              <w:keepLines w:val="0"/>
              <w:pageBreakBefore w:val="0"/>
              <w:wordWrap/>
              <w:overflowPunct/>
              <w:topLinePunct w:val="0"/>
              <w:autoSpaceDE w:val="0"/>
              <w:autoSpaceDN w:val="0"/>
              <w:bidi w:val="0"/>
              <w:adjustRightInd w:val="0"/>
              <w:spacing w:before="118" w:line="560" w:lineRule="exact"/>
              <w:ind w:left="117" w:right="108" w:firstLine="1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3"/>
                <w:sz w:val="24"/>
                <w:szCs w:val="24"/>
                <w:highlight w:val="none"/>
              </w:rPr>
              <w:t>展厅服务部</w:t>
            </w:r>
            <w:r>
              <w:rPr>
                <w:rFonts w:hint="eastAsia" w:ascii="宋体" w:hAnsi="宋体" w:eastAsia="宋体" w:cs="宋体"/>
                <w:b w:val="0"/>
                <w:bCs w:val="0"/>
                <w:color w:val="auto"/>
                <w:spacing w:val="-3"/>
                <w:sz w:val="24"/>
                <w:szCs w:val="24"/>
                <w:highlight w:val="none"/>
                <w:lang w:eastAsia="zh-CN"/>
              </w:rPr>
              <w:t>服</w:t>
            </w:r>
            <w:r>
              <w:rPr>
                <w:rFonts w:hint="eastAsia" w:ascii="宋体" w:hAnsi="宋体" w:eastAsia="宋体" w:cs="宋体"/>
                <w:b w:val="0"/>
                <w:bCs w:val="0"/>
                <w:color w:val="auto"/>
                <w:spacing w:val="-1"/>
                <w:sz w:val="24"/>
                <w:szCs w:val="24"/>
                <w:highlight w:val="none"/>
                <w:lang w:eastAsia="zh-CN"/>
              </w:rPr>
              <w:t>务人员不少于</w:t>
            </w:r>
            <w:r>
              <w:rPr>
                <w:rFonts w:hint="eastAsia" w:ascii="宋体" w:hAnsi="宋体" w:eastAsia="宋体" w:cs="宋体"/>
                <w:b w:val="0"/>
                <w:bCs w:val="0"/>
                <w:color w:val="auto"/>
                <w:spacing w:val="-1"/>
                <w:sz w:val="24"/>
                <w:szCs w:val="24"/>
                <w:highlight w:val="none"/>
                <w:lang w:val="en-US" w:eastAsia="zh-CN"/>
              </w:rPr>
              <w:t>19人，</w:t>
            </w:r>
            <w:r>
              <w:rPr>
                <w:rFonts w:hint="eastAsia" w:ascii="宋体" w:hAnsi="宋体" w:eastAsia="宋体" w:cs="宋体"/>
                <w:b w:val="0"/>
                <w:bCs w:val="0"/>
                <w:color w:val="auto"/>
                <w:spacing w:val="-2"/>
                <w:sz w:val="24"/>
                <w:szCs w:val="24"/>
                <w:highlight w:val="none"/>
              </w:rPr>
              <w:t>无犯罪记录、身体健康</w:t>
            </w:r>
            <w:r>
              <w:rPr>
                <w:rFonts w:hint="eastAsia" w:ascii="宋体" w:hAnsi="宋体" w:eastAsia="宋体" w:cs="宋体"/>
                <w:b w:val="0"/>
                <w:bCs w:val="0"/>
                <w:color w:val="auto"/>
                <w:spacing w:val="-2"/>
                <w:sz w:val="24"/>
                <w:szCs w:val="24"/>
                <w:highlight w:val="none"/>
                <w:lang w:eastAsia="zh-CN"/>
              </w:rPr>
              <w:t>，</w:t>
            </w:r>
            <w:r>
              <w:rPr>
                <w:rFonts w:hint="eastAsia" w:ascii="宋体" w:hAnsi="宋体" w:eastAsia="宋体" w:cs="宋体"/>
                <w:b w:val="0"/>
                <w:bCs w:val="0"/>
                <w:color w:val="auto"/>
                <w:spacing w:val="-1"/>
                <w:sz w:val="24"/>
                <w:szCs w:val="24"/>
                <w:highlight w:val="none"/>
              </w:rPr>
              <w:t>具有良好的沟通协调、活动组织能力。负责科技馆展厅</w:t>
            </w:r>
            <w:r>
              <w:rPr>
                <w:rFonts w:hint="eastAsia" w:ascii="宋体" w:hAnsi="宋体" w:eastAsia="宋体" w:cs="宋体"/>
                <w:b w:val="0"/>
                <w:bCs w:val="0"/>
                <w:color w:val="auto"/>
                <w:spacing w:val="-1"/>
                <w:sz w:val="24"/>
                <w:szCs w:val="24"/>
                <w:highlight w:val="none"/>
                <w:lang w:eastAsia="zh-CN"/>
              </w:rPr>
              <w:t>运行</w:t>
            </w:r>
            <w:r>
              <w:rPr>
                <w:rFonts w:hint="eastAsia" w:ascii="宋体" w:hAnsi="宋体" w:eastAsia="宋体" w:cs="宋体"/>
                <w:b w:val="0"/>
                <w:bCs w:val="0"/>
                <w:color w:val="auto"/>
                <w:spacing w:val="-1"/>
                <w:sz w:val="24"/>
                <w:szCs w:val="24"/>
                <w:highlight w:val="none"/>
              </w:rPr>
              <w:t>与管理、展品看护、前台接待、</w:t>
            </w:r>
            <w:r>
              <w:rPr>
                <w:rFonts w:hint="eastAsia" w:ascii="宋体" w:hAnsi="宋体" w:eastAsia="宋体" w:cs="宋体"/>
                <w:b w:val="0"/>
                <w:bCs w:val="0"/>
                <w:color w:val="auto"/>
                <w:spacing w:val="-1"/>
                <w:sz w:val="24"/>
                <w:szCs w:val="24"/>
                <w:highlight w:val="none"/>
                <w:lang w:eastAsia="zh-CN"/>
              </w:rPr>
              <w:t>球幕</w:t>
            </w:r>
            <w:r>
              <w:rPr>
                <w:rFonts w:hint="eastAsia" w:ascii="宋体" w:hAnsi="宋体" w:eastAsia="宋体" w:cs="宋体"/>
                <w:b w:val="0"/>
                <w:bCs w:val="0"/>
                <w:color w:val="auto"/>
                <w:spacing w:val="-1"/>
                <w:sz w:val="24"/>
                <w:szCs w:val="24"/>
                <w:highlight w:val="none"/>
              </w:rPr>
              <w:t>影院播放、展厅教育活动实施以及配合市科技馆做好相关赛事的辅助工作。</w:t>
            </w:r>
          </w:p>
        </w:tc>
      </w:tr>
      <w:tr w14:paraId="05AE6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734" w:type="dxa"/>
            <w:vAlign w:val="top"/>
          </w:tcPr>
          <w:p w14:paraId="0F2B93D2">
            <w:pPr>
              <w:keepNext w:val="0"/>
              <w:keepLines w:val="0"/>
              <w:pageBreakBefore w:val="0"/>
              <w:wordWrap/>
              <w:overflowPunct/>
              <w:topLinePunct w:val="0"/>
              <w:autoSpaceDE w:val="0"/>
              <w:autoSpaceDN w:val="0"/>
              <w:bidi w:val="0"/>
              <w:adjustRightInd w:val="0"/>
              <w:spacing w:line="560" w:lineRule="exact"/>
              <w:rPr>
                <w:rFonts w:hint="eastAsia" w:ascii="宋体" w:hAnsi="宋体" w:eastAsia="宋体" w:cs="宋体"/>
                <w:b w:val="0"/>
                <w:bCs w:val="0"/>
                <w:color w:val="auto"/>
                <w:sz w:val="24"/>
                <w:szCs w:val="24"/>
                <w:highlight w:val="none"/>
              </w:rPr>
            </w:pPr>
          </w:p>
          <w:p w14:paraId="608505F0">
            <w:pPr>
              <w:pStyle w:val="78"/>
              <w:keepNext w:val="0"/>
              <w:keepLines w:val="0"/>
              <w:pageBreakBefore w:val="0"/>
              <w:wordWrap/>
              <w:overflowPunct/>
              <w:topLinePunct w:val="0"/>
              <w:autoSpaceDE w:val="0"/>
              <w:autoSpaceDN w:val="0"/>
              <w:bidi w:val="0"/>
              <w:adjustRightInd w:val="0"/>
              <w:spacing w:before="78" w:line="560" w:lineRule="exact"/>
              <w:ind w:left="276"/>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3"/>
                <w:sz w:val="24"/>
                <w:szCs w:val="24"/>
                <w:highlight w:val="none"/>
                <w:lang w:eastAsia="zh-CN"/>
              </w:rPr>
              <w:t>媒体服务</w:t>
            </w:r>
            <w:r>
              <w:rPr>
                <w:rFonts w:hint="eastAsia" w:ascii="宋体" w:hAnsi="宋体" w:eastAsia="宋体" w:cs="宋体"/>
                <w:b w:val="0"/>
                <w:bCs w:val="0"/>
                <w:color w:val="auto"/>
                <w:spacing w:val="-3"/>
                <w:sz w:val="24"/>
                <w:szCs w:val="24"/>
                <w:highlight w:val="none"/>
              </w:rPr>
              <w:t>部</w:t>
            </w:r>
          </w:p>
        </w:tc>
        <w:tc>
          <w:tcPr>
            <w:tcW w:w="834" w:type="dxa"/>
            <w:vAlign w:val="top"/>
          </w:tcPr>
          <w:p w14:paraId="033AD03C">
            <w:pPr>
              <w:keepNext w:val="0"/>
              <w:keepLines w:val="0"/>
              <w:pageBreakBefore w:val="0"/>
              <w:wordWrap/>
              <w:overflowPunct/>
              <w:topLinePunct w:val="0"/>
              <w:autoSpaceDE w:val="0"/>
              <w:autoSpaceDN w:val="0"/>
              <w:bidi w:val="0"/>
              <w:adjustRightInd w:val="0"/>
              <w:spacing w:line="560" w:lineRule="exact"/>
              <w:rPr>
                <w:rFonts w:hint="eastAsia" w:ascii="宋体" w:hAnsi="宋体" w:eastAsia="宋体" w:cs="宋体"/>
                <w:b w:val="0"/>
                <w:bCs w:val="0"/>
                <w:color w:val="auto"/>
                <w:sz w:val="24"/>
                <w:szCs w:val="24"/>
                <w:highlight w:val="none"/>
              </w:rPr>
            </w:pPr>
          </w:p>
          <w:p w14:paraId="137E8AA2">
            <w:pPr>
              <w:pStyle w:val="78"/>
              <w:keepNext w:val="0"/>
              <w:keepLines w:val="0"/>
              <w:pageBreakBefore w:val="0"/>
              <w:wordWrap/>
              <w:overflowPunct/>
              <w:topLinePunct w:val="0"/>
              <w:autoSpaceDE w:val="0"/>
              <w:autoSpaceDN w:val="0"/>
              <w:bidi w:val="0"/>
              <w:adjustRightInd w:val="0"/>
              <w:spacing w:before="78" w:line="560" w:lineRule="exact"/>
              <w:ind w:left="362"/>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w:t>
            </w:r>
          </w:p>
        </w:tc>
        <w:tc>
          <w:tcPr>
            <w:tcW w:w="6811" w:type="dxa"/>
            <w:vAlign w:val="top"/>
          </w:tcPr>
          <w:p w14:paraId="718B8BF0">
            <w:pPr>
              <w:pStyle w:val="78"/>
              <w:keepNext w:val="0"/>
              <w:keepLines w:val="0"/>
              <w:pageBreakBefore w:val="0"/>
              <w:wordWrap/>
              <w:overflowPunct/>
              <w:topLinePunct w:val="0"/>
              <w:autoSpaceDE w:val="0"/>
              <w:autoSpaceDN w:val="0"/>
              <w:bidi w:val="0"/>
              <w:adjustRightInd w:val="0"/>
              <w:spacing w:before="115" w:line="560" w:lineRule="exact"/>
              <w:ind w:left="114" w:right="152" w:firstLine="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3"/>
                <w:sz w:val="24"/>
                <w:szCs w:val="24"/>
                <w:highlight w:val="none"/>
                <w:lang w:val="en-US" w:eastAsia="zh-CN"/>
              </w:rPr>
              <w:t>媒体服务部服务人员不少于1人，大专或以上学历，</w:t>
            </w:r>
            <w:r>
              <w:rPr>
                <w:rFonts w:hint="eastAsia" w:ascii="宋体" w:hAnsi="宋体" w:eastAsia="宋体" w:cs="宋体"/>
                <w:b w:val="0"/>
                <w:bCs w:val="0"/>
                <w:color w:val="auto"/>
                <w:spacing w:val="-2"/>
                <w:sz w:val="24"/>
                <w:szCs w:val="24"/>
                <w:highlight w:val="none"/>
              </w:rPr>
              <w:t>无犯罪记录、身体健康</w:t>
            </w:r>
            <w:r>
              <w:rPr>
                <w:rFonts w:hint="eastAsia" w:ascii="宋体" w:hAnsi="宋体" w:eastAsia="宋体" w:cs="宋体"/>
                <w:b w:val="0"/>
                <w:bCs w:val="0"/>
                <w:color w:val="auto"/>
                <w:spacing w:val="-2"/>
                <w:sz w:val="24"/>
                <w:szCs w:val="24"/>
                <w:highlight w:val="none"/>
                <w:lang w:eastAsia="zh-CN"/>
              </w:rPr>
              <w:t>，</w:t>
            </w:r>
            <w:r>
              <w:rPr>
                <w:rFonts w:hint="eastAsia" w:ascii="宋体" w:hAnsi="宋体" w:eastAsia="宋体" w:cs="宋体"/>
                <w:b w:val="0"/>
                <w:bCs w:val="0"/>
                <w:color w:val="auto"/>
                <w:spacing w:val="-3"/>
                <w:sz w:val="24"/>
                <w:szCs w:val="24"/>
                <w:highlight w:val="none"/>
                <w:lang w:val="en-US" w:eastAsia="zh-CN"/>
              </w:rPr>
              <w:t>负责微信公众号、新媒体等宣传工作，负责短视频及宣传片的策划、拍摄与执行工作。熟练掌握PS、拍照、摄影等技能，为开展活动提高必要的技术支持，具备扎实文字功底和视频剪辑能力。</w:t>
            </w:r>
          </w:p>
        </w:tc>
      </w:tr>
      <w:tr w14:paraId="0E8E8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2568" w:type="dxa"/>
            <w:gridSpan w:val="2"/>
            <w:vAlign w:val="center"/>
          </w:tcPr>
          <w:p w14:paraId="48C4CD34">
            <w:pPr>
              <w:pStyle w:val="78"/>
              <w:keepNext w:val="0"/>
              <w:keepLines w:val="0"/>
              <w:pageBreakBefore w:val="0"/>
              <w:wordWrap/>
              <w:overflowPunct/>
              <w:topLinePunct w:val="0"/>
              <w:autoSpaceDE w:val="0"/>
              <w:autoSpaceDN w:val="0"/>
              <w:bidi w:val="0"/>
              <w:adjustRightInd w:val="0"/>
              <w:spacing w:before="78" w:line="560" w:lineRule="exact"/>
              <w:jc w:val="center"/>
              <w:rPr>
                <w:rFonts w:hint="eastAsia" w:ascii="宋体" w:hAnsi="宋体" w:eastAsia="宋体" w:cs="宋体"/>
                <w:b w:val="0"/>
                <w:bCs w:val="0"/>
                <w:color w:val="auto"/>
                <w:spacing w:val="-3"/>
                <w:sz w:val="24"/>
                <w:szCs w:val="24"/>
                <w:highlight w:val="none"/>
                <w:lang w:val="en-US" w:eastAsia="zh-CN"/>
              </w:rPr>
            </w:pPr>
            <w:r>
              <w:rPr>
                <w:rFonts w:hint="eastAsia" w:ascii="宋体" w:hAnsi="宋体" w:eastAsia="宋体" w:cs="宋体"/>
                <w:b w:val="0"/>
                <w:bCs w:val="0"/>
                <w:color w:val="auto"/>
                <w:spacing w:val="-3"/>
                <w:sz w:val="24"/>
                <w:szCs w:val="24"/>
                <w:highlight w:val="none"/>
                <w:lang w:val="en-US" w:eastAsia="zh-CN"/>
              </w:rPr>
              <w:t>合计</w:t>
            </w:r>
          </w:p>
        </w:tc>
        <w:tc>
          <w:tcPr>
            <w:tcW w:w="6811" w:type="dxa"/>
            <w:vAlign w:val="center"/>
          </w:tcPr>
          <w:p w14:paraId="71926C62">
            <w:pPr>
              <w:pStyle w:val="78"/>
              <w:keepNext w:val="0"/>
              <w:keepLines w:val="0"/>
              <w:pageBreakBefore w:val="0"/>
              <w:wordWrap/>
              <w:overflowPunct/>
              <w:topLinePunct w:val="0"/>
              <w:autoSpaceDE w:val="0"/>
              <w:autoSpaceDN w:val="0"/>
              <w:bidi w:val="0"/>
              <w:adjustRightInd w:val="0"/>
              <w:spacing w:before="78" w:line="560" w:lineRule="exact"/>
              <w:ind w:left="276"/>
              <w:jc w:val="center"/>
              <w:rPr>
                <w:rFonts w:hint="default" w:ascii="宋体" w:hAnsi="宋体" w:eastAsia="宋体" w:cs="宋体"/>
                <w:b w:val="0"/>
                <w:bCs w:val="0"/>
                <w:color w:val="auto"/>
                <w:spacing w:val="-3"/>
                <w:sz w:val="24"/>
                <w:szCs w:val="24"/>
                <w:highlight w:val="none"/>
                <w:lang w:val="en-US" w:eastAsia="zh-CN"/>
              </w:rPr>
            </w:pPr>
            <w:r>
              <w:rPr>
                <w:rFonts w:hint="eastAsia" w:ascii="宋体" w:hAnsi="宋体" w:eastAsia="宋体" w:cs="宋体"/>
                <w:b w:val="0"/>
                <w:bCs w:val="0"/>
                <w:color w:val="auto"/>
                <w:spacing w:val="-3"/>
                <w:sz w:val="24"/>
                <w:szCs w:val="24"/>
                <w:highlight w:val="none"/>
                <w:lang w:val="en-US" w:eastAsia="zh-CN"/>
              </w:rPr>
              <w:t>43人</w:t>
            </w:r>
          </w:p>
        </w:tc>
      </w:tr>
    </w:tbl>
    <w:p w14:paraId="19AC9887">
      <w:pPr>
        <w:widowControl/>
        <w:spacing w:line="500" w:lineRule="exact"/>
        <w:ind w:firstLine="420"/>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w:t>
      </w: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lang w:eastAsia="zh-CN"/>
        </w:rPr>
        <w:t>本项目配备人数为项目在满员时的最低配置。根据采购人实际需要，配置足够的工作人员。中标人不得以专业、工种人员工资不同要求调整合同价格。</w:t>
      </w:r>
    </w:p>
    <w:p w14:paraId="4A000527">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lang w:eastAsia="zh-CN"/>
        </w:rPr>
        <w:t>鉴于科技馆的特殊性，中标人拟派的工作服务人员上岗前必须经过采购人面试、考核，面试考核不合格的，一律不准录用。所有人员进场前须提供体检合格的证明材料和劳动合同报采购人确认。</w:t>
      </w:r>
      <w:r>
        <w:rPr>
          <w:rFonts w:hint="eastAsia" w:ascii="宋体" w:hAnsi="宋体" w:eastAsia="宋体" w:cs="宋体"/>
          <w:color w:val="auto"/>
          <w:sz w:val="24"/>
          <w:szCs w:val="24"/>
          <w:highlight w:val="none"/>
          <w:lang w:val="zh-CN" w:eastAsia="zh-CN"/>
        </w:rPr>
        <w:t>部门负责人与关键技术岗位人员，在一年之内只允许更换一人次，其他岗位人员变动，须及时向采购人报告。</w:t>
      </w:r>
    </w:p>
    <w:p w14:paraId="27A05982">
      <w:pPr>
        <w:widowControl/>
        <w:spacing w:line="500" w:lineRule="exact"/>
        <w:ind w:firstLine="420"/>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zh-CN" w:eastAsia="zh-CN"/>
        </w:rPr>
        <w:t>③</w:t>
      </w:r>
      <w:r>
        <w:rPr>
          <w:rFonts w:hint="eastAsia" w:ascii="宋体" w:hAnsi="宋体" w:eastAsia="宋体" w:cs="宋体"/>
          <w:color w:val="auto"/>
          <w:sz w:val="24"/>
          <w:szCs w:val="24"/>
          <w:highlight w:val="none"/>
          <w:lang w:eastAsia="zh-CN"/>
        </w:rPr>
        <w:t>如中标人履约时提供的</w:t>
      </w:r>
      <w:r>
        <w:rPr>
          <w:rFonts w:hint="eastAsia" w:ascii="宋体" w:hAnsi="宋体" w:eastAsia="宋体" w:cs="宋体"/>
          <w:color w:val="auto"/>
          <w:sz w:val="24"/>
          <w:szCs w:val="24"/>
          <w:highlight w:val="none"/>
          <w:lang w:val="zh-CN" w:eastAsia="zh-CN"/>
        </w:rPr>
        <w:t>关键技术岗位人员</w:t>
      </w:r>
      <w:r>
        <w:rPr>
          <w:rFonts w:hint="eastAsia" w:ascii="宋体" w:hAnsi="宋体" w:eastAsia="宋体" w:cs="宋体"/>
          <w:color w:val="auto"/>
          <w:sz w:val="24"/>
          <w:szCs w:val="24"/>
          <w:highlight w:val="none"/>
          <w:lang w:eastAsia="zh-CN"/>
        </w:rPr>
        <w:t>与其投标时投标文件中</w:t>
      </w:r>
      <w:r>
        <w:rPr>
          <w:rFonts w:hint="eastAsia" w:ascii="宋体" w:hAnsi="宋体" w:eastAsia="宋体" w:cs="宋体"/>
          <w:color w:val="auto"/>
          <w:sz w:val="24"/>
          <w:szCs w:val="24"/>
          <w:highlight w:val="none"/>
          <w:lang w:val="en-US" w:eastAsia="zh-CN"/>
        </w:rPr>
        <w:t>参与评审</w:t>
      </w:r>
      <w:r>
        <w:rPr>
          <w:rFonts w:hint="eastAsia" w:ascii="宋体" w:hAnsi="宋体" w:eastAsia="宋体" w:cs="宋体"/>
          <w:color w:val="auto"/>
          <w:sz w:val="24"/>
          <w:szCs w:val="24"/>
          <w:highlight w:val="none"/>
          <w:lang w:eastAsia="zh-CN"/>
        </w:rPr>
        <w:t>的人员不一致，且拒绝整改的，终止合同。</w:t>
      </w:r>
    </w:p>
    <w:p w14:paraId="5EDE9720">
      <w:pPr>
        <w:widowControl/>
        <w:numPr>
          <w:ilvl w:val="0"/>
          <w:numId w:val="2"/>
        </w:numPr>
        <w:spacing w:line="500" w:lineRule="exact"/>
        <w:ind w:firstLine="42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服务内容</w:t>
      </w:r>
    </w:p>
    <w:p w14:paraId="4C586F13">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1.运行保障部</w:t>
      </w:r>
    </w:p>
    <w:p w14:paraId="1FBDCAE5">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负责保障馆属区域日常管理工作，主要包括保安、保洁、工程维修等。</w:t>
      </w:r>
    </w:p>
    <w:p w14:paraId="7071C386">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val="zh-CN" w:eastAsia="zh-CN"/>
        </w:rPr>
        <w:t>运行保障服务内容和要求</w:t>
      </w:r>
    </w:p>
    <w:p w14:paraId="11921AD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馆属区域内设施设备的运行、维修、维护和管理；</w:t>
      </w:r>
    </w:p>
    <w:p w14:paraId="28E2C1E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馆属区域内房屋、地面、门窗、照明、消防器材的维护、维修及更换；</w:t>
      </w:r>
    </w:p>
    <w:p w14:paraId="4414868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提供24小时公共秩序维护和安全服务，做好设施设备（含展品展项）看护，维护展厅参观、办公区域秩序；</w:t>
      </w:r>
    </w:p>
    <w:p w14:paraId="7DEA971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馆属区域内展厅、公共场所、外立面、绿化区、室外相关场地的清洁卫生， 垃圾收集、清运及雨、污水管道的疏通等；</w:t>
      </w:r>
    </w:p>
    <w:p w14:paraId="54C5CC99">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馆属区域内车辆（机动车和非机动车）行驶引导、停放及场所管理；</w:t>
      </w:r>
    </w:p>
    <w:p w14:paraId="6D80E33B">
      <w:pPr>
        <w:widowControl/>
        <w:spacing w:line="500" w:lineRule="exact"/>
        <w:ind w:firstLine="42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馆属区域内绿化养护和管理，</w:t>
      </w:r>
      <w:r>
        <w:rPr>
          <w:rFonts w:hint="eastAsia" w:ascii="宋体" w:hAnsi="宋体" w:eastAsia="宋体" w:cs="宋体"/>
          <w:color w:val="auto"/>
          <w:sz w:val="24"/>
          <w:szCs w:val="24"/>
          <w:highlight w:val="none"/>
          <w:lang w:val="en-US" w:eastAsia="zh-CN"/>
        </w:rPr>
        <w:t>绿植养护与更换保障，因养护不当导致绿植枯萎、死亡或长势极差（叶片脱落率＞50%）的，中标人须在7日内免费更换同品种、同规格的健康绿植，更换后确保成活率；</w:t>
      </w:r>
    </w:p>
    <w:p w14:paraId="658F1BC7">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eastAsia="zh-CN"/>
        </w:rPr>
        <w:t>各项活动的对接、协调及会务服务、接待服务（含车辆保障）等；</w:t>
      </w:r>
    </w:p>
    <w:p w14:paraId="41185FA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zh-CN" w:eastAsia="zh-CN"/>
        </w:rPr>
        <w:t>运行档案资料管理及相关事项的申报、处理、备案等；</w:t>
      </w:r>
    </w:p>
    <w:p w14:paraId="03765416">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zh-CN" w:eastAsia="zh-CN"/>
        </w:rPr>
        <w:t>日常维修保养的专业单位在管理区域内作业时，中标人必须做好协调和管理；</w:t>
      </w:r>
    </w:p>
    <w:p w14:paraId="456D0705">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zh-CN" w:eastAsia="zh-CN"/>
        </w:rPr>
        <w:t>馆属区域内自然灾害、设备事故、突发公共安全事件等应建立应急预案， 并组织培训、演练及改进；</w:t>
      </w:r>
    </w:p>
    <w:p w14:paraId="60F62B5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val="zh-CN" w:eastAsia="zh-CN"/>
        </w:rPr>
        <w:t>负责馆内巡视、管理，票务（线上预约）、出入馆安检等；</w:t>
      </w:r>
    </w:p>
    <w:p w14:paraId="14F5C94F">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val="zh-CN" w:eastAsia="zh-CN"/>
        </w:rPr>
        <w:t>馆属区域内四害消杀；</w:t>
      </w:r>
    </w:p>
    <w:p w14:paraId="79671E07">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13）协助做好</w:t>
      </w:r>
      <w:r>
        <w:rPr>
          <w:rFonts w:hint="eastAsia" w:ascii="宋体" w:hAnsi="宋体" w:eastAsia="宋体" w:cs="宋体"/>
          <w:color w:val="auto"/>
          <w:sz w:val="24"/>
          <w:szCs w:val="24"/>
          <w:highlight w:val="none"/>
          <w:lang w:val="zh-CN" w:eastAsia="zh-CN"/>
        </w:rPr>
        <w:t>科普讲座、会议培训、学术交流、处理投诉事件、档案资料管理。</w:t>
      </w:r>
    </w:p>
    <w:p w14:paraId="5D90E567">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val="zh-CN" w:eastAsia="zh-CN"/>
        </w:rPr>
        <w:t>当馆内物品、设备、设施的单个配件费用或单次维修总费用超过1000元时，费用承担方式为：中标人固定承担1000元（包含人工、辅材、基础维修等费用，）；超出1000元的部分（即总费用-1000元）由采购人承担，中标人不得将第三方服务费、人工费、拆卸搬运费等延伸费用计入“总费用”向采购人申请支付或虚报设备市场价格，否则采购人拒绝支付相关费用。</w:t>
      </w:r>
    </w:p>
    <w:p w14:paraId="61FB9B22">
      <w:pPr>
        <w:widowControl/>
        <w:spacing w:line="500" w:lineRule="exact"/>
        <w:ind w:firstLine="42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15）外围地砖维修专项管理。维修范围：涵盖科技馆外围所有公共区域地砖（含人行道、广场、出入口衔接区域），包括地砖松动、空鼓、碎裂、高低不平等问题处理。</w:t>
      </w:r>
    </w:p>
    <w:p w14:paraId="5C36CAF5">
      <w:pPr>
        <w:widowControl/>
        <w:spacing w:line="500" w:lineRule="exact"/>
        <w:ind w:firstLine="420"/>
        <w:outlineLvl w:val="1"/>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运行保障部每周安排1名保安或工程技术人员对围墙地砖进行专项巡查，发现破损或存在安全隐患的，及时完成维修。维修所需材料（同品牌/同规格地砖、水泥、沙子等）及人工费用全部由中标人承担，单独列支成本。无论外围地砖维修费用是否超过1000元，均包含在合同价款中，采购不再为此支付其他费用。</w:t>
      </w:r>
    </w:p>
    <w:p w14:paraId="0445C9D3">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val="zh-CN" w:eastAsia="zh-CN"/>
        </w:rPr>
        <w:t>展教辅助服务及运行保障内容和要求（包括但并不限于此）：</w:t>
      </w:r>
    </w:p>
    <w:p w14:paraId="19EFA54F">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1）协助</w:t>
      </w:r>
      <w:r>
        <w:rPr>
          <w:rFonts w:hint="eastAsia" w:ascii="宋体" w:hAnsi="宋体" w:eastAsia="宋体" w:cs="宋体"/>
          <w:color w:val="auto"/>
          <w:sz w:val="24"/>
          <w:szCs w:val="24"/>
          <w:highlight w:val="none"/>
          <w:lang w:val="zh-CN" w:eastAsia="zh-CN"/>
        </w:rPr>
        <w:t>开展科学实验、科学表演、科普剧、亲子活动、主题活动等拓展性教育活动；</w:t>
      </w:r>
    </w:p>
    <w:p w14:paraId="34BF34F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2）协助</w:t>
      </w:r>
      <w:r>
        <w:rPr>
          <w:rFonts w:hint="eastAsia" w:ascii="宋体" w:hAnsi="宋体" w:eastAsia="宋体" w:cs="宋体"/>
          <w:color w:val="auto"/>
          <w:sz w:val="24"/>
          <w:szCs w:val="24"/>
          <w:highlight w:val="none"/>
          <w:lang w:val="zh-CN" w:eastAsia="zh-CN"/>
        </w:rPr>
        <w:t>开展科普日、科技活动周、特殊节日、科普夏（冬）令营、学术报告等科普活动；</w:t>
      </w:r>
    </w:p>
    <w:p w14:paraId="38FBA609">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3）协助</w:t>
      </w:r>
      <w:r>
        <w:rPr>
          <w:rFonts w:hint="eastAsia" w:ascii="宋体" w:hAnsi="宋体" w:eastAsia="宋体" w:cs="宋体"/>
          <w:color w:val="auto"/>
          <w:sz w:val="24"/>
          <w:szCs w:val="24"/>
          <w:highlight w:val="none"/>
          <w:lang w:val="zh-CN" w:eastAsia="zh-CN"/>
        </w:rPr>
        <w:t>开展主题活动策划与实施等，保障创客教室正常运行；</w:t>
      </w:r>
    </w:p>
    <w:p w14:paraId="06FFC4BA">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4）协助</w:t>
      </w:r>
      <w:r>
        <w:rPr>
          <w:rFonts w:hint="eastAsia" w:ascii="宋体" w:hAnsi="宋体" w:eastAsia="宋体" w:cs="宋体"/>
          <w:color w:val="auto"/>
          <w:sz w:val="24"/>
          <w:szCs w:val="24"/>
          <w:highlight w:val="none"/>
          <w:lang w:val="zh-CN" w:eastAsia="zh-CN"/>
        </w:rPr>
        <w:t>开展科普进校园、进社区、进企业、进农村、进机关等活动；</w:t>
      </w:r>
    </w:p>
    <w:p w14:paraId="1B7B1A85">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5）协助</w:t>
      </w:r>
      <w:r>
        <w:rPr>
          <w:rFonts w:hint="eastAsia" w:ascii="宋体" w:hAnsi="宋体" w:eastAsia="宋体" w:cs="宋体"/>
          <w:color w:val="auto"/>
          <w:sz w:val="24"/>
          <w:szCs w:val="24"/>
          <w:highlight w:val="none"/>
          <w:lang w:val="zh-CN" w:eastAsia="zh-CN"/>
        </w:rPr>
        <w:t>开展行业学术交流活动；</w:t>
      </w:r>
    </w:p>
    <w:p w14:paraId="3B9E6501">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利用微信、当地主流媒体（广播电台、电视台、报纸、官方网站） 和新媒体（抖音、微博等）进行科普宣传，发布活动新闻；</w:t>
      </w:r>
    </w:p>
    <w:p w14:paraId="4194C201">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eastAsia="zh-CN"/>
        </w:rPr>
        <w:t>配合展品展项维保公司做好保养维修及多媒体软件的日常更新优化；</w:t>
      </w:r>
    </w:p>
    <w:p w14:paraId="586D9CFB">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zh-CN" w:eastAsia="zh-CN"/>
        </w:rPr>
        <w:t>完成上级下达的文明创建、“双拥”、民生工程等相关工作。</w:t>
      </w:r>
    </w:p>
    <w:p w14:paraId="378807A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val="zh-CN" w:eastAsia="zh-CN"/>
        </w:rPr>
        <w:t>配套建设情况及设施设备运行、维护、养护管理内容：</w:t>
      </w:r>
    </w:p>
    <w:p w14:paraId="605CD82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（1）供电系统</w:t>
      </w:r>
    </w:p>
    <w:p w14:paraId="26BC642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（2）智能化系统</w:t>
      </w:r>
    </w:p>
    <w:p w14:paraId="45AE940B">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1）综合布线系统</w:t>
      </w:r>
    </w:p>
    <w:p w14:paraId="0A0EC64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2）计算机网络系统</w:t>
      </w:r>
    </w:p>
    <w:p w14:paraId="25AE3835">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3）无线网络系统</w:t>
      </w:r>
    </w:p>
    <w:p w14:paraId="0C9EE9E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4）视频监控系统</w:t>
      </w:r>
    </w:p>
    <w:p w14:paraId="50854D41">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5）防盗报警系统</w:t>
      </w:r>
    </w:p>
    <w:p w14:paraId="3159111A">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6）门禁系统</w:t>
      </w:r>
    </w:p>
    <w:p w14:paraId="1CA44DA1">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7）楼宇自动化控制系统</w:t>
      </w:r>
    </w:p>
    <w:p w14:paraId="1362C51B">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8）公共信息发布系统</w:t>
      </w:r>
    </w:p>
    <w:p w14:paraId="7AFCEF8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9）无线对讲系统</w:t>
      </w:r>
    </w:p>
    <w:p w14:paraId="180B78B1">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10）背景音乐及消防广播系统</w:t>
      </w:r>
    </w:p>
    <w:p w14:paraId="524C3695">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11）会议系统</w:t>
      </w:r>
    </w:p>
    <w:p w14:paraId="0A9ED6A8">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（3）消防，通风系统</w:t>
      </w:r>
    </w:p>
    <w:p w14:paraId="27401DFF">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（4）给排水系统</w:t>
      </w:r>
    </w:p>
    <w:p w14:paraId="02CDC393">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1）生活给水</w:t>
      </w:r>
    </w:p>
    <w:p w14:paraId="42718AD6">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2）生活污水</w:t>
      </w:r>
    </w:p>
    <w:p w14:paraId="191EECA6">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3）雨水</w:t>
      </w:r>
    </w:p>
    <w:p w14:paraId="641FF58B">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4）建筑消防水系统</w:t>
      </w:r>
    </w:p>
    <w:p w14:paraId="277F5953">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（5）电梯系统</w:t>
      </w:r>
    </w:p>
    <w:p w14:paraId="117BF09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（6）中央空调系统</w:t>
      </w:r>
    </w:p>
    <w:p w14:paraId="278F7EA1">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（7）公共照明系统</w:t>
      </w:r>
    </w:p>
    <w:p w14:paraId="3906BAD7">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1）室内照明</w:t>
      </w:r>
    </w:p>
    <w:p w14:paraId="75310FF7">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2）展厅照明</w:t>
      </w:r>
    </w:p>
    <w:p w14:paraId="32FCA61F">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（8）防雷与接地系统</w:t>
      </w:r>
    </w:p>
    <w:p w14:paraId="5B0CE119">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（9）展品展项、球幕影院、展厅布展</w:t>
      </w:r>
    </w:p>
    <w:p w14:paraId="12678823">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val="zh-CN" w:eastAsia="zh-CN"/>
        </w:rPr>
        <w:t>设施设备运行、维修、养护管理要求</w:t>
      </w:r>
    </w:p>
    <w:p w14:paraId="396E021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（1）配套设备管理制度</w:t>
      </w:r>
    </w:p>
    <w:p w14:paraId="7B9087C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1）建立健全配套设备管理岗位制度，各层级人员需具有相应的专业技术知识和合法有效的上岗操作证书，定期开展职业素养和专业技术技能培训，考试合格方能上岗操作；</w:t>
      </w:r>
    </w:p>
    <w:p w14:paraId="7CE6DAF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2）建立健全配套设备接管验收制度、计划性维修保养制度、运行管理制度、值班制度、交接班制度、报告记录制度、设备基础资料存档制度等；</w:t>
      </w:r>
    </w:p>
    <w:p w14:paraId="44CD18A3">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3）验收制度包括新建房屋附属配套设备的验收，也包括维修后设备的验收，以及新添置设备和更新设备的验收。验收后的设备基础资料应存档保管；</w:t>
      </w:r>
    </w:p>
    <w:p w14:paraId="715773B2">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4）计划性维修保养制度主要包括设备维修保养计划，确定设备维修保养的类别、等级、周期和内容，并进行监督检查；</w:t>
      </w:r>
    </w:p>
    <w:p w14:paraId="4B3879A3">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5）设备运行管理制度包括抄表制度、安全运行制度、文明运行制度等，特殊设备应制定特定的制度，以保证设备安全运行；</w:t>
      </w:r>
    </w:p>
    <w:p w14:paraId="42A36E3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6）值班制度内容包括在岗值守安全操作规定、按时巡查内容、发现异常或故障隐患等的处理程序和时限要求，以便安排人员抢修和维修；</w:t>
      </w:r>
    </w:p>
    <w:p w14:paraId="14014D9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7）交接班制度应对交接班程序、内容作出详细的规定和要求，保证设备持续运行正常；</w:t>
      </w:r>
    </w:p>
    <w:p w14:paraId="0C71B268">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8）报告记录制度应对各个设备部门及时将设备运行和维修保养情况向工程部和项目经理作出报告作出规定，以便及时了解设备运行情况，及时发现设备管理中存在的问题，并加以解决；</w:t>
      </w:r>
    </w:p>
    <w:p w14:paraId="28401783">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9）设备基础资料存档制度应对设备技术基础资料、维修保养记录、 日常巡查记录等资料的保存、使用和管理作出规定；</w:t>
      </w:r>
    </w:p>
    <w:p w14:paraId="1B41F1DE">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10）中标人应全面负责采购人的安防、消防设施器材的维护保养事宜。应</w:t>
      </w:r>
      <w:r>
        <w:rPr>
          <w:rFonts w:hint="eastAsia" w:ascii="宋体" w:hAnsi="宋体" w:eastAsia="宋体" w:cs="宋体"/>
          <w:color w:val="auto"/>
          <w:sz w:val="24"/>
          <w:szCs w:val="24"/>
          <w:highlight w:val="none"/>
          <w:lang w:val="en-US" w:eastAsia="zh-CN"/>
        </w:rPr>
        <w:t>自行</w:t>
      </w:r>
      <w:r>
        <w:rPr>
          <w:rFonts w:hint="eastAsia" w:ascii="宋体" w:hAnsi="宋体" w:eastAsia="宋体" w:cs="宋体"/>
          <w:color w:val="auto"/>
          <w:sz w:val="24"/>
          <w:szCs w:val="24"/>
          <w:highlight w:val="none"/>
          <w:lang w:val="zh-CN" w:eastAsia="zh-CN"/>
        </w:rPr>
        <w:t>与具有相应资质的安防、消防技术服务机构签订维保合同，每月对采购人的安防、消防设施、设备开展不少于1次维护保养，维护保养记录应及时报采购人，并存档备查；</w:t>
      </w:r>
    </w:p>
    <w:p w14:paraId="32928DA7">
      <w:pPr>
        <w:widowControl/>
        <w:spacing w:line="500" w:lineRule="exact"/>
        <w:ind w:firstLine="420"/>
        <w:outlineLvl w:val="1"/>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11）中标人应当委托具有资质的安防、消防技术服务机构每年对全馆安防、消防设施设备进行1次全面检测，年度检测报告应及时报采购人，并存档备查；</w:t>
      </w:r>
    </w:p>
    <w:p w14:paraId="4617A549">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12）中标人应当委托有资质的消防技术服务机构每年对全馆的消防安全状况开展1次全面评估，出具消防安全评估报告报采购人，并存档备查。</w:t>
      </w:r>
    </w:p>
    <w:p w14:paraId="7C6F8421">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（2）供电系统</w:t>
      </w:r>
    </w:p>
    <w:p w14:paraId="781A2023">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中标人须负责组织开展馆内供配电系统等关键设施设备的年度预防性试验，具体要求如下：试验需委托具备相应资质的专业检测机构实施，检测机构资质须提前报采购人备案审核。</w:t>
      </w:r>
    </w:p>
    <w:p w14:paraId="5B7FBED2">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试验项目、标准须符合国家及行业相关规范（如《电气装置安装工程电气设备交接试验标准》《建筑消防设施检测技术规程》等），并制定详细试验计划报采购人审批后执行。</w:t>
      </w:r>
    </w:p>
    <w:p w14:paraId="4E428698">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试验完成后需提交正式检测报告，对发现的问题需及时制定整改方案，按采购人要求落实整改，试验及整改相关费用（不含重大设备更换费用）包含在合同价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lang w:val="zh-CN" w:eastAsia="zh-CN"/>
        </w:rPr>
        <w:t>中。</w:t>
      </w:r>
    </w:p>
    <w:p w14:paraId="7D343A80">
      <w:pPr>
        <w:spacing w:line="360" w:lineRule="auto"/>
        <w:ind w:firstLine="480" w:firstLineChars="200"/>
        <w:outlineLvl w:val="1"/>
        <w:rPr>
          <w:rFonts w:hint="eastAsia" w:ascii="宋体" w:hAnsi="宋体" w:eastAsia="宋体"/>
          <w:b w:val="0"/>
          <w:bCs/>
          <w:color w:val="auto"/>
          <w:sz w:val="24"/>
          <w:szCs w:val="18"/>
          <w:highlight w:val="none"/>
        </w:rPr>
      </w:pPr>
      <w:r>
        <w:rPr>
          <w:rFonts w:hint="eastAsia" w:ascii="宋体" w:hAnsi="宋体" w:eastAsia="宋体" w:cs="宋体"/>
          <w:color w:val="auto"/>
          <w:sz w:val="24"/>
          <w:szCs w:val="24"/>
          <w:highlight w:val="none"/>
          <w:lang w:val="zh-CN" w:eastAsia="zh-CN"/>
        </w:rPr>
        <w:t xml:space="preserve"> </w:t>
      </w:r>
      <w:r>
        <w:rPr>
          <w:rFonts w:hint="eastAsia" w:ascii="宋体" w:hAnsi="宋体" w:eastAsia="宋体"/>
          <w:b w:val="0"/>
          <w:bCs/>
          <w:color w:val="auto"/>
          <w:sz w:val="24"/>
          <w:szCs w:val="18"/>
          <w:highlight w:val="none"/>
        </w:rPr>
        <w:t>按照国家《电气设备预防性试验规程》等相关规范的要求，每年对电力设备进行 1 次预防性试验，每 6 个月对安全工器具（绝缘靴、绝缘手套、绝缘垫）进行 1 次预防性试验，每月一次现场巡查电力设备，对电力设备运行数据整理汇总</w:t>
      </w:r>
      <w:r>
        <w:rPr>
          <w:rFonts w:hint="eastAsia" w:ascii="宋体" w:hAnsi="宋体" w:eastAsia="宋体"/>
          <w:b w:val="0"/>
          <w:bCs/>
          <w:color w:val="auto"/>
          <w:sz w:val="24"/>
          <w:szCs w:val="18"/>
          <w:highlight w:val="none"/>
          <w:lang w:eastAsia="zh-CN"/>
        </w:rPr>
        <w:t>，</w:t>
      </w:r>
      <w:r>
        <w:rPr>
          <w:rFonts w:hint="eastAsia" w:ascii="宋体" w:hAnsi="宋体" w:eastAsia="宋体"/>
          <w:b w:val="0"/>
          <w:bCs/>
          <w:color w:val="auto"/>
          <w:sz w:val="24"/>
          <w:szCs w:val="18"/>
          <w:highlight w:val="none"/>
        </w:rPr>
        <w:t>测试电力设备运行状态是否可靠良好，试验后所得数据以文件形式将电力设备运行状态汇报给滁州市科学技术馆。</w:t>
      </w:r>
    </w:p>
    <w:p w14:paraId="1EF820E4">
      <w:pPr>
        <w:widowControl/>
        <w:spacing w:line="500" w:lineRule="exact"/>
        <w:ind w:firstLine="480" w:firstLineChars="20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1）高（低）压变（配）电房张贴有高（低）压变（配）电工作制度，配备相应的操作工具和安全操作保护设施；</w:t>
      </w:r>
    </w:p>
    <w:p w14:paraId="398C8491">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2）按照规定的周期进行高压、低压电气设备试验，留存高压、低压电气测试合格的报告；</w:t>
      </w:r>
    </w:p>
    <w:p w14:paraId="67097588">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3）按照规定的周期对供电和变配电设备设施进行检查、维护、清洁，并做记录；</w:t>
      </w:r>
    </w:p>
    <w:p w14:paraId="172B1E26">
      <w:pPr>
        <w:widowControl/>
        <w:spacing w:line="500" w:lineRule="exact"/>
        <w:jc w:val="center"/>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设备巡查频次和内容</w:t>
      </w:r>
    </w:p>
    <w:tbl>
      <w:tblPr>
        <w:tblStyle w:val="77"/>
        <w:tblW w:w="94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56"/>
        <w:gridCol w:w="4538"/>
        <w:gridCol w:w="2089"/>
      </w:tblGrid>
      <w:tr w14:paraId="4F132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2856" w:type="dxa"/>
            <w:vAlign w:val="center"/>
          </w:tcPr>
          <w:p w14:paraId="79FFFEF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设备巡查内容</w:t>
            </w:r>
          </w:p>
        </w:tc>
        <w:tc>
          <w:tcPr>
            <w:tcW w:w="4538" w:type="dxa"/>
            <w:vAlign w:val="center"/>
          </w:tcPr>
          <w:p w14:paraId="2C8DAB7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设备运行状态标准</w:t>
            </w:r>
          </w:p>
        </w:tc>
        <w:tc>
          <w:tcPr>
            <w:tcW w:w="2089" w:type="dxa"/>
            <w:vAlign w:val="center"/>
          </w:tcPr>
          <w:p w14:paraId="797AFF8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设备巡查频次</w:t>
            </w:r>
          </w:p>
        </w:tc>
      </w:tr>
      <w:tr w14:paraId="18B84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2856" w:type="dxa"/>
            <w:vAlign w:val="center"/>
          </w:tcPr>
          <w:p w14:paraId="0C34B57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机房卫生、通风、温度、 湿度</w:t>
            </w:r>
          </w:p>
        </w:tc>
        <w:tc>
          <w:tcPr>
            <w:tcW w:w="4538" w:type="dxa"/>
            <w:vAlign w:val="center"/>
          </w:tcPr>
          <w:p w14:paraId="067FC14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干净，温度不超过45℃ , 湿度正常，通风 良好。</w:t>
            </w:r>
          </w:p>
        </w:tc>
        <w:tc>
          <w:tcPr>
            <w:tcW w:w="2089" w:type="dxa"/>
            <w:vMerge w:val="restart"/>
            <w:tcBorders>
              <w:bottom w:val="nil"/>
            </w:tcBorders>
            <w:vAlign w:val="center"/>
          </w:tcPr>
          <w:p w14:paraId="46C2B61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1次/天</w:t>
            </w:r>
          </w:p>
        </w:tc>
      </w:tr>
      <w:tr w14:paraId="238A6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2856" w:type="dxa"/>
            <w:vAlign w:val="center"/>
          </w:tcPr>
          <w:p w14:paraId="786E7BF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机房应急照明、消防设施</w:t>
            </w:r>
          </w:p>
        </w:tc>
        <w:tc>
          <w:tcPr>
            <w:tcW w:w="4538" w:type="dxa"/>
            <w:vAlign w:val="center"/>
          </w:tcPr>
          <w:p w14:paraId="647CA60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应急照明使用正常，消防设施完好并定期 检查合格。</w:t>
            </w:r>
          </w:p>
        </w:tc>
        <w:tc>
          <w:tcPr>
            <w:tcW w:w="2089" w:type="dxa"/>
            <w:vMerge w:val="continue"/>
            <w:tcBorders>
              <w:top w:val="nil"/>
              <w:bottom w:val="nil"/>
            </w:tcBorders>
            <w:vAlign w:val="top"/>
          </w:tcPr>
          <w:p w14:paraId="2473FAB7">
            <w:pPr>
              <w:jc w:val="center"/>
              <w:rPr>
                <w:rFonts w:hint="eastAsia" w:ascii="宋体" w:hAnsi="宋体" w:eastAsia="宋体" w:cs="宋体"/>
                <w:color w:val="auto"/>
                <w:sz w:val="24"/>
                <w:szCs w:val="24"/>
                <w:highlight w:val="none"/>
              </w:rPr>
            </w:pPr>
          </w:p>
        </w:tc>
      </w:tr>
      <w:tr w14:paraId="39AEC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2856" w:type="dxa"/>
            <w:vAlign w:val="center"/>
          </w:tcPr>
          <w:p w14:paraId="3C30982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运行电流、电压</w:t>
            </w:r>
          </w:p>
        </w:tc>
        <w:tc>
          <w:tcPr>
            <w:tcW w:w="4538" w:type="dxa"/>
            <w:vAlign w:val="center"/>
          </w:tcPr>
          <w:p w14:paraId="6F691CA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运行电流、电压满足市电供电要求。</w:t>
            </w:r>
          </w:p>
        </w:tc>
        <w:tc>
          <w:tcPr>
            <w:tcW w:w="2089" w:type="dxa"/>
            <w:vMerge w:val="continue"/>
            <w:tcBorders>
              <w:top w:val="nil"/>
              <w:bottom w:val="nil"/>
            </w:tcBorders>
            <w:vAlign w:val="top"/>
          </w:tcPr>
          <w:p w14:paraId="724B537A">
            <w:pPr>
              <w:jc w:val="center"/>
              <w:rPr>
                <w:rFonts w:hint="eastAsia" w:ascii="宋体" w:hAnsi="宋体" w:eastAsia="宋体" w:cs="宋体"/>
                <w:color w:val="auto"/>
                <w:sz w:val="24"/>
                <w:szCs w:val="24"/>
                <w:highlight w:val="none"/>
              </w:rPr>
            </w:pPr>
          </w:p>
        </w:tc>
      </w:tr>
      <w:tr w14:paraId="50A23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2856" w:type="dxa"/>
            <w:vAlign w:val="center"/>
          </w:tcPr>
          <w:p w14:paraId="167C4E9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运行功率因素</w:t>
            </w:r>
          </w:p>
        </w:tc>
        <w:tc>
          <w:tcPr>
            <w:tcW w:w="4538" w:type="dxa"/>
            <w:vAlign w:val="center"/>
          </w:tcPr>
          <w:p w14:paraId="238283C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满足市电供电要求。</w:t>
            </w:r>
          </w:p>
        </w:tc>
        <w:tc>
          <w:tcPr>
            <w:tcW w:w="2089" w:type="dxa"/>
            <w:vMerge w:val="continue"/>
            <w:tcBorders>
              <w:top w:val="nil"/>
              <w:bottom w:val="nil"/>
            </w:tcBorders>
            <w:vAlign w:val="top"/>
          </w:tcPr>
          <w:p w14:paraId="2C8F7FB7">
            <w:pPr>
              <w:jc w:val="center"/>
              <w:rPr>
                <w:rFonts w:hint="eastAsia" w:ascii="宋体" w:hAnsi="宋体" w:eastAsia="宋体" w:cs="宋体"/>
                <w:color w:val="auto"/>
                <w:sz w:val="24"/>
                <w:szCs w:val="24"/>
                <w:highlight w:val="none"/>
              </w:rPr>
            </w:pPr>
          </w:p>
        </w:tc>
      </w:tr>
      <w:tr w14:paraId="5CB77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856" w:type="dxa"/>
            <w:vAlign w:val="center"/>
          </w:tcPr>
          <w:p w14:paraId="5E25628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变压器负荷率、温度</w:t>
            </w:r>
          </w:p>
        </w:tc>
        <w:tc>
          <w:tcPr>
            <w:tcW w:w="4538" w:type="dxa"/>
            <w:vAlign w:val="center"/>
          </w:tcPr>
          <w:p w14:paraId="513ED63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负荷率不低于50%，温度不超85℃。</w:t>
            </w:r>
          </w:p>
        </w:tc>
        <w:tc>
          <w:tcPr>
            <w:tcW w:w="2089" w:type="dxa"/>
            <w:vMerge w:val="continue"/>
            <w:tcBorders>
              <w:top w:val="nil"/>
              <w:bottom w:val="nil"/>
            </w:tcBorders>
            <w:vAlign w:val="top"/>
          </w:tcPr>
          <w:p w14:paraId="11DB3CA9">
            <w:pPr>
              <w:jc w:val="center"/>
              <w:rPr>
                <w:rFonts w:hint="eastAsia" w:ascii="宋体" w:hAnsi="宋体" w:eastAsia="宋体" w:cs="宋体"/>
                <w:color w:val="auto"/>
                <w:sz w:val="24"/>
                <w:szCs w:val="24"/>
                <w:highlight w:val="none"/>
              </w:rPr>
            </w:pPr>
          </w:p>
        </w:tc>
      </w:tr>
      <w:tr w14:paraId="7DDBF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856" w:type="dxa"/>
            <w:vAlign w:val="center"/>
          </w:tcPr>
          <w:p w14:paraId="4D13BAF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断路器、空气开关；</w:t>
            </w:r>
          </w:p>
        </w:tc>
        <w:tc>
          <w:tcPr>
            <w:tcW w:w="4538" w:type="dxa"/>
            <w:vAlign w:val="center"/>
          </w:tcPr>
          <w:p w14:paraId="3BC56EC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完好，使用正常。</w:t>
            </w:r>
          </w:p>
        </w:tc>
        <w:tc>
          <w:tcPr>
            <w:tcW w:w="2089" w:type="dxa"/>
            <w:vMerge w:val="continue"/>
            <w:tcBorders>
              <w:top w:val="nil"/>
              <w:bottom w:val="nil"/>
            </w:tcBorders>
            <w:vAlign w:val="top"/>
          </w:tcPr>
          <w:p w14:paraId="0D3824C0">
            <w:pPr>
              <w:jc w:val="center"/>
              <w:rPr>
                <w:rFonts w:hint="eastAsia" w:ascii="宋体" w:hAnsi="宋体" w:eastAsia="宋体" w:cs="宋体"/>
                <w:color w:val="auto"/>
                <w:sz w:val="24"/>
                <w:szCs w:val="24"/>
                <w:highlight w:val="none"/>
              </w:rPr>
            </w:pPr>
          </w:p>
        </w:tc>
      </w:tr>
      <w:tr w14:paraId="48DD8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2856" w:type="dxa"/>
            <w:vAlign w:val="center"/>
          </w:tcPr>
          <w:p w14:paraId="257557A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各种仪表、指示显示正 常，标示清晰</w:t>
            </w:r>
          </w:p>
        </w:tc>
        <w:tc>
          <w:tcPr>
            <w:tcW w:w="4538" w:type="dxa"/>
            <w:vAlign w:val="center"/>
          </w:tcPr>
          <w:p w14:paraId="658437F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完好，使用正常。</w:t>
            </w:r>
          </w:p>
        </w:tc>
        <w:tc>
          <w:tcPr>
            <w:tcW w:w="2089" w:type="dxa"/>
            <w:vMerge w:val="continue"/>
            <w:tcBorders>
              <w:top w:val="nil"/>
              <w:bottom w:val="nil"/>
            </w:tcBorders>
            <w:vAlign w:val="top"/>
          </w:tcPr>
          <w:p w14:paraId="5BD6ECF1">
            <w:pPr>
              <w:jc w:val="center"/>
              <w:rPr>
                <w:rFonts w:hint="eastAsia" w:ascii="宋体" w:hAnsi="宋体" w:eastAsia="宋体" w:cs="宋体"/>
                <w:color w:val="auto"/>
                <w:sz w:val="24"/>
                <w:szCs w:val="24"/>
                <w:highlight w:val="none"/>
              </w:rPr>
            </w:pPr>
          </w:p>
        </w:tc>
      </w:tr>
      <w:tr w14:paraId="6FCBF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2856" w:type="dxa"/>
            <w:vAlign w:val="center"/>
          </w:tcPr>
          <w:p w14:paraId="34DBE78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设备运行总状况</w:t>
            </w:r>
          </w:p>
        </w:tc>
        <w:tc>
          <w:tcPr>
            <w:tcW w:w="4538" w:type="dxa"/>
            <w:vAlign w:val="center"/>
          </w:tcPr>
          <w:p w14:paraId="436AF23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良好。</w:t>
            </w:r>
          </w:p>
        </w:tc>
        <w:tc>
          <w:tcPr>
            <w:tcW w:w="2089" w:type="dxa"/>
            <w:vMerge w:val="continue"/>
            <w:tcBorders>
              <w:top w:val="nil"/>
              <w:bottom w:val="nil"/>
            </w:tcBorders>
            <w:vAlign w:val="top"/>
          </w:tcPr>
          <w:p w14:paraId="1918BC97">
            <w:pPr>
              <w:jc w:val="center"/>
              <w:rPr>
                <w:rFonts w:hint="eastAsia" w:ascii="宋体" w:hAnsi="宋体" w:eastAsia="宋体" w:cs="宋体"/>
                <w:color w:val="auto"/>
                <w:sz w:val="24"/>
                <w:szCs w:val="24"/>
                <w:highlight w:val="none"/>
              </w:rPr>
            </w:pPr>
          </w:p>
        </w:tc>
      </w:tr>
      <w:tr w14:paraId="72FAB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2856" w:type="dxa"/>
            <w:vAlign w:val="center"/>
          </w:tcPr>
          <w:p w14:paraId="67945F7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机房漏水、积水</w:t>
            </w:r>
          </w:p>
        </w:tc>
        <w:tc>
          <w:tcPr>
            <w:tcW w:w="4538" w:type="dxa"/>
            <w:vAlign w:val="center"/>
          </w:tcPr>
          <w:p w14:paraId="779C099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无漏水、积水。</w:t>
            </w:r>
          </w:p>
        </w:tc>
        <w:tc>
          <w:tcPr>
            <w:tcW w:w="2089" w:type="dxa"/>
            <w:vMerge w:val="continue"/>
            <w:tcBorders>
              <w:top w:val="nil"/>
            </w:tcBorders>
            <w:vAlign w:val="top"/>
          </w:tcPr>
          <w:p w14:paraId="592F703D">
            <w:pPr>
              <w:jc w:val="center"/>
              <w:rPr>
                <w:rFonts w:hint="eastAsia" w:ascii="宋体" w:hAnsi="宋体" w:eastAsia="宋体" w:cs="宋体"/>
                <w:color w:val="auto"/>
                <w:sz w:val="24"/>
                <w:szCs w:val="24"/>
                <w:highlight w:val="none"/>
              </w:rPr>
            </w:pPr>
          </w:p>
        </w:tc>
      </w:tr>
    </w:tbl>
    <w:p w14:paraId="5E0CFA6A">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4）高（低）压变（配）电柜操作运行正常，检测表计显示准确；</w:t>
      </w:r>
    </w:p>
    <w:p w14:paraId="0C7F37DA">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5）高（低）压变压器运行正常，温控显示准确，联控动作正常；</w:t>
      </w:r>
    </w:p>
    <w:p w14:paraId="7125A1B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6）变（配）电柜直流操作系统运行正常，蓄电池组充、放电量稳定，符合工作要求；</w:t>
      </w:r>
    </w:p>
    <w:p w14:paraId="5B8A740F">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7）低压配电柜运行正常，各类表计显示正常；</w:t>
      </w:r>
    </w:p>
    <w:p w14:paraId="6ED950E9">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8）功率因素自动补偿电容器（组）运行正常，自动切换正确可靠；</w:t>
      </w:r>
    </w:p>
    <w:p w14:paraId="0F37BB42">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9）变（配）电系统联络自切正常；</w:t>
      </w:r>
    </w:p>
    <w:p w14:paraId="7D1E8299">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10）高（低）压变（配）电自身温度应处在合理范围内，一般应≤25℃；</w:t>
      </w:r>
    </w:p>
    <w:p w14:paraId="29434AF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11）制定临时用电管理措施；</w:t>
      </w:r>
    </w:p>
    <w:p w14:paraId="10707B9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12）限电、停电应有明确的审批权限，按规定要求提前发布公告。遇紧急情况时，应采取必要的紧急处理措施；</w:t>
      </w:r>
    </w:p>
    <w:p w14:paraId="4F3D8F1A">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13）公共区域的供电设备管井、箱柜门须处于锁闭状态，并配有设备标识、警示标识。临时开启使用时，应挂出防护警示提醒标识；</w:t>
      </w:r>
    </w:p>
    <w:p w14:paraId="091F7F6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14）供电、变配电维修保养要求</w:t>
      </w:r>
    </w:p>
    <w:tbl>
      <w:tblPr>
        <w:tblStyle w:val="77"/>
        <w:tblW w:w="90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32"/>
        <w:gridCol w:w="1342"/>
        <w:gridCol w:w="2320"/>
      </w:tblGrid>
      <w:tr w14:paraId="520E8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5432" w:type="dxa"/>
            <w:vAlign w:val="center"/>
          </w:tcPr>
          <w:p w14:paraId="74CFD3C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维修保养内容</w:t>
            </w:r>
          </w:p>
        </w:tc>
        <w:tc>
          <w:tcPr>
            <w:tcW w:w="1342" w:type="dxa"/>
            <w:vAlign w:val="center"/>
          </w:tcPr>
          <w:p w14:paraId="7D88A22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合格标准</w:t>
            </w:r>
          </w:p>
        </w:tc>
        <w:tc>
          <w:tcPr>
            <w:tcW w:w="2320" w:type="dxa"/>
            <w:vAlign w:val="center"/>
          </w:tcPr>
          <w:p w14:paraId="359576B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维修保养频次</w:t>
            </w:r>
          </w:p>
        </w:tc>
      </w:tr>
      <w:tr w14:paraId="70D04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5432" w:type="dxa"/>
            <w:vAlign w:val="center"/>
          </w:tcPr>
          <w:p w14:paraId="10C9FD1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机房卫生清洁，无灰尘、积水、防鼠防鸟网牢固完 整，无漏洞。</w:t>
            </w:r>
          </w:p>
        </w:tc>
        <w:tc>
          <w:tcPr>
            <w:tcW w:w="1342" w:type="dxa"/>
            <w:vAlign w:val="center"/>
          </w:tcPr>
          <w:p w14:paraId="53AA00B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干净</w:t>
            </w:r>
          </w:p>
        </w:tc>
        <w:tc>
          <w:tcPr>
            <w:tcW w:w="2320" w:type="dxa"/>
            <w:vAlign w:val="center"/>
          </w:tcPr>
          <w:p w14:paraId="734DF06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1次/周</w:t>
            </w:r>
          </w:p>
        </w:tc>
      </w:tr>
      <w:tr w14:paraId="26D97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432" w:type="dxa"/>
            <w:vAlign w:val="center"/>
          </w:tcPr>
          <w:p w14:paraId="74551CF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配电箱（柜）整洁，门锁正常，开关灵活</w:t>
            </w:r>
          </w:p>
        </w:tc>
        <w:tc>
          <w:tcPr>
            <w:tcW w:w="1342" w:type="dxa"/>
            <w:vAlign w:val="center"/>
          </w:tcPr>
          <w:p w14:paraId="5E95FF3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正常</w:t>
            </w:r>
          </w:p>
        </w:tc>
        <w:tc>
          <w:tcPr>
            <w:tcW w:w="2320" w:type="dxa"/>
            <w:vAlign w:val="center"/>
          </w:tcPr>
          <w:p w14:paraId="0294F04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2次/年</w:t>
            </w:r>
          </w:p>
        </w:tc>
      </w:tr>
      <w:tr w14:paraId="623FA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5432" w:type="dxa"/>
            <w:vAlign w:val="center"/>
          </w:tcPr>
          <w:p w14:paraId="1EB74ED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接触器触点良好，无烧蚀，声音正常</w:t>
            </w:r>
          </w:p>
        </w:tc>
        <w:tc>
          <w:tcPr>
            <w:tcW w:w="1342" w:type="dxa"/>
            <w:vAlign w:val="center"/>
          </w:tcPr>
          <w:p w14:paraId="5C59A0F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正常</w:t>
            </w:r>
          </w:p>
        </w:tc>
        <w:tc>
          <w:tcPr>
            <w:tcW w:w="2320" w:type="dxa"/>
            <w:vAlign w:val="center"/>
          </w:tcPr>
          <w:p w14:paraId="259BEFF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2次/年</w:t>
            </w:r>
          </w:p>
        </w:tc>
      </w:tr>
      <w:tr w14:paraId="1174C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5432" w:type="dxa"/>
            <w:vAlign w:val="center"/>
          </w:tcPr>
          <w:p w14:paraId="7D09E26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继电器延时准确，接线触点完好</w:t>
            </w:r>
          </w:p>
        </w:tc>
        <w:tc>
          <w:tcPr>
            <w:tcW w:w="1342" w:type="dxa"/>
            <w:vAlign w:val="center"/>
          </w:tcPr>
          <w:p w14:paraId="2B4DB1A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正常</w:t>
            </w:r>
          </w:p>
        </w:tc>
        <w:tc>
          <w:tcPr>
            <w:tcW w:w="2320" w:type="dxa"/>
            <w:vAlign w:val="center"/>
          </w:tcPr>
          <w:p w14:paraId="3CED4BF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2次/年</w:t>
            </w:r>
          </w:p>
        </w:tc>
      </w:tr>
      <w:tr w14:paraId="61BC9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5432" w:type="dxa"/>
            <w:vAlign w:val="center"/>
          </w:tcPr>
          <w:p w14:paraId="519F454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按钮、指示灯接线完好，触点接触可靠，指示灯明亮</w:t>
            </w:r>
          </w:p>
        </w:tc>
        <w:tc>
          <w:tcPr>
            <w:tcW w:w="1342" w:type="dxa"/>
            <w:vAlign w:val="center"/>
          </w:tcPr>
          <w:p w14:paraId="10DCB2F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完好</w:t>
            </w:r>
          </w:p>
        </w:tc>
        <w:tc>
          <w:tcPr>
            <w:tcW w:w="2320" w:type="dxa"/>
            <w:vAlign w:val="center"/>
          </w:tcPr>
          <w:p w14:paraId="03BEDCF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2次/年</w:t>
            </w:r>
          </w:p>
        </w:tc>
      </w:tr>
      <w:tr w14:paraId="5CD28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5432" w:type="dxa"/>
            <w:vAlign w:val="center"/>
          </w:tcPr>
          <w:p w14:paraId="3F44787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熔断器底座牢固，接触良好</w:t>
            </w:r>
          </w:p>
        </w:tc>
        <w:tc>
          <w:tcPr>
            <w:tcW w:w="1342" w:type="dxa"/>
            <w:vAlign w:val="center"/>
          </w:tcPr>
          <w:p w14:paraId="422101B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完好</w:t>
            </w:r>
          </w:p>
        </w:tc>
        <w:tc>
          <w:tcPr>
            <w:tcW w:w="2320" w:type="dxa"/>
            <w:vAlign w:val="center"/>
          </w:tcPr>
          <w:p w14:paraId="4CB88BC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2次/年</w:t>
            </w:r>
          </w:p>
        </w:tc>
      </w:tr>
      <w:tr w14:paraId="40721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5432" w:type="dxa"/>
            <w:vAlign w:val="center"/>
          </w:tcPr>
          <w:p w14:paraId="0B635A0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电容器无膨胀或高温渗油现象</w:t>
            </w:r>
          </w:p>
        </w:tc>
        <w:tc>
          <w:tcPr>
            <w:tcW w:w="1342" w:type="dxa"/>
            <w:vAlign w:val="center"/>
          </w:tcPr>
          <w:p w14:paraId="42AE48F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完好</w:t>
            </w:r>
          </w:p>
        </w:tc>
        <w:tc>
          <w:tcPr>
            <w:tcW w:w="2320" w:type="dxa"/>
            <w:vAlign w:val="center"/>
          </w:tcPr>
          <w:p w14:paraId="5454067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2次/年</w:t>
            </w:r>
          </w:p>
        </w:tc>
      </w:tr>
      <w:tr w14:paraId="6F397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5432" w:type="dxa"/>
            <w:vAlign w:val="center"/>
          </w:tcPr>
          <w:p w14:paraId="60F540F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互感器接线柱牢靠，无发热</w:t>
            </w:r>
          </w:p>
        </w:tc>
        <w:tc>
          <w:tcPr>
            <w:tcW w:w="1342" w:type="dxa"/>
            <w:vAlign w:val="center"/>
          </w:tcPr>
          <w:p w14:paraId="42CBD08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正常</w:t>
            </w:r>
          </w:p>
        </w:tc>
        <w:tc>
          <w:tcPr>
            <w:tcW w:w="2320" w:type="dxa"/>
            <w:vAlign w:val="center"/>
          </w:tcPr>
          <w:p w14:paraId="7F34CE6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2次/年</w:t>
            </w:r>
          </w:p>
        </w:tc>
      </w:tr>
      <w:tr w14:paraId="73A20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5432" w:type="dxa"/>
            <w:vAlign w:val="center"/>
          </w:tcPr>
          <w:p w14:paraId="3ED30F0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电度表、仪表，指示、计量精确，接线完好</w:t>
            </w:r>
          </w:p>
        </w:tc>
        <w:tc>
          <w:tcPr>
            <w:tcW w:w="1342" w:type="dxa"/>
            <w:vAlign w:val="center"/>
          </w:tcPr>
          <w:p w14:paraId="41FE40B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完好</w:t>
            </w:r>
          </w:p>
        </w:tc>
        <w:tc>
          <w:tcPr>
            <w:tcW w:w="2320" w:type="dxa"/>
            <w:vAlign w:val="center"/>
          </w:tcPr>
          <w:p w14:paraId="06AA508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1次/周</w:t>
            </w:r>
          </w:p>
        </w:tc>
      </w:tr>
      <w:tr w14:paraId="0D94A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432" w:type="dxa"/>
            <w:vAlign w:val="center"/>
          </w:tcPr>
          <w:p w14:paraId="0639933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开关接触良好，开断正常，无发热</w:t>
            </w:r>
          </w:p>
        </w:tc>
        <w:tc>
          <w:tcPr>
            <w:tcW w:w="1342" w:type="dxa"/>
            <w:vAlign w:val="center"/>
          </w:tcPr>
          <w:p w14:paraId="6ABFDD5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完好</w:t>
            </w:r>
          </w:p>
        </w:tc>
        <w:tc>
          <w:tcPr>
            <w:tcW w:w="2320" w:type="dxa"/>
            <w:vAlign w:val="center"/>
          </w:tcPr>
          <w:p w14:paraId="1EA4F9A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1次/周</w:t>
            </w:r>
          </w:p>
        </w:tc>
      </w:tr>
      <w:tr w14:paraId="7C608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5432" w:type="dxa"/>
            <w:vAlign w:val="center"/>
          </w:tcPr>
          <w:p w14:paraId="796EDA6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清洁电柜内灰尘</w:t>
            </w:r>
          </w:p>
        </w:tc>
        <w:tc>
          <w:tcPr>
            <w:tcW w:w="1342" w:type="dxa"/>
            <w:vAlign w:val="center"/>
          </w:tcPr>
          <w:p w14:paraId="30A3CC6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干净</w:t>
            </w:r>
          </w:p>
        </w:tc>
        <w:tc>
          <w:tcPr>
            <w:tcW w:w="2320" w:type="dxa"/>
            <w:vAlign w:val="center"/>
          </w:tcPr>
          <w:p w14:paraId="0A48CB2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1次/季</w:t>
            </w:r>
          </w:p>
        </w:tc>
      </w:tr>
    </w:tbl>
    <w:p w14:paraId="0807A9D3">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（3）给排水系统</w:t>
      </w:r>
    </w:p>
    <w:p w14:paraId="6AD779E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1）给排水系统应定期对给排水系统进行维护、润滑；</w:t>
      </w:r>
    </w:p>
    <w:p w14:paraId="2EAD4127">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2）每周检查一次污水泵、提升泵、排水泵、阀门等，排水系统通畅，各种管道阀门完好，仪表显示正确，无跑、冒、滴、漏；</w:t>
      </w:r>
    </w:p>
    <w:p w14:paraId="7770AAC8">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3）定期对污水处理系统全面维护保养,作业人员应有相应的职业资格；系统无明显异味和噪声；污水排放达到《污水综合排放标准》的要求；</w:t>
      </w:r>
    </w:p>
    <w:p w14:paraId="642D805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4）用户末端的水压及流量满足使用要求；</w:t>
      </w:r>
    </w:p>
    <w:p w14:paraId="38034439">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5）每季对楼宇排水总管进行检查，定期对水泵、管道进行除锈油漆；</w:t>
      </w:r>
    </w:p>
    <w:p w14:paraId="63599856">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6）定期对水泵、水质处理和消毒装置及设备控制柜进行保养；</w:t>
      </w:r>
    </w:p>
    <w:p w14:paraId="77A7475B">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7）如遇供水单位限水、停水，应按规定时间通知采购人的各部门；</w:t>
      </w:r>
    </w:p>
    <w:p w14:paraId="74E010C0">
      <w:pPr>
        <w:widowControl/>
        <w:spacing w:line="500" w:lineRule="exact"/>
        <w:ind w:firstLine="420"/>
        <w:outlineLvl w:val="1"/>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负责馆内污水井、化粪池等区域的定期抽污及疏通工作，建立日常巡查机制，确保污水管道通畅不堵塞。抽污频率需根据场馆实际使用情况制定（每月至少1次定期检查，发现淤积及时处理），相关设备租赁、人工、清运等所有费用由中标人承担，无论费用是否超过1000元，均包含在合同价款中，采购不再为此支付其他费用。</w:t>
      </w:r>
    </w:p>
    <w:p w14:paraId="0BB984D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（4）升降设备系统</w:t>
      </w:r>
    </w:p>
    <w:p w14:paraId="4E51D073">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1）电梯维修保养单位对电梯运行进行管理，对电梯实施定期保养，并做好日常电梯运行的巡检与记录；中标人对电梯运行和保养情况进行监督；</w:t>
      </w:r>
    </w:p>
    <w:p w14:paraId="02AFFCCB">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2）电梯应由专业维修保养资质的单位进行定期保养，每年进行安全检测并持有有效的《安全使用许可证》，确保电梯在有效期内安全运行；</w:t>
      </w:r>
    </w:p>
    <w:p w14:paraId="35DC9B29">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3）保证电梯24小时运行，电梯运行平稳，乘座舒适，电梯准确启动运行，停层准确。轿厢内、外按钮、灯具等配件保持完好，轿厢整洁；</w:t>
      </w:r>
    </w:p>
    <w:p w14:paraId="0071ED3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4）电梯发生一般故障，专业维修人员应在30分钟内到场修理。发生电梯困人或其它重大事件时，应及时处理，专业维修人员应在15分钟内达到场抢修。</w:t>
      </w:r>
    </w:p>
    <w:p w14:paraId="6E3BC683">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（5）中央空调系统（包括办公区域VRV空调系统）</w:t>
      </w:r>
    </w:p>
    <w:p w14:paraId="29A745EA">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1）对中央空调系统的维护保养应该按照规定的频次进行</w:t>
      </w:r>
    </w:p>
    <w:tbl>
      <w:tblPr>
        <w:tblStyle w:val="77"/>
        <w:tblW w:w="95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27"/>
        <w:gridCol w:w="4881"/>
        <w:gridCol w:w="1195"/>
      </w:tblGrid>
      <w:tr w14:paraId="33B50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3427" w:type="dxa"/>
            <w:vAlign w:val="center"/>
          </w:tcPr>
          <w:p w14:paraId="7ACED92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设备巡查内容</w:t>
            </w:r>
          </w:p>
        </w:tc>
        <w:tc>
          <w:tcPr>
            <w:tcW w:w="4881" w:type="dxa"/>
            <w:vAlign w:val="center"/>
          </w:tcPr>
          <w:p w14:paraId="51AB213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设备运行状态标准</w:t>
            </w:r>
          </w:p>
        </w:tc>
        <w:tc>
          <w:tcPr>
            <w:tcW w:w="1195" w:type="dxa"/>
            <w:vAlign w:val="center"/>
          </w:tcPr>
          <w:p w14:paraId="58E242B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频次</w:t>
            </w:r>
          </w:p>
        </w:tc>
      </w:tr>
      <w:tr w14:paraId="3477C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3427" w:type="dxa"/>
            <w:vAlign w:val="center"/>
          </w:tcPr>
          <w:p w14:paraId="12C49FC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机房卫生、通风、温度</w:t>
            </w:r>
          </w:p>
        </w:tc>
        <w:tc>
          <w:tcPr>
            <w:tcW w:w="4881" w:type="dxa"/>
            <w:vAlign w:val="center"/>
          </w:tcPr>
          <w:p w14:paraId="62A8733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干净，温度不超过45℃ , 通风良好。</w:t>
            </w:r>
          </w:p>
        </w:tc>
        <w:tc>
          <w:tcPr>
            <w:tcW w:w="1195" w:type="dxa"/>
            <w:vMerge w:val="restart"/>
            <w:tcBorders>
              <w:bottom w:val="nil"/>
            </w:tcBorders>
            <w:vAlign w:val="center"/>
          </w:tcPr>
          <w:p w14:paraId="4373058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2次/天</w:t>
            </w:r>
          </w:p>
        </w:tc>
      </w:tr>
      <w:tr w14:paraId="6FD2C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3427" w:type="dxa"/>
            <w:vAlign w:val="center"/>
          </w:tcPr>
          <w:p w14:paraId="1AF7D1E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机房应急照明、消防设施</w:t>
            </w:r>
          </w:p>
        </w:tc>
        <w:tc>
          <w:tcPr>
            <w:tcW w:w="4881" w:type="dxa"/>
            <w:vAlign w:val="center"/>
          </w:tcPr>
          <w:p w14:paraId="7226B28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应急照明使用正常，消防设施完好并定期检 查合格。</w:t>
            </w:r>
          </w:p>
        </w:tc>
        <w:tc>
          <w:tcPr>
            <w:tcW w:w="1195" w:type="dxa"/>
            <w:vMerge w:val="continue"/>
            <w:tcBorders>
              <w:top w:val="nil"/>
              <w:bottom w:val="nil"/>
            </w:tcBorders>
            <w:vAlign w:val="top"/>
          </w:tcPr>
          <w:p w14:paraId="6B28073E">
            <w:pPr>
              <w:rPr>
                <w:rFonts w:hint="eastAsia"/>
                <w:color w:val="auto"/>
                <w:highlight w:val="none"/>
              </w:rPr>
            </w:pPr>
          </w:p>
        </w:tc>
      </w:tr>
      <w:tr w14:paraId="62667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3427" w:type="dxa"/>
            <w:vAlign w:val="center"/>
          </w:tcPr>
          <w:p w14:paraId="3DD9C92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水泵、阀门漏水及阀门开闭</w:t>
            </w:r>
          </w:p>
        </w:tc>
        <w:tc>
          <w:tcPr>
            <w:tcW w:w="4881" w:type="dxa"/>
            <w:vAlign w:val="center"/>
          </w:tcPr>
          <w:p w14:paraId="27845A0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无明显漏水，阀门开闭正确。</w:t>
            </w:r>
          </w:p>
        </w:tc>
        <w:tc>
          <w:tcPr>
            <w:tcW w:w="1195" w:type="dxa"/>
            <w:vMerge w:val="continue"/>
            <w:tcBorders>
              <w:top w:val="nil"/>
              <w:bottom w:val="nil"/>
            </w:tcBorders>
            <w:vAlign w:val="top"/>
          </w:tcPr>
          <w:p w14:paraId="5A06C086">
            <w:pPr>
              <w:rPr>
                <w:rFonts w:hint="eastAsia"/>
                <w:color w:val="auto"/>
                <w:highlight w:val="none"/>
              </w:rPr>
            </w:pPr>
          </w:p>
        </w:tc>
      </w:tr>
      <w:tr w14:paraId="08BF4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3427" w:type="dxa"/>
            <w:vAlign w:val="center"/>
          </w:tcPr>
          <w:p w14:paraId="43CAA78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设备运行电流、电压</w:t>
            </w:r>
          </w:p>
        </w:tc>
        <w:tc>
          <w:tcPr>
            <w:tcW w:w="4881" w:type="dxa"/>
            <w:vAlign w:val="center"/>
          </w:tcPr>
          <w:p w14:paraId="39E39F2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符合设计电流、电压。</w:t>
            </w:r>
          </w:p>
        </w:tc>
        <w:tc>
          <w:tcPr>
            <w:tcW w:w="1195" w:type="dxa"/>
            <w:vMerge w:val="continue"/>
            <w:tcBorders>
              <w:top w:val="nil"/>
              <w:bottom w:val="nil"/>
            </w:tcBorders>
            <w:vAlign w:val="top"/>
          </w:tcPr>
          <w:p w14:paraId="06A338DE">
            <w:pPr>
              <w:rPr>
                <w:rFonts w:hint="eastAsia"/>
                <w:color w:val="auto"/>
                <w:highlight w:val="none"/>
              </w:rPr>
            </w:pPr>
          </w:p>
        </w:tc>
      </w:tr>
      <w:tr w14:paraId="6ED05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3427" w:type="dxa"/>
            <w:vAlign w:val="center"/>
          </w:tcPr>
          <w:p w14:paraId="75B4F9A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冷冻水进出水温度及冷却水进 出水温度</w:t>
            </w:r>
          </w:p>
        </w:tc>
        <w:tc>
          <w:tcPr>
            <w:tcW w:w="4881" w:type="dxa"/>
            <w:vAlign w:val="center"/>
          </w:tcPr>
          <w:p w14:paraId="404D567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符合设计要求。</w:t>
            </w:r>
          </w:p>
        </w:tc>
        <w:tc>
          <w:tcPr>
            <w:tcW w:w="1195" w:type="dxa"/>
            <w:vMerge w:val="continue"/>
            <w:tcBorders>
              <w:top w:val="nil"/>
              <w:bottom w:val="nil"/>
            </w:tcBorders>
            <w:vAlign w:val="top"/>
          </w:tcPr>
          <w:p w14:paraId="4BF6E9A1">
            <w:pPr>
              <w:rPr>
                <w:rFonts w:hint="eastAsia"/>
                <w:color w:val="auto"/>
                <w:highlight w:val="none"/>
              </w:rPr>
            </w:pPr>
          </w:p>
        </w:tc>
      </w:tr>
      <w:tr w14:paraId="25622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3427" w:type="dxa"/>
            <w:vAlign w:val="center"/>
          </w:tcPr>
          <w:p w14:paraId="322AE12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冷冻水及冷却水出水压力</w:t>
            </w:r>
          </w:p>
        </w:tc>
        <w:tc>
          <w:tcPr>
            <w:tcW w:w="4881" w:type="dxa"/>
            <w:vAlign w:val="center"/>
          </w:tcPr>
          <w:p w14:paraId="340F5D9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符合设计要求。</w:t>
            </w:r>
          </w:p>
        </w:tc>
        <w:tc>
          <w:tcPr>
            <w:tcW w:w="1195" w:type="dxa"/>
            <w:vMerge w:val="continue"/>
            <w:tcBorders>
              <w:top w:val="nil"/>
              <w:bottom w:val="nil"/>
            </w:tcBorders>
            <w:vAlign w:val="top"/>
          </w:tcPr>
          <w:p w14:paraId="51926FDC">
            <w:pPr>
              <w:rPr>
                <w:rFonts w:hint="eastAsia"/>
                <w:color w:val="auto"/>
                <w:highlight w:val="none"/>
              </w:rPr>
            </w:pPr>
          </w:p>
        </w:tc>
      </w:tr>
      <w:tr w14:paraId="72F47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3427" w:type="dxa"/>
            <w:vAlign w:val="center"/>
          </w:tcPr>
          <w:p w14:paraId="04AC480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高压、低压及油压回路</w:t>
            </w:r>
          </w:p>
        </w:tc>
        <w:tc>
          <w:tcPr>
            <w:tcW w:w="4881" w:type="dxa"/>
            <w:vAlign w:val="center"/>
          </w:tcPr>
          <w:p w14:paraId="37501BF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油路畅通无漏油，压力符合产品设计要求。</w:t>
            </w:r>
          </w:p>
        </w:tc>
        <w:tc>
          <w:tcPr>
            <w:tcW w:w="1195" w:type="dxa"/>
            <w:vMerge w:val="continue"/>
            <w:tcBorders>
              <w:top w:val="nil"/>
              <w:bottom w:val="nil"/>
            </w:tcBorders>
            <w:vAlign w:val="top"/>
          </w:tcPr>
          <w:p w14:paraId="67423EDD">
            <w:pPr>
              <w:rPr>
                <w:rFonts w:hint="eastAsia"/>
                <w:color w:val="auto"/>
                <w:highlight w:val="none"/>
              </w:rPr>
            </w:pPr>
          </w:p>
        </w:tc>
      </w:tr>
      <w:tr w14:paraId="66F5E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3427" w:type="dxa"/>
            <w:vAlign w:val="center"/>
          </w:tcPr>
          <w:p w14:paraId="17342D3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各种仪表、指示显示正常，标 示清晰</w:t>
            </w:r>
          </w:p>
        </w:tc>
        <w:tc>
          <w:tcPr>
            <w:tcW w:w="4881" w:type="dxa"/>
            <w:vAlign w:val="center"/>
          </w:tcPr>
          <w:p w14:paraId="2098AED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油路畅通无漏油，压力符合产品设计要求。</w:t>
            </w:r>
          </w:p>
        </w:tc>
        <w:tc>
          <w:tcPr>
            <w:tcW w:w="1195" w:type="dxa"/>
            <w:vMerge w:val="continue"/>
            <w:tcBorders>
              <w:top w:val="nil"/>
              <w:bottom w:val="nil"/>
            </w:tcBorders>
            <w:vAlign w:val="top"/>
          </w:tcPr>
          <w:p w14:paraId="37C10748">
            <w:pPr>
              <w:rPr>
                <w:rFonts w:hint="eastAsia"/>
                <w:color w:val="auto"/>
                <w:highlight w:val="none"/>
              </w:rPr>
            </w:pPr>
          </w:p>
        </w:tc>
      </w:tr>
      <w:tr w14:paraId="3B6CF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3427" w:type="dxa"/>
            <w:vAlign w:val="center"/>
          </w:tcPr>
          <w:p w14:paraId="78D059E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主机及各种水泵运行情况</w:t>
            </w:r>
          </w:p>
        </w:tc>
        <w:tc>
          <w:tcPr>
            <w:tcW w:w="4881" w:type="dxa"/>
            <w:vAlign w:val="center"/>
          </w:tcPr>
          <w:p w14:paraId="6FF7FC9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运行正常。</w:t>
            </w:r>
          </w:p>
        </w:tc>
        <w:tc>
          <w:tcPr>
            <w:tcW w:w="1195" w:type="dxa"/>
            <w:vMerge w:val="continue"/>
            <w:tcBorders>
              <w:top w:val="nil"/>
              <w:bottom w:val="nil"/>
            </w:tcBorders>
            <w:vAlign w:val="top"/>
          </w:tcPr>
          <w:p w14:paraId="68E11295">
            <w:pPr>
              <w:rPr>
                <w:rFonts w:hint="eastAsia"/>
                <w:color w:val="auto"/>
                <w:highlight w:val="none"/>
              </w:rPr>
            </w:pPr>
          </w:p>
        </w:tc>
      </w:tr>
      <w:tr w14:paraId="29BA2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3427" w:type="dxa"/>
            <w:vAlign w:val="center"/>
          </w:tcPr>
          <w:p w14:paraId="219FC8E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冷却塔运行情况</w:t>
            </w:r>
          </w:p>
        </w:tc>
        <w:tc>
          <w:tcPr>
            <w:tcW w:w="4881" w:type="dxa"/>
            <w:vAlign w:val="center"/>
          </w:tcPr>
          <w:p w14:paraId="0915E4D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运行正常。</w:t>
            </w:r>
          </w:p>
        </w:tc>
        <w:tc>
          <w:tcPr>
            <w:tcW w:w="1195" w:type="dxa"/>
            <w:vMerge w:val="continue"/>
            <w:tcBorders>
              <w:top w:val="nil"/>
            </w:tcBorders>
            <w:vAlign w:val="top"/>
          </w:tcPr>
          <w:p w14:paraId="78E8EFDE">
            <w:pPr>
              <w:rPr>
                <w:rFonts w:hint="eastAsia"/>
                <w:color w:val="auto"/>
                <w:highlight w:val="none"/>
              </w:rPr>
            </w:pPr>
          </w:p>
        </w:tc>
      </w:tr>
    </w:tbl>
    <w:p w14:paraId="1AA49052">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2）定期对空调系统开机前进行检查，测试运行控制和安全控制功能，记录运行参数，分析运行记录；</w:t>
      </w:r>
    </w:p>
    <w:p w14:paraId="19DF4E1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3）定期检查冷却塔风机变速齿轮箱、淋水装置、循环泵、电器控制箱，保证冷却塔及附属设施的正常运行和良好保养，提供符合要求的冷却水；</w:t>
      </w:r>
    </w:p>
    <w:p w14:paraId="68FD74CB">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4）定期对空气处理单元、新风处理单元、风机盘管、滤网、加湿器、风阀、积水盘、风机表冷器进行清洗和保养；定期清洗和更换空调机组的空气过滤器、冷凝水积水盘和冷凝水管道；</w:t>
      </w:r>
    </w:p>
    <w:p w14:paraId="7ECC983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5）定期进行循环泵、空调主机、冷却风机电柜主电路螺栓紧固，测试绝缘值，作好记录；</w:t>
      </w:r>
    </w:p>
    <w:p w14:paraId="0886D1BA">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6）定期对空调系统主机、水泵、电机、管道、膨胀水箱、集水器、分水器进行检查保养；</w:t>
      </w:r>
    </w:p>
    <w:p w14:paraId="679C311A">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7）各种管道完好，阀件及仪表齐备，无跑、冒、滴、漏；</w:t>
      </w:r>
    </w:p>
    <w:p w14:paraId="68D10D08">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8）保证冷冻主机及附属设施的正常运行和良好保养，提供符合要求的冷冻水；</w:t>
      </w:r>
    </w:p>
    <w:p w14:paraId="47BF2E0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9）对空调循环水质进行维护保养和水质分析，保证水系统内的水质符合国家标准要求；</w:t>
      </w:r>
    </w:p>
    <w:p w14:paraId="3D20BDC6">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10）能量计费系统处于完好状态；</w:t>
      </w:r>
    </w:p>
    <w:p w14:paraId="6B13FE0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）定期检查空调机组马达、风机的运转情况，记录运行参数；</w:t>
      </w:r>
    </w:p>
    <w:p w14:paraId="29ED350E">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）定期安排对新风量、排风量的测定；</w:t>
      </w:r>
    </w:p>
    <w:p w14:paraId="1FE9CE2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）应考虑定期安排对空气品质的测定；</w:t>
      </w:r>
    </w:p>
    <w:p w14:paraId="1B224C48">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）定期安排对风管系统的清洗；</w:t>
      </w:r>
    </w:p>
    <w:p w14:paraId="124AFAD9">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）空调柜机在质保期外的由中标人进行日常维修。</w:t>
      </w:r>
    </w:p>
    <w:p w14:paraId="43DB929B">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（6）公共照明系统（包含办公区域照明系统）</w:t>
      </w:r>
    </w:p>
    <w:p w14:paraId="1FD2EB5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1）公共照明系统应每天一次巡检，楼宇亮化、公用会议室、门厅、电梯间、 楼梯间、休息室、楼道等公共部位应保持99%以上的亮灯率，如有缺损，应及时更换；</w:t>
      </w:r>
    </w:p>
    <w:p w14:paraId="219085F6">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2）每月一次对泛光照明灯具、吊灯等外观进行检查，保持清洁完好，并保持99%以上的亮灯率；</w:t>
      </w:r>
    </w:p>
    <w:p w14:paraId="1A340FE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3）每天一次巡检公共照明电气柜电器设备，遇有故障，应及时处置，保证运行安全、正常；</w:t>
      </w:r>
    </w:p>
    <w:p w14:paraId="14354A3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4）在确保安全的条件下，组织对馆内、展品等相关部分照明的维修。展品等相关部分照明维修，采购人现场监督实施；</w:t>
      </w:r>
    </w:p>
    <w:p w14:paraId="5EA6122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）做好节能减排工作。</w:t>
      </w:r>
    </w:p>
    <w:p w14:paraId="66B05072">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（7）馆内电子设备（电脑、投影仪、音响、触摸屏等）</w:t>
      </w:r>
    </w:p>
    <w:p w14:paraId="1F71225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1）馆内电子设备的日常运行管理；</w:t>
      </w:r>
    </w:p>
    <w:p w14:paraId="45A595D3">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2）工程质量保修期结束后的设备维修保养；</w:t>
      </w:r>
    </w:p>
    <w:p w14:paraId="747765C7">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3）设备维修保养应及时高效，维修时间一般不超过3天；重大接待、重大活 动、节假日前进行设备检查；</w:t>
      </w:r>
    </w:p>
    <w:p w14:paraId="3D5D284F">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4）配合施工单位质保期间的维修工作。</w:t>
      </w:r>
    </w:p>
    <w:p w14:paraId="23F873D6">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（8）消防系统</w:t>
      </w:r>
    </w:p>
    <w:p w14:paraId="61CDFFA2">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1）应对各项消防设备按规定进行定期检查，保证设施齐全、功能运行正常；</w:t>
      </w:r>
    </w:p>
    <w:p w14:paraId="464A2C2A">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火灾探测器定期进行实效模拟试验，探测器至少每年进行一次清洗，及时更换失效的器件。当被检测探头响应参数达到预定值时，探测器应当输出火警信号，同时启动探测器的确认灯。操作启动部件，手动火灾报警按钮应当能输出火灾报警信号，报警按钮应当有动作显示；</w:t>
      </w:r>
    </w:p>
    <w:p w14:paraId="46ADDC13">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3）每年应进行四次消防联动，检测各类消防系统各类运行参数和状况并作记录；</w:t>
      </w:r>
    </w:p>
    <w:p w14:paraId="774EDC75">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4）消防灭火设施、器材应处于良好的待命状态，气体灭火装置应每季进行信号测试与压力状态检查，大空间消防水泵灭火装置应每年检测一次；</w:t>
      </w:r>
    </w:p>
    <w:p w14:paraId="2340AD20">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5）消防泵、喷淋泵、大空间泵、稳压泵（包括主备泵）每月启动一次并作记录，每年保养一次，保证工作正常、整洁；</w:t>
      </w:r>
    </w:p>
    <w:p w14:paraId="375977C2">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6）消火栓箱每月巡查一次，保持消火栓箱内各种配件完好；</w:t>
      </w:r>
    </w:p>
    <w:p w14:paraId="48A191A7">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7）消防水带每月巡查一次，阀杆处每半年加注润滑油并做放水检查一次。 灭火器到期更换，保证处于有效期；</w:t>
      </w:r>
    </w:p>
    <w:p w14:paraId="4C2FB45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8）运行保障应保证消防等系统设备，保证以下功能：</w:t>
      </w:r>
    </w:p>
    <w:p w14:paraId="6DA62825">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A、火灾时应能在消防控制室将火灾疏散层的扬声器和广播背景音响系统强 制转入火灾应急广播状态，并控制在选定的楼层（区域）内；</w:t>
      </w:r>
    </w:p>
    <w:p w14:paraId="0428D16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B、报警功能：设备能正常接收来自火灾探测器及其它报警触发器件的火灾报警信号，发出声、光信号；</w:t>
      </w:r>
    </w:p>
    <w:p w14:paraId="0D3509F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C、故障报警功能：当控制器和火灾探测器、控制器和传输火灾报警信号作用的部件发生故障时，应当正确指示出故障部位；</w:t>
      </w:r>
    </w:p>
    <w:p w14:paraId="69C8F408">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D、火警优先功能：显示预报警和故障信号时，如有火灾报警信号输入，应当立即显示火灾报警信号；显示故障信号时，如有预报警信号输入，应当显示预报警信号；</w:t>
      </w:r>
    </w:p>
    <w:p w14:paraId="1FBE84D8">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E、电源转换功能：主电源切断时，备用电源应当能自动投入运行；当主电源恢复时能从备用电源自动转入主电源状态；</w:t>
      </w:r>
    </w:p>
    <w:p w14:paraId="4BAB33F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F、火灾确认后，发出控制信号，强制电梯全部停于首层，并接受其反馈信号。消防电梯联动迫降后可进行人工操作，其功能、信号均应当正常。火灾确认后，应当控制相应部位的正压风机和排烟风机启动，接受其反馈信号并显示其状态；</w:t>
      </w:r>
    </w:p>
    <w:p w14:paraId="37B3BBC6">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G、火灾确认后，发出控制信号，将着火层的防烟风阀、排烟阀打开，接受其反馈信号并显示其状态；</w:t>
      </w:r>
    </w:p>
    <w:p w14:paraId="74561DE2">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H、消防控制室在确认火灾后，应当能控制有关部位的防火卷帘门按规定程序下降，接受其反馈信号并显示其状态；</w:t>
      </w:r>
    </w:p>
    <w:p w14:paraId="57E8F43E">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I、火灾确认后，应当释放建筑内的所有门禁装置，保证疏散门的畅通；</w:t>
      </w:r>
    </w:p>
    <w:p w14:paraId="55E74A1F">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J、数据采集柜蓄电池正常、线路整齐、接线正确、工作正常、整洁；</w:t>
      </w:r>
    </w:p>
    <w:p w14:paraId="53AA346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K、末端设备安装牢固、位置正确、线路整齐、工作正常；</w:t>
      </w:r>
    </w:p>
    <w:p w14:paraId="45B446E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L、中央联动装置工作正常、显示正确。</w:t>
      </w:r>
    </w:p>
    <w:p w14:paraId="7B689511">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val="zh-CN" w:eastAsia="zh-CN"/>
        </w:rPr>
        <w:t>房屋本体维修养护服务内容及要求</w:t>
      </w:r>
    </w:p>
    <w:p w14:paraId="0CE0F5B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1）建立对房屋及其公用部位、公用设施设备等进行日常巡查制度，做好巡检记录，检修记录和保养记录齐全。发现问题及时报告，根据指示安排专项维修；</w:t>
      </w:r>
    </w:p>
    <w:p w14:paraId="281CED97">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2）根据房屋的结构类型、用途和使用年限、使用环境等情况，每年对房屋结构进行定期检查，检查中发现问题应及时报告，制定维修计划，进行修缮；</w:t>
      </w:r>
    </w:p>
    <w:p w14:paraId="3AFBCC11">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3）每年定期检查屋面、卫生间防水情况，确保无渗漏；检查外墙和外门窗等房屋外围护结构有无渗漏现象，发现渗漏的，应及时处理，确保无渗漏；</w:t>
      </w:r>
    </w:p>
    <w:p w14:paraId="07CB711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4）维修属于小修范围的，及时组织修复；属于大、中修范围的，应及时编制维修计划和房屋专项维修资金使用计划，向采购人提出报告与建议，根据采购人的决定，组织维修；</w:t>
      </w:r>
    </w:p>
    <w:p w14:paraId="7680539F">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5）宣传房屋安全使用的规范，检查和协助工作人员正确使用房屋及其设施设备；</w:t>
      </w:r>
    </w:p>
    <w:p w14:paraId="4AE703A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6）建立健全房屋及其设施设备竣工档案，维修设计方案及审批文件、维修施工监督记录、日常巡查记录等均应做好存档管理。服务合同到期后，须全部完整地移交给采购人；</w:t>
      </w:r>
    </w:p>
    <w:p w14:paraId="5A8329C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避雷系统应按规定由专业机构进行检测房屋本体的防雷设施应在每年3月前做好防雷电设施检查，保持所有的避雷设施及所有的金属物体的接地完好；防雷设施接地电阻不应大于1欧姆。引下线，屋顶避雷网线、中性点接地、设备层的避雷带、网无脱焊。如有生锈，应及时除锈，刷防锈漆和银粉漆进行保护；</w:t>
      </w:r>
    </w:p>
    <w:p w14:paraId="3F0CF77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8）每年检查一次重要机房的设备防静电地板的接地是否可靠，并对各楼层的金属窗、钢结构进行外观检查；</w:t>
      </w:r>
    </w:p>
    <w:p w14:paraId="32BA9B65">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9）每半年一次对楼层强、弱电间内的接地装置进行检查，遇有问题及时解决；</w:t>
      </w:r>
    </w:p>
    <w:p w14:paraId="4C38FBF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10）每月一次对变配电室的设备接地带进行检查；每季对各重要机房内的配电柜及设备接地进行检查；保证所有机电设备、管道、构架等金属物接地良好；</w:t>
      </w:r>
    </w:p>
    <w:p w14:paraId="69DA5FDA">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11）所有避雷设施完好；</w:t>
      </w:r>
    </w:p>
    <w:p w14:paraId="32A3A278">
      <w:pPr>
        <w:widowControl/>
        <w:spacing w:line="500" w:lineRule="exact"/>
        <w:ind w:firstLine="420"/>
        <w:outlineLvl w:val="1"/>
        <w:rPr>
          <w:rFonts w:hint="default"/>
          <w:color w:val="auto"/>
          <w:highlight w:val="none"/>
          <w:lang w:val="en-US" w:eastAsia="zh-CN"/>
        </w:rPr>
      </w:pPr>
      <w:r>
        <w:rPr>
          <w:rFonts w:hint="eastAsia" w:ascii="宋体" w:hAnsi="宋体" w:eastAsia="宋体" w:cs="宋体"/>
          <w:color w:val="auto"/>
          <w:sz w:val="24"/>
          <w:szCs w:val="24"/>
          <w:highlight w:val="none"/>
          <w:lang w:val="zh-CN" w:eastAsia="zh-CN"/>
        </w:rPr>
        <w:t>12）接地电阻: &lt;4Ω, 弱电设备接地电阻: ≤1Ω。</w:t>
      </w:r>
    </w:p>
    <w:p w14:paraId="68D42EFB">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2.展厅服务部</w:t>
      </w:r>
    </w:p>
    <w:p w14:paraId="3B68C36E">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1）展厅运行与管理</w:t>
      </w:r>
    </w:p>
    <w:p w14:paraId="28DB0713">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负责看护滁州市科技馆科普展品，确保展览展品的安全稳定运行；保证观众的有序参观，确保观众在参观时有一个良好的参观环境；负责科普报告厅、球幕影院科普影片的正常播放。</w:t>
      </w:r>
    </w:p>
    <w:tbl>
      <w:tblPr>
        <w:tblStyle w:val="77"/>
        <w:tblW w:w="93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5"/>
        <w:gridCol w:w="1462"/>
        <w:gridCol w:w="4578"/>
        <w:gridCol w:w="2540"/>
      </w:tblGrid>
      <w:tr w14:paraId="483A4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815" w:type="dxa"/>
            <w:vAlign w:val="center"/>
          </w:tcPr>
          <w:p w14:paraId="4FA870E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62" w:type="dxa"/>
            <w:vAlign w:val="center"/>
          </w:tcPr>
          <w:p w14:paraId="6D09713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4578" w:type="dxa"/>
            <w:vAlign w:val="center"/>
          </w:tcPr>
          <w:p w14:paraId="518ECA0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p>
        </w:tc>
        <w:tc>
          <w:tcPr>
            <w:tcW w:w="2540" w:type="dxa"/>
            <w:vAlign w:val="center"/>
          </w:tcPr>
          <w:p w14:paraId="08F1C6F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w:t>
            </w:r>
          </w:p>
        </w:tc>
      </w:tr>
      <w:tr w14:paraId="119FA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15" w:type="dxa"/>
            <w:vAlign w:val="center"/>
          </w:tcPr>
          <w:p w14:paraId="69F05CD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62" w:type="dxa"/>
            <w:vAlign w:val="center"/>
          </w:tcPr>
          <w:p w14:paraId="33088DC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展品卫生</w:t>
            </w:r>
          </w:p>
        </w:tc>
        <w:tc>
          <w:tcPr>
            <w:tcW w:w="4578" w:type="dxa"/>
            <w:vAlign w:val="center"/>
          </w:tcPr>
          <w:p w14:paraId="3356553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责任区内所有展品的清洁卫生，日常做到展品表面无浮尘，镜面光洁；每月开展两次集中大扫除。</w:t>
            </w:r>
          </w:p>
        </w:tc>
        <w:tc>
          <w:tcPr>
            <w:tcW w:w="2540" w:type="dxa"/>
            <w:vAlign w:val="center"/>
          </w:tcPr>
          <w:p w14:paraId="4E75751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在每月进行的卫生检查工  作中，展品卫生合格率要达 到98%。</w:t>
            </w:r>
          </w:p>
        </w:tc>
      </w:tr>
      <w:tr w14:paraId="67E5D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2" w:hRule="atLeast"/>
        </w:trPr>
        <w:tc>
          <w:tcPr>
            <w:tcW w:w="815" w:type="dxa"/>
            <w:vAlign w:val="center"/>
          </w:tcPr>
          <w:p w14:paraId="02DAE3C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62" w:type="dxa"/>
            <w:vAlign w:val="center"/>
          </w:tcPr>
          <w:p w14:paraId="064CE72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展品运行</w:t>
            </w:r>
          </w:p>
        </w:tc>
        <w:tc>
          <w:tcPr>
            <w:tcW w:w="4578" w:type="dxa"/>
            <w:vAlign w:val="center"/>
          </w:tcPr>
          <w:p w14:paraId="18FCB77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天在开馆前完成展品开启工作，开启展品后必须逐一操作测试和观察，及时掌握展品的运行状态；正常情况下，所有展品必须对观众开放，定时开放或演示的特殊项目，必须按照公示的时间开放或演示；巡视检查展品的运行状态，及时报修和采取保护措施。</w:t>
            </w:r>
          </w:p>
        </w:tc>
        <w:tc>
          <w:tcPr>
            <w:tcW w:w="2540" w:type="dxa"/>
            <w:vAlign w:val="center"/>
          </w:tcPr>
          <w:p w14:paraId="4391937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对故障展品必须在2小时内及时报修</w:t>
            </w:r>
          </w:p>
        </w:tc>
      </w:tr>
      <w:tr w14:paraId="27A77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1" w:hRule="atLeast"/>
        </w:trPr>
        <w:tc>
          <w:tcPr>
            <w:tcW w:w="815" w:type="dxa"/>
            <w:vAlign w:val="center"/>
          </w:tcPr>
          <w:p w14:paraId="7268302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462" w:type="dxa"/>
            <w:vAlign w:val="center"/>
          </w:tcPr>
          <w:p w14:paraId="0E9B4E0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观众组织与 秩序维护</w:t>
            </w:r>
          </w:p>
        </w:tc>
        <w:tc>
          <w:tcPr>
            <w:tcW w:w="4578" w:type="dxa"/>
            <w:vAlign w:val="center"/>
          </w:tcPr>
          <w:p w14:paraId="5A95E1A8">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引导观众安全有序参观，及时处置展厅停电、火警等各类突发事件；及时制止观众坐展品、抱孩子站展品、暴力操作展品、拿走展品零件等易发现象；及时清理观众随手放在展品上的垃圾；及时复位展品零件；巡视观众的参观行为，及时发现并制止不文明行为；预防观众意外伤害事件发生并在发生意外伤害事件时及时有效应对</w:t>
            </w:r>
            <w:r>
              <w:rPr>
                <w:rFonts w:hint="eastAsia" w:ascii="宋体" w:hAnsi="宋体" w:eastAsia="宋体" w:cs="宋体"/>
                <w:color w:val="auto"/>
                <w:sz w:val="24"/>
                <w:szCs w:val="24"/>
                <w:highlight w:val="none"/>
                <w:lang w:eastAsia="zh-CN"/>
              </w:rPr>
              <w:t>。</w:t>
            </w:r>
          </w:p>
        </w:tc>
        <w:tc>
          <w:tcPr>
            <w:tcW w:w="2540" w:type="dxa"/>
            <w:vAlign w:val="center"/>
          </w:tcPr>
          <w:p w14:paraId="06B6992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因工作疏忽、过失造成人身伤害和财产损失的，须承担相应的责任。</w:t>
            </w:r>
          </w:p>
        </w:tc>
      </w:tr>
      <w:tr w14:paraId="70618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6" w:hRule="atLeast"/>
        </w:trPr>
        <w:tc>
          <w:tcPr>
            <w:tcW w:w="815" w:type="dxa"/>
            <w:vAlign w:val="center"/>
          </w:tcPr>
          <w:p w14:paraId="6B81E52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462" w:type="dxa"/>
            <w:vAlign w:val="center"/>
          </w:tcPr>
          <w:p w14:paraId="59C6C00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观众服务</w:t>
            </w:r>
          </w:p>
        </w:tc>
        <w:tc>
          <w:tcPr>
            <w:tcW w:w="4578" w:type="dxa"/>
            <w:vAlign w:val="center"/>
          </w:tcPr>
          <w:p w14:paraId="1314CD5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树立窗口形象，文明礼貌，为观众答疑解惑；负责有关参观咨询服务，按照规定做好团体参观的预约与接待，及时将展厅中出现的问题反馈展厅负责人，并做好客流量等相关统计。</w:t>
            </w:r>
          </w:p>
        </w:tc>
        <w:tc>
          <w:tcPr>
            <w:tcW w:w="2540" w:type="dxa"/>
            <w:vAlign w:val="center"/>
          </w:tcPr>
          <w:p w14:paraId="40CAA5E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全年被观众投诉不超过3次，各级单位检查必须要全部优秀。</w:t>
            </w:r>
          </w:p>
        </w:tc>
      </w:tr>
      <w:tr w14:paraId="0C398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9" w:hRule="atLeast"/>
        </w:trPr>
        <w:tc>
          <w:tcPr>
            <w:tcW w:w="815" w:type="dxa"/>
            <w:vAlign w:val="center"/>
          </w:tcPr>
          <w:p w14:paraId="16333AD2">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1462" w:type="dxa"/>
            <w:vAlign w:val="center"/>
          </w:tcPr>
          <w:p w14:paraId="6CCD69A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特效影院</w:t>
            </w:r>
          </w:p>
        </w:tc>
        <w:tc>
          <w:tcPr>
            <w:tcW w:w="4578" w:type="dxa"/>
            <w:vAlign w:val="center"/>
          </w:tcPr>
          <w:p w14:paraId="567B206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负责特效影院的日常播放、放映管理、设备管理等特色活动的开展。</w:t>
            </w:r>
          </w:p>
        </w:tc>
        <w:tc>
          <w:tcPr>
            <w:tcW w:w="2540" w:type="dxa"/>
            <w:vAlign w:val="center"/>
          </w:tcPr>
          <w:p w14:paraId="0C1231F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按采购人要求，做好相关服 务工作，确保各项活动圆满 完成。</w:t>
            </w:r>
          </w:p>
        </w:tc>
      </w:tr>
    </w:tbl>
    <w:p w14:paraId="58B13CDF">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）重要活动辅助工作</w:t>
      </w:r>
    </w:p>
    <w:p w14:paraId="23F0D71B">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协助科技馆完成科普临展、科普报告会及各类特色科普活动的策划与实施工作，同时承担上述活动的现场管理职责。</w:t>
      </w:r>
    </w:p>
    <w:tbl>
      <w:tblPr>
        <w:tblStyle w:val="77"/>
        <w:tblW w:w="94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8"/>
        <w:gridCol w:w="1484"/>
        <w:gridCol w:w="4064"/>
        <w:gridCol w:w="3037"/>
      </w:tblGrid>
      <w:tr w14:paraId="011A7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838" w:type="dxa"/>
            <w:vAlign w:val="top"/>
          </w:tcPr>
          <w:p w14:paraId="5D1D1B5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84" w:type="dxa"/>
            <w:vAlign w:val="top"/>
          </w:tcPr>
          <w:p w14:paraId="0741F14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4064" w:type="dxa"/>
            <w:vAlign w:val="top"/>
          </w:tcPr>
          <w:p w14:paraId="48E2FEC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p>
        </w:tc>
        <w:tc>
          <w:tcPr>
            <w:tcW w:w="3037" w:type="dxa"/>
            <w:vAlign w:val="top"/>
          </w:tcPr>
          <w:p w14:paraId="46897B7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w:t>
            </w:r>
          </w:p>
        </w:tc>
      </w:tr>
      <w:tr w14:paraId="1E578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2" w:hRule="atLeast"/>
        </w:trPr>
        <w:tc>
          <w:tcPr>
            <w:tcW w:w="838" w:type="dxa"/>
            <w:vAlign w:val="center"/>
          </w:tcPr>
          <w:p w14:paraId="0EC71CB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84" w:type="dxa"/>
            <w:vAlign w:val="center"/>
          </w:tcPr>
          <w:p w14:paraId="6AE70EC7">
            <w:pPr>
              <w:widowControl/>
              <w:spacing w:line="500" w:lineRule="exact"/>
              <w:jc w:val="center"/>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eastAsia="zh-CN"/>
              </w:rPr>
              <w:t>科普</w:t>
            </w:r>
            <w:r>
              <w:rPr>
                <w:rFonts w:hint="eastAsia" w:ascii="宋体" w:hAnsi="宋体" w:eastAsia="宋体" w:cs="宋体"/>
                <w:color w:val="auto"/>
                <w:sz w:val="24"/>
                <w:szCs w:val="24"/>
                <w:highlight w:val="none"/>
              </w:rPr>
              <w:t>临展</w:t>
            </w:r>
          </w:p>
        </w:tc>
        <w:tc>
          <w:tcPr>
            <w:tcW w:w="4064" w:type="dxa"/>
            <w:vAlign w:val="center"/>
          </w:tcPr>
          <w:p w14:paraId="785FCE5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负责临展的布展、撤展、秩序维护、 现场管理、讲解、活动策划等辅助性 工作。</w:t>
            </w:r>
          </w:p>
        </w:tc>
        <w:tc>
          <w:tcPr>
            <w:tcW w:w="3037" w:type="dxa"/>
            <w:vMerge w:val="restart"/>
            <w:vAlign w:val="center"/>
          </w:tcPr>
          <w:p w14:paraId="7B2C476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按采购人要求，做好相关辅 助性服务工作，确保各项活 动圆满完成。</w:t>
            </w:r>
          </w:p>
        </w:tc>
      </w:tr>
      <w:tr w14:paraId="29042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838" w:type="dxa"/>
            <w:vAlign w:val="center"/>
          </w:tcPr>
          <w:p w14:paraId="5726573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84" w:type="dxa"/>
            <w:vAlign w:val="center"/>
          </w:tcPr>
          <w:p w14:paraId="65CC4AA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科普报告</w:t>
            </w:r>
          </w:p>
        </w:tc>
        <w:tc>
          <w:tcPr>
            <w:tcW w:w="4064" w:type="dxa"/>
            <w:vAlign w:val="center"/>
          </w:tcPr>
          <w:p w14:paraId="6AFA5B51">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负责会前准备、人员组织、现场服务、活动宣传等辅助性工作</w:t>
            </w:r>
            <w:r>
              <w:rPr>
                <w:rFonts w:hint="eastAsia" w:ascii="宋体" w:hAnsi="宋体" w:eastAsia="宋体" w:cs="宋体"/>
                <w:color w:val="auto"/>
                <w:sz w:val="24"/>
                <w:szCs w:val="24"/>
                <w:highlight w:val="none"/>
                <w:lang w:eastAsia="zh-CN"/>
              </w:rPr>
              <w:t>。</w:t>
            </w:r>
          </w:p>
        </w:tc>
        <w:tc>
          <w:tcPr>
            <w:tcW w:w="3037" w:type="dxa"/>
            <w:vMerge w:val="continue"/>
            <w:vAlign w:val="top"/>
          </w:tcPr>
          <w:p w14:paraId="4101B6E8">
            <w:pPr>
              <w:keepNext w:val="0"/>
              <w:keepLines w:val="0"/>
              <w:pageBreakBefore w:val="0"/>
              <w:wordWrap/>
              <w:overflowPunct/>
              <w:topLinePunct w:val="0"/>
              <w:autoSpaceDE w:val="0"/>
              <w:autoSpaceDN w:val="0"/>
              <w:bidi w:val="0"/>
              <w:adjustRightInd w:val="0"/>
              <w:spacing w:line="560" w:lineRule="exact"/>
              <w:rPr>
                <w:rFonts w:hint="eastAsia" w:ascii="CESI仿宋-GB2312" w:hAnsi="CESI仿宋-GB2312" w:eastAsia="CESI仿宋-GB2312" w:cs="CESI仿宋-GB2312"/>
                <w:b w:val="0"/>
                <w:bCs w:val="0"/>
                <w:color w:val="auto"/>
                <w:sz w:val="32"/>
                <w:szCs w:val="32"/>
                <w:highlight w:val="none"/>
              </w:rPr>
            </w:pPr>
          </w:p>
        </w:tc>
      </w:tr>
      <w:tr w14:paraId="7851E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838" w:type="dxa"/>
            <w:vAlign w:val="center"/>
          </w:tcPr>
          <w:p w14:paraId="0661E4E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484" w:type="dxa"/>
            <w:vAlign w:val="center"/>
          </w:tcPr>
          <w:p w14:paraId="599EC7ED">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科普实验秀</w:t>
            </w:r>
          </w:p>
        </w:tc>
        <w:tc>
          <w:tcPr>
            <w:tcW w:w="4064" w:type="dxa"/>
            <w:vAlign w:val="top"/>
          </w:tcPr>
          <w:p w14:paraId="0FEAA44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协助完成各项辅助性工作，具体涵盖活动筹备、展区布置、撤展执行、参与人员组织及现场服务保障。</w:t>
            </w:r>
          </w:p>
        </w:tc>
        <w:tc>
          <w:tcPr>
            <w:tcW w:w="3037" w:type="dxa"/>
            <w:vMerge w:val="continue"/>
            <w:vAlign w:val="top"/>
          </w:tcPr>
          <w:p w14:paraId="57DBED6B">
            <w:pPr>
              <w:keepNext w:val="0"/>
              <w:keepLines w:val="0"/>
              <w:pageBreakBefore w:val="0"/>
              <w:wordWrap/>
              <w:overflowPunct/>
              <w:topLinePunct w:val="0"/>
              <w:autoSpaceDE w:val="0"/>
              <w:autoSpaceDN w:val="0"/>
              <w:bidi w:val="0"/>
              <w:adjustRightInd w:val="0"/>
              <w:spacing w:line="560" w:lineRule="exact"/>
              <w:rPr>
                <w:rFonts w:hint="eastAsia" w:ascii="CESI仿宋-GB2312" w:hAnsi="CESI仿宋-GB2312" w:eastAsia="CESI仿宋-GB2312" w:cs="CESI仿宋-GB2312"/>
                <w:b w:val="0"/>
                <w:bCs w:val="0"/>
                <w:color w:val="auto"/>
                <w:sz w:val="32"/>
                <w:szCs w:val="32"/>
                <w:highlight w:val="none"/>
              </w:rPr>
            </w:pPr>
          </w:p>
        </w:tc>
      </w:tr>
      <w:tr w14:paraId="0D9E9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838" w:type="dxa"/>
            <w:vAlign w:val="center"/>
          </w:tcPr>
          <w:p w14:paraId="18D7AE3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484" w:type="dxa"/>
            <w:vAlign w:val="center"/>
          </w:tcPr>
          <w:p w14:paraId="1ADC32B4">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全国科普日</w:t>
            </w:r>
          </w:p>
        </w:tc>
        <w:tc>
          <w:tcPr>
            <w:tcW w:w="4064" w:type="dxa"/>
            <w:vAlign w:val="top"/>
          </w:tcPr>
          <w:p w14:paraId="16DFE65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协助开展大赛相关工作，主要负责会前筹备、现场秩序维护、参会者服务等辅助性事务。。</w:t>
            </w:r>
          </w:p>
        </w:tc>
        <w:tc>
          <w:tcPr>
            <w:tcW w:w="3037" w:type="dxa"/>
            <w:vMerge w:val="continue"/>
            <w:vAlign w:val="top"/>
          </w:tcPr>
          <w:p w14:paraId="6C4B6511">
            <w:pPr>
              <w:keepNext w:val="0"/>
              <w:keepLines w:val="0"/>
              <w:pageBreakBefore w:val="0"/>
              <w:wordWrap/>
              <w:overflowPunct/>
              <w:topLinePunct w:val="0"/>
              <w:autoSpaceDE w:val="0"/>
              <w:autoSpaceDN w:val="0"/>
              <w:bidi w:val="0"/>
              <w:adjustRightInd w:val="0"/>
              <w:spacing w:line="560" w:lineRule="exact"/>
              <w:rPr>
                <w:rFonts w:hint="eastAsia" w:ascii="CESI仿宋-GB2312" w:hAnsi="CESI仿宋-GB2312" w:eastAsia="CESI仿宋-GB2312" w:cs="CESI仿宋-GB2312"/>
                <w:b w:val="0"/>
                <w:bCs w:val="0"/>
                <w:color w:val="auto"/>
                <w:sz w:val="32"/>
                <w:szCs w:val="32"/>
                <w:highlight w:val="none"/>
              </w:rPr>
            </w:pPr>
          </w:p>
        </w:tc>
      </w:tr>
    </w:tbl>
    <w:p w14:paraId="50825936">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3.媒体服务部</w:t>
      </w:r>
    </w:p>
    <w:p w14:paraId="3FE7D92F">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利用宣传推广传递科普价值、提升场馆社会影响力，是科技馆对外展示形象、开展公众互动的重要窗口。</w:t>
      </w:r>
    </w:p>
    <w:tbl>
      <w:tblPr>
        <w:tblStyle w:val="77"/>
        <w:tblW w:w="94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0"/>
        <w:gridCol w:w="1499"/>
        <w:gridCol w:w="4078"/>
        <w:gridCol w:w="3023"/>
      </w:tblGrid>
      <w:tr w14:paraId="741C2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840" w:type="dxa"/>
            <w:vAlign w:val="top"/>
          </w:tcPr>
          <w:p w14:paraId="4548454F">
            <w:pPr>
              <w:widowControl/>
              <w:spacing w:line="500" w:lineRule="exact"/>
              <w:jc w:val="center"/>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序号</w:t>
            </w:r>
          </w:p>
        </w:tc>
        <w:tc>
          <w:tcPr>
            <w:tcW w:w="1499" w:type="dxa"/>
            <w:vAlign w:val="top"/>
          </w:tcPr>
          <w:p w14:paraId="6679E861">
            <w:pPr>
              <w:widowControl/>
              <w:spacing w:line="500" w:lineRule="exact"/>
              <w:jc w:val="center"/>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活动类型</w:t>
            </w:r>
          </w:p>
        </w:tc>
        <w:tc>
          <w:tcPr>
            <w:tcW w:w="4078" w:type="dxa"/>
            <w:vAlign w:val="top"/>
          </w:tcPr>
          <w:p w14:paraId="3BEC21ED">
            <w:pPr>
              <w:widowControl/>
              <w:spacing w:line="500" w:lineRule="exact"/>
              <w:jc w:val="center"/>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说明</w:t>
            </w:r>
          </w:p>
        </w:tc>
        <w:tc>
          <w:tcPr>
            <w:tcW w:w="3023" w:type="dxa"/>
            <w:vAlign w:val="top"/>
          </w:tcPr>
          <w:p w14:paraId="52EFFFCE">
            <w:pPr>
              <w:widowControl/>
              <w:spacing w:line="500" w:lineRule="exact"/>
              <w:jc w:val="center"/>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要求</w:t>
            </w:r>
          </w:p>
        </w:tc>
      </w:tr>
      <w:tr w14:paraId="69739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40" w:type="dxa"/>
            <w:vAlign w:val="center"/>
          </w:tcPr>
          <w:p w14:paraId="5E5F657A">
            <w:pPr>
              <w:widowControl/>
              <w:spacing w:line="500" w:lineRule="exact"/>
              <w:jc w:val="center"/>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w:t>
            </w:r>
          </w:p>
        </w:tc>
        <w:tc>
          <w:tcPr>
            <w:tcW w:w="1499" w:type="dxa"/>
            <w:vAlign w:val="center"/>
          </w:tcPr>
          <w:p w14:paraId="2FE476A4">
            <w:pPr>
              <w:widowControl/>
              <w:spacing w:line="500" w:lineRule="exact"/>
              <w:jc w:val="center"/>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协助做好科普内容创作与输出</w:t>
            </w:r>
          </w:p>
        </w:tc>
        <w:tc>
          <w:tcPr>
            <w:tcW w:w="4078" w:type="dxa"/>
            <w:vAlign w:val="center"/>
          </w:tcPr>
          <w:p w14:paraId="04122647">
            <w:pPr>
              <w:widowControl/>
              <w:spacing w:line="500" w:lineRule="exact"/>
              <w:jc w:val="center"/>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围绕场馆展品、科普活动、教育课程等核心业务，策划并制作图文、短视频、音频、直播等多元化科普内容，如展品深度解读、活动预告与回顾、趣味科普知识分享等。</w:t>
            </w:r>
          </w:p>
        </w:tc>
        <w:tc>
          <w:tcPr>
            <w:tcW w:w="3023" w:type="dxa"/>
            <w:vMerge w:val="restart"/>
            <w:tcBorders>
              <w:bottom w:val="nil"/>
            </w:tcBorders>
            <w:vAlign w:val="center"/>
          </w:tcPr>
          <w:p w14:paraId="03CD7219">
            <w:pPr>
              <w:widowControl/>
              <w:spacing w:line="500" w:lineRule="exact"/>
              <w:jc w:val="center"/>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按采购人要求，做好相关拍摄和剪辑工作，确保宣传工作顺利推进。</w:t>
            </w:r>
          </w:p>
        </w:tc>
      </w:tr>
      <w:tr w14:paraId="43B88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40" w:type="dxa"/>
            <w:vAlign w:val="center"/>
          </w:tcPr>
          <w:p w14:paraId="07E3C0E5">
            <w:pPr>
              <w:widowControl/>
              <w:spacing w:line="500" w:lineRule="exact"/>
              <w:jc w:val="center"/>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w:t>
            </w:r>
          </w:p>
        </w:tc>
        <w:tc>
          <w:tcPr>
            <w:tcW w:w="1499" w:type="dxa"/>
            <w:vAlign w:val="center"/>
          </w:tcPr>
          <w:p w14:paraId="55C62915">
            <w:pPr>
              <w:widowControl/>
              <w:spacing w:line="500" w:lineRule="exact"/>
              <w:jc w:val="center"/>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活动媒体支持与记录</w:t>
            </w:r>
          </w:p>
        </w:tc>
        <w:tc>
          <w:tcPr>
            <w:tcW w:w="4078" w:type="dxa"/>
            <w:vAlign w:val="center"/>
          </w:tcPr>
          <w:p w14:paraId="67D78856">
            <w:pPr>
              <w:widowControl/>
              <w:spacing w:line="500" w:lineRule="exact"/>
              <w:jc w:val="center"/>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为场馆大型科普活动、学术交流、研学实践等提供全流程媒体支持，包括活动前宣传预热、活动中拍照摄像、活动后新闻稿撰写与发布，同步做好影像资料的归档管理。</w:t>
            </w:r>
          </w:p>
        </w:tc>
        <w:tc>
          <w:tcPr>
            <w:tcW w:w="3023" w:type="dxa"/>
            <w:vMerge w:val="continue"/>
            <w:tcBorders>
              <w:top w:val="nil"/>
              <w:bottom w:val="nil"/>
            </w:tcBorders>
            <w:vAlign w:val="top"/>
          </w:tcPr>
          <w:p w14:paraId="7F93621E">
            <w:pPr>
              <w:widowControl/>
              <w:spacing w:line="500" w:lineRule="exact"/>
              <w:jc w:val="center"/>
              <w:outlineLvl w:val="1"/>
              <w:rPr>
                <w:rFonts w:hint="eastAsia" w:ascii="宋体" w:hAnsi="宋体" w:eastAsia="宋体" w:cs="宋体"/>
                <w:color w:val="auto"/>
                <w:sz w:val="24"/>
                <w:szCs w:val="24"/>
                <w:highlight w:val="none"/>
                <w:lang w:val="zh-CN" w:eastAsia="zh-CN"/>
              </w:rPr>
            </w:pPr>
          </w:p>
        </w:tc>
      </w:tr>
      <w:tr w14:paraId="1A59A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5" w:hRule="atLeast"/>
        </w:trPr>
        <w:tc>
          <w:tcPr>
            <w:tcW w:w="840" w:type="dxa"/>
            <w:vAlign w:val="center"/>
          </w:tcPr>
          <w:p w14:paraId="58E9818E">
            <w:pPr>
              <w:widowControl/>
              <w:spacing w:line="500" w:lineRule="exact"/>
              <w:jc w:val="center"/>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w:t>
            </w:r>
          </w:p>
        </w:tc>
        <w:tc>
          <w:tcPr>
            <w:tcW w:w="1499" w:type="dxa"/>
            <w:vAlign w:val="center"/>
          </w:tcPr>
          <w:p w14:paraId="52DBD2C6">
            <w:pPr>
              <w:widowControl/>
              <w:spacing w:line="500" w:lineRule="exact"/>
              <w:jc w:val="center"/>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公众互动与舆情处理</w:t>
            </w:r>
          </w:p>
        </w:tc>
        <w:tc>
          <w:tcPr>
            <w:tcW w:w="4078" w:type="dxa"/>
            <w:vAlign w:val="top"/>
          </w:tcPr>
          <w:p w14:paraId="6A2757C6">
            <w:pPr>
              <w:widowControl/>
              <w:spacing w:line="500" w:lineRule="exact"/>
              <w:jc w:val="center"/>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通过媒体平台收集公众建议与反馈，及时回应公众咨询；开展科普领域舆情监测，妥善处理相关舆情，维护场馆良好公众形象。</w:t>
            </w:r>
          </w:p>
        </w:tc>
        <w:tc>
          <w:tcPr>
            <w:tcW w:w="3023" w:type="dxa"/>
            <w:vMerge w:val="continue"/>
            <w:tcBorders>
              <w:top w:val="nil"/>
            </w:tcBorders>
            <w:vAlign w:val="top"/>
          </w:tcPr>
          <w:p w14:paraId="3EFC6820">
            <w:pPr>
              <w:widowControl/>
              <w:spacing w:line="500" w:lineRule="exact"/>
              <w:jc w:val="center"/>
              <w:outlineLvl w:val="1"/>
              <w:rPr>
                <w:rFonts w:hint="eastAsia" w:ascii="宋体" w:hAnsi="宋体" w:eastAsia="宋体" w:cs="宋体"/>
                <w:color w:val="auto"/>
                <w:sz w:val="24"/>
                <w:szCs w:val="24"/>
                <w:highlight w:val="none"/>
                <w:lang w:val="zh-CN" w:eastAsia="zh-CN"/>
              </w:rPr>
            </w:pPr>
          </w:p>
        </w:tc>
      </w:tr>
    </w:tbl>
    <w:p w14:paraId="484D39D2">
      <w:pPr>
        <w:widowControl/>
        <w:numPr>
          <w:ilvl w:val="0"/>
          <w:numId w:val="3"/>
        </w:numPr>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其他服务要求</w:t>
      </w:r>
    </w:p>
    <w:p w14:paraId="6772D124">
      <w:pPr>
        <w:widowControl/>
        <w:spacing w:line="500" w:lineRule="exact"/>
        <w:ind w:firstLine="420"/>
        <w:outlineLvl w:val="1"/>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w:t>
      </w:r>
      <w:r>
        <w:rPr>
          <w:rFonts w:hint="eastAsia" w:ascii="宋体" w:hAnsi="宋体" w:eastAsia="宋体" w:cs="宋体"/>
          <w:color w:val="auto"/>
          <w:sz w:val="24"/>
          <w:szCs w:val="24"/>
          <w:highlight w:val="none"/>
          <w:lang w:val="zh-CN" w:eastAsia="zh-CN"/>
        </w:rPr>
        <w:t>公共秩序维护服务</w:t>
      </w:r>
    </w:p>
    <w:p w14:paraId="71DF475F">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（1）实行出入口24小时站岗值勤，严禁易燃易爆等危险物品进入管理区域。非开馆时间实施封闭式管理；</w:t>
      </w:r>
    </w:p>
    <w:p w14:paraId="752FF51A">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（2）保证办公秩序不受任何干扰和影响，禁止推销、叫卖、携带宠物及闲杂人员等进入办公区域；保证参观秩序井然有序，劝阻参观人员不文明行为；</w:t>
      </w:r>
    </w:p>
    <w:p w14:paraId="3730FE2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（3）保证馆内设备以及公共财产不受损坏和丢失；</w:t>
      </w:r>
    </w:p>
    <w:p w14:paraId="6BD07AE6">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（4）对进入办公区人员，建立问询身份查验、预约核实和登记制度，要求记录真实、准确、完整；</w:t>
      </w:r>
    </w:p>
    <w:p w14:paraId="1030062B">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（5）按规定着装，仪态仪表风度沉着、稳重、大方，举止文明，符合礼节，语言礼貌，文雅，态度热情；</w:t>
      </w:r>
    </w:p>
    <w:p w14:paraId="046BB8DE">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（6）疏导交通，指挥各种车辆慢速行驶，按照划定区域停放，无乱停放现象；</w:t>
      </w:r>
    </w:p>
    <w:p w14:paraId="3A91E42B">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实行24小时值班巡查制度，确保整个区域内无火灾、无偷盗、无治事件、交通事故发生，无安全隐患。对消防、治安、防汛、暴恐、公共卫生等突发事件有应急预案，一旦发生，能够做到及时确认、报警、处置，防止事态进一步恶化，事件处理及时率100%；</w:t>
      </w:r>
    </w:p>
    <w:p w14:paraId="4B73B9E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（8）中标供应商应定期组织开展安全检查、防火巡查、检查，及时消除安全及火灾隐患；</w:t>
      </w:r>
    </w:p>
    <w:p w14:paraId="2C16A1B1">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（9）按照国家标准、行业标准配置安全设施、器材，设置安全标志，定期开展维护、保养和检测，确保完好有效；</w:t>
      </w:r>
    </w:p>
    <w:p w14:paraId="78221AAA">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（10）对职工进行岗前安全培训(包括安防及消防)，定期开展安全培训和有 针对性的安全演练；</w:t>
      </w:r>
    </w:p>
    <w:p w14:paraId="6E4A20C9">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（11）建立安防消防安全档案，建立义务消防队，开展自防自救；</w:t>
      </w:r>
    </w:p>
    <w:p w14:paraId="0607B11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（12）馆方开展消防安全培训及演练时，中标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应紧密配合并提供相应的技术支持服务。</w:t>
      </w:r>
    </w:p>
    <w:p w14:paraId="7FE59E52">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4.2</w:t>
      </w:r>
      <w:r>
        <w:rPr>
          <w:rFonts w:hint="eastAsia" w:ascii="宋体" w:hAnsi="宋体" w:eastAsia="宋体" w:cs="宋体"/>
          <w:color w:val="auto"/>
          <w:sz w:val="24"/>
          <w:szCs w:val="24"/>
          <w:highlight w:val="none"/>
          <w:lang w:val="zh-CN" w:eastAsia="zh-CN"/>
        </w:rPr>
        <w:t>馆属区域内的环境卫生服务</w:t>
      </w:r>
    </w:p>
    <w:p w14:paraId="15A5586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（1）环境卫生服务内容</w:t>
      </w:r>
    </w:p>
    <w:p w14:paraId="5B83129B">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公共区域保洁:公用部位(展厅、走廊、过道、楼梯间、天台与屋顶室内墙壁、裸露的钢构、外墙等)、空调进出风口、中央空调风道每年定期清理一次，室外场地、道路、景观灯具、公共绿化、扶栏管以及其他公共区域的清扫保洁、办公和生活垃圾的收集和清运、化粪池和污水管道的清理及疏通、公共卫生防疫等；</w:t>
      </w:r>
    </w:p>
    <w:p w14:paraId="58EBC9D6">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2）公共会议室、楼层走道、办公区等公共区域每天清扫，并在正常工作时 间内保持清洁；保持墙面、天花板、门窗、踢脚线等部位的清洁，保持室内无杂 物，无污痕、无尘挂。每天开窗通风，保持空气清新。</w:t>
      </w:r>
    </w:p>
    <w:p w14:paraId="53B1C888">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3）要保持卫生间卫生洁具、墙面、地面、玻璃等处的清洁，无异味、地面 无积水；</w:t>
      </w:r>
    </w:p>
    <w:p w14:paraId="1159C119">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4）卫生间、楼道、走廊等公共部位需制定保洁巡视制度，垃圾筒需及时清倒，并清洗箱体，保持箱内无污染；</w:t>
      </w:r>
    </w:p>
    <w:p w14:paraId="167BA84E">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5）场地和道路每天清扫，保持馆内周围干净整洁，无垃圾、无弃物，垃圾日产日清；</w:t>
      </w:r>
    </w:p>
    <w:p w14:paraId="6648F2EF">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6）建筑物的入口门厅、楼道等公共部位及馆属区域内道路整洁，无堆放杂物的现象；</w:t>
      </w:r>
    </w:p>
    <w:p w14:paraId="23586139">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7）馆外墙面、球幕外墙一年清洗1次；</w:t>
      </w:r>
    </w:p>
    <w:p w14:paraId="7F0FAD56">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8）楼内墙面清扫、清洗：高位1次/月、低位1次/周。瓷砖部分：高位1次/月、低位1次/周(3米以上为高位)；大理石、花岗岩材质部分(含墙、柱、地面）清洗打蜡2次/年；不锈钢材质部分(含楼道扶手、电梯门等)日常保洁，另根据污染程度使用护理剂；</w:t>
      </w:r>
    </w:p>
    <w:p w14:paraId="475B11F8">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9）会议室保洁应在会前会后及时完成。</w:t>
      </w:r>
    </w:p>
    <w:p w14:paraId="382BD821">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（2）环境卫生保洁服务要求</w:t>
      </w:r>
    </w:p>
    <w:p w14:paraId="377661FA">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1）建立环境卫生保洁管理制度和保洁服务方案，对保洁服务工作做好记录；</w:t>
      </w:r>
    </w:p>
    <w:p w14:paraId="5164B906">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2）配置专职保洁服务人员，明确环境卫生保洁责任范围，环境卫生保洁服务实行定时定点和流动保洁相结合，保持服务区域卫生、整洁、干净；</w:t>
      </w:r>
    </w:p>
    <w:p w14:paraId="1BD337F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3）垃圾应专人负责，按要求及时清运；建筑垃圾应有专人负责清理；</w:t>
      </w:r>
    </w:p>
    <w:p w14:paraId="0F54C2FB">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消毒灭害工作应在尽量不影响观众参观、工作人员办公的前提下进行；使用的药品是防疫部门发放的，或者使用应符合国家、行业标准的低毒高效药剂。消毒灭害工作过程中注意做好个人防护，不得出现人员伤害现象。消毒灭害或日常保洁工作进行后，应采取通风或必要的异味处理方案，确保正常开馆、上班时间无异味；</w:t>
      </w:r>
    </w:p>
    <w:p w14:paraId="45D39EE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5）出现自来水爆管、化粪池外溢、公共性疫情等情况，应立即启动相应应急预案，全力配合有关部门，保障办公及来访人员人身安全，减少财产损失。</w:t>
      </w:r>
    </w:p>
    <w:p w14:paraId="75D74E51">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（3）材质清洁要求</w:t>
      </w:r>
    </w:p>
    <w:p w14:paraId="6CB00899">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主要材质清洁质量要求</w:t>
      </w:r>
    </w:p>
    <w:tbl>
      <w:tblPr>
        <w:tblStyle w:val="77"/>
        <w:tblW w:w="931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9"/>
        <w:gridCol w:w="2533"/>
        <w:gridCol w:w="5231"/>
      </w:tblGrid>
      <w:tr w14:paraId="33CE2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1549" w:type="dxa"/>
            <w:vAlign w:val="center"/>
          </w:tcPr>
          <w:p w14:paraId="5C2D9FDE">
            <w:pPr>
              <w:pStyle w:val="78"/>
              <w:keepNext w:val="0"/>
              <w:keepLines w:val="0"/>
              <w:pageBreakBefore w:val="0"/>
              <w:wordWrap/>
              <w:overflowPunct/>
              <w:topLinePunct w:val="0"/>
              <w:autoSpaceDE w:val="0"/>
              <w:autoSpaceDN w:val="0"/>
              <w:bidi w:val="0"/>
              <w:adjustRightInd w:val="0"/>
              <w:spacing w:before="118" w:line="560" w:lineRule="exact"/>
              <w:ind w:left="12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7"/>
                <w:sz w:val="24"/>
                <w:szCs w:val="24"/>
                <w:highlight w:val="none"/>
              </w:rPr>
              <w:t>大类</w:t>
            </w:r>
          </w:p>
        </w:tc>
        <w:tc>
          <w:tcPr>
            <w:tcW w:w="2533" w:type="dxa"/>
            <w:vAlign w:val="center"/>
          </w:tcPr>
          <w:p w14:paraId="22BC0D21">
            <w:pPr>
              <w:pStyle w:val="78"/>
              <w:keepNext w:val="0"/>
              <w:keepLines w:val="0"/>
              <w:pageBreakBefore w:val="0"/>
              <w:wordWrap/>
              <w:overflowPunct/>
              <w:topLinePunct w:val="0"/>
              <w:autoSpaceDE w:val="0"/>
              <w:autoSpaceDN w:val="0"/>
              <w:bidi w:val="0"/>
              <w:adjustRightInd w:val="0"/>
              <w:spacing w:before="118" w:line="560" w:lineRule="exact"/>
              <w:ind w:left="112"/>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5"/>
                <w:sz w:val="24"/>
                <w:szCs w:val="24"/>
                <w:highlight w:val="none"/>
              </w:rPr>
              <w:t>材质</w:t>
            </w:r>
          </w:p>
        </w:tc>
        <w:tc>
          <w:tcPr>
            <w:tcW w:w="5231" w:type="dxa"/>
            <w:vAlign w:val="center"/>
          </w:tcPr>
          <w:p w14:paraId="7011A68E">
            <w:pPr>
              <w:pStyle w:val="78"/>
              <w:keepNext w:val="0"/>
              <w:keepLines w:val="0"/>
              <w:pageBreakBefore w:val="0"/>
              <w:wordWrap/>
              <w:overflowPunct/>
              <w:topLinePunct w:val="0"/>
              <w:autoSpaceDE w:val="0"/>
              <w:autoSpaceDN w:val="0"/>
              <w:bidi w:val="0"/>
              <w:adjustRightInd w:val="0"/>
              <w:spacing w:before="118" w:line="560" w:lineRule="exact"/>
              <w:ind w:left="116"/>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3"/>
                <w:sz w:val="24"/>
                <w:szCs w:val="24"/>
                <w:highlight w:val="none"/>
              </w:rPr>
              <w:t>质量要求</w:t>
            </w:r>
          </w:p>
        </w:tc>
      </w:tr>
      <w:tr w14:paraId="7D784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549" w:type="dxa"/>
            <w:vMerge w:val="restart"/>
            <w:vAlign w:val="center"/>
          </w:tcPr>
          <w:p w14:paraId="3FD671E6">
            <w:pPr>
              <w:keepNext w:val="0"/>
              <w:keepLines w:val="0"/>
              <w:pageBreakBefore w:val="0"/>
              <w:wordWrap/>
              <w:overflowPunct/>
              <w:topLinePunct w:val="0"/>
              <w:autoSpaceDE w:val="0"/>
              <w:autoSpaceDN w:val="0"/>
              <w:bidi w:val="0"/>
              <w:adjustRightInd w:val="0"/>
              <w:spacing w:line="560" w:lineRule="exact"/>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硬地面</w:t>
            </w:r>
          </w:p>
        </w:tc>
        <w:tc>
          <w:tcPr>
            <w:tcW w:w="2533" w:type="dxa"/>
            <w:vAlign w:val="center"/>
          </w:tcPr>
          <w:p w14:paraId="56D8E143">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大理石</w:t>
            </w:r>
          </w:p>
        </w:tc>
        <w:tc>
          <w:tcPr>
            <w:tcW w:w="5231" w:type="dxa"/>
            <w:vAlign w:val="center"/>
          </w:tcPr>
          <w:p w14:paraId="07EFCACB">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表面光亮、洁净、接缝四周边角无污垢。</w:t>
            </w:r>
          </w:p>
        </w:tc>
      </w:tr>
      <w:tr w14:paraId="41956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549" w:type="dxa"/>
            <w:vMerge w:val="continue"/>
            <w:vAlign w:val="top"/>
          </w:tcPr>
          <w:p w14:paraId="08279C53">
            <w:pPr>
              <w:keepNext w:val="0"/>
              <w:keepLines w:val="0"/>
              <w:pageBreakBefore w:val="0"/>
              <w:wordWrap/>
              <w:overflowPunct/>
              <w:topLinePunct w:val="0"/>
              <w:autoSpaceDE w:val="0"/>
              <w:autoSpaceDN w:val="0"/>
              <w:bidi w:val="0"/>
              <w:adjustRightInd w:val="0"/>
              <w:spacing w:line="560" w:lineRule="exact"/>
              <w:jc w:val="center"/>
              <w:rPr>
                <w:rFonts w:hint="eastAsia" w:ascii="宋体" w:hAnsi="宋体" w:eastAsia="宋体" w:cs="宋体"/>
                <w:b w:val="0"/>
                <w:bCs w:val="0"/>
                <w:color w:val="auto"/>
                <w:sz w:val="24"/>
                <w:szCs w:val="24"/>
                <w:highlight w:val="none"/>
                <w:lang w:val="en-US" w:eastAsia="zh-CN"/>
              </w:rPr>
            </w:pPr>
          </w:p>
        </w:tc>
        <w:tc>
          <w:tcPr>
            <w:tcW w:w="2533" w:type="dxa"/>
            <w:vAlign w:val="top"/>
          </w:tcPr>
          <w:p w14:paraId="1ED5F1EF">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花岗岩</w:t>
            </w:r>
          </w:p>
        </w:tc>
        <w:tc>
          <w:tcPr>
            <w:tcW w:w="5231" w:type="dxa"/>
            <w:vAlign w:val="top"/>
          </w:tcPr>
          <w:p w14:paraId="49C7A93D">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表面光亮、无污迹、接缝四周边角无污垢。</w:t>
            </w:r>
          </w:p>
        </w:tc>
      </w:tr>
      <w:tr w14:paraId="7F142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549" w:type="dxa"/>
            <w:vMerge w:val="continue"/>
            <w:vAlign w:val="top"/>
          </w:tcPr>
          <w:p w14:paraId="5C9A65C4">
            <w:pPr>
              <w:keepNext w:val="0"/>
              <w:keepLines w:val="0"/>
              <w:pageBreakBefore w:val="0"/>
              <w:wordWrap/>
              <w:overflowPunct/>
              <w:topLinePunct w:val="0"/>
              <w:autoSpaceDE w:val="0"/>
              <w:autoSpaceDN w:val="0"/>
              <w:bidi w:val="0"/>
              <w:adjustRightInd w:val="0"/>
              <w:spacing w:line="560" w:lineRule="exact"/>
              <w:jc w:val="center"/>
              <w:rPr>
                <w:rFonts w:hint="eastAsia" w:ascii="宋体" w:hAnsi="宋体" w:eastAsia="宋体" w:cs="宋体"/>
                <w:b w:val="0"/>
                <w:bCs w:val="0"/>
                <w:color w:val="auto"/>
                <w:sz w:val="24"/>
                <w:szCs w:val="24"/>
                <w:highlight w:val="none"/>
                <w:lang w:val="en-US" w:eastAsia="zh-CN"/>
              </w:rPr>
            </w:pPr>
          </w:p>
        </w:tc>
        <w:tc>
          <w:tcPr>
            <w:tcW w:w="2533" w:type="dxa"/>
            <w:vAlign w:val="top"/>
          </w:tcPr>
          <w:p w14:paraId="652944FA">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木制地板</w:t>
            </w:r>
          </w:p>
        </w:tc>
        <w:tc>
          <w:tcPr>
            <w:tcW w:w="5231" w:type="dxa"/>
            <w:vAlign w:val="top"/>
          </w:tcPr>
          <w:p w14:paraId="32D3334F">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面光亮、四周边角无积灰、无污渍。</w:t>
            </w:r>
          </w:p>
        </w:tc>
      </w:tr>
      <w:tr w14:paraId="08F76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549" w:type="dxa"/>
            <w:vMerge w:val="continue"/>
            <w:vAlign w:val="top"/>
          </w:tcPr>
          <w:p w14:paraId="428F8C8B">
            <w:pPr>
              <w:keepNext w:val="0"/>
              <w:keepLines w:val="0"/>
              <w:pageBreakBefore w:val="0"/>
              <w:wordWrap/>
              <w:overflowPunct/>
              <w:topLinePunct w:val="0"/>
              <w:autoSpaceDE w:val="0"/>
              <w:autoSpaceDN w:val="0"/>
              <w:bidi w:val="0"/>
              <w:adjustRightInd w:val="0"/>
              <w:spacing w:line="560" w:lineRule="exact"/>
              <w:jc w:val="center"/>
              <w:rPr>
                <w:rFonts w:hint="eastAsia" w:ascii="宋体" w:hAnsi="宋体" w:eastAsia="宋体" w:cs="宋体"/>
                <w:b w:val="0"/>
                <w:bCs w:val="0"/>
                <w:color w:val="auto"/>
                <w:sz w:val="24"/>
                <w:szCs w:val="24"/>
                <w:highlight w:val="none"/>
                <w:lang w:val="en-US" w:eastAsia="zh-CN"/>
              </w:rPr>
            </w:pPr>
          </w:p>
        </w:tc>
        <w:tc>
          <w:tcPr>
            <w:tcW w:w="2533" w:type="dxa"/>
            <w:vAlign w:val="top"/>
          </w:tcPr>
          <w:p w14:paraId="1CFD5330">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PVC板</w:t>
            </w:r>
          </w:p>
        </w:tc>
        <w:tc>
          <w:tcPr>
            <w:tcW w:w="5231" w:type="dxa"/>
            <w:vAlign w:val="top"/>
          </w:tcPr>
          <w:p w14:paraId="5AD6BB3B">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光亮、无污迹。</w:t>
            </w:r>
          </w:p>
        </w:tc>
      </w:tr>
      <w:tr w14:paraId="6A719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549" w:type="dxa"/>
            <w:vMerge w:val="continue"/>
            <w:vAlign w:val="top"/>
          </w:tcPr>
          <w:p w14:paraId="5A459A49">
            <w:pPr>
              <w:keepNext w:val="0"/>
              <w:keepLines w:val="0"/>
              <w:pageBreakBefore w:val="0"/>
              <w:wordWrap/>
              <w:overflowPunct/>
              <w:topLinePunct w:val="0"/>
              <w:autoSpaceDE w:val="0"/>
              <w:autoSpaceDN w:val="0"/>
              <w:bidi w:val="0"/>
              <w:adjustRightInd w:val="0"/>
              <w:spacing w:line="560" w:lineRule="exact"/>
              <w:jc w:val="center"/>
              <w:rPr>
                <w:rFonts w:hint="eastAsia" w:ascii="宋体" w:hAnsi="宋体" w:eastAsia="宋体" w:cs="宋体"/>
                <w:b w:val="0"/>
                <w:bCs w:val="0"/>
                <w:color w:val="auto"/>
                <w:sz w:val="24"/>
                <w:szCs w:val="24"/>
                <w:highlight w:val="none"/>
                <w:lang w:val="en-US" w:eastAsia="zh-CN"/>
              </w:rPr>
            </w:pPr>
          </w:p>
        </w:tc>
        <w:tc>
          <w:tcPr>
            <w:tcW w:w="2533" w:type="dxa"/>
            <w:vAlign w:val="top"/>
          </w:tcPr>
          <w:p w14:paraId="7275F3DF">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瓷砖</w:t>
            </w:r>
          </w:p>
        </w:tc>
        <w:tc>
          <w:tcPr>
            <w:tcW w:w="5231" w:type="dxa"/>
            <w:vAlign w:val="top"/>
          </w:tcPr>
          <w:p w14:paraId="621227B4">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光洁、明亮、无污渍、无水迹。</w:t>
            </w:r>
          </w:p>
        </w:tc>
      </w:tr>
      <w:tr w14:paraId="65134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549" w:type="dxa"/>
            <w:vMerge w:val="restart"/>
            <w:vAlign w:val="center"/>
          </w:tcPr>
          <w:p w14:paraId="0A746149">
            <w:pPr>
              <w:keepNext w:val="0"/>
              <w:keepLines w:val="0"/>
              <w:pageBreakBefore w:val="0"/>
              <w:wordWrap/>
              <w:overflowPunct/>
              <w:topLinePunct w:val="0"/>
              <w:autoSpaceDE w:val="0"/>
              <w:autoSpaceDN w:val="0"/>
              <w:bidi w:val="0"/>
              <w:adjustRightInd w:val="0"/>
              <w:spacing w:line="560" w:lineRule="exact"/>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软地面</w:t>
            </w:r>
          </w:p>
        </w:tc>
        <w:tc>
          <w:tcPr>
            <w:tcW w:w="2533" w:type="dxa"/>
            <w:vAlign w:val="top"/>
          </w:tcPr>
          <w:p w14:paraId="407C048E">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地毯</w:t>
            </w:r>
          </w:p>
        </w:tc>
        <w:tc>
          <w:tcPr>
            <w:tcW w:w="5231" w:type="dxa"/>
            <w:vAlign w:val="top"/>
          </w:tcPr>
          <w:p w14:paraId="2E73D964">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色泽均一、无褪色、无毛边、柔软、纤维成同一方向。</w:t>
            </w:r>
          </w:p>
        </w:tc>
      </w:tr>
      <w:tr w14:paraId="38FF1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549" w:type="dxa"/>
            <w:vMerge w:val="continue"/>
            <w:vAlign w:val="top"/>
          </w:tcPr>
          <w:p w14:paraId="07E3E0EC">
            <w:pPr>
              <w:keepNext w:val="0"/>
              <w:keepLines w:val="0"/>
              <w:pageBreakBefore w:val="0"/>
              <w:wordWrap/>
              <w:overflowPunct/>
              <w:topLinePunct w:val="0"/>
              <w:autoSpaceDE w:val="0"/>
              <w:autoSpaceDN w:val="0"/>
              <w:bidi w:val="0"/>
              <w:adjustRightInd w:val="0"/>
              <w:spacing w:line="560" w:lineRule="exact"/>
              <w:jc w:val="center"/>
              <w:rPr>
                <w:rFonts w:hint="eastAsia" w:ascii="宋体" w:hAnsi="宋体" w:eastAsia="宋体" w:cs="宋体"/>
                <w:b w:val="0"/>
                <w:bCs w:val="0"/>
                <w:color w:val="auto"/>
                <w:sz w:val="24"/>
                <w:szCs w:val="24"/>
                <w:highlight w:val="none"/>
                <w:lang w:val="en-US" w:eastAsia="zh-CN"/>
              </w:rPr>
            </w:pPr>
          </w:p>
        </w:tc>
        <w:tc>
          <w:tcPr>
            <w:tcW w:w="2533" w:type="dxa"/>
            <w:vAlign w:val="top"/>
          </w:tcPr>
          <w:p w14:paraId="584DD2F8">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塑胶地垫</w:t>
            </w:r>
          </w:p>
        </w:tc>
        <w:tc>
          <w:tcPr>
            <w:tcW w:w="5231" w:type="dxa"/>
            <w:vAlign w:val="top"/>
          </w:tcPr>
          <w:p w14:paraId="74054BA8">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lang w:eastAsia="zh-CN"/>
              </w:rPr>
            </w:pPr>
            <w:r>
              <w:rPr>
                <w:rFonts w:hint="eastAsia" w:ascii="宋体" w:hAnsi="宋体" w:eastAsia="宋体" w:cs="宋体"/>
                <w:b w:val="0"/>
                <w:bCs w:val="0"/>
                <w:color w:val="auto"/>
                <w:spacing w:val="-5"/>
                <w:sz w:val="24"/>
                <w:szCs w:val="24"/>
                <w:highlight w:val="none"/>
              </w:rPr>
              <w:t>表面平整、色泽均一、无残留物、无污渍、无板结</w:t>
            </w:r>
            <w:r>
              <w:rPr>
                <w:rFonts w:hint="eastAsia" w:ascii="宋体" w:hAnsi="宋体" w:eastAsia="宋体" w:cs="宋体"/>
                <w:b w:val="0"/>
                <w:bCs w:val="0"/>
                <w:color w:val="auto"/>
                <w:spacing w:val="-5"/>
                <w:sz w:val="24"/>
                <w:szCs w:val="24"/>
                <w:highlight w:val="none"/>
                <w:lang w:eastAsia="zh-CN"/>
              </w:rPr>
              <w:t>。</w:t>
            </w:r>
          </w:p>
        </w:tc>
      </w:tr>
      <w:tr w14:paraId="25124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549" w:type="dxa"/>
            <w:vMerge w:val="restart"/>
            <w:vAlign w:val="center"/>
          </w:tcPr>
          <w:p w14:paraId="6D9742CB">
            <w:pPr>
              <w:keepNext w:val="0"/>
              <w:keepLines w:val="0"/>
              <w:pageBreakBefore w:val="0"/>
              <w:wordWrap/>
              <w:overflowPunct/>
              <w:topLinePunct w:val="0"/>
              <w:autoSpaceDE w:val="0"/>
              <w:autoSpaceDN w:val="0"/>
              <w:bidi w:val="0"/>
              <w:adjustRightInd w:val="0"/>
              <w:spacing w:line="5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金属材质</w:t>
            </w:r>
          </w:p>
        </w:tc>
        <w:tc>
          <w:tcPr>
            <w:tcW w:w="2533" w:type="dxa"/>
            <w:vAlign w:val="top"/>
          </w:tcPr>
          <w:p w14:paraId="47041273">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亚光丝纹不锈钢</w:t>
            </w:r>
          </w:p>
        </w:tc>
        <w:tc>
          <w:tcPr>
            <w:tcW w:w="5231" w:type="dxa"/>
            <w:vAlign w:val="top"/>
          </w:tcPr>
          <w:p w14:paraId="63398CCC">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表面色泽均一、无斑点、无擦痕、无污迹。</w:t>
            </w:r>
          </w:p>
        </w:tc>
      </w:tr>
      <w:tr w14:paraId="4C222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549" w:type="dxa"/>
            <w:vMerge w:val="continue"/>
            <w:vAlign w:val="top"/>
          </w:tcPr>
          <w:p w14:paraId="75409453">
            <w:pPr>
              <w:keepNext w:val="0"/>
              <w:keepLines w:val="0"/>
              <w:pageBreakBefore w:val="0"/>
              <w:wordWrap/>
              <w:overflowPunct/>
              <w:topLinePunct w:val="0"/>
              <w:autoSpaceDE w:val="0"/>
              <w:autoSpaceDN w:val="0"/>
              <w:bidi w:val="0"/>
              <w:adjustRightInd w:val="0"/>
              <w:spacing w:line="560" w:lineRule="exact"/>
              <w:rPr>
                <w:rFonts w:hint="eastAsia" w:ascii="宋体" w:hAnsi="宋体" w:eastAsia="宋体" w:cs="宋体"/>
                <w:b w:val="0"/>
                <w:bCs w:val="0"/>
                <w:color w:val="auto"/>
                <w:sz w:val="24"/>
                <w:szCs w:val="24"/>
                <w:highlight w:val="none"/>
              </w:rPr>
            </w:pPr>
          </w:p>
        </w:tc>
        <w:tc>
          <w:tcPr>
            <w:tcW w:w="2533" w:type="dxa"/>
            <w:vAlign w:val="top"/>
          </w:tcPr>
          <w:p w14:paraId="6D315430">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抛光镜面不锈钢</w:t>
            </w:r>
          </w:p>
        </w:tc>
        <w:tc>
          <w:tcPr>
            <w:tcW w:w="5231" w:type="dxa"/>
            <w:vAlign w:val="top"/>
          </w:tcPr>
          <w:p w14:paraId="57E10B3C">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明亮、无擦痕、无印迹。</w:t>
            </w:r>
          </w:p>
        </w:tc>
      </w:tr>
      <w:tr w14:paraId="01CFC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549" w:type="dxa"/>
            <w:vMerge w:val="continue"/>
            <w:vAlign w:val="top"/>
          </w:tcPr>
          <w:p w14:paraId="532379A0">
            <w:pPr>
              <w:keepNext w:val="0"/>
              <w:keepLines w:val="0"/>
              <w:pageBreakBefore w:val="0"/>
              <w:wordWrap/>
              <w:overflowPunct/>
              <w:topLinePunct w:val="0"/>
              <w:autoSpaceDE w:val="0"/>
              <w:autoSpaceDN w:val="0"/>
              <w:bidi w:val="0"/>
              <w:adjustRightInd w:val="0"/>
              <w:spacing w:line="560" w:lineRule="exact"/>
              <w:rPr>
                <w:rFonts w:hint="eastAsia" w:ascii="宋体" w:hAnsi="宋体" w:eastAsia="宋体" w:cs="宋体"/>
                <w:b w:val="0"/>
                <w:bCs w:val="0"/>
                <w:color w:val="auto"/>
                <w:sz w:val="24"/>
                <w:szCs w:val="24"/>
                <w:highlight w:val="none"/>
              </w:rPr>
            </w:pPr>
          </w:p>
        </w:tc>
        <w:tc>
          <w:tcPr>
            <w:tcW w:w="2533" w:type="dxa"/>
            <w:vAlign w:val="top"/>
          </w:tcPr>
          <w:p w14:paraId="64BE1F03">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亚光轧花不锈钢</w:t>
            </w:r>
          </w:p>
        </w:tc>
        <w:tc>
          <w:tcPr>
            <w:tcW w:w="5231" w:type="dxa"/>
            <w:vAlign w:val="top"/>
          </w:tcPr>
          <w:p w14:paraId="2BE4FDFD">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色泽均一、无斑点、无擦痕、无污迹。</w:t>
            </w:r>
          </w:p>
        </w:tc>
      </w:tr>
      <w:tr w14:paraId="3B1B3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549" w:type="dxa"/>
            <w:vMerge w:val="continue"/>
            <w:vAlign w:val="top"/>
          </w:tcPr>
          <w:p w14:paraId="746A2A03">
            <w:pPr>
              <w:keepNext w:val="0"/>
              <w:keepLines w:val="0"/>
              <w:pageBreakBefore w:val="0"/>
              <w:wordWrap/>
              <w:overflowPunct/>
              <w:topLinePunct w:val="0"/>
              <w:autoSpaceDE w:val="0"/>
              <w:autoSpaceDN w:val="0"/>
              <w:bidi w:val="0"/>
              <w:adjustRightInd w:val="0"/>
              <w:spacing w:line="560" w:lineRule="exact"/>
              <w:rPr>
                <w:rFonts w:hint="eastAsia" w:ascii="宋体" w:hAnsi="宋体" w:eastAsia="宋体" w:cs="宋体"/>
                <w:b w:val="0"/>
                <w:bCs w:val="0"/>
                <w:color w:val="auto"/>
                <w:sz w:val="24"/>
                <w:szCs w:val="24"/>
                <w:highlight w:val="none"/>
              </w:rPr>
            </w:pPr>
          </w:p>
        </w:tc>
        <w:tc>
          <w:tcPr>
            <w:tcW w:w="2533" w:type="dxa"/>
            <w:vAlign w:val="top"/>
          </w:tcPr>
          <w:p w14:paraId="6CF64B44">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铝合金</w:t>
            </w:r>
          </w:p>
        </w:tc>
        <w:tc>
          <w:tcPr>
            <w:tcW w:w="5231" w:type="dxa"/>
            <w:vAlign w:val="top"/>
          </w:tcPr>
          <w:p w14:paraId="0A272BD9">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表面光滑、洁净、无斑点、无灰尘、无污迹。</w:t>
            </w:r>
          </w:p>
        </w:tc>
      </w:tr>
      <w:tr w14:paraId="23C2B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549" w:type="dxa"/>
            <w:vMerge w:val="restart"/>
            <w:vAlign w:val="center"/>
          </w:tcPr>
          <w:p w14:paraId="26B13BC7">
            <w:pPr>
              <w:keepNext w:val="0"/>
              <w:keepLines w:val="0"/>
              <w:pageBreakBefore w:val="0"/>
              <w:wordWrap/>
              <w:overflowPunct/>
              <w:topLinePunct w:val="0"/>
              <w:autoSpaceDE w:val="0"/>
              <w:autoSpaceDN w:val="0"/>
              <w:bidi w:val="0"/>
              <w:adjustRightInd w:val="0"/>
              <w:spacing w:line="560" w:lineRule="exact"/>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其他材质</w:t>
            </w:r>
          </w:p>
        </w:tc>
        <w:tc>
          <w:tcPr>
            <w:tcW w:w="2533" w:type="dxa"/>
            <w:vAlign w:val="top"/>
          </w:tcPr>
          <w:p w14:paraId="54DEB7D3">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玻璃</w:t>
            </w:r>
          </w:p>
        </w:tc>
        <w:tc>
          <w:tcPr>
            <w:tcW w:w="5231" w:type="dxa"/>
            <w:vAlign w:val="top"/>
          </w:tcPr>
          <w:p w14:paraId="66C33A57">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洁净明亮、通透性强、无划痕、无水迹。</w:t>
            </w:r>
          </w:p>
        </w:tc>
      </w:tr>
      <w:tr w14:paraId="1EE40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549" w:type="dxa"/>
            <w:vMerge w:val="continue"/>
            <w:vAlign w:val="top"/>
          </w:tcPr>
          <w:p w14:paraId="2E07052D">
            <w:pPr>
              <w:keepNext w:val="0"/>
              <w:keepLines w:val="0"/>
              <w:pageBreakBefore w:val="0"/>
              <w:wordWrap/>
              <w:overflowPunct/>
              <w:topLinePunct w:val="0"/>
              <w:autoSpaceDE w:val="0"/>
              <w:autoSpaceDN w:val="0"/>
              <w:bidi w:val="0"/>
              <w:adjustRightInd w:val="0"/>
              <w:spacing w:line="560" w:lineRule="exact"/>
              <w:rPr>
                <w:rFonts w:hint="eastAsia" w:ascii="宋体" w:hAnsi="宋体" w:eastAsia="宋体" w:cs="宋体"/>
                <w:b w:val="0"/>
                <w:bCs w:val="0"/>
                <w:color w:val="auto"/>
                <w:sz w:val="24"/>
                <w:szCs w:val="24"/>
                <w:highlight w:val="none"/>
              </w:rPr>
            </w:pPr>
          </w:p>
        </w:tc>
        <w:tc>
          <w:tcPr>
            <w:tcW w:w="2533" w:type="dxa"/>
            <w:vAlign w:val="top"/>
          </w:tcPr>
          <w:p w14:paraId="6DCAFF55">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墙纸</w:t>
            </w:r>
          </w:p>
        </w:tc>
        <w:tc>
          <w:tcPr>
            <w:tcW w:w="5231" w:type="dxa"/>
            <w:vAlign w:val="top"/>
          </w:tcPr>
          <w:p w14:paraId="71EB15AB">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无斑点、无污渍。</w:t>
            </w:r>
          </w:p>
        </w:tc>
      </w:tr>
      <w:tr w14:paraId="1FE5B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549" w:type="dxa"/>
            <w:vMerge w:val="continue"/>
            <w:vAlign w:val="top"/>
          </w:tcPr>
          <w:p w14:paraId="2F65BCD1">
            <w:pPr>
              <w:keepNext w:val="0"/>
              <w:keepLines w:val="0"/>
              <w:pageBreakBefore w:val="0"/>
              <w:wordWrap/>
              <w:overflowPunct/>
              <w:topLinePunct w:val="0"/>
              <w:autoSpaceDE w:val="0"/>
              <w:autoSpaceDN w:val="0"/>
              <w:bidi w:val="0"/>
              <w:adjustRightInd w:val="0"/>
              <w:spacing w:line="560" w:lineRule="exact"/>
              <w:rPr>
                <w:rFonts w:hint="eastAsia" w:ascii="宋体" w:hAnsi="宋体" w:eastAsia="宋体" w:cs="宋体"/>
                <w:b w:val="0"/>
                <w:bCs w:val="0"/>
                <w:color w:val="auto"/>
                <w:sz w:val="24"/>
                <w:szCs w:val="24"/>
                <w:highlight w:val="none"/>
              </w:rPr>
            </w:pPr>
          </w:p>
        </w:tc>
        <w:tc>
          <w:tcPr>
            <w:tcW w:w="2533" w:type="dxa"/>
            <w:vAlign w:val="top"/>
          </w:tcPr>
          <w:p w14:paraId="2D872465">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高密度板(复合板)</w:t>
            </w:r>
          </w:p>
        </w:tc>
        <w:tc>
          <w:tcPr>
            <w:tcW w:w="5231" w:type="dxa"/>
            <w:vAlign w:val="top"/>
          </w:tcPr>
          <w:p w14:paraId="7A984403">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色泽均一、无擦痕、无积灰、无污渍。</w:t>
            </w:r>
          </w:p>
        </w:tc>
      </w:tr>
      <w:tr w14:paraId="31117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549" w:type="dxa"/>
            <w:vMerge w:val="continue"/>
            <w:vAlign w:val="top"/>
          </w:tcPr>
          <w:p w14:paraId="1ED3B620">
            <w:pPr>
              <w:keepNext w:val="0"/>
              <w:keepLines w:val="0"/>
              <w:pageBreakBefore w:val="0"/>
              <w:wordWrap/>
              <w:overflowPunct/>
              <w:topLinePunct w:val="0"/>
              <w:autoSpaceDE w:val="0"/>
              <w:autoSpaceDN w:val="0"/>
              <w:bidi w:val="0"/>
              <w:adjustRightInd w:val="0"/>
              <w:spacing w:line="560" w:lineRule="exact"/>
              <w:rPr>
                <w:rFonts w:hint="eastAsia" w:ascii="宋体" w:hAnsi="宋体" w:eastAsia="宋体" w:cs="宋体"/>
                <w:b w:val="0"/>
                <w:bCs w:val="0"/>
                <w:color w:val="auto"/>
                <w:sz w:val="24"/>
                <w:szCs w:val="24"/>
                <w:highlight w:val="none"/>
              </w:rPr>
            </w:pPr>
          </w:p>
        </w:tc>
        <w:tc>
          <w:tcPr>
            <w:tcW w:w="2533" w:type="dxa"/>
            <w:vAlign w:val="top"/>
          </w:tcPr>
          <w:p w14:paraId="4A4E4EEA">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涂料</w:t>
            </w:r>
          </w:p>
        </w:tc>
        <w:tc>
          <w:tcPr>
            <w:tcW w:w="5231" w:type="dxa"/>
            <w:vAlign w:val="top"/>
          </w:tcPr>
          <w:p w14:paraId="07F4E420">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无灰尘、无污渍</w:t>
            </w:r>
          </w:p>
        </w:tc>
      </w:tr>
      <w:tr w14:paraId="24995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549" w:type="dxa"/>
            <w:vMerge w:val="continue"/>
            <w:vAlign w:val="top"/>
          </w:tcPr>
          <w:p w14:paraId="1A95DA8F">
            <w:pPr>
              <w:keepNext w:val="0"/>
              <w:keepLines w:val="0"/>
              <w:pageBreakBefore w:val="0"/>
              <w:wordWrap/>
              <w:overflowPunct/>
              <w:topLinePunct w:val="0"/>
              <w:autoSpaceDE w:val="0"/>
              <w:autoSpaceDN w:val="0"/>
              <w:bidi w:val="0"/>
              <w:adjustRightInd w:val="0"/>
              <w:spacing w:line="560" w:lineRule="exact"/>
              <w:rPr>
                <w:rFonts w:hint="eastAsia" w:ascii="宋体" w:hAnsi="宋体" w:eastAsia="宋体" w:cs="宋体"/>
                <w:b w:val="0"/>
                <w:bCs w:val="0"/>
                <w:color w:val="auto"/>
                <w:sz w:val="24"/>
                <w:szCs w:val="24"/>
                <w:highlight w:val="none"/>
              </w:rPr>
            </w:pPr>
          </w:p>
        </w:tc>
        <w:tc>
          <w:tcPr>
            <w:tcW w:w="2533" w:type="dxa"/>
            <w:vAlign w:val="top"/>
          </w:tcPr>
          <w:p w14:paraId="7CEE5FF6">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金箔面</w:t>
            </w:r>
          </w:p>
        </w:tc>
        <w:tc>
          <w:tcPr>
            <w:tcW w:w="5231" w:type="dxa"/>
            <w:vAlign w:val="top"/>
          </w:tcPr>
          <w:p w14:paraId="118136D3">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光亮、无灰尘、无污渍。</w:t>
            </w:r>
          </w:p>
        </w:tc>
      </w:tr>
    </w:tbl>
    <w:p w14:paraId="59FB3E3A">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kern w:val="2"/>
          <w:sz w:val="24"/>
          <w:szCs w:val="24"/>
          <w:highlight w:val="none"/>
          <w:lang w:val="zh-CN" w:eastAsia="zh-CN" w:bidi="ar-SA"/>
        </w:rPr>
        <w:t>（4）</w:t>
      </w:r>
      <w:r>
        <w:rPr>
          <w:rFonts w:hint="eastAsia" w:ascii="宋体" w:hAnsi="宋体" w:eastAsia="宋体" w:cs="宋体"/>
          <w:color w:val="auto"/>
          <w:sz w:val="24"/>
          <w:szCs w:val="24"/>
          <w:highlight w:val="none"/>
          <w:lang w:val="zh-CN" w:eastAsia="zh-CN"/>
        </w:rPr>
        <w:t>各区域环境卫生保洁要求</w:t>
      </w:r>
    </w:p>
    <w:tbl>
      <w:tblPr>
        <w:tblStyle w:val="77"/>
        <w:tblW w:w="93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8"/>
        <w:gridCol w:w="7111"/>
      </w:tblGrid>
      <w:tr w14:paraId="67CFB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268" w:type="dxa"/>
            <w:vAlign w:val="top"/>
          </w:tcPr>
          <w:p w14:paraId="05A0424D">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项目</w:t>
            </w:r>
          </w:p>
        </w:tc>
        <w:tc>
          <w:tcPr>
            <w:tcW w:w="7111" w:type="dxa"/>
            <w:vAlign w:val="top"/>
          </w:tcPr>
          <w:p w14:paraId="534DB9B0">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服务要求</w:t>
            </w:r>
          </w:p>
        </w:tc>
      </w:tr>
      <w:tr w14:paraId="61415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268" w:type="dxa"/>
            <w:vAlign w:val="center"/>
          </w:tcPr>
          <w:p w14:paraId="1499C005">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走廊、门厅、大厅、 电梯厅、楼梯或消防 梯地面</w:t>
            </w:r>
          </w:p>
        </w:tc>
        <w:tc>
          <w:tcPr>
            <w:tcW w:w="7111" w:type="dxa"/>
            <w:vAlign w:val="top"/>
          </w:tcPr>
          <w:p w14:paraId="53236368">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地表面、接缝、角落、边线等处洁净，地面干净有光泽，无垃圾、 杂物、灰尘、污迹、划痕等现象，保持地面材质原貌。门框、窗框、 窗台、金属件表面光亮、无灰尘、无污渍、无絮状物。旋转门、门 中轴、门框、门边缝部位光亮、无痕迹、无灰尘。旋转门空调出风 口无灰尘、无污迹。门把手干净、无痕迹、定时消毒。</w:t>
            </w:r>
          </w:p>
        </w:tc>
      </w:tr>
      <w:tr w14:paraId="50280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2268" w:type="dxa"/>
            <w:vAlign w:val="center"/>
          </w:tcPr>
          <w:p w14:paraId="2EABA378">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楼梯扶手、栏杆、窗 台、指示牌</w:t>
            </w:r>
          </w:p>
        </w:tc>
        <w:tc>
          <w:tcPr>
            <w:tcW w:w="7111" w:type="dxa"/>
            <w:vAlign w:val="top"/>
          </w:tcPr>
          <w:p w14:paraId="72E1ED60">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保持干净、无灰尘、光亮。窗框、窗台、金属件表面光亮、无灰尘、 无污渍、无絮状物。指示牌、广告牌无灰尘、无污迹、无痕迹，金 属件表面光亮，无痕迹。</w:t>
            </w:r>
          </w:p>
        </w:tc>
      </w:tr>
      <w:tr w14:paraId="5EA30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2268" w:type="dxa"/>
            <w:vAlign w:val="center"/>
          </w:tcPr>
          <w:p w14:paraId="53A2BF1B">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消防栓、消防箱、公 共设施摄像头、门警 器</w:t>
            </w:r>
          </w:p>
        </w:tc>
        <w:tc>
          <w:tcPr>
            <w:tcW w:w="7111" w:type="dxa"/>
            <w:vAlign w:val="top"/>
          </w:tcPr>
          <w:p w14:paraId="0922BCB1">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保持表面干净，无灰尘、无污迹。报警器、火警通讯电话插座、灭 火器表面光亮、无灰尘、无污迹。喷淋盖、烟感器、喇叭无灰尘、 无污渍。监控表面光亮、无灰尘、无斑点、无絮状物。消防栓外表 面光亮、无痕迹、无灰尘，内侧无灰尘、无污迹。</w:t>
            </w:r>
          </w:p>
        </w:tc>
      </w:tr>
      <w:tr w14:paraId="18733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2268" w:type="dxa"/>
            <w:vAlign w:val="top"/>
          </w:tcPr>
          <w:p w14:paraId="754AA64C">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天花板、风口、公共 灯具内或外走廊、楼</w:t>
            </w:r>
          </w:p>
          <w:p w14:paraId="425B7889">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梯窗玻璃、大厅门厅</w:t>
            </w:r>
          </w:p>
        </w:tc>
        <w:tc>
          <w:tcPr>
            <w:tcW w:w="7111" w:type="dxa"/>
            <w:vAlign w:val="top"/>
          </w:tcPr>
          <w:p w14:paraId="6BF57336">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目视无灰尘、无死蚊虫遮贴、无污迹、无蜘蛛网，表面、接缝、角 落、边线等处无污渍、无灰尘、无斑点。保持洁净、光亮、无灰尘、 无污迹、无水迹、无垃圾堆积。</w:t>
            </w:r>
          </w:p>
        </w:tc>
      </w:tr>
      <w:tr w14:paraId="2A24B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268" w:type="dxa"/>
            <w:vAlign w:val="center"/>
          </w:tcPr>
          <w:p w14:paraId="091F9CEA">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服务功能性用房（如 会议室、接待室、茶 水间）</w:t>
            </w:r>
          </w:p>
        </w:tc>
        <w:tc>
          <w:tcPr>
            <w:tcW w:w="7111" w:type="dxa"/>
            <w:vAlign w:val="top"/>
          </w:tcPr>
          <w:p w14:paraId="3F04854D">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会议室窗台上无灰尘、玻璃明净、门板无灰尘、泥渍；桌椅干净、摆放整齐；四壁干净，无蜘蛛网。保持干净、整洁、无垃圾；热水炉外壳应无污迹、水渍。不锈钢台面无水迹、无污渍、无擦痕；不锈钢水槽干净、无斑点、无污迹无杂物、水垢，落水口无污垢；冷、热水笼头表面光亮、无污渍、无水垢；下水道无异味、定期滴入消毒液。</w:t>
            </w:r>
          </w:p>
        </w:tc>
      </w:tr>
      <w:tr w14:paraId="3BE2F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2268" w:type="dxa"/>
            <w:vAlign w:val="center"/>
          </w:tcPr>
          <w:p w14:paraId="486E8B8B">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公共卫生间</w:t>
            </w:r>
          </w:p>
        </w:tc>
        <w:tc>
          <w:tcPr>
            <w:tcW w:w="7111" w:type="dxa"/>
            <w:vAlign w:val="top"/>
          </w:tcPr>
          <w:p w14:paraId="632F9213">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坐厕内、小便池内刷洗干净、喷洒消毒、保持无异味、无污迹、无水渍、无垃圾、无积水，镜面保持光亮、无水迹、面盆无水锈；云石台面无水迹、无皂迹、无毛发，光洁明亮；洁具应表面光洁、明亮、内外侧无污渍、无毛发、无异味、定时消毒；镜子明净、无水渍、无擦痕、镜框边缘无灰尘；废物箱表面无污迹、无灰尘、无异味，定时消毒；外露水管连接处无碱性污垢、管道表面光亮、无灰尘；卫生间内保持空气清新、无异味；及时补充品牌洗手液、擦手纸、卫生纸等。</w:t>
            </w:r>
          </w:p>
        </w:tc>
      </w:tr>
      <w:tr w14:paraId="1A378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2268" w:type="dxa"/>
            <w:vAlign w:val="center"/>
          </w:tcPr>
          <w:p w14:paraId="43EE705F">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垃圾收集</w:t>
            </w:r>
          </w:p>
        </w:tc>
        <w:tc>
          <w:tcPr>
            <w:tcW w:w="7111" w:type="dxa"/>
            <w:vAlign w:val="top"/>
          </w:tcPr>
          <w:p w14:paraId="2EBDFDBF">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垃圾收集点周围地面无散落垃圾、无污水、无污迹、无异味、干净整洁。</w:t>
            </w:r>
          </w:p>
        </w:tc>
      </w:tr>
      <w:tr w14:paraId="5938E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8" w:hRule="atLeast"/>
        </w:trPr>
        <w:tc>
          <w:tcPr>
            <w:tcW w:w="2268" w:type="dxa"/>
            <w:vAlign w:val="center"/>
          </w:tcPr>
          <w:p w14:paraId="7C02949C">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电梯轿厢</w:t>
            </w:r>
          </w:p>
        </w:tc>
        <w:tc>
          <w:tcPr>
            <w:tcW w:w="7111" w:type="dxa"/>
            <w:vAlign w:val="top"/>
          </w:tcPr>
          <w:p w14:paraId="490A0D2C">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轿厢壁无浮灰，不锈钢表面光亮、无污迹；垂直升降电梯轿厢四壁光洁明亮；操作面板无污迹、无灰尘、无擦痕；保持空气清新、无异味；自动扶梯踏步、阶梯干净、无灰尘、无污迹，橡胶扶手保持色泽均一、无灰尘、无污渍、定时消毒。</w:t>
            </w:r>
          </w:p>
        </w:tc>
      </w:tr>
      <w:tr w14:paraId="445FC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2268" w:type="dxa"/>
            <w:vAlign w:val="center"/>
          </w:tcPr>
          <w:p w14:paraId="796D40DD">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设备机房、管道</w:t>
            </w:r>
          </w:p>
        </w:tc>
        <w:tc>
          <w:tcPr>
            <w:tcW w:w="7111" w:type="dxa"/>
            <w:vAlign w:val="center"/>
          </w:tcPr>
          <w:p w14:paraId="54FE80FA">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无卫生死角、无垃圾堆积，无灰尘、目视无蜘蛛网、无污渍、无水渍。</w:t>
            </w:r>
          </w:p>
        </w:tc>
      </w:tr>
      <w:tr w14:paraId="44D9F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2268" w:type="dxa"/>
            <w:vAlign w:val="center"/>
          </w:tcPr>
          <w:p w14:paraId="3472E4F0">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室内外墙</w:t>
            </w:r>
          </w:p>
        </w:tc>
        <w:tc>
          <w:tcPr>
            <w:tcW w:w="7111" w:type="dxa"/>
            <w:vAlign w:val="top"/>
          </w:tcPr>
          <w:p w14:paraId="3A896D78">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目视洁净、光亮、无污垢；表面、接缝、角落、边线等处洁净；无污迹、无灰尘、无划痕。</w:t>
            </w:r>
          </w:p>
        </w:tc>
      </w:tr>
      <w:tr w14:paraId="51D49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6" w:hRule="atLeast"/>
        </w:trPr>
        <w:tc>
          <w:tcPr>
            <w:tcW w:w="2268" w:type="dxa"/>
            <w:vAlign w:val="center"/>
          </w:tcPr>
          <w:p w14:paraId="175423A7">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垃圾桶</w:t>
            </w:r>
          </w:p>
        </w:tc>
        <w:tc>
          <w:tcPr>
            <w:tcW w:w="7111" w:type="dxa"/>
            <w:vAlign w:val="center"/>
          </w:tcPr>
          <w:p w14:paraId="56D7E040">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桶无满溢、无异味、无污迹。</w:t>
            </w:r>
          </w:p>
        </w:tc>
      </w:tr>
      <w:tr w14:paraId="13659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2268" w:type="dxa"/>
            <w:vAlign w:val="center"/>
          </w:tcPr>
          <w:p w14:paraId="6D8292CC">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消杀灭害</w:t>
            </w:r>
          </w:p>
        </w:tc>
        <w:tc>
          <w:tcPr>
            <w:tcW w:w="7111" w:type="dxa"/>
            <w:vAlign w:val="center"/>
          </w:tcPr>
          <w:p w14:paraId="07BDB356">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对通风口、明沟、垃圾房喷洒药水。</w:t>
            </w:r>
          </w:p>
        </w:tc>
      </w:tr>
      <w:tr w14:paraId="05D85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2268" w:type="dxa"/>
            <w:vAlign w:val="center"/>
          </w:tcPr>
          <w:p w14:paraId="46A82C28">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电器设施</w:t>
            </w:r>
          </w:p>
        </w:tc>
        <w:tc>
          <w:tcPr>
            <w:tcW w:w="7111" w:type="dxa"/>
            <w:vAlign w:val="center"/>
          </w:tcPr>
          <w:p w14:paraId="1A5BB3F1">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灯泡、灯管无灰尘、灯罩无灰尘、无污迹、其它装饰件无灰尘、光 亮、无污迹、开关、插座、配电箱无灰尘、无污迹。</w:t>
            </w:r>
          </w:p>
        </w:tc>
      </w:tr>
    </w:tbl>
    <w:p w14:paraId="64033E2F">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4.3</w:t>
      </w:r>
      <w:r>
        <w:rPr>
          <w:rFonts w:hint="eastAsia" w:ascii="宋体" w:hAnsi="宋体" w:eastAsia="宋体" w:cs="宋体"/>
          <w:color w:val="auto"/>
          <w:sz w:val="24"/>
          <w:szCs w:val="24"/>
          <w:highlight w:val="none"/>
          <w:lang w:val="zh-CN" w:eastAsia="zh-CN"/>
        </w:rPr>
        <w:t>馆属区域绿化养护</w:t>
      </w:r>
    </w:p>
    <w:p w14:paraId="7306EE86">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（1）绿化养护</w:t>
      </w:r>
    </w:p>
    <w:p w14:paraId="13573227">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整修及时，定期修剪、打药、除虫、除草，及时浇灌，冬季及时裹干、涂白，并根据绿地植物分布状况及生长的各个阶段，对植物群落进行合理养护，保持植物季相分明、群落完整、层次得当、生长茂盛，把精品绿化养护到位；</w:t>
      </w:r>
    </w:p>
    <w:p w14:paraId="6BB6F4AF">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（2）馆内区域的四害消杀按照我国卫生委员会的标准执行。</w:t>
      </w:r>
    </w:p>
    <w:p w14:paraId="6E38E968">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4.4</w:t>
      </w:r>
      <w:r>
        <w:rPr>
          <w:rFonts w:hint="eastAsia" w:ascii="宋体" w:hAnsi="宋体" w:eastAsia="宋体" w:cs="宋体"/>
          <w:color w:val="auto"/>
          <w:sz w:val="24"/>
          <w:szCs w:val="24"/>
          <w:highlight w:val="none"/>
          <w:lang w:val="zh-CN" w:eastAsia="zh-CN"/>
        </w:rPr>
        <w:t>会务服务</w:t>
      </w:r>
    </w:p>
    <w:p w14:paraId="58903DF8">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（1）会前准备工作</w:t>
      </w:r>
    </w:p>
    <w:p w14:paraId="0CF7666C">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1）根据会务信息，服务人员提前2小时检查会议室灯具，发现问题及时通知工程部进行检修；</w:t>
      </w:r>
    </w:p>
    <w:p w14:paraId="6A2C8F05">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2）会前1小时开启门窗通风，保持室内空气清新，随后关闭门窗，开启空调设备，调节室内温度；一般冬季控制在20℃±2℃ , 夏季控制在26℃±2℃；</w:t>
      </w:r>
    </w:p>
    <w:p w14:paraId="0FEB9B65">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3）根据会务信息，摆好桌椅、席卡、纸笔，如有特殊要求，按</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eastAsia="zh-CN"/>
        </w:rPr>
        <w:t>要求执行；</w:t>
      </w:r>
    </w:p>
    <w:p w14:paraId="02363CF5">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lang w:val="zh-CN" w:eastAsia="zh-CN"/>
        </w:rPr>
        <w:t>负责连接好计算机和投影设备，调整好音响扩音设备、话筒及其音量，灯光照明等；</w:t>
      </w:r>
    </w:p>
    <w:p w14:paraId="0988E4D9">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5）茶杯要求杯盖、杯身无黄斑、无缺口、无水迹且光亮。茶杯每次使用后请清洗干净，并消毒后存放于消毒柜中；</w:t>
      </w:r>
    </w:p>
    <w:p w14:paraId="72E2B32A">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6）热水瓶要求表面洁净光亮，水温在90℃以上，冲泡和续水时注意防止烫伤；</w:t>
      </w:r>
    </w:p>
    <w:p w14:paraId="2B9265F8">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7）根据会务要求提供清洁的擦脸小毛巾，温度控制在40℃；</w:t>
      </w:r>
    </w:p>
    <w:p w14:paraId="18502E87">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8）会议开始前10分钟，安排至少一名服务人员站在会议室门前迎候参会人员。另有服务人员负责参会人员的登记工作、拍照；</w:t>
      </w:r>
    </w:p>
    <w:p w14:paraId="21511362">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9）服务人员做到精神饱满，仪容仪表端庄大方，淡妆上岗，微笑迎宾。</w:t>
      </w:r>
    </w:p>
    <w:p w14:paraId="6BEAA823">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（2）会议期间</w:t>
      </w:r>
    </w:p>
    <w:p w14:paraId="5AB84507">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1）对参加会议的客人要主动问清参加会议的名称，以防走错会场耽误会议；</w:t>
      </w:r>
    </w:p>
    <w:p w14:paraId="01B2C5B7">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2）面带微笑，举止大方礼貌迎客；</w:t>
      </w:r>
    </w:p>
    <w:p w14:paraId="5E62B37F">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3）客人入座后，即刻提供茶水，遵循先宾后主顺序提供茶水；</w:t>
      </w:r>
    </w:p>
    <w:p w14:paraId="4BBE4E18">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4）茶杯摆放和提放杯盖声音要轻，茶杯柄应朝向客人且呈右手45°方向，切忌手指接触茶杯口；</w:t>
      </w:r>
    </w:p>
    <w:p w14:paraId="45BAB3D0">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5）会议期间续水时间为20分钟；</w:t>
      </w:r>
    </w:p>
    <w:p w14:paraId="7CA1557C">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6）会议期间服务人员一般不得随意进出会场，应站在门口随时听候会议主办方提出的服务要求，提供服务。</w:t>
      </w:r>
    </w:p>
    <w:p w14:paraId="25B940D7">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（3）会议结束后的工作</w:t>
      </w:r>
    </w:p>
    <w:p w14:paraId="6EA9D55B">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1）会议结束时，服务人员应及时开启会议室大门，并站立在门口微笑送客，说“请走好，再见 ”；</w:t>
      </w:r>
    </w:p>
    <w:p w14:paraId="14FE9E6E">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2）待全部客人离场后，方可进入会场清理桌上资料、茶杯、饮料、小毛巾等物品，并将茶杯和小毛巾送往茶水间清洗、消毒。茶杯存放于会议室消毒柜中，小毛巾晾干后放入会议室橱柜中，留待下次使用；</w:t>
      </w:r>
    </w:p>
    <w:p w14:paraId="13E61A28">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3）会前会后由保洁人员负责会议室卫生保洁工作；</w:t>
      </w:r>
    </w:p>
    <w:p w14:paraId="370C0808">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lang w:val="zh-CN" w:eastAsia="zh-CN"/>
        </w:rPr>
        <w:t>关闭空调、计算机、投影设备、音响扩音设备等；</w:t>
      </w:r>
    </w:p>
    <w:p w14:paraId="1D5C3E55">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5）撤下会议横幅、标语等悬挂物品，恢复会议室原貌，开窗通风30分钟后关闭会议室；</w:t>
      </w:r>
    </w:p>
    <w:p w14:paraId="75AD6A0C">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6）发现遗失物品，应妥善保管并及时交专人处理，尽快联系失主或等失主认领。</w:t>
      </w:r>
    </w:p>
    <w:p w14:paraId="5EB5CC0A">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lang w:val="zh-CN" w:eastAsia="zh-CN"/>
        </w:rPr>
        <w:t>接待服务</w:t>
      </w:r>
    </w:p>
    <w:p w14:paraId="552FB505">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（1）前台接待服务</w:t>
      </w:r>
    </w:p>
    <w:p w14:paraId="6418FC8F">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1）前台接待服务工作时间必须较采购人工作人员正常上班时间提前30分钟；</w:t>
      </w:r>
    </w:p>
    <w:p w14:paraId="45870D0B">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2）来访接待应遵循“有问必答”的原则，接待人员应热情回答来访者的咨询，确保答复率100%，问候、问话、回答等用语规范；</w:t>
      </w:r>
    </w:p>
    <w:p w14:paraId="191BD60B">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3）对来访者进行事由询问和身份登记，查验有效证件（一般为身份证，或介绍信）无误、电话联系确认后，方可放行进入。</w:t>
      </w:r>
    </w:p>
    <w:p w14:paraId="6C7772CD">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（2）贵宾接待服务</w:t>
      </w:r>
    </w:p>
    <w:p w14:paraId="792B91E7">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1）规范化服务，有需要时提供规范的礼仪服务；</w:t>
      </w:r>
    </w:p>
    <w:p w14:paraId="3F55B7CF">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2）按规定着装，仪态仪表风度沉着、稳重、端庄大方，举止文明，符合礼节。语言礼貌、文雅，态度热情；</w:t>
      </w:r>
    </w:p>
    <w:p w14:paraId="09A0FE27">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3）贵宾接待前，做好贵宾室的布置（配备好纸笔、茶水、烟灰缸、纸巾、毛巾等相关物品）工作，贵宾电梯、贵宾通道的开放等工作；</w:t>
      </w:r>
    </w:p>
    <w:p w14:paraId="2A1412C0">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4）贵宾接待中的倒水、续水及其它服务等事宜；</w:t>
      </w:r>
    </w:p>
    <w:p w14:paraId="50316ADF">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5）贵宾接待结束后，现场的保洁及相关设备、物品的清点、归还等工作；</w:t>
      </w:r>
    </w:p>
    <w:p w14:paraId="25C020BA">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6）完成业主交办的其它工作。</w:t>
      </w:r>
    </w:p>
    <w:p w14:paraId="0A013C04">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（3）客户服务</w:t>
      </w:r>
    </w:p>
    <w:p w14:paraId="53F5C2E0">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1）设立客户服务接待中心，负责接待与运行有关的各类服务需求，以及房屋、设备等报修服务要求；</w:t>
      </w:r>
    </w:p>
    <w:p w14:paraId="297615DB">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2）接到报修时，应及时受理，并在规定的时间内到达现场处理，小修项目宜当天完成（预约除外）；</w:t>
      </w:r>
    </w:p>
    <w:p w14:paraId="38F1B8F7">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3）维修结果应及时反馈给报修单位或报修人。</w:t>
      </w:r>
    </w:p>
    <w:p w14:paraId="243B661A">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（4）投诉处理</w:t>
      </w:r>
    </w:p>
    <w:p w14:paraId="1F66CD67">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直接受理的投诉，应核实情况，及时处理并回复投诉者。属于中标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责任的，应及时向投诉者道歉并纠正；属于无责投诉的应向投诉者做好解释工作。中标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与投诉者无法协商解决的，应上报采购人处理；中标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直接受理的投诉，应在一个工作日内回复处理结果，最长不得超过三个工作日；</w:t>
      </w:r>
    </w:p>
    <w:p w14:paraId="58159D8B">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2）向保卫部门或公安机关报案的投诉，协助保卫部门或公安部门处理；</w:t>
      </w:r>
    </w:p>
    <w:p w14:paraId="38E782EC">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3）涉及依法裁决的投诉，应按法律程序处理；</w:t>
      </w:r>
    </w:p>
    <w:p w14:paraId="33525FF4">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4）受理、处置各种投诉应做好记录。</w:t>
      </w:r>
    </w:p>
    <w:p w14:paraId="22B94AC7">
      <w:pPr>
        <w:widowControl/>
        <w:numPr>
          <w:ilvl w:val="0"/>
          <w:numId w:val="0"/>
        </w:numPr>
        <w:spacing w:line="500" w:lineRule="exact"/>
        <w:ind w:firstLine="420" w:firstLineChars="0"/>
        <w:outlineLvl w:val="1"/>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4.6</w:t>
      </w:r>
      <w:r>
        <w:rPr>
          <w:rFonts w:hint="eastAsia" w:ascii="宋体" w:hAnsi="宋体" w:eastAsia="宋体" w:cs="宋体"/>
          <w:color w:val="auto"/>
          <w:sz w:val="24"/>
          <w:szCs w:val="24"/>
          <w:highlight w:val="none"/>
          <w:lang w:val="zh-CN" w:eastAsia="zh-CN"/>
        </w:rPr>
        <w:t>馆内管理服务</w:t>
      </w:r>
    </w:p>
    <w:p w14:paraId="4389FD04">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（1）做好设备看护工作，保证馆内设备以及公共财产不受损坏和丢失；开馆前和闭馆后要对设备进行检查并签字确认；</w:t>
      </w:r>
    </w:p>
    <w:p w14:paraId="7DAA9F7E">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（2）做好馆内观众服务工作，及时发现游客的需求并竭力解决；</w:t>
      </w:r>
    </w:p>
    <w:p w14:paraId="68365BD2">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（3）维持馆内参观秩序，保证参观秩序井然有序，劝阻参观人员不文明行为；</w:t>
      </w:r>
    </w:p>
    <w:p w14:paraId="0B5CB442">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（4）维持馆内环境卫生清洁，每天对展厅卫生清洁至少二次，保证馆内无垃圾、无水迹，设备无明显印迹；</w:t>
      </w:r>
    </w:p>
    <w:p w14:paraId="7D902C1E">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（5）突发意外事件时，立即上报，并按预案执行；</w:t>
      </w:r>
    </w:p>
    <w:p w14:paraId="166EC6C8">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（6）做好设备设施的报修工作，发现设备故障及时报修；</w:t>
      </w:r>
    </w:p>
    <w:p w14:paraId="1D219611">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（7）按规定着装，仪态仪表风度沉着、稳重、大方，举止文明，符合礼节；语言礼貌、文雅，态度热情；</w:t>
      </w:r>
    </w:p>
    <w:p w14:paraId="28435C2C">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（8）设备内清洁作业在确保安全条件下，由</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eastAsia="zh-CN"/>
        </w:rPr>
        <w:t>现场指导下进行，一般每半年一次，因设备类型不同可适当调整频次；</w:t>
      </w:r>
    </w:p>
    <w:p w14:paraId="0FDBE3AD">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（9）配合采购人开展观众调查工作。</w:t>
      </w:r>
    </w:p>
    <w:p w14:paraId="46B5FAA5">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4.7</w:t>
      </w:r>
      <w:r>
        <w:rPr>
          <w:rFonts w:hint="eastAsia" w:ascii="宋体" w:hAnsi="宋体" w:eastAsia="宋体" w:cs="宋体"/>
          <w:color w:val="auto"/>
          <w:sz w:val="24"/>
          <w:szCs w:val="24"/>
          <w:highlight w:val="none"/>
          <w:lang w:val="zh-CN" w:eastAsia="zh-CN"/>
        </w:rPr>
        <w:t>票务、安检、导览台服务</w:t>
      </w:r>
    </w:p>
    <w:p w14:paraId="19E08BA0">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（1）总体服务要求：做好观众入馆取票、信息登记、安全检查、入馆导引、导览台的预约、咨询、文明城市创建、寄存等服务。</w:t>
      </w:r>
    </w:p>
    <w:p w14:paraId="2917C503">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（2）具体服务内容</w:t>
      </w:r>
    </w:p>
    <w:p w14:paraId="6D1B8EE1">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1）熟练掌握游客取票系统的使用，做好游客入馆前的取票工作；</w:t>
      </w:r>
    </w:p>
    <w:p w14:paraId="32719DE6">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2）熟练掌握科技馆危险品和违禁品目录；</w:t>
      </w:r>
    </w:p>
    <w:p w14:paraId="33213F47">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3）熟练掌握安检系统的使用方法，严格安检，杜绝观众携带危险品、违禁品入馆；</w:t>
      </w:r>
    </w:p>
    <w:p w14:paraId="09C7B737">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4）做好游客出馆的安检工作，严禁游客从出口通道入馆；</w:t>
      </w:r>
    </w:p>
    <w:p w14:paraId="2BEBD1BC">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5）引导游客有序取票入馆，防止拥挤；</w:t>
      </w:r>
    </w:p>
    <w:p w14:paraId="458D7DF9">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6）接待游客的电话、现场咨询，及时解答游客疑问；</w:t>
      </w:r>
    </w:p>
    <w:p w14:paraId="5F25D564">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7）接待游客寄存，为游客提供满意的行李寄存服务；</w:t>
      </w:r>
    </w:p>
    <w:p w14:paraId="4C2313AD">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8）接待游客预约，为游客提供高效的参观预约与导览服务；</w:t>
      </w:r>
    </w:p>
    <w:p w14:paraId="6C95A121">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9）为游客提供轮椅、婴儿车、充电宝等租借工作；</w:t>
      </w:r>
    </w:p>
    <w:p w14:paraId="5289B3B4">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10）做好导览台、票务台、安检台设备设施的日常管理工作；</w:t>
      </w:r>
    </w:p>
    <w:p w14:paraId="6956AEBC">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11）每月做好各类服务项目的数据统计工作；</w:t>
      </w:r>
    </w:p>
    <w:p w14:paraId="06494BC9">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12）做好</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eastAsia="zh-CN"/>
        </w:rPr>
        <w:t>交代的其他工作。</w:t>
      </w:r>
    </w:p>
    <w:p w14:paraId="61B91A20">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4.8其他服务内容及要求</w:t>
      </w:r>
    </w:p>
    <w:p w14:paraId="3B2A5ADF">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（1）制定运行管理方案和其他各种规章制度，监督贯彻执行；</w:t>
      </w:r>
    </w:p>
    <w:p w14:paraId="36EF4595">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（2）制定质量管理、员工守则和奖惩办法等；</w:t>
      </w:r>
    </w:p>
    <w:p w14:paraId="74EA8108">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（3）完善档案、图纸、维修记录等技术资料的管理工作；</w:t>
      </w:r>
    </w:p>
    <w:p w14:paraId="69240AB9">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（4）制定岗位目标责任，完善各专业管理制度，加强技术培训；</w:t>
      </w:r>
    </w:p>
    <w:p w14:paraId="2F39BADC">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（5）定期向</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eastAsia="zh-CN"/>
        </w:rPr>
        <w:t>征询服务意见，并做好记录，进行分析，及时反馈；</w:t>
      </w:r>
    </w:p>
    <w:p w14:paraId="2A780160">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（6）定期对目标任务和服务质量完成情况进行统计考核；</w:t>
      </w:r>
    </w:p>
    <w:p w14:paraId="2E57B041">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（7）对每日工作进行计划安排，并认真填写工作日志；</w:t>
      </w:r>
    </w:p>
    <w:p w14:paraId="541581D5">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（8）加强应急管理，制定各类突发事件应急预案，加强应急演练；</w:t>
      </w:r>
    </w:p>
    <w:p w14:paraId="37F83A35">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（9）积极完成</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eastAsia="zh-CN"/>
        </w:rPr>
        <w:t>另行安排的其它工作，如抗洪防汛、清除积雪、搬运物品、整治环境卫生等；</w:t>
      </w:r>
    </w:p>
    <w:p w14:paraId="27C30974">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（10）保证设备、设施（供电、供水、供暖、空调等）、车辆、建筑物及附属物的完好，如有损坏按价赔偿；</w:t>
      </w:r>
    </w:p>
    <w:p w14:paraId="342B809E">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（11）馆属区域出现失窃，中标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应按损失原价赔偿；</w:t>
      </w:r>
    </w:p>
    <w:p w14:paraId="7E4380B1">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（12）</w:t>
      </w:r>
      <w:r>
        <w:rPr>
          <w:rFonts w:hint="eastAsia" w:ascii="宋体" w:hAnsi="宋体" w:eastAsia="宋体" w:cs="宋体"/>
          <w:color w:val="auto"/>
          <w:sz w:val="24"/>
          <w:szCs w:val="24"/>
          <w:highlight w:val="none"/>
          <w:lang w:val="en-US" w:eastAsia="zh-CN"/>
        </w:rPr>
        <w:t>合同履行期间</w:t>
      </w:r>
      <w:r>
        <w:rPr>
          <w:rFonts w:hint="eastAsia" w:ascii="宋体" w:hAnsi="宋体" w:eastAsia="宋体" w:cs="宋体"/>
          <w:color w:val="auto"/>
          <w:sz w:val="24"/>
          <w:szCs w:val="24"/>
          <w:highlight w:val="none"/>
          <w:lang w:val="zh-CN" w:eastAsia="zh-CN"/>
        </w:rPr>
        <w:t>采购人若有管理与服务区域（范围）或服务项目变更，应提前向中标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通报；</w:t>
      </w:r>
    </w:p>
    <w:p w14:paraId="37A2E0E0">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（13）如</w:t>
      </w:r>
      <w:r>
        <w:rPr>
          <w:rFonts w:hint="eastAsia" w:ascii="宋体" w:hAnsi="宋体" w:eastAsia="宋体" w:cs="宋体"/>
          <w:color w:val="auto"/>
          <w:sz w:val="24"/>
          <w:szCs w:val="24"/>
          <w:highlight w:val="none"/>
          <w:lang w:val="en-US" w:eastAsia="zh-CN"/>
        </w:rPr>
        <w:t>合同终止或解除，</w:t>
      </w:r>
      <w:r>
        <w:rPr>
          <w:rFonts w:hint="eastAsia" w:ascii="宋体" w:hAnsi="宋体" w:eastAsia="宋体" w:cs="宋体"/>
          <w:color w:val="auto"/>
          <w:sz w:val="24"/>
          <w:szCs w:val="24"/>
          <w:highlight w:val="none"/>
          <w:lang w:val="zh-CN" w:eastAsia="zh-CN"/>
        </w:rPr>
        <w:t>中标</w:t>
      </w:r>
      <w:r>
        <w:rPr>
          <w:rFonts w:hint="eastAsia" w:ascii="宋体" w:hAnsi="宋体" w:eastAsia="宋体" w:cs="宋体"/>
          <w:color w:val="auto"/>
          <w:sz w:val="24"/>
          <w:szCs w:val="24"/>
          <w:highlight w:val="none"/>
          <w:lang w:val="en-US" w:eastAsia="zh-CN"/>
        </w:rPr>
        <w:t>人须</w:t>
      </w:r>
      <w:r>
        <w:rPr>
          <w:rFonts w:hint="eastAsia" w:ascii="宋体" w:hAnsi="宋体" w:eastAsia="宋体" w:cs="宋体"/>
          <w:color w:val="auto"/>
          <w:sz w:val="24"/>
          <w:szCs w:val="24"/>
          <w:highlight w:val="none"/>
          <w:lang w:val="zh-CN" w:eastAsia="zh-CN"/>
        </w:rPr>
        <w:t>向</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eastAsia="zh-CN"/>
        </w:rPr>
        <w:t>交付全套档案资料（含电子文档）、工器具等，经过</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eastAsia="zh-CN"/>
        </w:rPr>
        <w:t>验收合格，并完成与后续管理企业的衔接后，方可退出；</w:t>
      </w:r>
    </w:p>
    <w:p w14:paraId="773397F3">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（14）采购人不</w:t>
      </w:r>
      <w:r>
        <w:rPr>
          <w:rFonts w:hint="eastAsia" w:ascii="宋体" w:hAnsi="宋体" w:eastAsia="宋体" w:cs="宋体"/>
          <w:color w:val="auto"/>
          <w:sz w:val="24"/>
          <w:szCs w:val="24"/>
          <w:highlight w:val="none"/>
          <w:lang w:val="en-US" w:eastAsia="zh-CN"/>
        </w:rPr>
        <w:t>向</w:t>
      </w:r>
      <w:r>
        <w:rPr>
          <w:rFonts w:hint="eastAsia" w:ascii="宋体" w:hAnsi="宋体" w:eastAsia="宋体" w:cs="宋体"/>
          <w:color w:val="auto"/>
          <w:sz w:val="24"/>
          <w:szCs w:val="24"/>
          <w:highlight w:val="none"/>
          <w:lang w:val="zh-CN" w:eastAsia="zh-CN"/>
        </w:rPr>
        <w:t>中标</w:t>
      </w:r>
      <w:r>
        <w:rPr>
          <w:rFonts w:hint="eastAsia" w:ascii="宋体" w:hAnsi="宋体" w:eastAsia="宋体" w:cs="宋体"/>
          <w:color w:val="auto"/>
          <w:sz w:val="24"/>
          <w:szCs w:val="24"/>
          <w:highlight w:val="none"/>
          <w:lang w:val="en-US" w:eastAsia="zh-CN"/>
        </w:rPr>
        <w:t>人的</w:t>
      </w:r>
      <w:r>
        <w:rPr>
          <w:rFonts w:hint="eastAsia" w:ascii="宋体" w:hAnsi="宋体" w:eastAsia="宋体" w:cs="宋体"/>
          <w:color w:val="auto"/>
          <w:sz w:val="24"/>
          <w:szCs w:val="24"/>
          <w:highlight w:val="none"/>
          <w:lang w:val="zh-CN" w:eastAsia="zh-CN"/>
        </w:rPr>
        <w:t>员工提供住宿与工作餐；</w:t>
      </w:r>
    </w:p>
    <w:p w14:paraId="556F55CE">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（15）从事专业设施的维修、改造的单位须具备相</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val="zh-CN" w:eastAsia="zh-CN"/>
        </w:rPr>
        <w:t>资质；</w:t>
      </w:r>
    </w:p>
    <w:p w14:paraId="31FCF02B">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（16）运行保障部工作人员每年提供一份市级以上正规医疗机构出具的体检健康证明；</w:t>
      </w:r>
    </w:p>
    <w:p w14:paraId="147818DE">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（17）上岗人数必须符合招投标文件</w:t>
      </w:r>
      <w:r>
        <w:rPr>
          <w:rFonts w:hint="eastAsia" w:ascii="宋体" w:hAnsi="宋体" w:eastAsia="宋体" w:cs="宋体"/>
          <w:color w:val="auto"/>
          <w:sz w:val="24"/>
          <w:szCs w:val="24"/>
          <w:highlight w:val="none"/>
          <w:lang w:val="en-US" w:eastAsia="zh-CN"/>
        </w:rPr>
        <w:t>和实际需求</w:t>
      </w:r>
      <w:r>
        <w:rPr>
          <w:rFonts w:hint="eastAsia" w:ascii="宋体" w:hAnsi="宋体" w:eastAsia="宋体" w:cs="宋体"/>
          <w:color w:val="auto"/>
          <w:sz w:val="24"/>
          <w:szCs w:val="24"/>
          <w:highlight w:val="none"/>
          <w:lang w:val="zh-CN" w:eastAsia="zh-CN"/>
        </w:rPr>
        <w:t>，如</w:t>
      </w:r>
      <w:r>
        <w:rPr>
          <w:rFonts w:hint="eastAsia" w:ascii="宋体" w:hAnsi="宋体" w:eastAsia="宋体" w:cs="宋体"/>
          <w:color w:val="auto"/>
          <w:sz w:val="24"/>
          <w:szCs w:val="24"/>
          <w:highlight w:val="none"/>
          <w:lang w:val="en-US" w:eastAsia="zh-CN"/>
        </w:rPr>
        <w:t>配备</w:t>
      </w:r>
      <w:r>
        <w:rPr>
          <w:rFonts w:hint="eastAsia" w:ascii="宋体" w:hAnsi="宋体" w:eastAsia="宋体" w:cs="宋体"/>
          <w:color w:val="auto"/>
          <w:sz w:val="24"/>
          <w:szCs w:val="24"/>
          <w:highlight w:val="none"/>
          <w:lang w:val="zh-CN" w:eastAsia="zh-CN"/>
        </w:rPr>
        <w:t>人员少于</w:t>
      </w:r>
      <w:r>
        <w:rPr>
          <w:rFonts w:hint="eastAsia" w:ascii="宋体" w:hAnsi="宋体" w:eastAsia="宋体" w:cs="宋体"/>
          <w:color w:val="auto"/>
          <w:sz w:val="24"/>
          <w:szCs w:val="24"/>
          <w:highlight w:val="none"/>
          <w:lang w:val="en-US" w:eastAsia="zh-CN"/>
        </w:rPr>
        <w:t>中标单位其</w:t>
      </w:r>
      <w:r>
        <w:rPr>
          <w:rFonts w:hint="eastAsia" w:ascii="宋体" w:hAnsi="宋体" w:eastAsia="宋体" w:cs="宋体"/>
          <w:color w:val="auto"/>
          <w:sz w:val="24"/>
          <w:szCs w:val="24"/>
          <w:highlight w:val="none"/>
          <w:lang w:val="zh-CN" w:eastAsia="zh-CN"/>
        </w:rPr>
        <w:t>投标文件</w:t>
      </w:r>
      <w:r>
        <w:rPr>
          <w:rFonts w:hint="eastAsia" w:ascii="宋体" w:hAnsi="宋体" w:eastAsia="宋体" w:cs="宋体"/>
          <w:color w:val="auto"/>
          <w:sz w:val="24"/>
          <w:szCs w:val="24"/>
          <w:highlight w:val="none"/>
          <w:lang w:val="en-US" w:eastAsia="zh-CN"/>
        </w:rPr>
        <w:t>中响应</w:t>
      </w:r>
      <w:r>
        <w:rPr>
          <w:rFonts w:hint="eastAsia" w:ascii="宋体" w:hAnsi="宋体" w:eastAsia="宋体" w:cs="宋体"/>
          <w:color w:val="auto"/>
          <w:sz w:val="24"/>
          <w:szCs w:val="24"/>
          <w:highlight w:val="none"/>
          <w:lang w:val="zh-CN" w:eastAsia="zh-CN"/>
        </w:rPr>
        <w:t>人数，则由采购人按缺额人数从运行服务费中扣除缺少的人员费用；</w:t>
      </w:r>
    </w:p>
    <w:p w14:paraId="1D9CF5E6">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（18）不得私自挪用采购人任何物品，拆装任何设备设施必须经</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eastAsia="zh-CN"/>
        </w:rPr>
        <w:t>同意；</w:t>
      </w:r>
    </w:p>
    <w:p w14:paraId="2A400C4C">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（19）根据采购人业务工作和开展各项活动的特殊需要，提供相应的服务和工作上的配合；</w:t>
      </w:r>
    </w:p>
    <w:p w14:paraId="38286726">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（20）中标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在接到采购人通知后五个工作日内按人员要求完成人员配备 （如辅导员按十个工作日），否则</w:t>
      </w:r>
      <w:r>
        <w:rPr>
          <w:rFonts w:hint="eastAsia" w:ascii="宋体" w:hAnsi="宋体" w:eastAsia="宋体" w:cs="宋体"/>
          <w:color w:val="auto"/>
          <w:sz w:val="24"/>
          <w:szCs w:val="24"/>
          <w:highlight w:val="none"/>
          <w:lang w:val="en-US" w:eastAsia="zh-CN"/>
        </w:rPr>
        <w:t>终止</w:t>
      </w:r>
      <w:r>
        <w:rPr>
          <w:rFonts w:hint="eastAsia" w:ascii="宋体" w:hAnsi="宋体" w:eastAsia="宋体" w:cs="宋体"/>
          <w:color w:val="auto"/>
          <w:sz w:val="24"/>
          <w:szCs w:val="24"/>
          <w:highlight w:val="none"/>
          <w:lang w:val="zh-CN" w:eastAsia="zh-CN"/>
        </w:rPr>
        <w:t>合同；</w:t>
      </w:r>
    </w:p>
    <w:p w14:paraId="2B61BF02">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（21）</w:t>
      </w:r>
      <w:r>
        <w:rPr>
          <w:rFonts w:hint="eastAsia" w:ascii="宋体" w:hAnsi="宋体" w:eastAsia="宋体" w:cs="宋体"/>
          <w:color w:val="auto"/>
          <w:sz w:val="24"/>
          <w:szCs w:val="24"/>
          <w:highlight w:val="none"/>
          <w:lang w:val="en-US" w:eastAsia="zh-CN"/>
        </w:rPr>
        <w:t>若配备的</w:t>
      </w:r>
      <w:r>
        <w:rPr>
          <w:rFonts w:hint="eastAsia" w:ascii="宋体" w:hAnsi="宋体" w:eastAsia="宋体" w:cs="宋体"/>
          <w:color w:val="auto"/>
          <w:sz w:val="24"/>
          <w:szCs w:val="24"/>
          <w:highlight w:val="none"/>
          <w:lang w:val="zh-CN" w:eastAsia="zh-CN"/>
        </w:rPr>
        <w:t>人员满足不了</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文件要求，采购人可要求中标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限期整改，</w:t>
      </w:r>
      <w:r>
        <w:rPr>
          <w:rFonts w:hint="eastAsia" w:ascii="宋体" w:hAnsi="宋体" w:eastAsia="宋体" w:cs="宋体"/>
          <w:color w:val="auto"/>
          <w:sz w:val="24"/>
          <w:szCs w:val="24"/>
          <w:highlight w:val="none"/>
          <w:lang w:val="en-US" w:eastAsia="zh-CN"/>
        </w:rPr>
        <w:t>整改仍不到位的</w:t>
      </w:r>
      <w:r>
        <w:rPr>
          <w:rFonts w:hint="eastAsia" w:ascii="宋体" w:hAnsi="宋体" w:eastAsia="宋体" w:cs="宋体"/>
          <w:color w:val="auto"/>
          <w:sz w:val="24"/>
          <w:szCs w:val="24"/>
          <w:highlight w:val="none"/>
          <w:lang w:val="zh-CN" w:eastAsia="zh-CN"/>
        </w:rPr>
        <w:t>，如第二次出现类似情况，除扣除费用外，</w:t>
      </w:r>
      <w:r>
        <w:rPr>
          <w:rFonts w:hint="eastAsia" w:ascii="宋体" w:hAnsi="宋体" w:eastAsia="宋体" w:cs="宋体"/>
          <w:color w:val="auto"/>
          <w:sz w:val="24"/>
          <w:szCs w:val="24"/>
          <w:highlight w:val="none"/>
          <w:lang w:val="en-US" w:eastAsia="zh-CN"/>
        </w:rPr>
        <w:t>终止</w:t>
      </w:r>
      <w:r>
        <w:rPr>
          <w:rFonts w:hint="eastAsia" w:ascii="宋体" w:hAnsi="宋体" w:eastAsia="宋体" w:cs="宋体"/>
          <w:color w:val="auto"/>
          <w:sz w:val="24"/>
          <w:szCs w:val="24"/>
          <w:highlight w:val="none"/>
          <w:lang w:val="zh-CN" w:eastAsia="zh-CN"/>
        </w:rPr>
        <w:t>合同；</w:t>
      </w:r>
    </w:p>
    <w:p w14:paraId="4717E827">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（22）中标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与员工的任何劳动纠纷均由中标</w:t>
      </w:r>
      <w:r>
        <w:rPr>
          <w:rFonts w:hint="eastAsia" w:ascii="宋体" w:hAnsi="宋体" w:eastAsia="宋体" w:cs="宋体"/>
          <w:color w:val="auto"/>
          <w:sz w:val="24"/>
          <w:szCs w:val="24"/>
          <w:highlight w:val="none"/>
          <w:lang w:val="en-US" w:eastAsia="zh-CN"/>
        </w:rPr>
        <w:t>人自行</w:t>
      </w:r>
      <w:r>
        <w:rPr>
          <w:rFonts w:hint="eastAsia" w:ascii="宋体" w:hAnsi="宋体" w:eastAsia="宋体" w:cs="宋体"/>
          <w:color w:val="auto"/>
          <w:sz w:val="24"/>
          <w:szCs w:val="24"/>
          <w:highlight w:val="none"/>
          <w:lang w:val="zh-CN" w:eastAsia="zh-CN"/>
        </w:rPr>
        <w:t>处理。如对</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eastAsia="zh-CN"/>
        </w:rPr>
        <w:t>造成声誉或其他损失的，</w:t>
      </w:r>
      <w:r>
        <w:rPr>
          <w:rFonts w:hint="eastAsia" w:ascii="宋体" w:hAnsi="宋体" w:eastAsia="宋体" w:cs="宋体"/>
          <w:color w:val="auto"/>
          <w:sz w:val="24"/>
          <w:szCs w:val="24"/>
          <w:highlight w:val="none"/>
          <w:lang w:val="en-US" w:eastAsia="zh-CN"/>
        </w:rPr>
        <w:t>采购人将</w:t>
      </w:r>
      <w:r>
        <w:rPr>
          <w:rFonts w:hint="eastAsia" w:ascii="宋体" w:hAnsi="宋体" w:eastAsia="宋体" w:cs="宋体"/>
          <w:color w:val="auto"/>
          <w:sz w:val="24"/>
          <w:szCs w:val="24"/>
          <w:highlight w:val="none"/>
          <w:lang w:val="zh-CN" w:eastAsia="zh-CN"/>
        </w:rPr>
        <w:t>对中标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进行追偿；</w:t>
      </w:r>
    </w:p>
    <w:p w14:paraId="351057C0">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（23）完成采购人临时安排的其他服务</w:t>
      </w:r>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szCs w:val="24"/>
          <w:highlight w:val="none"/>
          <w:lang w:val="zh-CN" w:eastAsia="zh-CN"/>
        </w:rPr>
        <w:t>。</w:t>
      </w:r>
    </w:p>
    <w:p w14:paraId="3AC0DF6E">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）除评分标准中要求提供的相关人员证明材料作为评分条件外，</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在</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文件中无须提供人员其他相关证明材料。</w:t>
      </w:r>
      <w:r>
        <w:rPr>
          <w:rFonts w:hint="eastAsia" w:ascii="宋体" w:hAnsi="宋体" w:eastAsia="宋体" w:cs="宋体"/>
          <w:color w:val="auto"/>
          <w:sz w:val="24"/>
          <w:szCs w:val="24"/>
          <w:highlight w:val="none"/>
          <w:lang w:val="en-US" w:eastAsia="zh-CN"/>
        </w:rPr>
        <w:t>履约时实际人员不响应或负偏离，弄虚作假谋取中标资格的，采购人有权上报相关部门，按相关法律处理，</w:t>
      </w:r>
      <w:r>
        <w:rPr>
          <w:rFonts w:hint="eastAsia" w:ascii="宋体" w:hAnsi="宋体" w:eastAsia="宋体" w:cs="宋体"/>
          <w:color w:val="auto"/>
          <w:sz w:val="24"/>
          <w:szCs w:val="24"/>
          <w:highlight w:val="none"/>
          <w:lang w:val="zh-CN" w:eastAsia="zh-CN"/>
        </w:rPr>
        <w:t>由此产生的后果及责任由</w:t>
      </w:r>
      <w:r>
        <w:rPr>
          <w:rFonts w:hint="eastAsia" w:ascii="宋体" w:hAnsi="宋体" w:eastAsia="宋体" w:cs="宋体"/>
          <w:color w:val="auto"/>
          <w:sz w:val="24"/>
          <w:szCs w:val="24"/>
          <w:highlight w:val="none"/>
          <w:lang w:val="en-US" w:eastAsia="zh-CN"/>
        </w:rPr>
        <w:t>中标人自行</w:t>
      </w:r>
      <w:r>
        <w:rPr>
          <w:rFonts w:hint="eastAsia" w:ascii="宋体" w:hAnsi="宋体" w:eastAsia="宋体" w:cs="宋体"/>
          <w:color w:val="auto"/>
          <w:sz w:val="24"/>
          <w:szCs w:val="24"/>
          <w:highlight w:val="none"/>
          <w:lang w:val="zh-CN" w:eastAsia="zh-CN"/>
        </w:rPr>
        <w:t>承担。</w:t>
      </w:r>
    </w:p>
    <w:p w14:paraId="7E3F9310">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（25）中标人</w:t>
      </w:r>
      <w:r>
        <w:rPr>
          <w:rFonts w:hint="eastAsia" w:ascii="宋体" w:hAnsi="宋体" w:eastAsia="宋体" w:cs="宋体"/>
          <w:color w:val="auto"/>
          <w:sz w:val="24"/>
          <w:szCs w:val="24"/>
          <w:highlight w:val="none"/>
          <w:lang w:val="zh-CN" w:eastAsia="zh-CN"/>
        </w:rPr>
        <w:t>应未经采购人同意开展活动（或以采购人名义开展活动） 造成不良影响，采购人将依法追究</w:t>
      </w:r>
      <w:r>
        <w:rPr>
          <w:rFonts w:hint="eastAsia" w:ascii="宋体" w:hAnsi="宋体" w:eastAsia="宋体" w:cs="宋体"/>
          <w:color w:val="auto"/>
          <w:sz w:val="24"/>
          <w:szCs w:val="24"/>
          <w:highlight w:val="none"/>
          <w:lang w:val="en-US" w:eastAsia="zh-CN"/>
        </w:rPr>
        <w:t>其法律</w:t>
      </w:r>
      <w:r>
        <w:rPr>
          <w:rFonts w:hint="eastAsia" w:ascii="宋体" w:hAnsi="宋体" w:eastAsia="宋体" w:cs="宋体"/>
          <w:color w:val="auto"/>
          <w:sz w:val="24"/>
          <w:szCs w:val="24"/>
          <w:highlight w:val="none"/>
          <w:lang w:val="zh-CN" w:eastAsia="zh-CN"/>
        </w:rPr>
        <w:t>责任。</w:t>
      </w:r>
    </w:p>
    <w:p w14:paraId="69E1E030">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26）合同履行期间</w:t>
      </w:r>
      <w:r>
        <w:rPr>
          <w:rFonts w:hint="eastAsia" w:ascii="宋体" w:hAnsi="宋体" w:eastAsia="宋体" w:cs="宋体"/>
          <w:color w:val="auto"/>
          <w:sz w:val="24"/>
          <w:szCs w:val="24"/>
          <w:highlight w:val="none"/>
          <w:lang w:val="zh-CN" w:eastAsia="zh-CN"/>
        </w:rPr>
        <w:t>，中标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须加强安全管理，严禁出现安全事故；若发生任何安全事故，一切责任由中标</w:t>
      </w:r>
      <w:r>
        <w:rPr>
          <w:rFonts w:hint="eastAsia" w:ascii="宋体" w:hAnsi="宋体" w:eastAsia="宋体" w:cs="宋体"/>
          <w:color w:val="auto"/>
          <w:sz w:val="24"/>
          <w:szCs w:val="24"/>
          <w:highlight w:val="none"/>
          <w:lang w:val="en-US" w:eastAsia="zh-CN"/>
        </w:rPr>
        <w:t>人自行</w:t>
      </w:r>
      <w:r>
        <w:rPr>
          <w:rFonts w:hint="eastAsia" w:ascii="宋体" w:hAnsi="宋体" w:eastAsia="宋体" w:cs="宋体"/>
          <w:color w:val="auto"/>
          <w:sz w:val="24"/>
          <w:szCs w:val="24"/>
          <w:highlight w:val="none"/>
          <w:lang w:val="zh-CN" w:eastAsia="zh-CN"/>
        </w:rPr>
        <w:t>承担。</w:t>
      </w:r>
    </w:p>
    <w:p w14:paraId="5C9D65D6">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lang w:val="zh-CN" w:eastAsia="zh-CN"/>
        </w:rPr>
        <w:t>因中标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责任造成采购人重大经济损或重要影响的，采购人在报相关部门备案后终止合同，造成的影响和损失由中标</w:t>
      </w:r>
      <w:r>
        <w:rPr>
          <w:rFonts w:hint="eastAsia" w:ascii="宋体" w:hAnsi="宋体" w:eastAsia="宋体" w:cs="宋体"/>
          <w:color w:val="auto"/>
          <w:sz w:val="24"/>
          <w:szCs w:val="24"/>
          <w:highlight w:val="none"/>
          <w:lang w:val="en-US" w:eastAsia="zh-CN"/>
        </w:rPr>
        <w:t>人自行</w:t>
      </w:r>
      <w:r>
        <w:rPr>
          <w:rFonts w:hint="eastAsia" w:ascii="宋体" w:hAnsi="宋体" w:eastAsia="宋体" w:cs="宋体"/>
          <w:color w:val="auto"/>
          <w:sz w:val="24"/>
          <w:szCs w:val="24"/>
          <w:highlight w:val="none"/>
          <w:lang w:val="zh-CN" w:eastAsia="zh-CN"/>
        </w:rPr>
        <w:t>承担。</w:t>
      </w:r>
    </w:p>
    <w:p w14:paraId="380A9942">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（六）考核办法</w:t>
      </w:r>
    </w:p>
    <w:p w14:paraId="3C7E5C71">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1.月度</w:t>
      </w:r>
      <w:r>
        <w:rPr>
          <w:rFonts w:hint="eastAsia" w:ascii="宋体" w:hAnsi="宋体" w:eastAsia="宋体" w:cs="宋体"/>
          <w:color w:val="auto"/>
          <w:sz w:val="24"/>
          <w:szCs w:val="24"/>
          <w:highlight w:val="none"/>
          <w:lang w:val="zh-CN" w:eastAsia="zh-CN"/>
        </w:rPr>
        <w:t>考核基础分为100分，加分项目10分，总分110分。得90分（含）</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lang w:val="zh-CN" w:eastAsia="zh-CN"/>
        </w:rPr>
        <w:t>以上</w:t>
      </w:r>
      <w:r>
        <w:rPr>
          <w:rFonts w:hint="eastAsia" w:ascii="宋体" w:hAnsi="宋体" w:eastAsia="宋体" w:cs="宋体"/>
          <w:color w:val="auto"/>
          <w:sz w:val="24"/>
          <w:szCs w:val="24"/>
          <w:highlight w:val="none"/>
          <w:lang w:val="en-US" w:eastAsia="zh-CN"/>
        </w:rPr>
        <w:t>的全额支付月度服务费</w:t>
      </w:r>
      <w:r>
        <w:rPr>
          <w:rFonts w:hint="eastAsia" w:ascii="宋体" w:hAnsi="宋体" w:eastAsia="宋体" w:cs="宋体"/>
          <w:color w:val="auto"/>
          <w:sz w:val="24"/>
          <w:szCs w:val="24"/>
          <w:highlight w:val="none"/>
          <w:lang w:val="zh-CN" w:eastAsia="zh-CN"/>
        </w:rPr>
        <w:t>；得80</w:t>
      </w:r>
      <w:r>
        <w:rPr>
          <w:rFonts w:hint="eastAsia" w:ascii="宋体" w:hAnsi="宋体" w:eastAsia="宋体" w:cs="宋体"/>
          <w:color w:val="auto"/>
          <w:sz w:val="24"/>
          <w:szCs w:val="24"/>
          <w:highlight w:val="none"/>
          <w:lang w:val="en-US" w:eastAsia="zh-CN"/>
        </w:rPr>
        <w:t>分（含）</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90分</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lang w:val="zh-CN" w:eastAsia="zh-CN"/>
        </w:rPr>
        <w:t>含）</w:t>
      </w:r>
      <w:r>
        <w:rPr>
          <w:rFonts w:hint="eastAsia" w:ascii="宋体" w:hAnsi="宋体" w:eastAsia="宋体" w:cs="宋体"/>
          <w:color w:val="auto"/>
          <w:sz w:val="24"/>
          <w:szCs w:val="24"/>
          <w:highlight w:val="none"/>
          <w:lang w:val="en-US" w:eastAsia="zh-CN"/>
        </w:rPr>
        <w:t>的支付月度服务费的90%</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得70分（含）-80</w:t>
      </w:r>
      <w:r>
        <w:rPr>
          <w:rFonts w:hint="eastAsia" w:ascii="宋体" w:hAnsi="宋体" w:eastAsia="宋体" w:cs="宋体"/>
          <w:color w:val="auto"/>
          <w:sz w:val="24"/>
          <w:szCs w:val="24"/>
          <w:highlight w:val="none"/>
          <w:lang w:val="zh-CN" w:eastAsia="zh-CN"/>
        </w:rPr>
        <w:t>分（</w:t>
      </w:r>
      <w:r>
        <w:rPr>
          <w:rFonts w:hint="eastAsia" w:ascii="宋体" w:hAnsi="宋体" w:eastAsia="宋体" w:cs="宋体"/>
          <w:color w:val="auto"/>
          <w:sz w:val="24"/>
          <w:szCs w:val="24"/>
          <w:highlight w:val="none"/>
          <w:lang w:val="en-US" w:eastAsia="zh-CN"/>
        </w:rPr>
        <w:t>不含）支付月度服务费的75%</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得60分（含）-70</w:t>
      </w:r>
      <w:r>
        <w:rPr>
          <w:rFonts w:hint="eastAsia" w:ascii="宋体" w:hAnsi="宋体" w:eastAsia="宋体" w:cs="宋体"/>
          <w:color w:val="auto"/>
          <w:sz w:val="24"/>
          <w:szCs w:val="24"/>
          <w:highlight w:val="none"/>
          <w:lang w:val="zh-CN" w:eastAsia="zh-CN"/>
        </w:rPr>
        <w:t>分（</w:t>
      </w:r>
      <w:r>
        <w:rPr>
          <w:rFonts w:hint="eastAsia" w:ascii="宋体" w:hAnsi="宋体" w:eastAsia="宋体" w:cs="宋体"/>
          <w:color w:val="auto"/>
          <w:sz w:val="24"/>
          <w:szCs w:val="24"/>
          <w:highlight w:val="none"/>
          <w:lang w:val="en-US" w:eastAsia="zh-CN"/>
        </w:rPr>
        <w:t>不含）支付月度服务费的50%</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得60分</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lang w:val="zh-CN" w:eastAsia="zh-CN"/>
        </w:rPr>
        <w:t>含）以</w:t>
      </w:r>
      <w:r>
        <w:rPr>
          <w:rFonts w:hint="eastAsia" w:ascii="宋体" w:hAnsi="宋体" w:eastAsia="宋体" w:cs="宋体"/>
          <w:color w:val="auto"/>
          <w:sz w:val="24"/>
          <w:szCs w:val="24"/>
          <w:highlight w:val="none"/>
          <w:lang w:val="en-US" w:eastAsia="zh-CN"/>
        </w:rPr>
        <w:t>下的不支付月度服务费；连续两个月度考核得60分</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lang w:val="zh-CN" w:eastAsia="zh-CN"/>
        </w:rPr>
        <w:t>含）以</w:t>
      </w:r>
      <w:r>
        <w:rPr>
          <w:rFonts w:hint="eastAsia" w:ascii="宋体" w:hAnsi="宋体" w:eastAsia="宋体" w:cs="宋体"/>
          <w:color w:val="auto"/>
          <w:sz w:val="24"/>
          <w:szCs w:val="24"/>
          <w:highlight w:val="none"/>
          <w:lang w:val="en-US" w:eastAsia="zh-CN"/>
        </w:rPr>
        <w:t>下的终止合同；具体考核细则待项目实施阶段由采购人制定。</w:t>
      </w:r>
    </w:p>
    <w:p w14:paraId="573FA1FC">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年度考核平均得分90分(含）以上可直接续签下一年度合同；年度考核得分80分（含）至90分（不含）提出下一年度专项整改方案经采购人同意后，可签订下一年度合同；年度考核得分80分（不含）以下不再续签下一年度合同。</w:t>
      </w:r>
    </w:p>
    <w:p w14:paraId="58C088F3">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outlineLvl w:val="1"/>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三、报价要求</w:t>
      </w:r>
    </w:p>
    <w:p w14:paraId="26490C70">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投标时应对费用组成部分进行分项报价，费用总价</w:t>
      </w:r>
      <w:r>
        <w:rPr>
          <w:rFonts w:hint="eastAsia" w:ascii="宋体" w:hAnsi="宋体" w:eastAsia="宋体" w:cs="宋体"/>
          <w:color w:val="auto"/>
          <w:sz w:val="24"/>
          <w:szCs w:val="24"/>
          <w:highlight w:val="none"/>
          <w:lang w:val="en-US" w:eastAsia="zh-CN"/>
        </w:rPr>
        <w:t>180</w:t>
      </w:r>
      <w:r>
        <w:rPr>
          <w:rFonts w:hint="eastAsia" w:ascii="宋体" w:hAnsi="宋体" w:eastAsia="宋体" w:cs="宋体"/>
          <w:color w:val="auto"/>
          <w:sz w:val="24"/>
          <w:szCs w:val="24"/>
          <w:highlight w:val="none"/>
          <w:lang w:val="zh-CN" w:eastAsia="zh-CN"/>
        </w:rPr>
        <w:t>万元</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lang w:val="zh-CN" w:eastAsia="zh-CN"/>
        </w:rPr>
        <w:t>。</w:t>
      </w:r>
    </w:p>
    <w:p w14:paraId="51EDC4F7">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2.中标人</w:t>
      </w:r>
      <w:r>
        <w:rPr>
          <w:rFonts w:hint="eastAsia" w:ascii="宋体" w:hAnsi="宋体" w:eastAsia="宋体" w:cs="宋体"/>
          <w:color w:val="auto"/>
          <w:sz w:val="24"/>
          <w:szCs w:val="24"/>
          <w:highlight w:val="none"/>
          <w:lang w:val="zh-CN" w:eastAsia="zh-CN"/>
        </w:rPr>
        <w:t>必须和拟派的所有岗位人员按照相关规定签订劳动合同并为其缴纳社保，否则产生的相关纠纷由</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lang w:val="zh-CN" w:eastAsia="zh-CN"/>
        </w:rPr>
        <w:t>自行承担。投标时</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lang w:val="zh-CN" w:eastAsia="zh-CN"/>
        </w:rPr>
        <w:t>充分考虑企业利润，如因企业漏报或主动让利，产生的相关纠纷由</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lang w:val="zh-CN" w:eastAsia="zh-CN"/>
        </w:rPr>
        <w:t>自行承担。</w:t>
      </w:r>
    </w:p>
    <w:p w14:paraId="6B0D6D1C">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投标人应考虑合同期内政策性费用调整的风险。投标报价应考虑滁州市最低工资标准上调等风险，履约期限内不得以最低工资标准上调以及物价指数上涨等理由要求增加物业管理费用。</w:t>
      </w:r>
    </w:p>
    <w:p w14:paraId="1B81DD20">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4.投标报价</w:t>
      </w:r>
      <w:r>
        <w:rPr>
          <w:rFonts w:hint="eastAsia" w:ascii="宋体" w:hAnsi="宋体" w:eastAsia="宋体" w:cs="宋体"/>
          <w:color w:val="auto"/>
          <w:sz w:val="24"/>
          <w:szCs w:val="24"/>
          <w:highlight w:val="none"/>
          <w:lang w:val="zh-CN" w:eastAsia="zh-CN"/>
        </w:rPr>
        <w:t>组成包括但不限于人员工资、管理费、保洁服务的工具及耗材费、电梯地毯购置费、安保设备费（对讲机、警棍、防暴叉等）、设备维保费【消防、电  梯、强弱电、安防、空调及网络系统等维保和年检费，包括展厅、办公区照明灯具、消防器材</w:t>
      </w:r>
      <w:r>
        <w:rPr>
          <w:rFonts w:hint="eastAsia" w:ascii="宋体" w:hAnsi="宋体" w:eastAsia="宋体" w:cs="宋体"/>
          <w:color w:val="auto"/>
          <w:sz w:val="24"/>
          <w:szCs w:val="24"/>
          <w:highlight w:val="none"/>
          <w:lang w:val="en-US" w:eastAsia="zh-CN"/>
        </w:rPr>
        <w:t>维护及</w:t>
      </w:r>
      <w:r>
        <w:rPr>
          <w:rFonts w:hint="eastAsia" w:ascii="宋体" w:hAnsi="宋体" w:eastAsia="宋体" w:cs="宋体"/>
          <w:color w:val="auto"/>
          <w:sz w:val="24"/>
          <w:szCs w:val="24"/>
          <w:highlight w:val="none"/>
          <w:lang w:val="zh-CN" w:eastAsia="zh-CN"/>
        </w:rPr>
        <w:t>更换】、</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lang w:val="zh-CN" w:eastAsia="zh-CN"/>
        </w:rPr>
        <w:t>维修养护</w:t>
      </w:r>
      <w:r>
        <w:rPr>
          <w:rFonts w:hint="eastAsia" w:ascii="宋体" w:hAnsi="宋体" w:eastAsia="宋体" w:cs="宋体"/>
          <w:color w:val="auto"/>
          <w:sz w:val="24"/>
          <w:szCs w:val="24"/>
          <w:highlight w:val="none"/>
          <w:lang w:val="en-US" w:eastAsia="zh-CN"/>
        </w:rPr>
        <w:t>费用、</w:t>
      </w:r>
      <w:r>
        <w:rPr>
          <w:rFonts w:hint="eastAsia" w:ascii="宋体" w:hAnsi="宋体" w:eastAsia="宋体" w:cs="宋体"/>
          <w:color w:val="auto"/>
          <w:sz w:val="24"/>
          <w:szCs w:val="24"/>
          <w:highlight w:val="none"/>
          <w:lang w:val="zh-CN" w:eastAsia="zh-CN"/>
        </w:rPr>
        <w:t>工器具及服装费、办公费、税金、利润、劳动保险费、各种加班费、食宿与交通、安全、仓储、运输（包括垃圾外运）</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为完成合同所需的一切本身和不可或缺的所有工作开支、政策性文件规定及合同包含的所有风险、责任等各项全部费用</w:t>
      </w:r>
      <w:r>
        <w:rPr>
          <w:rFonts w:hint="eastAsia" w:ascii="宋体" w:hAnsi="宋体" w:eastAsia="宋体" w:cs="宋体"/>
          <w:color w:val="auto"/>
          <w:sz w:val="24"/>
          <w:szCs w:val="24"/>
          <w:highlight w:val="none"/>
          <w:lang w:val="en-US" w:eastAsia="zh-CN"/>
        </w:rPr>
        <w:t>及国家对中标单位征收的各种税费等所有一切费用，综合单价今后将不作任何调整。</w:t>
      </w:r>
    </w:p>
    <w:p w14:paraId="6E4BC8D3">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（1）人员成本费：运行团队人员工资、绩效、福利补贴、社保等支出等；</w:t>
      </w:r>
    </w:p>
    <w:p w14:paraId="368D7E4B">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（2）行政管理费：行政办公、员工培训、员工制服、交通、公务、会务、通讯网络费用、办公耗材、防汛物资、疫情防控物资、消防器材、绿植配置与养护等运行保障费用；</w:t>
      </w:r>
    </w:p>
    <w:p w14:paraId="282D57F1">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）大型设备设施及消防维保（包含电梯维保、空调维保、消防维保）；其中：</w:t>
      </w:r>
      <w:r>
        <w:rPr>
          <w:rFonts w:hint="eastAsia" w:ascii="宋体" w:hAnsi="宋体" w:eastAsia="宋体" w:cs="宋体"/>
          <w:color w:val="auto"/>
          <w:sz w:val="24"/>
          <w:szCs w:val="24"/>
          <w:highlight w:val="none"/>
          <w:lang w:val="en-US" w:eastAsia="zh-CN"/>
        </w:rPr>
        <w:t>中央空调冷媒充装，每年4月（夏季使用前）、10月（冬季使用前）各进行1次冷媒充装，确保空调制冷/制热效果达标，每次充装前检测系统压力及冷媒存量，按设备最大容量足量充装，由具备空调维修资质的外委单位或工程技术人员实施，充装前检查系统密封性，避免冷媒泄漏，冷媒材料费、人工服务费及检测费用纳入中标人合同价款中，采购人不额外支付费用。</w:t>
      </w:r>
    </w:p>
    <w:p w14:paraId="7322399B">
      <w:pPr>
        <w:widowControl/>
        <w:numPr>
          <w:ilvl w:val="0"/>
          <w:numId w:val="0"/>
        </w:numPr>
        <w:spacing w:line="500" w:lineRule="exact"/>
        <w:ind w:firstLine="420" w:firstLineChars="0"/>
        <w:outlineLvl w:val="1"/>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用于运行保障的设备、清洁用品、用具及公用部位的卫生用品、用具、会议所需用品（茶叶、纸杯等）由中标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购置并承担费用（</w:t>
      </w:r>
      <w:r>
        <w:rPr>
          <w:rFonts w:hint="eastAsia" w:ascii="宋体" w:hAnsi="宋体" w:eastAsia="宋体" w:cs="宋体"/>
          <w:color w:val="auto"/>
          <w:sz w:val="24"/>
          <w:szCs w:val="24"/>
          <w:highlight w:val="none"/>
          <w:lang w:val="en-US" w:eastAsia="zh-CN"/>
        </w:rPr>
        <w:t>含在其合同价款中）</w:t>
      </w:r>
      <w:r>
        <w:rPr>
          <w:rFonts w:hint="eastAsia" w:ascii="宋体" w:hAnsi="宋体" w:eastAsia="宋体" w:cs="宋体"/>
          <w:color w:val="auto"/>
          <w:sz w:val="24"/>
          <w:szCs w:val="24"/>
          <w:highlight w:val="none"/>
          <w:lang w:val="zh-CN" w:eastAsia="zh-CN"/>
        </w:rPr>
        <w:t>，具体数量、品牌</w:t>
      </w:r>
      <w:r>
        <w:rPr>
          <w:rFonts w:hint="eastAsia" w:ascii="宋体" w:hAnsi="宋体" w:eastAsia="宋体" w:cs="宋体"/>
          <w:color w:val="auto"/>
          <w:sz w:val="24"/>
          <w:szCs w:val="24"/>
          <w:highlight w:val="none"/>
          <w:lang w:val="en-US" w:eastAsia="zh-CN"/>
        </w:rPr>
        <w:t>报采购人</w:t>
      </w:r>
      <w:r>
        <w:rPr>
          <w:rFonts w:hint="eastAsia" w:ascii="宋体" w:hAnsi="宋体" w:eastAsia="宋体" w:cs="宋体"/>
          <w:color w:val="auto"/>
          <w:sz w:val="24"/>
          <w:szCs w:val="24"/>
          <w:highlight w:val="none"/>
          <w:lang w:val="zh-CN" w:eastAsia="zh-CN"/>
        </w:rPr>
        <w:t>同意后执行。</w:t>
      </w:r>
    </w:p>
    <w:p w14:paraId="7E840EFE">
      <w:pPr>
        <w:widowControl/>
        <w:numPr>
          <w:ilvl w:val="0"/>
          <w:numId w:val="0"/>
        </w:numPr>
        <w:spacing w:line="500" w:lineRule="exact"/>
        <w:ind w:firstLine="420" w:firstLineChars="0"/>
        <w:outlineLvl w:val="1"/>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应自行勘察项目现场，如投标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因未及时勘察现场而导致的报价缺项漏项废标、或中标后无法</w:t>
      </w:r>
      <w:r>
        <w:rPr>
          <w:rFonts w:hint="eastAsia" w:ascii="宋体" w:hAnsi="宋体" w:eastAsia="宋体" w:cs="宋体"/>
          <w:color w:val="auto"/>
          <w:sz w:val="24"/>
          <w:szCs w:val="24"/>
          <w:highlight w:val="none"/>
          <w:lang w:val="en-US" w:eastAsia="zh-CN"/>
        </w:rPr>
        <w:t>履约</w:t>
      </w:r>
      <w:r>
        <w:rPr>
          <w:rFonts w:hint="eastAsia" w:ascii="宋体" w:hAnsi="宋体" w:eastAsia="宋体" w:cs="宋体"/>
          <w:color w:val="auto"/>
          <w:sz w:val="24"/>
          <w:szCs w:val="24"/>
          <w:highlight w:val="none"/>
          <w:lang w:val="zh-CN" w:eastAsia="zh-CN"/>
        </w:rPr>
        <w:t>，投标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自行承担一切后果。</w:t>
      </w:r>
    </w:p>
    <w:p w14:paraId="1FA9591E">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eastAsia="zh-CN"/>
        </w:rPr>
        <w:t>下列费用由</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eastAsia="zh-CN"/>
        </w:rPr>
        <w:t>负责：</w:t>
      </w:r>
    </w:p>
    <w:p w14:paraId="4DAA4D85">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水、电、气等能源费；</w:t>
      </w:r>
    </w:p>
    <w:p w14:paraId="649F05F5">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会议横幅制作、文具用品费用；</w:t>
      </w:r>
    </w:p>
    <w:p w14:paraId="36158F18">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采购人</w:t>
      </w:r>
      <w:r>
        <w:rPr>
          <w:rFonts w:hint="eastAsia" w:ascii="宋体" w:hAnsi="宋体" w:eastAsia="宋体" w:cs="宋体"/>
          <w:color w:val="auto"/>
          <w:sz w:val="24"/>
          <w:szCs w:val="24"/>
          <w:highlight w:val="none"/>
          <w:lang w:val="en-US" w:eastAsia="zh-CN"/>
        </w:rPr>
        <w:t>向中标人提供</w:t>
      </w:r>
      <w:r>
        <w:rPr>
          <w:rFonts w:hint="eastAsia" w:ascii="宋体" w:hAnsi="宋体" w:eastAsia="宋体" w:cs="宋体"/>
          <w:color w:val="auto"/>
          <w:sz w:val="24"/>
          <w:szCs w:val="24"/>
          <w:highlight w:val="none"/>
          <w:lang w:val="zh-CN" w:eastAsia="zh-CN"/>
        </w:rPr>
        <w:t>必要的办公场所及办公家具。</w:t>
      </w:r>
    </w:p>
    <w:p w14:paraId="2BE1D47B">
      <w:pPr>
        <w:widowControl/>
        <w:numPr>
          <w:ilvl w:val="0"/>
          <w:numId w:val="0"/>
        </w:numPr>
        <w:spacing w:line="500" w:lineRule="exact"/>
        <w:ind w:firstLine="420" w:firstLineChars="0"/>
        <w:outlineLvl w:val="1"/>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设施设备的大修维修费经第三方论证后确定属采购人承担</w:t>
      </w:r>
      <w:r>
        <w:rPr>
          <w:rFonts w:hint="eastAsia" w:ascii="宋体" w:hAnsi="宋体" w:eastAsia="宋体" w:cs="宋体"/>
          <w:color w:val="auto"/>
          <w:sz w:val="24"/>
          <w:szCs w:val="24"/>
          <w:highlight w:val="none"/>
          <w:lang w:val="en-US" w:eastAsia="zh-CN"/>
        </w:rPr>
        <w:t>的由采购人承担</w:t>
      </w:r>
      <w:r>
        <w:rPr>
          <w:rFonts w:hint="eastAsia" w:ascii="宋体" w:hAnsi="宋体" w:eastAsia="宋体" w:cs="宋体"/>
          <w:color w:val="auto"/>
          <w:sz w:val="24"/>
          <w:szCs w:val="24"/>
          <w:highlight w:val="none"/>
          <w:lang w:val="zh-CN" w:eastAsia="zh-CN"/>
        </w:rPr>
        <w:t>。但因</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lang w:val="zh-CN" w:eastAsia="zh-CN"/>
        </w:rPr>
        <w:t>日常维护不善或不到位而造成的损失，由中标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按相应责任</w:t>
      </w:r>
      <w:r>
        <w:rPr>
          <w:rFonts w:hint="eastAsia" w:ascii="宋体" w:hAnsi="宋体" w:eastAsia="宋体" w:cs="宋体"/>
          <w:color w:val="auto"/>
          <w:sz w:val="24"/>
          <w:szCs w:val="24"/>
          <w:highlight w:val="none"/>
          <w:lang w:val="en-US" w:eastAsia="zh-CN"/>
        </w:rPr>
        <w:t>另行</w:t>
      </w:r>
      <w:r>
        <w:rPr>
          <w:rFonts w:hint="eastAsia" w:ascii="宋体" w:hAnsi="宋体" w:eastAsia="宋体" w:cs="宋体"/>
          <w:color w:val="auto"/>
          <w:sz w:val="24"/>
          <w:szCs w:val="24"/>
          <w:highlight w:val="none"/>
          <w:lang w:val="zh-CN" w:eastAsia="zh-CN"/>
        </w:rPr>
        <w:t>承担费用。</w:t>
      </w:r>
    </w:p>
    <w:p w14:paraId="57F8575B">
      <w:pPr>
        <w:pStyle w:val="2"/>
        <w:rPr>
          <w:rFonts w:hint="default"/>
          <w:color w:val="auto"/>
          <w:highlight w:val="none"/>
          <w:lang w:val="en-US" w:eastAsia="zh-CN"/>
        </w:rPr>
      </w:pPr>
    </w:p>
    <w:p w14:paraId="0591D30C">
      <w:pPr>
        <w:pStyle w:val="2"/>
        <w:rPr>
          <w:rFonts w:hint="default"/>
          <w:color w:val="auto"/>
          <w:highlight w:val="none"/>
          <w:lang w:val="en-US" w:eastAsia="zh-CN"/>
        </w:rPr>
      </w:pPr>
    </w:p>
    <w:p w14:paraId="2851CF55">
      <w:pPr>
        <w:rPr>
          <w:rFonts w:hint="eastAsia" w:asciiTheme="minorEastAsia" w:hAnsiTheme="minorEastAsia" w:eastAsiaTheme="minorEastAsia"/>
          <w:b/>
          <w:color w:val="auto"/>
          <w:sz w:val="28"/>
          <w:highlight w:val="none"/>
        </w:rPr>
      </w:pPr>
      <w:bookmarkStart w:id="63" w:name="_Toc23942"/>
      <w:r>
        <w:rPr>
          <w:rFonts w:hint="eastAsia" w:asciiTheme="minorEastAsia" w:hAnsiTheme="minorEastAsia" w:eastAsiaTheme="minorEastAsia"/>
          <w:b/>
          <w:color w:val="auto"/>
          <w:sz w:val="28"/>
          <w:highlight w:val="none"/>
        </w:rPr>
        <w:br w:type="page"/>
      </w:r>
    </w:p>
    <w:p w14:paraId="4FE1EF48">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第四章  评标方法和标准（综合评分法）</w:t>
      </w:r>
      <w:bookmarkEnd w:id="63"/>
    </w:p>
    <w:p w14:paraId="6EF9F6B7">
      <w:pPr>
        <w:spacing w:line="500" w:lineRule="exact"/>
        <w:ind w:left="-619" w:leftChars="-295" w:firstLine="439" w:firstLineChars="182"/>
        <w:outlineLvl w:val="1"/>
        <w:rPr>
          <w:rFonts w:ascii="宋体" w:hAnsi="宋体" w:eastAsia="宋体" w:cs="宋体"/>
          <w:b/>
          <w:color w:val="auto"/>
          <w:sz w:val="24"/>
          <w:szCs w:val="24"/>
          <w:highlight w:val="none"/>
        </w:rPr>
      </w:pPr>
      <w:bookmarkStart w:id="64" w:name="_Toc4705"/>
      <w:bookmarkStart w:id="65" w:name="_Toc25410"/>
      <w:bookmarkStart w:id="66" w:name="_Toc11823"/>
      <w:r>
        <w:rPr>
          <w:rFonts w:hint="eastAsia" w:ascii="宋体" w:hAnsi="宋体" w:eastAsia="宋体" w:cs="宋体"/>
          <w:b/>
          <w:color w:val="auto"/>
          <w:sz w:val="24"/>
          <w:szCs w:val="24"/>
          <w:highlight w:val="none"/>
        </w:rPr>
        <w:t>一、总则</w:t>
      </w:r>
      <w:bookmarkEnd w:id="64"/>
      <w:bookmarkEnd w:id="65"/>
      <w:bookmarkEnd w:id="66"/>
    </w:p>
    <w:p w14:paraId="0CCF1A89">
      <w:pPr>
        <w:spacing w:line="500" w:lineRule="exact"/>
        <w:ind w:left="-619" w:leftChars="-295" w:firstLine="436" w:firstLineChars="1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本项目将按照招标文件第二章 投标人须知的相关要求及本章的规定评标。</w:t>
      </w:r>
    </w:p>
    <w:p w14:paraId="6C00D5A2">
      <w:pPr>
        <w:spacing w:line="500" w:lineRule="exact"/>
        <w:ind w:left="-619" w:leftChars="-295" w:firstLine="439" w:firstLineChars="182"/>
        <w:outlineLvl w:val="1"/>
        <w:rPr>
          <w:rFonts w:ascii="宋体" w:hAnsi="宋体" w:eastAsia="宋体" w:cs="宋体"/>
          <w:b/>
          <w:color w:val="auto"/>
          <w:sz w:val="24"/>
          <w:szCs w:val="24"/>
          <w:highlight w:val="none"/>
        </w:rPr>
      </w:pPr>
      <w:bookmarkStart w:id="67" w:name="_Toc32410"/>
      <w:bookmarkStart w:id="68" w:name="_Toc31871"/>
      <w:bookmarkStart w:id="69" w:name="_Toc24180"/>
      <w:r>
        <w:rPr>
          <w:rFonts w:hint="eastAsia" w:ascii="宋体" w:hAnsi="宋体" w:eastAsia="宋体" w:cs="宋体"/>
          <w:b/>
          <w:color w:val="auto"/>
          <w:sz w:val="24"/>
          <w:szCs w:val="24"/>
          <w:highlight w:val="none"/>
        </w:rPr>
        <w:t>二、评标方法</w:t>
      </w:r>
      <w:bookmarkEnd w:id="67"/>
      <w:bookmarkEnd w:id="68"/>
      <w:bookmarkEnd w:id="69"/>
    </w:p>
    <w:p w14:paraId="7F7C6C98">
      <w:pPr>
        <w:spacing w:line="500" w:lineRule="exact"/>
        <w:ind w:left="-619" w:leftChars="-295" w:firstLine="436" w:firstLineChars="182"/>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2.1资格审查</w:t>
      </w:r>
    </w:p>
    <w:tbl>
      <w:tblPr>
        <w:tblStyle w:val="31"/>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120"/>
        <w:gridCol w:w="4592"/>
        <w:gridCol w:w="2481"/>
      </w:tblGrid>
      <w:tr w14:paraId="7B63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36FBACCC">
            <w:pPr>
              <w:keepNext w:val="0"/>
              <w:keepLines w:val="0"/>
              <w:suppressLineNumbers w:val="0"/>
              <w:adjustRightInd w:val="0"/>
              <w:snapToGrid w:val="0"/>
              <w:spacing w:before="0" w:beforeAutospacing="0" w:after="0" w:afterAutospacing="0" w:line="500" w:lineRule="exact"/>
              <w:ind w:left="-619" w:leftChars="-295" w:right="-10" w:firstLine="439" w:firstLineChars="182"/>
              <w:jc w:val="center"/>
              <w:rPr>
                <w:rFonts w:hint="default" w:ascii="宋体" w:hAnsi="宋体" w:eastAsia="宋体" w:cs="宋体"/>
                <w:color w:val="auto"/>
                <w:sz w:val="24"/>
                <w:szCs w:val="24"/>
                <w:highlight w:val="none"/>
              </w:rPr>
            </w:pPr>
            <w:r>
              <w:rPr>
                <w:rFonts w:hint="eastAsia" w:ascii="宋体" w:hAnsi="宋体" w:eastAsia="宋体" w:cs="宋体"/>
                <w:b/>
                <w:color w:val="auto"/>
                <w:sz w:val="24"/>
                <w:szCs w:val="24"/>
                <w:highlight w:val="none"/>
              </w:rPr>
              <w:t>资格审查表</w:t>
            </w:r>
          </w:p>
        </w:tc>
      </w:tr>
      <w:tr w14:paraId="2C46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06" w:type="pct"/>
            <w:tcBorders>
              <w:bottom w:val="single" w:color="auto" w:sz="4" w:space="0"/>
            </w:tcBorders>
            <w:vAlign w:val="center"/>
          </w:tcPr>
          <w:p w14:paraId="39C32410">
            <w:pPr>
              <w:keepNext w:val="0"/>
              <w:keepLines w:val="0"/>
              <w:suppressLineNumbers w:val="0"/>
              <w:adjustRightInd w:val="0"/>
              <w:snapToGrid w:val="0"/>
              <w:spacing w:before="0" w:beforeAutospacing="0" w:after="0" w:afterAutospacing="0" w:line="500" w:lineRule="exact"/>
              <w:ind w:left="-619" w:leftChars="-295" w:right="-10" w:firstLine="436" w:firstLineChars="182"/>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628" w:type="pct"/>
            <w:tcBorders>
              <w:bottom w:val="single" w:color="auto" w:sz="4" w:space="0"/>
            </w:tcBorders>
            <w:vAlign w:val="center"/>
          </w:tcPr>
          <w:p w14:paraId="59F7C63C">
            <w:pPr>
              <w:pStyle w:val="52"/>
              <w:keepNext w:val="0"/>
              <w:keepLines w:val="0"/>
              <w:suppressLineNumbers w:val="0"/>
              <w:pBdr>
                <w:bottom w:val="none" w:color="auto" w:sz="0" w:space="0"/>
              </w:pBdr>
              <w:tabs>
                <w:tab w:val="clear" w:pos="4153"/>
                <w:tab w:val="clear" w:pos="8306"/>
              </w:tabs>
              <w:snapToGrid w:val="0"/>
              <w:spacing w:before="0" w:beforeAutospacing="0" w:after="0" w:afterAutospacing="0" w:line="500" w:lineRule="exact"/>
              <w:ind w:left="-619" w:leftChars="-295" w:right="-10" w:firstLine="436" w:firstLineChars="182"/>
              <w:textAlignment w:val="auto"/>
              <w:rPr>
                <w:rFonts w:hint="default" w:ascii="宋体" w:hAnsi="宋体" w:eastAsia="宋体" w:cs="宋体"/>
                <w:color w:val="auto"/>
                <w:kern w:val="2"/>
                <w:szCs w:val="24"/>
                <w:highlight w:val="none"/>
              </w:rPr>
            </w:pPr>
            <w:r>
              <w:rPr>
                <w:rFonts w:hint="eastAsia" w:ascii="宋体" w:hAnsi="宋体" w:eastAsia="宋体" w:cs="宋体"/>
                <w:color w:val="auto"/>
                <w:kern w:val="2"/>
                <w:szCs w:val="24"/>
                <w:highlight w:val="none"/>
              </w:rPr>
              <w:t>审查因素</w:t>
            </w:r>
          </w:p>
        </w:tc>
        <w:tc>
          <w:tcPr>
            <w:tcW w:w="2575" w:type="pct"/>
            <w:tcBorders>
              <w:bottom w:val="single" w:color="auto" w:sz="4" w:space="0"/>
            </w:tcBorders>
            <w:vAlign w:val="center"/>
          </w:tcPr>
          <w:p w14:paraId="6B6EC51B">
            <w:pPr>
              <w:keepNext w:val="0"/>
              <w:keepLines w:val="0"/>
              <w:suppressLineNumbers w:val="0"/>
              <w:adjustRightInd w:val="0"/>
              <w:snapToGrid w:val="0"/>
              <w:spacing w:before="0" w:beforeAutospacing="0" w:after="0" w:afterAutospacing="0" w:line="500" w:lineRule="exact"/>
              <w:ind w:left="-619" w:leftChars="-295" w:right="-10" w:firstLine="436" w:firstLineChars="182"/>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审查内容</w:t>
            </w:r>
          </w:p>
        </w:tc>
        <w:tc>
          <w:tcPr>
            <w:tcW w:w="1389" w:type="pct"/>
            <w:tcBorders>
              <w:bottom w:val="single" w:color="auto" w:sz="4" w:space="0"/>
            </w:tcBorders>
            <w:vAlign w:val="center"/>
          </w:tcPr>
          <w:p w14:paraId="2A853786">
            <w:pPr>
              <w:keepNext w:val="0"/>
              <w:keepLines w:val="0"/>
              <w:suppressLineNumbers w:val="0"/>
              <w:adjustRightInd w:val="0"/>
              <w:snapToGrid w:val="0"/>
              <w:spacing w:before="0" w:beforeAutospacing="0" w:after="0" w:afterAutospacing="0" w:line="500" w:lineRule="exact"/>
              <w:ind w:left="-619" w:leftChars="-295" w:right="-10" w:firstLine="436" w:firstLineChars="182"/>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格式要求</w:t>
            </w:r>
          </w:p>
        </w:tc>
      </w:tr>
      <w:tr w14:paraId="4C9BF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406" w:type="pct"/>
            <w:tcBorders>
              <w:bottom w:val="single" w:color="auto" w:sz="4" w:space="0"/>
            </w:tcBorders>
            <w:vAlign w:val="center"/>
          </w:tcPr>
          <w:p w14:paraId="7F7CA487">
            <w:pPr>
              <w:keepNext w:val="0"/>
              <w:keepLines w:val="0"/>
              <w:suppressLineNumbers w:val="0"/>
              <w:adjustRightInd w:val="0"/>
              <w:snapToGrid w:val="0"/>
              <w:spacing w:before="0" w:beforeAutospacing="0" w:after="0" w:afterAutospacing="0" w:line="500" w:lineRule="exact"/>
              <w:ind w:left="-619" w:leftChars="-295" w:right="-10" w:firstLine="436" w:firstLineChars="182"/>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28" w:type="pct"/>
            <w:tcBorders>
              <w:bottom w:val="single" w:color="auto" w:sz="4" w:space="0"/>
            </w:tcBorders>
            <w:vAlign w:val="center"/>
          </w:tcPr>
          <w:p w14:paraId="399FAAEE">
            <w:pPr>
              <w:keepNext w:val="0"/>
              <w:keepLines w:val="0"/>
              <w:pageBreakBefore w:val="0"/>
              <w:widowControl w:val="0"/>
              <w:suppressLineNumbers w:val="0"/>
              <w:kinsoku/>
              <w:wordWrap/>
              <w:overflowPunct/>
              <w:topLinePunct w:val="0"/>
              <w:autoSpaceDE/>
              <w:autoSpaceDN/>
              <w:bidi w:val="0"/>
              <w:spacing w:before="0" w:beforeAutospacing="0" w:after="50" w:afterAutospacing="0" w:line="440" w:lineRule="exact"/>
              <w:ind w:left="0" w:right="-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营业执照等证明文件</w:t>
            </w:r>
          </w:p>
        </w:tc>
        <w:tc>
          <w:tcPr>
            <w:tcW w:w="2575" w:type="pct"/>
            <w:tcBorders>
              <w:bottom w:val="single" w:color="auto" w:sz="4" w:space="0"/>
            </w:tcBorders>
            <w:vAlign w:val="center"/>
          </w:tcPr>
          <w:p w14:paraId="5EF08B61">
            <w:pPr>
              <w:keepNext w:val="0"/>
              <w:keepLines w:val="0"/>
              <w:suppressLineNumbers w:val="0"/>
              <w:spacing w:before="0" w:beforeAutospacing="0" w:after="0" w:afterAutospacing="0" w:line="500" w:lineRule="exact"/>
              <w:ind w:left="0" w:right="-1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（1）投标人为企业（包括合伙企业）的，应提供有效的营业执照；</w:t>
            </w:r>
          </w:p>
          <w:p w14:paraId="669E2684">
            <w:pPr>
              <w:keepNext w:val="0"/>
              <w:keepLines w:val="0"/>
              <w:suppressLineNumbers w:val="0"/>
              <w:spacing w:before="0" w:beforeAutospacing="0" w:after="0" w:afterAutospacing="0" w:line="500" w:lineRule="exact"/>
              <w:ind w:left="0" w:right="-1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（2）投标人为事业单位的，应提供有效的事业单位法人证书；</w:t>
            </w:r>
          </w:p>
          <w:p w14:paraId="15A77D53">
            <w:pPr>
              <w:keepNext w:val="0"/>
              <w:keepLines w:val="0"/>
              <w:suppressLineNumbers w:val="0"/>
              <w:spacing w:before="0" w:beforeAutospacing="0" w:after="0" w:afterAutospacing="0" w:line="500" w:lineRule="exact"/>
              <w:ind w:left="0" w:right="-1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（3）投标人是非企业机构的，应提供有效的执业许可证或登记证书等证明文件；</w:t>
            </w:r>
          </w:p>
          <w:p w14:paraId="02063179">
            <w:pPr>
              <w:keepNext w:val="0"/>
              <w:keepLines w:val="0"/>
              <w:suppressLineNumbers w:val="0"/>
              <w:spacing w:before="0" w:beforeAutospacing="0" w:after="0" w:afterAutospacing="0" w:line="500" w:lineRule="exact"/>
              <w:ind w:left="0" w:right="-1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（4）投标人是个体工商户的，应提供有效的个体工商户营业执照；</w:t>
            </w:r>
          </w:p>
          <w:p w14:paraId="168C6CAE">
            <w:pPr>
              <w:keepNext w:val="0"/>
              <w:keepLines w:val="0"/>
              <w:suppressLineNumbers w:val="0"/>
              <w:spacing w:before="0" w:beforeAutospacing="0" w:after="0" w:afterAutospacing="0" w:line="500" w:lineRule="exact"/>
              <w:ind w:left="0" w:right="-1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（5）投标人是自然人的，应提供有效的自然人身份证明。</w:t>
            </w:r>
          </w:p>
        </w:tc>
        <w:tc>
          <w:tcPr>
            <w:tcW w:w="1389" w:type="pct"/>
            <w:vAlign w:val="center"/>
          </w:tcPr>
          <w:p w14:paraId="5E8A7155">
            <w:pPr>
              <w:keepNext w:val="0"/>
              <w:keepLines w:val="0"/>
              <w:suppressLineNumbers w:val="0"/>
              <w:spacing w:before="0" w:beforeAutospacing="0" w:after="0" w:afterAutospacing="0" w:line="500" w:lineRule="exact"/>
              <w:ind w:left="0" w:right="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提供材料扫描件或电子证照，应完整的体现出材料或电子证照全部内容。</w:t>
            </w:r>
          </w:p>
        </w:tc>
      </w:tr>
      <w:tr w14:paraId="611F7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406" w:type="pct"/>
            <w:tcBorders>
              <w:bottom w:val="single" w:color="auto" w:sz="4" w:space="0"/>
            </w:tcBorders>
            <w:vAlign w:val="center"/>
          </w:tcPr>
          <w:p w14:paraId="46E60A88">
            <w:pPr>
              <w:keepNext w:val="0"/>
              <w:keepLines w:val="0"/>
              <w:suppressLineNumbers w:val="0"/>
              <w:adjustRightInd w:val="0"/>
              <w:snapToGrid w:val="0"/>
              <w:spacing w:before="0" w:beforeAutospacing="0" w:after="0" w:afterAutospacing="0" w:line="500" w:lineRule="exact"/>
              <w:ind w:left="-619" w:leftChars="-295" w:right="-10" w:firstLine="436" w:firstLineChars="182"/>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28" w:type="pct"/>
            <w:tcBorders>
              <w:bottom w:val="single" w:color="auto" w:sz="4" w:space="0"/>
            </w:tcBorders>
            <w:vAlign w:val="center"/>
          </w:tcPr>
          <w:p w14:paraId="7C62E2A5">
            <w:pPr>
              <w:keepNext w:val="0"/>
              <w:keepLines w:val="0"/>
              <w:pageBreakBefore w:val="0"/>
              <w:widowControl w:val="0"/>
              <w:suppressLineNumbers w:val="0"/>
              <w:kinsoku/>
              <w:wordWrap/>
              <w:overflowPunct/>
              <w:topLinePunct w:val="0"/>
              <w:autoSpaceDE/>
              <w:autoSpaceDN/>
              <w:bidi w:val="0"/>
              <w:spacing w:before="0" w:beforeAutospacing="0" w:after="50" w:afterAutospacing="0" w:line="440" w:lineRule="exact"/>
              <w:ind w:left="0" w:right="-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投标人资格声明书</w:t>
            </w:r>
          </w:p>
        </w:tc>
        <w:tc>
          <w:tcPr>
            <w:tcW w:w="2575" w:type="pct"/>
            <w:tcBorders>
              <w:bottom w:val="single" w:color="auto" w:sz="4" w:space="0"/>
            </w:tcBorders>
            <w:vAlign w:val="center"/>
          </w:tcPr>
          <w:p w14:paraId="1426EC96">
            <w:pPr>
              <w:keepNext w:val="0"/>
              <w:keepLines w:val="0"/>
              <w:suppressLineNumbers w:val="0"/>
              <w:spacing w:before="0" w:beforeAutospacing="0" w:after="0" w:afterAutospacing="0" w:line="500" w:lineRule="exact"/>
              <w:ind w:left="0" w:right="-1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提供符合招标文件要求的《投标人资格声明书》。</w:t>
            </w:r>
          </w:p>
        </w:tc>
        <w:tc>
          <w:tcPr>
            <w:tcW w:w="1389" w:type="pct"/>
            <w:vAlign w:val="center"/>
          </w:tcPr>
          <w:p w14:paraId="4C902BB2">
            <w:pPr>
              <w:keepNext w:val="0"/>
              <w:keepLines w:val="0"/>
              <w:suppressLineNumbers w:val="0"/>
              <w:spacing w:before="0" w:beforeAutospacing="0" w:after="0" w:afterAutospacing="0" w:line="500" w:lineRule="exact"/>
              <w:ind w:left="0" w:right="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详见第六章投标文件格式。</w:t>
            </w:r>
          </w:p>
        </w:tc>
      </w:tr>
      <w:tr w14:paraId="3B963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Align w:val="center"/>
          </w:tcPr>
          <w:p w14:paraId="4A1C3C0D">
            <w:pPr>
              <w:keepNext w:val="0"/>
              <w:keepLines w:val="0"/>
              <w:suppressLineNumbers w:val="0"/>
              <w:adjustRightInd w:val="0"/>
              <w:snapToGrid w:val="0"/>
              <w:spacing w:before="0" w:beforeAutospacing="0" w:after="0" w:afterAutospacing="0" w:line="500" w:lineRule="exact"/>
              <w:ind w:left="-619" w:leftChars="-295" w:right="-10" w:firstLine="436" w:firstLineChars="182"/>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28" w:type="pct"/>
            <w:vAlign w:val="center"/>
          </w:tcPr>
          <w:p w14:paraId="125B96ED">
            <w:pPr>
              <w:keepNext w:val="0"/>
              <w:keepLines w:val="0"/>
              <w:pageBreakBefore w:val="0"/>
              <w:widowControl w:val="0"/>
              <w:suppressLineNumbers w:val="0"/>
              <w:kinsoku/>
              <w:wordWrap/>
              <w:overflowPunct/>
              <w:topLinePunct w:val="0"/>
              <w:autoSpaceDE/>
              <w:autoSpaceDN/>
              <w:bidi w:val="0"/>
              <w:spacing w:before="0" w:beforeAutospacing="0" w:after="50" w:afterAutospacing="0" w:line="440" w:lineRule="exact"/>
              <w:ind w:left="0" w:right="-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投标人信用记录</w:t>
            </w:r>
          </w:p>
        </w:tc>
        <w:tc>
          <w:tcPr>
            <w:tcW w:w="2575" w:type="pct"/>
            <w:vAlign w:val="center"/>
          </w:tcPr>
          <w:p w14:paraId="0337CB22">
            <w:pPr>
              <w:keepNext w:val="0"/>
              <w:keepLines w:val="0"/>
              <w:suppressLineNumbers w:val="0"/>
              <w:spacing w:before="0" w:beforeAutospacing="0" w:after="0" w:afterAutospacing="0" w:line="500" w:lineRule="exact"/>
              <w:ind w:left="0" w:right="-1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投标人不得存在</w:t>
            </w:r>
            <w:r>
              <w:rPr>
                <w:rFonts w:hint="eastAsia" w:ascii="宋体" w:hAnsi="宋体" w:eastAsia="宋体" w:cs="宋体"/>
                <w:color w:val="auto"/>
                <w:sz w:val="24"/>
                <w:szCs w:val="24"/>
                <w:highlight w:val="none"/>
                <w:lang w:val="en-US" w:eastAsia="zh-CN"/>
              </w:rPr>
              <w:t>投标邀请第4条信誉要求和</w:t>
            </w:r>
            <w:r>
              <w:rPr>
                <w:rFonts w:hint="eastAsia" w:ascii="宋体" w:hAnsi="宋体" w:eastAsia="宋体" w:cs="宋体"/>
                <w:color w:val="auto"/>
                <w:sz w:val="24"/>
                <w:szCs w:val="24"/>
                <w:highlight w:val="none"/>
                <w:lang w:val="zh-CN"/>
              </w:rPr>
              <w:t>投标人须知正文第1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条中的不良信用记录情形</w:t>
            </w:r>
          </w:p>
        </w:tc>
        <w:tc>
          <w:tcPr>
            <w:tcW w:w="1389" w:type="pct"/>
            <w:vAlign w:val="center"/>
          </w:tcPr>
          <w:p w14:paraId="6678CF02">
            <w:pPr>
              <w:keepNext w:val="0"/>
              <w:keepLines w:val="0"/>
              <w:suppressLineNumbers w:val="0"/>
              <w:spacing w:before="0" w:beforeAutospacing="0" w:after="0" w:afterAutospacing="0" w:line="500" w:lineRule="exact"/>
              <w:ind w:left="0" w:right="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无须投标人提供，由采购人或采购代理机构查询。</w:t>
            </w:r>
          </w:p>
        </w:tc>
      </w:tr>
      <w:tr w14:paraId="5C7F0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tcBorders>
              <w:bottom w:val="single" w:color="auto" w:sz="4" w:space="0"/>
            </w:tcBorders>
            <w:vAlign w:val="center"/>
          </w:tcPr>
          <w:p w14:paraId="7FAA49F7">
            <w:pPr>
              <w:keepNext w:val="0"/>
              <w:keepLines w:val="0"/>
              <w:suppressLineNumbers w:val="0"/>
              <w:adjustRightInd w:val="0"/>
              <w:snapToGrid w:val="0"/>
              <w:spacing w:before="0" w:beforeAutospacing="0" w:after="0" w:afterAutospacing="0" w:line="500" w:lineRule="exact"/>
              <w:ind w:left="-619" w:leftChars="-295" w:right="-10" w:firstLine="436" w:firstLineChars="18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628" w:type="pct"/>
            <w:tcBorders>
              <w:bottom w:val="single" w:color="auto" w:sz="4" w:space="0"/>
            </w:tcBorders>
            <w:vAlign w:val="center"/>
          </w:tcPr>
          <w:p w14:paraId="75583106">
            <w:pPr>
              <w:keepNext w:val="0"/>
              <w:keepLines w:val="0"/>
              <w:pageBreakBefore w:val="0"/>
              <w:widowControl w:val="0"/>
              <w:suppressLineNumbers w:val="0"/>
              <w:kinsoku/>
              <w:wordWrap/>
              <w:overflowPunct/>
              <w:topLinePunct w:val="0"/>
              <w:autoSpaceDE/>
              <w:autoSpaceDN/>
              <w:bidi w:val="0"/>
              <w:spacing w:before="0" w:beforeAutospacing="0" w:after="50" w:afterAutospacing="0" w:line="440" w:lineRule="exact"/>
              <w:ind w:left="0" w:right="-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中小企业证明文件</w:t>
            </w:r>
          </w:p>
        </w:tc>
        <w:tc>
          <w:tcPr>
            <w:tcW w:w="2575" w:type="pct"/>
            <w:tcBorders>
              <w:bottom w:val="single" w:color="auto" w:sz="4" w:space="0"/>
            </w:tcBorders>
            <w:vAlign w:val="center"/>
          </w:tcPr>
          <w:p w14:paraId="1B9E9457">
            <w:pPr>
              <w:keepNext w:val="0"/>
              <w:keepLines w:val="0"/>
              <w:suppressLineNumbers w:val="0"/>
              <w:spacing w:before="0" w:beforeAutospacing="0" w:after="0" w:afterAutospacing="0" w:line="500" w:lineRule="exact"/>
              <w:ind w:left="0" w:right="-1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符合申请人的资格要求中落实政府采购政策需满足的资格要求：</w:t>
            </w:r>
          </w:p>
          <w:p w14:paraId="25E21659">
            <w:pPr>
              <w:keepNext w:val="0"/>
              <w:keepLines w:val="0"/>
              <w:suppressLineNumbers w:val="0"/>
              <w:spacing w:before="0" w:beforeAutospacing="0" w:after="0" w:afterAutospacing="0" w:line="500" w:lineRule="exact"/>
              <w:ind w:left="0" w:right="-1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（1）专门面向中小企业采购的，投标人应提供《中小企业声明函》或《残疾人福利性单位声明函》或由省级以上监狱管理局、戒毒管理局（含新疆 生产建设兵团）出具的属于监狱企业的证明文件。</w:t>
            </w:r>
          </w:p>
          <w:p w14:paraId="58DF9A7A">
            <w:pPr>
              <w:keepNext w:val="0"/>
              <w:keepLines w:val="0"/>
              <w:suppressLineNumbers w:val="0"/>
              <w:spacing w:before="0" w:beforeAutospacing="0" w:after="0" w:afterAutospacing="0" w:line="500" w:lineRule="exact"/>
              <w:ind w:left="0" w:right="-1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389" w:type="pct"/>
            <w:tcBorders>
              <w:bottom w:val="single" w:color="auto" w:sz="4" w:space="0"/>
            </w:tcBorders>
            <w:vAlign w:val="center"/>
          </w:tcPr>
          <w:p w14:paraId="0F4FAE08">
            <w:pPr>
              <w:keepNext w:val="0"/>
              <w:keepLines w:val="0"/>
              <w:suppressLineNumbers w:val="0"/>
              <w:spacing w:before="0" w:beforeAutospacing="0" w:after="0" w:afterAutospacing="0" w:line="5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详见第六章投标文件格式。</w:t>
            </w:r>
          </w:p>
        </w:tc>
      </w:tr>
    </w:tbl>
    <w:p w14:paraId="7E89212F">
      <w:pPr>
        <w:spacing w:line="500" w:lineRule="exact"/>
        <w:ind w:left="-619" w:leftChars="-295" w:firstLine="439" w:firstLineChars="182"/>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资格审查指标通过标准：</w:t>
      </w:r>
      <w:r>
        <w:rPr>
          <w:rFonts w:hint="eastAsia" w:ascii="宋体" w:hAnsi="宋体" w:eastAsia="宋体" w:cs="宋体"/>
          <w:color w:val="auto"/>
          <w:sz w:val="24"/>
          <w:szCs w:val="24"/>
          <w:highlight w:val="none"/>
        </w:rPr>
        <w:t>投标人必须通过资格审查表中的全部评审指标。</w:t>
      </w:r>
    </w:p>
    <w:p w14:paraId="37D0E617">
      <w:pPr>
        <w:spacing w:line="500" w:lineRule="exact"/>
        <w:ind w:left="-619" w:leftChars="-295" w:firstLine="436" w:firstLineChars="182"/>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2.2符合性审查</w:t>
      </w:r>
    </w:p>
    <w:p w14:paraId="21FE4162">
      <w:pPr>
        <w:spacing w:line="500" w:lineRule="exact"/>
        <w:ind w:left="-619" w:leftChars="-295" w:firstLine="436" w:firstLineChars="1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评标委员会对通过资格审查的投标人的投标文件进行符合性审查，以确定其是否满足招标文件的实质性要求。符合性审查表如下：</w:t>
      </w:r>
    </w:p>
    <w:tbl>
      <w:tblPr>
        <w:tblStyle w:val="31"/>
        <w:tblW w:w="49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605"/>
        <w:gridCol w:w="3612"/>
        <w:gridCol w:w="3037"/>
      </w:tblGrid>
      <w:tr w14:paraId="37C5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475DEA23">
            <w:pPr>
              <w:keepNext w:val="0"/>
              <w:keepLines w:val="0"/>
              <w:suppressLineNumbers w:val="0"/>
              <w:adjustRightInd w:val="0"/>
              <w:snapToGrid w:val="0"/>
              <w:spacing w:before="0" w:beforeAutospacing="0" w:after="0" w:afterAutospacing="0" w:line="500" w:lineRule="exact"/>
              <w:ind w:left="-619" w:leftChars="-295" w:right="-10" w:firstLine="439" w:firstLineChars="182"/>
              <w:jc w:val="center"/>
              <w:rPr>
                <w:rFonts w:hint="default"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符合性审查表</w:t>
            </w:r>
          </w:p>
        </w:tc>
      </w:tr>
      <w:tr w14:paraId="0DBE1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402" w:type="pct"/>
            <w:tcBorders>
              <w:bottom w:val="single" w:color="auto" w:sz="4" w:space="0"/>
            </w:tcBorders>
            <w:vAlign w:val="center"/>
          </w:tcPr>
          <w:p w14:paraId="23981DC9">
            <w:pPr>
              <w:keepNext w:val="0"/>
              <w:keepLines w:val="0"/>
              <w:suppressLineNumbers w:val="0"/>
              <w:adjustRightInd w:val="0"/>
              <w:snapToGrid w:val="0"/>
              <w:spacing w:before="0" w:beforeAutospacing="0" w:after="0" w:afterAutospacing="0" w:line="500" w:lineRule="exact"/>
              <w:ind w:left="-619" w:leftChars="-295" w:right="-10" w:firstLine="436" w:firstLineChars="182"/>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894" w:type="pct"/>
            <w:tcBorders>
              <w:bottom w:val="single" w:color="auto" w:sz="4" w:space="0"/>
            </w:tcBorders>
            <w:vAlign w:val="center"/>
          </w:tcPr>
          <w:p w14:paraId="5DD3FB9F">
            <w:pPr>
              <w:pStyle w:val="52"/>
              <w:keepNext w:val="0"/>
              <w:keepLines w:val="0"/>
              <w:suppressLineNumbers w:val="0"/>
              <w:pBdr>
                <w:bottom w:val="none" w:color="auto" w:sz="0" w:space="0"/>
              </w:pBdr>
              <w:tabs>
                <w:tab w:val="clear" w:pos="4153"/>
                <w:tab w:val="clear" w:pos="8306"/>
              </w:tabs>
              <w:snapToGrid w:val="0"/>
              <w:spacing w:before="0" w:beforeAutospacing="0" w:after="0" w:afterAutospacing="0" w:line="500" w:lineRule="exact"/>
              <w:ind w:left="-619" w:leftChars="-295" w:right="-10" w:firstLine="436" w:firstLineChars="182"/>
              <w:textAlignment w:val="auto"/>
              <w:rPr>
                <w:rFonts w:hint="default" w:ascii="宋体" w:hAnsi="宋体" w:eastAsia="宋体" w:cs="宋体"/>
                <w:color w:val="auto"/>
                <w:kern w:val="2"/>
                <w:szCs w:val="24"/>
                <w:highlight w:val="none"/>
              </w:rPr>
            </w:pPr>
            <w:r>
              <w:rPr>
                <w:rFonts w:hint="eastAsia" w:ascii="宋体" w:hAnsi="宋体" w:eastAsia="宋体" w:cs="宋体"/>
                <w:color w:val="auto"/>
                <w:kern w:val="2"/>
                <w:szCs w:val="24"/>
                <w:highlight w:val="none"/>
              </w:rPr>
              <w:t>审查指标</w:t>
            </w:r>
          </w:p>
        </w:tc>
        <w:tc>
          <w:tcPr>
            <w:tcW w:w="2012" w:type="pct"/>
            <w:tcBorders>
              <w:bottom w:val="single" w:color="auto" w:sz="4" w:space="0"/>
            </w:tcBorders>
            <w:vAlign w:val="center"/>
          </w:tcPr>
          <w:p w14:paraId="5525B9B3">
            <w:pPr>
              <w:keepNext w:val="0"/>
              <w:keepLines w:val="0"/>
              <w:suppressLineNumbers w:val="0"/>
              <w:adjustRightInd w:val="0"/>
              <w:snapToGrid w:val="0"/>
              <w:spacing w:before="0" w:beforeAutospacing="0" w:after="0" w:afterAutospacing="0" w:line="500" w:lineRule="exact"/>
              <w:ind w:left="-619" w:leftChars="-295" w:right="-10" w:firstLine="436" w:firstLineChars="182"/>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审查标准</w:t>
            </w:r>
          </w:p>
        </w:tc>
        <w:tc>
          <w:tcPr>
            <w:tcW w:w="1690" w:type="pct"/>
            <w:tcBorders>
              <w:bottom w:val="single" w:color="auto" w:sz="4" w:space="0"/>
            </w:tcBorders>
            <w:vAlign w:val="center"/>
          </w:tcPr>
          <w:p w14:paraId="61D04421">
            <w:pPr>
              <w:keepNext w:val="0"/>
              <w:keepLines w:val="0"/>
              <w:suppressLineNumbers w:val="0"/>
              <w:adjustRightInd w:val="0"/>
              <w:snapToGrid w:val="0"/>
              <w:spacing w:before="0" w:beforeAutospacing="0" w:after="0" w:afterAutospacing="0" w:line="500" w:lineRule="exact"/>
              <w:ind w:left="-619" w:leftChars="-295" w:right="-10" w:firstLine="436" w:firstLineChars="182"/>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格式要求</w:t>
            </w:r>
          </w:p>
        </w:tc>
      </w:tr>
      <w:tr w14:paraId="43E18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vAlign w:val="center"/>
          </w:tcPr>
          <w:p w14:paraId="42BEB877">
            <w:pPr>
              <w:keepNext w:val="0"/>
              <w:keepLines w:val="0"/>
              <w:suppressLineNumbers w:val="0"/>
              <w:adjustRightInd w:val="0"/>
              <w:snapToGrid w:val="0"/>
              <w:spacing w:before="0" w:beforeAutospacing="0" w:after="0" w:afterAutospacing="0" w:line="500" w:lineRule="exact"/>
              <w:ind w:left="-619" w:leftChars="-295" w:right="-10" w:firstLine="436" w:firstLineChars="182"/>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94" w:type="pct"/>
            <w:vAlign w:val="center"/>
          </w:tcPr>
          <w:p w14:paraId="3ED046D3">
            <w:pPr>
              <w:keepNext w:val="0"/>
              <w:keepLines w:val="0"/>
              <w:pageBreakBefore w:val="0"/>
              <w:widowControl w:val="0"/>
              <w:suppressLineNumbers w:val="0"/>
              <w:kinsoku/>
              <w:wordWrap/>
              <w:overflowPunct/>
              <w:topLinePunct w:val="0"/>
              <w:autoSpaceDE/>
              <w:autoSpaceDN/>
              <w:bidi w:val="0"/>
              <w:spacing w:before="0" w:beforeAutospacing="0" w:after="50" w:afterAutospacing="0" w:line="440" w:lineRule="exact"/>
              <w:ind w:left="0" w:right="-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开标一览表</w:t>
            </w:r>
          </w:p>
        </w:tc>
        <w:tc>
          <w:tcPr>
            <w:tcW w:w="2012" w:type="pct"/>
            <w:vAlign w:val="center"/>
          </w:tcPr>
          <w:p w14:paraId="3EAB94AC">
            <w:pPr>
              <w:keepNext w:val="0"/>
              <w:keepLines w:val="0"/>
              <w:suppressLineNumbers w:val="0"/>
              <w:spacing w:before="0" w:beforeAutospacing="0" w:after="0" w:afterAutospacing="0" w:line="500" w:lineRule="exact"/>
              <w:ind w:left="0" w:right="-1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格式、填写要求符合招标文件规定并加盖投标人电子签章</w:t>
            </w:r>
          </w:p>
        </w:tc>
        <w:tc>
          <w:tcPr>
            <w:tcW w:w="1690" w:type="pct"/>
            <w:vAlign w:val="center"/>
          </w:tcPr>
          <w:p w14:paraId="16130FA4">
            <w:pPr>
              <w:keepNext w:val="0"/>
              <w:keepLines w:val="0"/>
              <w:suppressLineNumbers w:val="0"/>
              <w:adjustRightInd w:val="0"/>
              <w:snapToGrid w:val="0"/>
              <w:spacing w:before="0" w:beforeAutospacing="0" w:after="0" w:afterAutospacing="0" w:line="500" w:lineRule="exact"/>
              <w:ind w:left="-19" w:leftChars="-9" w:right="-10" w:firstLine="19" w:firstLineChars="8"/>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详见第六章投标文件格式。</w:t>
            </w:r>
          </w:p>
        </w:tc>
      </w:tr>
      <w:tr w14:paraId="5D642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vAlign w:val="center"/>
          </w:tcPr>
          <w:p w14:paraId="29C404CB">
            <w:pPr>
              <w:keepNext w:val="0"/>
              <w:keepLines w:val="0"/>
              <w:suppressLineNumbers w:val="0"/>
              <w:adjustRightInd w:val="0"/>
              <w:snapToGrid w:val="0"/>
              <w:spacing w:before="0" w:beforeAutospacing="0" w:after="0" w:afterAutospacing="0" w:line="500" w:lineRule="exact"/>
              <w:ind w:left="-619" w:leftChars="-295" w:right="-10" w:firstLine="436" w:firstLineChars="182"/>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894" w:type="pct"/>
            <w:vAlign w:val="center"/>
          </w:tcPr>
          <w:p w14:paraId="249DB544">
            <w:pPr>
              <w:keepNext w:val="0"/>
              <w:keepLines w:val="0"/>
              <w:pageBreakBefore w:val="0"/>
              <w:widowControl w:val="0"/>
              <w:suppressLineNumbers w:val="0"/>
              <w:kinsoku/>
              <w:wordWrap/>
              <w:overflowPunct/>
              <w:topLinePunct w:val="0"/>
              <w:autoSpaceDE/>
              <w:autoSpaceDN/>
              <w:bidi w:val="0"/>
              <w:spacing w:before="0" w:beforeAutospacing="0" w:after="50" w:afterAutospacing="0" w:line="440" w:lineRule="exact"/>
              <w:ind w:left="0" w:right="-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投标函</w:t>
            </w:r>
          </w:p>
        </w:tc>
        <w:tc>
          <w:tcPr>
            <w:tcW w:w="2012" w:type="pct"/>
            <w:vAlign w:val="center"/>
          </w:tcPr>
          <w:p w14:paraId="26A4D789">
            <w:pPr>
              <w:keepNext w:val="0"/>
              <w:keepLines w:val="0"/>
              <w:suppressLineNumbers w:val="0"/>
              <w:spacing w:before="0" w:beforeAutospacing="0" w:after="0" w:afterAutospacing="0" w:line="500" w:lineRule="exact"/>
              <w:ind w:left="0" w:right="-1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格式、填写要求符合招标文件规定并加盖投标人电子签章</w:t>
            </w:r>
          </w:p>
        </w:tc>
        <w:tc>
          <w:tcPr>
            <w:tcW w:w="1690" w:type="pct"/>
            <w:vAlign w:val="center"/>
          </w:tcPr>
          <w:p w14:paraId="32B9CDC1">
            <w:pPr>
              <w:keepNext w:val="0"/>
              <w:keepLines w:val="0"/>
              <w:suppressLineNumbers w:val="0"/>
              <w:adjustRightInd w:val="0"/>
              <w:snapToGrid w:val="0"/>
              <w:spacing w:before="0" w:beforeAutospacing="0" w:after="0" w:afterAutospacing="0" w:line="500" w:lineRule="exact"/>
              <w:ind w:left="-19" w:leftChars="-9" w:right="-10" w:firstLine="19" w:firstLineChars="8"/>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详见第六章投标文件格式。</w:t>
            </w:r>
          </w:p>
        </w:tc>
      </w:tr>
      <w:tr w14:paraId="7BE0A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vAlign w:val="center"/>
          </w:tcPr>
          <w:p w14:paraId="590527B5">
            <w:pPr>
              <w:keepNext w:val="0"/>
              <w:keepLines w:val="0"/>
              <w:suppressLineNumbers w:val="0"/>
              <w:adjustRightInd w:val="0"/>
              <w:snapToGrid w:val="0"/>
              <w:spacing w:before="0" w:beforeAutospacing="0" w:after="0" w:afterAutospacing="0" w:line="500" w:lineRule="exact"/>
              <w:ind w:left="-619" w:leftChars="-295" w:right="-10" w:firstLine="436" w:firstLineChars="182"/>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894" w:type="pct"/>
            <w:vAlign w:val="center"/>
          </w:tcPr>
          <w:p w14:paraId="364E1FAA">
            <w:pPr>
              <w:keepNext w:val="0"/>
              <w:keepLines w:val="0"/>
              <w:pageBreakBefore w:val="0"/>
              <w:widowControl w:val="0"/>
              <w:suppressLineNumbers w:val="0"/>
              <w:kinsoku/>
              <w:wordWrap/>
              <w:overflowPunct/>
              <w:topLinePunct w:val="0"/>
              <w:autoSpaceDE/>
              <w:autoSpaceDN/>
              <w:bidi w:val="0"/>
              <w:spacing w:before="0" w:beforeAutospacing="0" w:after="50" w:afterAutospacing="0" w:line="440" w:lineRule="exact"/>
              <w:ind w:left="0" w:right="-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授权书</w:t>
            </w:r>
          </w:p>
        </w:tc>
        <w:tc>
          <w:tcPr>
            <w:tcW w:w="2012" w:type="pct"/>
            <w:vAlign w:val="center"/>
          </w:tcPr>
          <w:p w14:paraId="15D58A51">
            <w:pPr>
              <w:keepNext w:val="0"/>
              <w:keepLines w:val="0"/>
              <w:suppressLineNumbers w:val="0"/>
              <w:spacing w:before="0" w:beforeAutospacing="0" w:after="0" w:afterAutospacing="0" w:line="500" w:lineRule="exact"/>
              <w:ind w:left="0" w:right="-1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格式、填写要求符合招标文件规定并加盖投标人电子签章</w:t>
            </w:r>
          </w:p>
        </w:tc>
        <w:tc>
          <w:tcPr>
            <w:tcW w:w="1690" w:type="pct"/>
            <w:vAlign w:val="center"/>
          </w:tcPr>
          <w:p w14:paraId="777F8B89">
            <w:pPr>
              <w:keepNext w:val="0"/>
              <w:keepLines w:val="0"/>
              <w:suppressLineNumbers w:val="0"/>
              <w:adjustRightInd w:val="0"/>
              <w:snapToGrid w:val="0"/>
              <w:spacing w:before="0" w:beforeAutospacing="0" w:after="0" w:afterAutospacing="0" w:line="500" w:lineRule="exact"/>
              <w:ind w:left="-19" w:leftChars="-9" w:right="-10" w:firstLine="19" w:firstLineChars="8"/>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法定代表人参加投标的无需此件，提供身份证明即可。详见第六章投标文件格式。</w:t>
            </w:r>
          </w:p>
        </w:tc>
      </w:tr>
      <w:tr w14:paraId="09B77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vAlign w:val="center"/>
          </w:tcPr>
          <w:p w14:paraId="4E51296E">
            <w:pPr>
              <w:keepNext w:val="0"/>
              <w:keepLines w:val="0"/>
              <w:suppressLineNumbers w:val="0"/>
              <w:adjustRightInd w:val="0"/>
              <w:snapToGrid w:val="0"/>
              <w:spacing w:before="0" w:beforeAutospacing="0" w:after="0" w:afterAutospacing="0" w:line="500" w:lineRule="exact"/>
              <w:ind w:left="-619" w:leftChars="-295" w:right="-10" w:firstLine="436" w:firstLineChars="182"/>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894" w:type="pct"/>
            <w:vAlign w:val="center"/>
          </w:tcPr>
          <w:p w14:paraId="11CC476B">
            <w:pPr>
              <w:keepNext w:val="0"/>
              <w:keepLines w:val="0"/>
              <w:pageBreakBefore w:val="0"/>
              <w:widowControl w:val="0"/>
              <w:suppressLineNumbers w:val="0"/>
              <w:kinsoku/>
              <w:wordWrap/>
              <w:overflowPunct/>
              <w:topLinePunct w:val="0"/>
              <w:autoSpaceDE/>
              <w:autoSpaceDN/>
              <w:bidi w:val="0"/>
              <w:spacing w:before="0" w:beforeAutospacing="0" w:after="50" w:afterAutospacing="0" w:line="440" w:lineRule="exact"/>
              <w:ind w:left="0" w:right="-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2012" w:type="pct"/>
            <w:vAlign w:val="center"/>
          </w:tcPr>
          <w:p w14:paraId="328AF50D">
            <w:pPr>
              <w:keepNext w:val="0"/>
              <w:keepLines w:val="0"/>
              <w:suppressLineNumbers w:val="0"/>
              <w:spacing w:before="0" w:beforeAutospacing="0" w:after="0" w:afterAutospacing="0" w:line="500" w:lineRule="exact"/>
              <w:ind w:left="0" w:right="-1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符合招标文件投标人须知正文第9条要求</w:t>
            </w:r>
          </w:p>
        </w:tc>
        <w:tc>
          <w:tcPr>
            <w:tcW w:w="1690" w:type="pct"/>
            <w:vAlign w:val="center"/>
          </w:tcPr>
          <w:p w14:paraId="70C2C442">
            <w:pPr>
              <w:keepNext w:val="0"/>
              <w:keepLines w:val="0"/>
              <w:suppressLineNumbers w:val="0"/>
              <w:adjustRightInd w:val="0"/>
              <w:snapToGrid w:val="0"/>
              <w:spacing w:before="0" w:beforeAutospacing="0" w:after="0" w:afterAutospacing="0" w:line="500" w:lineRule="exact"/>
              <w:ind w:left="-19" w:leftChars="-9" w:right="-10" w:firstLine="19" w:firstLineChars="8"/>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详见第六章投标文件格式。</w:t>
            </w:r>
          </w:p>
        </w:tc>
      </w:tr>
      <w:tr w14:paraId="0A73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vAlign w:val="center"/>
          </w:tcPr>
          <w:p w14:paraId="17411964">
            <w:pPr>
              <w:keepNext w:val="0"/>
              <w:keepLines w:val="0"/>
              <w:suppressLineNumbers w:val="0"/>
              <w:adjustRightInd w:val="0"/>
              <w:snapToGrid w:val="0"/>
              <w:spacing w:before="0" w:beforeAutospacing="0" w:after="0" w:afterAutospacing="0" w:line="500" w:lineRule="exact"/>
              <w:ind w:left="-619" w:leftChars="-295" w:right="-10" w:firstLine="436" w:firstLineChars="182"/>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894" w:type="pct"/>
            <w:vAlign w:val="center"/>
          </w:tcPr>
          <w:p w14:paraId="794055BF">
            <w:pPr>
              <w:keepNext w:val="0"/>
              <w:keepLines w:val="0"/>
              <w:pageBreakBefore w:val="0"/>
              <w:widowControl w:val="0"/>
              <w:suppressLineNumbers w:val="0"/>
              <w:kinsoku/>
              <w:wordWrap/>
              <w:overflowPunct/>
              <w:topLinePunct w:val="0"/>
              <w:autoSpaceDE/>
              <w:autoSpaceDN/>
              <w:bidi w:val="0"/>
              <w:spacing w:before="0" w:beforeAutospacing="0" w:after="50" w:afterAutospacing="0" w:line="440" w:lineRule="exact"/>
              <w:ind w:left="0" w:right="-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商务响应情况</w:t>
            </w:r>
          </w:p>
        </w:tc>
        <w:tc>
          <w:tcPr>
            <w:tcW w:w="2012" w:type="pct"/>
            <w:vAlign w:val="center"/>
          </w:tcPr>
          <w:p w14:paraId="2267472F">
            <w:pPr>
              <w:keepNext w:val="0"/>
              <w:keepLines w:val="0"/>
              <w:suppressLineNumbers w:val="0"/>
              <w:spacing w:before="0" w:beforeAutospacing="0" w:after="0" w:afterAutospacing="0" w:line="500" w:lineRule="exact"/>
              <w:ind w:left="0" w:right="-1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符合招标文件采购需求中对付款方式、服务地点、服务期限等实质性要求</w:t>
            </w:r>
          </w:p>
        </w:tc>
        <w:tc>
          <w:tcPr>
            <w:tcW w:w="1690" w:type="pct"/>
            <w:vAlign w:val="center"/>
          </w:tcPr>
          <w:p w14:paraId="3C287A95">
            <w:pPr>
              <w:keepNext w:val="0"/>
              <w:keepLines w:val="0"/>
              <w:suppressLineNumbers w:val="0"/>
              <w:adjustRightInd w:val="0"/>
              <w:snapToGrid w:val="0"/>
              <w:spacing w:before="0" w:beforeAutospacing="0" w:after="0" w:afterAutospacing="0" w:line="500" w:lineRule="exact"/>
              <w:ind w:left="-19" w:leftChars="-9" w:right="-10" w:firstLine="19" w:firstLineChars="8"/>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详见第六章投标文件格式。</w:t>
            </w:r>
          </w:p>
        </w:tc>
      </w:tr>
      <w:tr w14:paraId="06F3A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vAlign w:val="center"/>
          </w:tcPr>
          <w:p w14:paraId="0E159065">
            <w:pPr>
              <w:keepNext w:val="0"/>
              <w:keepLines w:val="0"/>
              <w:suppressLineNumbers w:val="0"/>
              <w:adjustRightInd w:val="0"/>
              <w:snapToGrid w:val="0"/>
              <w:spacing w:before="0" w:beforeAutospacing="0" w:after="0" w:afterAutospacing="0" w:line="500" w:lineRule="exact"/>
              <w:ind w:left="-619" w:leftChars="-295" w:right="-10" w:firstLine="436" w:firstLineChars="182"/>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894" w:type="pct"/>
            <w:shd w:val="clear" w:color="auto" w:fill="auto"/>
            <w:vAlign w:val="center"/>
          </w:tcPr>
          <w:p w14:paraId="1D3611F6">
            <w:pPr>
              <w:keepNext w:val="0"/>
              <w:keepLines w:val="0"/>
              <w:pageBreakBefore w:val="0"/>
              <w:widowControl w:val="0"/>
              <w:suppressLineNumbers w:val="0"/>
              <w:kinsoku/>
              <w:wordWrap/>
              <w:overflowPunct/>
              <w:topLinePunct w:val="0"/>
              <w:autoSpaceDE/>
              <w:autoSpaceDN/>
              <w:bidi w:val="0"/>
              <w:spacing w:before="0" w:beforeAutospacing="0" w:after="50" w:afterAutospacing="0" w:line="440" w:lineRule="exact"/>
              <w:ind w:left="0" w:leftChars="0" w:right="-1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其他要求</w:t>
            </w:r>
          </w:p>
        </w:tc>
        <w:tc>
          <w:tcPr>
            <w:tcW w:w="2012" w:type="pct"/>
            <w:shd w:val="clear" w:color="auto" w:fill="auto"/>
            <w:vAlign w:val="center"/>
          </w:tcPr>
          <w:p w14:paraId="7524B701">
            <w:pPr>
              <w:keepNext w:val="0"/>
              <w:keepLines w:val="0"/>
              <w:suppressLineNumbers w:val="0"/>
              <w:spacing w:before="0" w:beforeAutospacing="0" w:after="0" w:afterAutospacing="0" w:line="500" w:lineRule="exact"/>
              <w:ind w:left="0" w:right="-10" w:rightChars="0"/>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符合法律、行政法规规定的其他条件或招标文件列明的其他实质性要求</w:t>
            </w:r>
          </w:p>
        </w:tc>
        <w:tc>
          <w:tcPr>
            <w:tcW w:w="1690" w:type="pct"/>
            <w:shd w:val="clear" w:color="auto" w:fill="auto"/>
            <w:vAlign w:val="center"/>
          </w:tcPr>
          <w:p w14:paraId="20DCBAB9">
            <w:pPr>
              <w:keepNext w:val="0"/>
              <w:keepLines w:val="0"/>
              <w:suppressLineNumbers w:val="0"/>
              <w:adjustRightInd w:val="0"/>
              <w:snapToGrid w:val="0"/>
              <w:spacing w:before="0" w:beforeAutospacing="0" w:after="0" w:afterAutospacing="0" w:line="500" w:lineRule="exact"/>
              <w:ind w:left="-19" w:leftChars="-9" w:right="-10" w:rightChars="0" w:firstLine="19" w:firstLineChars="8"/>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详见第六章投标文件格式。</w:t>
            </w:r>
          </w:p>
        </w:tc>
      </w:tr>
    </w:tbl>
    <w:p w14:paraId="1855D6A7">
      <w:pPr>
        <w:spacing w:line="500" w:lineRule="exact"/>
        <w:ind w:left="-619" w:leftChars="-295" w:firstLine="439" w:firstLineChars="182"/>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符合性审查指标通过标准：</w:t>
      </w:r>
      <w:r>
        <w:rPr>
          <w:rFonts w:hint="eastAsia" w:ascii="宋体" w:hAnsi="宋体" w:eastAsia="宋体" w:cs="宋体"/>
          <w:color w:val="auto"/>
          <w:sz w:val="24"/>
          <w:szCs w:val="24"/>
          <w:highlight w:val="none"/>
        </w:rPr>
        <w:t>投标人必须通过符合性审查表中的全部评审指标。</w:t>
      </w:r>
    </w:p>
    <w:p w14:paraId="67373B47">
      <w:pPr>
        <w:spacing w:line="500" w:lineRule="exact"/>
        <w:ind w:left="-619" w:leftChars="-295" w:firstLine="436" w:firstLineChars="182"/>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2.3详细审查</w:t>
      </w:r>
    </w:p>
    <w:p w14:paraId="2900BB44">
      <w:pPr>
        <w:spacing w:line="500" w:lineRule="exact"/>
        <w:ind w:left="-619" w:leftChars="-295" w:firstLine="436" w:firstLineChars="1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2.3.1评标委员会按照下表对投标文件进行详细审查和评分。</w:t>
      </w:r>
    </w:p>
    <w:p w14:paraId="069038A2">
      <w:pPr>
        <w:spacing w:line="500" w:lineRule="exact"/>
        <w:ind w:left="-619" w:leftChars="-295" w:firstLine="436" w:firstLineChars="1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2.3.2本项目综合评分满分为100分，其中：技术资信分值占总分值的权重为</w:t>
      </w:r>
      <w:r>
        <w:rPr>
          <w:rFonts w:hint="eastAsia" w:ascii="宋体" w:hAnsi="宋体" w:eastAsia="宋体" w:cs="宋体"/>
          <w:color w:val="auto"/>
          <w:sz w:val="24"/>
          <w:szCs w:val="24"/>
          <w:highlight w:val="none"/>
          <w:lang w:val="en-US" w:eastAsia="zh-CN"/>
        </w:rPr>
        <w:t>83</w:t>
      </w:r>
      <w:r>
        <w:rPr>
          <w:rFonts w:hint="eastAsia" w:ascii="宋体" w:hAnsi="宋体" w:eastAsia="宋体" w:cs="宋体"/>
          <w:color w:val="auto"/>
          <w:sz w:val="24"/>
          <w:szCs w:val="24"/>
          <w:highlight w:val="none"/>
        </w:rPr>
        <w:t>%，价格分值占总分值的权重为</w:t>
      </w: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%。具体评分细则如下：</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1824"/>
        <w:gridCol w:w="4305"/>
        <w:gridCol w:w="1347"/>
      </w:tblGrid>
      <w:tr w14:paraId="503B7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3" w:type="pct"/>
            <w:tcBorders>
              <w:top w:val="single" w:color="auto" w:sz="4" w:space="0"/>
              <w:left w:val="single" w:color="auto" w:sz="4" w:space="0"/>
              <w:bottom w:val="single" w:color="auto" w:sz="4" w:space="0"/>
              <w:right w:val="single" w:color="auto" w:sz="4" w:space="0"/>
            </w:tcBorders>
            <w:vAlign w:val="center"/>
          </w:tcPr>
          <w:p w14:paraId="469698AB">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1009" w:type="pct"/>
            <w:tcBorders>
              <w:top w:val="single" w:color="auto" w:sz="4" w:space="0"/>
              <w:left w:val="single" w:color="auto" w:sz="4" w:space="0"/>
              <w:bottom w:val="single" w:color="auto" w:sz="4" w:space="0"/>
              <w:right w:val="single" w:color="auto" w:sz="4" w:space="0"/>
            </w:tcBorders>
            <w:vAlign w:val="center"/>
          </w:tcPr>
          <w:p w14:paraId="7E8B8C36">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评分内容</w:t>
            </w:r>
          </w:p>
        </w:tc>
        <w:tc>
          <w:tcPr>
            <w:tcW w:w="2381" w:type="pct"/>
            <w:tcBorders>
              <w:top w:val="single" w:color="auto" w:sz="4" w:space="0"/>
              <w:left w:val="single" w:color="auto" w:sz="4" w:space="0"/>
              <w:bottom w:val="single" w:color="auto" w:sz="4" w:space="0"/>
              <w:right w:val="single" w:color="auto" w:sz="4" w:space="0"/>
            </w:tcBorders>
            <w:vAlign w:val="center"/>
          </w:tcPr>
          <w:p w14:paraId="2D982871">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c>
          <w:tcPr>
            <w:tcW w:w="745" w:type="pct"/>
            <w:tcBorders>
              <w:top w:val="single" w:color="auto" w:sz="4" w:space="0"/>
              <w:left w:val="single" w:color="auto" w:sz="4" w:space="0"/>
              <w:bottom w:val="single" w:color="auto" w:sz="4" w:space="0"/>
              <w:right w:val="single" w:color="auto" w:sz="4" w:space="0"/>
            </w:tcBorders>
            <w:vAlign w:val="center"/>
          </w:tcPr>
          <w:p w14:paraId="32000E17">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分值范围</w:t>
            </w:r>
          </w:p>
        </w:tc>
      </w:tr>
      <w:tr w14:paraId="2FF5C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restart"/>
            <w:tcBorders>
              <w:top w:val="single" w:color="auto" w:sz="4" w:space="0"/>
              <w:left w:val="single" w:color="auto" w:sz="4" w:space="0"/>
              <w:right w:val="single" w:color="auto" w:sz="4" w:space="0"/>
            </w:tcBorders>
            <w:vAlign w:val="center"/>
          </w:tcPr>
          <w:p w14:paraId="184F458F">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资信分</w:t>
            </w:r>
          </w:p>
          <w:p w14:paraId="3438CC6C">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83</w:t>
            </w:r>
            <w:bookmarkStart w:id="302" w:name="_GoBack"/>
            <w:bookmarkEnd w:id="302"/>
            <w:r>
              <w:rPr>
                <w:rFonts w:hint="eastAsia" w:ascii="宋体" w:hAnsi="宋体" w:eastAsia="宋体" w:cs="宋体"/>
                <w:color w:val="auto"/>
                <w:sz w:val="24"/>
                <w:szCs w:val="24"/>
                <w:highlight w:val="none"/>
              </w:rPr>
              <w:t>分）</w:t>
            </w:r>
          </w:p>
        </w:tc>
        <w:tc>
          <w:tcPr>
            <w:tcW w:w="1009" w:type="pct"/>
            <w:tcBorders>
              <w:top w:val="single" w:color="auto" w:sz="4" w:space="0"/>
              <w:left w:val="single" w:color="auto" w:sz="4" w:space="0"/>
              <w:bottom w:val="single" w:color="auto" w:sz="4" w:space="0"/>
              <w:right w:val="single" w:color="auto" w:sz="4" w:space="0"/>
            </w:tcBorders>
            <w:vAlign w:val="center"/>
          </w:tcPr>
          <w:p w14:paraId="6C1BC1D4">
            <w:pPr>
              <w:keepNext w:val="0"/>
              <w:keepLines w:val="0"/>
              <w:suppressLineNumbers w:val="0"/>
              <w:wordWrap w:val="0"/>
              <w:spacing w:before="0" w:beforeAutospacing="0" w:after="0" w:afterAutospacing="0" w:line="360" w:lineRule="auto"/>
              <w:ind w:left="0" w:leftChars="0" w:right="0" w:rightChars="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w:t>
            </w:r>
            <w:r>
              <w:rPr>
                <w:rFonts w:hint="eastAsia" w:ascii="宋体" w:hAnsi="宋体" w:eastAsia="宋体" w:cs="宋体"/>
                <w:color w:val="auto"/>
                <w:sz w:val="24"/>
                <w:szCs w:val="24"/>
                <w:highlight w:val="none"/>
                <w:lang w:val="zh-CN" w:eastAsia="zh-CN"/>
              </w:rPr>
              <w:t>业绩</w:t>
            </w:r>
          </w:p>
        </w:tc>
        <w:tc>
          <w:tcPr>
            <w:tcW w:w="2381" w:type="pct"/>
            <w:tcBorders>
              <w:top w:val="single" w:color="auto" w:sz="4" w:space="0"/>
              <w:left w:val="single" w:color="auto" w:sz="4" w:space="0"/>
              <w:bottom w:val="single" w:color="auto" w:sz="4" w:space="0"/>
              <w:right w:val="single" w:color="auto" w:sz="4" w:space="0"/>
            </w:tcBorders>
            <w:vAlign w:val="center"/>
          </w:tcPr>
          <w:p w14:paraId="4A08BF8F">
            <w:pPr>
              <w:keepNext w:val="0"/>
              <w:keepLines w:val="0"/>
              <w:numPr>
                <w:ilvl w:val="0"/>
                <w:numId w:val="0"/>
              </w:numPr>
              <w:suppressLineNumbers w:val="0"/>
              <w:wordWrap w:val="0"/>
              <w:spacing w:before="0" w:beforeAutospacing="0" w:after="0" w:afterAutospacing="0" w:line="360" w:lineRule="auto"/>
              <w:ind w:left="0" w:right="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投标人自</w:t>
            </w:r>
            <w:r>
              <w:rPr>
                <w:rFonts w:hint="default" w:ascii="宋体" w:hAnsi="宋体" w:eastAsia="宋体" w:cs="宋体"/>
                <w:bCs/>
                <w:color w:val="auto"/>
                <w:sz w:val="24"/>
                <w:szCs w:val="24"/>
                <w:highlight w:val="none"/>
                <w:lang w:val="en-US" w:eastAsia="zh-CN"/>
              </w:rPr>
              <w:t>202</w:t>
            </w:r>
            <w:r>
              <w:rPr>
                <w:rFonts w:hint="eastAsia" w:ascii="宋体" w:hAnsi="宋体" w:eastAsia="宋体" w:cs="宋体"/>
                <w:bCs/>
                <w:color w:val="auto"/>
                <w:sz w:val="24"/>
                <w:szCs w:val="24"/>
                <w:highlight w:val="none"/>
                <w:lang w:val="en-US" w:eastAsia="zh-CN"/>
              </w:rPr>
              <w:t>2年</w:t>
            </w:r>
            <w:r>
              <w:rPr>
                <w:rFonts w:hint="default"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月</w:t>
            </w:r>
            <w:r>
              <w:rPr>
                <w:rFonts w:hint="default"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日以来</w:t>
            </w:r>
            <w:r>
              <w:rPr>
                <w:rFonts w:hint="default"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以合同签订时间为准</w:t>
            </w:r>
            <w:r>
              <w:rPr>
                <w:rFonts w:hint="default"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，具有公共建筑服务项目业绩（服务合同必须同时包括“安保或秩序维护”和保洁和设备设施维护和会务和绿化养（维）护五项内容，否则不认可；含在管、已履约完毕的业绩）的</w:t>
            </w:r>
            <w:r>
              <w:rPr>
                <w:rFonts w:hint="default"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en-US" w:eastAsia="zh-CN"/>
              </w:rPr>
              <w:t>分，满分2分。</w:t>
            </w:r>
          </w:p>
          <w:p w14:paraId="18F9F024">
            <w:pPr>
              <w:keepNext w:val="0"/>
              <w:keepLines w:val="0"/>
              <w:numPr>
                <w:ilvl w:val="0"/>
                <w:numId w:val="0"/>
              </w:numPr>
              <w:suppressLineNumbers w:val="0"/>
              <w:wordWrap w:val="0"/>
              <w:spacing w:before="0" w:beforeAutospacing="0" w:after="0" w:afterAutospacing="0" w:line="360" w:lineRule="auto"/>
              <w:ind w:left="0" w:right="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注：①投标文件中提供业绩合同扫描件，若合同无法体现签订时间、服务内容等关键评审因素的，需另附招标人（合同甲方）证明材料的扫描件。合同内容中的服务内容与业绩要求描述不一致，但内容相同的均予以认可。</w:t>
            </w:r>
          </w:p>
          <w:p w14:paraId="28F504D2">
            <w:pPr>
              <w:keepNext w:val="0"/>
              <w:keepLines w:val="0"/>
              <w:numPr>
                <w:ilvl w:val="0"/>
                <w:numId w:val="0"/>
              </w:numPr>
              <w:suppressLineNumbers w:val="0"/>
              <w:wordWrap w:val="0"/>
              <w:spacing w:before="0" w:beforeAutospacing="0" w:after="0" w:afterAutospacing="0" w:line="360" w:lineRule="auto"/>
              <w:ind w:left="0" w:leftChars="0" w:right="0" w:firstLine="0" w:firstLineChars="0"/>
              <w:jc w:val="left"/>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②投标人业绩和拟派项目负责人业绩相同的，仅计分一次，不重复计分。</w:t>
            </w:r>
          </w:p>
          <w:p w14:paraId="63DB13CF">
            <w:pPr>
              <w:keepNext w:val="0"/>
              <w:keepLines w:val="0"/>
              <w:numPr>
                <w:ilvl w:val="0"/>
                <w:numId w:val="0"/>
              </w:numPr>
              <w:suppressLineNumbers w:val="0"/>
              <w:wordWrap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rPr>
              <w:t>③提供的项目业绩只计算评标分值对应的项目数量，按照排列顺序从首个业绩开始评审至对应数量，超出部分不进行评审。对应数量内业绩不符合招标文件要求不得分的，不再补充评审超出部分业绩。如：提供</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个业绩即得满分的，按照投标文件排序评审第一项业绩，其余超出部分不再评审。</w:t>
            </w:r>
          </w:p>
        </w:tc>
        <w:tc>
          <w:tcPr>
            <w:tcW w:w="745" w:type="pct"/>
            <w:tcBorders>
              <w:top w:val="single" w:color="auto" w:sz="4" w:space="0"/>
              <w:left w:val="single" w:color="auto" w:sz="4" w:space="0"/>
              <w:bottom w:val="single" w:color="auto" w:sz="4" w:space="0"/>
              <w:right w:val="single" w:color="auto" w:sz="4" w:space="0"/>
            </w:tcBorders>
            <w:vAlign w:val="center"/>
          </w:tcPr>
          <w:p w14:paraId="637318FB">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2分</w:t>
            </w:r>
          </w:p>
        </w:tc>
      </w:tr>
      <w:tr w14:paraId="2015E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3DAD2BBC">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52A9C238">
            <w:pPr>
              <w:keepNext w:val="0"/>
              <w:keepLines w:val="0"/>
              <w:suppressLineNumbers w:val="0"/>
              <w:wordWrap w:val="0"/>
              <w:spacing w:before="0" w:beforeAutospacing="0" w:after="0" w:afterAutospacing="0" w:line="360" w:lineRule="auto"/>
              <w:ind w:left="0" w:leftChars="0" w:right="0" w:right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2.拟派项目负责人业绩</w:t>
            </w:r>
          </w:p>
        </w:tc>
        <w:tc>
          <w:tcPr>
            <w:tcW w:w="2381" w:type="pct"/>
            <w:tcBorders>
              <w:top w:val="single" w:color="auto" w:sz="4" w:space="0"/>
              <w:left w:val="single" w:color="auto" w:sz="4" w:space="0"/>
              <w:bottom w:val="single" w:color="auto" w:sz="4" w:space="0"/>
              <w:right w:val="single" w:color="auto" w:sz="4" w:space="0"/>
            </w:tcBorders>
            <w:vAlign w:val="center"/>
          </w:tcPr>
          <w:p w14:paraId="32E46FFD">
            <w:pPr>
              <w:keepNext w:val="0"/>
              <w:keepLines w:val="0"/>
              <w:numPr>
                <w:ilvl w:val="0"/>
                <w:numId w:val="0"/>
              </w:numPr>
              <w:suppressLineNumbers w:val="0"/>
              <w:wordWrap w:val="0"/>
              <w:spacing w:before="0" w:beforeAutospacing="0" w:after="0" w:afterAutospacing="0" w:line="360" w:lineRule="auto"/>
              <w:ind w:left="0" w:right="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自</w:t>
            </w:r>
            <w:r>
              <w:rPr>
                <w:rFonts w:hint="default" w:ascii="宋体" w:hAnsi="宋体" w:eastAsia="宋体" w:cs="宋体"/>
                <w:bCs/>
                <w:color w:val="auto"/>
                <w:sz w:val="24"/>
                <w:szCs w:val="24"/>
                <w:highlight w:val="none"/>
                <w:lang w:val="en-US" w:eastAsia="zh-CN"/>
              </w:rPr>
              <w:t>202</w:t>
            </w:r>
            <w:r>
              <w:rPr>
                <w:rFonts w:hint="eastAsia" w:ascii="宋体" w:hAnsi="宋体" w:eastAsia="宋体" w:cs="宋体"/>
                <w:bCs/>
                <w:color w:val="auto"/>
                <w:sz w:val="24"/>
                <w:szCs w:val="24"/>
                <w:highlight w:val="none"/>
                <w:lang w:val="en-US" w:eastAsia="zh-CN"/>
              </w:rPr>
              <w:t>2年</w:t>
            </w:r>
            <w:r>
              <w:rPr>
                <w:rFonts w:hint="default"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月</w:t>
            </w:r>
            <w:r>
              <w:rPr>
                <w:rFonts w:hint="default"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日以来</w:t>
            </w:r>
            <w:r>
              <w:rPr>
                <w:rFonts w:hint="default"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以合同签订时间为准</w:t>
            </w:r>
            <w:r>
              <w:rPr>
                <w:rFonts w:hint="default"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，投标人拟派项目负责人具有公共建筑服务项目业绩（服务合同必须同时包括“安保或秩序维护”和保洁和设备设施维护和会务和绿化养（维）护五项内容，否则不认可；含在管、已履约完毕的业绩）的</w:t>
            </w:r>
            <w:r>
              <w:rPr>
                <w:rFonts w:hint="default"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en-US" w:eastAsia="zh-CN"/>
              </w:rPr>
              <w:t xml:space="preserve">分，满分2分。 </w:t>
            </w:r>
          </w:p>
          <w:p w14:paraId="0631DB4C">
            <w:pPr>
              <w:keepNext w:val="0"/>
              <w:keepLines w:val="0"/>
              <w:numPr>
                <w:ilvl w:val="0"/>
                <w:numId w:val="0"/>
              </w:numPr>
              <w:suppressLineNumbers w:val="0"/>
              <w:wordWrap w:val="0"/>
              <w:spacing w:before="0" w:beforeAutospacing="0" w:after="0" w:afterAutospacing="0" w:line="360" w:lineRule="auto"/>
              <w:ind w:left="0" w:right="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w:t>
            </w:r>
            <w:r>
              <w:rPr>
                <w:rFonts w:hint="eastAsia" w:ascii="宋体" w:hAnsi="宋体" w:eastAsia="宋体" w:cs="宋体"/>
                <w:bCs/>
                <w:color w:val="auto"/>
                <w:sz w:val="24"/>
                <w:szCs w:val="24"/>
                <w:highlight w:val="none"/>
                <w:lang w:val="en-US" w:eastAsia="zh-CN"/>
              </w:rPr>
              <w:t>①</w:t>
            </w:r>
            <w:r>
              <w:rPr>
                <w:rFonts w:hint="eastAsia" w:ascii="宋体" w:hAnsi="宋体" w:eastAsia="宋体" w:cs="宋体"/>
                <w:bCs/>
                <w:color w:val="auto"/>
                <w:sz w:val="24"/>
                <w:szCs w:val="24"/>
                <w:highlight w:val="none"/>
              </w:rPr>
              <w:t>投标文件中提供业绩合同扫描件，若合同无法体现签订时间、服务内容</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项目负责人姓名</w:t>
            </w:r>
            <w:r>
              <w:rPr>
                <w:rFonts w:hint="eastAsia" w:ascii="宋体" w:hAnsi="宋体" w:eastAsia="宋体" w:cs="宋体"/>
                <w:bCs/>
                <w:color w:val="auto"/>
                <w:sz w:val="24"/>
                <w:szCs w:val="24"/>
                <w:highlight w:val="none"/>
              </w:rPr>
              <w:t>等关键评审因素的，需另附招标人（合同甲方）证明材料的扫描件。</w:t>
            </w:r>
            <w:r>
              <w:rPr>
                <w:rFonts w:hint="eastAsia" w:ascii="宋体" w:hAnsi="宋体" w:eastAsia="宋体" w:cs="宋体"/>
                <w:bCs/>
                <w:color w:val="auto"/>
                <w:sz w:val="24"/>
                <w:szCs w:val="24"/>
                <w:highlight w:val="none"/>
                <w:lang w:val="en-US" w:eastAsia="zh-CN"/>
              </w:rPr>
              <w:t>合同内容中的服务内容与业绩要求描述不一致，但内容相同的均予以认可。</w:t>
            </w:r>
          </w:p>
          <w:p w14:paraId="65E68CCC">
            <w:pPr>
              <w:keepNext w:val="0"/>
              <w:keepLines w:val="0"/>
              <w:numPr>
                <w:ilvl w:val="0"/>
                <w:numId w:val="0"/>
              </w:numPr>
              <w:suppressLineNumbers w:val="0"/>
              <w:wordWrap w:val="0"/>
              <w:spacing w:before="0" w:beforeAutospacing="0" w:after="0" w:afterAutospacing="0" w:line="360" w:lineRule="auto"/>
              <w:ind w:left="0" w:right="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②</w:t>
            </w:r>
            <w:r>
              <w:rPr>
                <w:rFonts w:hint="eastAsia" w:ascii="宋体" w:hAnsi="宋体" w:eastAsia="宋体" w:cs="宋体"/>
                <w:bCs/>
                <w:color w:val="auto"/>
                <w:sz w:val="24"/>
                <w:szCs w:val="24"/>
                <w:highlight w:val="none"/>
                <w:lang w:val="en-US" w:eastAsia="zh-CN"/>
              </w:rPr>
              <w:t xml:space="preserve">投标人业绩和拟派项目负责人业绩相同的，仅计分一次，不重复计分。 </w:t>
            </w:r>
          </w:p>
          <w:p w14:paraId="65B5D695">
            <w:pPr>
              <w:keepNext w:val="0"/>
              <w:keepLines w:val="0"/>
              <w:numPr>
                <w:ilvl w:val="0"/>
                <w:numId w:val="0"/>
              </w:numPr>
              <w:suppressLineNumbers w:val="0"/>
              <w:wordWrap w:val="0"/>
              <w:spacing w:before="0" w:beforeAutospacing="0" w:after="0" w:afterAutospacing="0" w:line="360" w:lineRule="auto"/>
              <w:ind w:left="0" w:leftChars="0" w:right="0" w:firstLine="0" w:firstLineChars="0"/>
              <w:jc w:val="left"/>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③拟派项目负责人业绩须在投标单位以项目负责人身份参与的业绩，在其他单位或以其他身份参与的业绩不予以评分。</w:t>
            </w:r>
          </w:p>
          <w:p w14:paraId="5454BBDC">
            <w:pPr>
              <w:keepNext w:val="0"/>
              <w:keepLines w:val="0"/>
              <w:numPr>
                <w:ilvl w:val="0"/>
                <w:numId w:val="0"/>
              </w:numPr>
              <w:suppressLineNumbers w:val="0"/>
              <w:wordWrap w:val="0"/>
              <w:spacing w:before="0" w:beforeAutospacing="0" w:after="0" w:afterAutospacing="0" w:line="360" w:lineRule="auto"/>
              <w:ind w:left="0" w:leftChars="0" w:right="0" w:rightChars="0" w:firstLine="0" w:firstLineChars="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④提供的项目业绩只计算评标分值对应的项目数量，按照排列顺序从首个业绩开始评审至对应数量，超出部分不进行评审。对应数量内业绩不符合招标文件要求不得分的，不再补充评审超出部分业绩。如：提供</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个业绩即得满分的，按照投标文件排序评审第一项业绩，其余超出部分不再评审。</w:t>
            </w:r>
          </w:p>
        </w:tc>
        <w:tc>
          <w:tcPr>
            <w:tcW w:w="745" w:type="pct"/>
            <w:tcBorders>
              <w:top w:val="single" w:color="auto" w:sz="4" w:space="0"/>
              <w:left w:val="single" w:color="auto" w:sz="4" w:space="0"/>
              <w:bottom w:val="single" w:color="auto" w:sz="4" w:space="0"/>
              <w:right w:val="single" w:color="auto" w:sz="4" w:space="0"/>
            </w:tcBorders>
            <w:vAlign w:val="center"/>
          </w:tcPr>
          <w:p w14:paraId="782BAB41">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2分</w:t>
            </w:r>
          </w:p>
        </w:tc>
      </w:tr>
      <w:tr w14:paraId="7170A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637B56D7">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71E7DC5B">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荣誉</w:t>
            </w:r>
          </w:p>
        </w:tc>
        <w:tc>
          <w:tcPr>
            <w:tcW w:w="2381" w:type="pct"/>
            <w:tcBorders>
              <w:top w:val="single" w:color="auto" w:sz="4" w:space="0"/>
              <w:left w:val="single" w:color="auto" w:sz="4" w:space="0"/>
              <w:bottom w:val="single" w:color="auto" w:sz="4" w:space="0"/>
              <w:right w:val="single" w:color="auto" w:sz="4" w:space="0"/>
            </w:tcBorders>
            <w:vAlign w:val="center"/>
          </w:tcPr>
          <w:p w14:paraId="2C053C38">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1.投标人或其服务项目自2022年1月1日至投标截止日，具有</w:t>
            </w:r>
            <w:r>
              <w:rPr>
                <w:rFonts w:hint="eastAsia" w:asciiTheme="minorEastAsia" w:hAnsiTheme="minorEastAsia" w:eastAsiaTheme="minorEastAsia"/>
                <w:color w:val="auto"/>
                <w:sz w:val="24"/>
                <w:szCs w:val="20"/>
                <w:highlight w:val="none"/>
                <w:lang w:val="en-US" w:eastAsia="zh-CN"/>
              </w:rPr>
              <w:t>行政主管部门（或其下属的机构或政府部门授权的第三方评定机构）颁发的</w:t>
            </w:r>
            <w:r>
              <w:rPr>
                <w:rFonts w:hint="eastAsia" w:ascii="宋体" w:hAnsi="宋体" w:eastAsia="宋体" w:cs="宋体"/>
                <w:color w:val="auto"/>
                <w:sz w:val="24"/>
                <w:szCs w:val="24"/>
                <w:highlight w:val="none"/>
                <w:lang w:val="en-US" w:eastAsia="zh-CN"/>
              </w:rPr>
              <w:t>荣誉或表彰，每提供一个得2分，最高得2分。</w:t>
            </w:r>
          </w:p>
          <w:p w14:paraId="07AAE0DC">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left"/>
              <w:textAlignment w:val="auto"/>
              <w:rPr>
                <w:rFonts w:hint="eastAsia"/>
                <w:color w:val="auto"/>
                <w:szCs w:val="20"/>
                <w:highlight w:val="none"/>
                <w:lang w:val="en-US" w:eastAsia="zh-CN"/>
              </w:rPr>
            </w:pPr>
            <w:r>
              <w:rPr>
                <w:rFonts w:hint="eastAsia" w:ascii="宋体" w:hAnsi="宋体" w:eastAsia="宋体" w:cs="宋体"/>
                <w:color w:val="auto"/>
                <w:sz w:val="24"/>
                <w:szCs w:val="24"/>
                <w:highlight w:val="none"/>
                <w:lang w:val="en-US" w:eastAsia="zh-CN"/>
              </w:rPr>
              <w:t>2.投标人或其服务项目自2022年1月1日至投标截止日，在物业管理工作中具有</w:t>
            </w:r>
            <w:r>
              <w:rPr>
                <w:rFonts w:hint="eastAsia" w:asciiTheme="minorEastAsia" w:hAnsiTheme="minorEastAsia" w:eastAsiaTheme="minorEastAsia"/>
                <w:color w:val="auto"/>
                <w:sz w:val="24"/>
                <w:szCs w:val="20"/>
                <w:highlight w:val="none"/>
                <w:lang w:val="en-US" w:eastAsia="zh-CN"/>
              </w:rPr>
              <w:t>行政主管部门（或其下属的机构或政府部门授权的第三方评定机构）颁发的</w:t>
            </w:r>
            <w:r>
              <w:rPr>
                <w:rFonts w:hint="eastAsia" w:ascii="宋体" w:hAnsi="宋体" w:eastAsia="宋体" w:cs="宋体"/>
                <w:color w:val="auto"/>
                <w:sz w:val="24"/>
                <w:szCs w:val="24"/>
                <w:highlight w:val="none"/>
                <w:lang w:val="en-US" w:eastAsia="zh-CN"/>
              </w:rPr>
              <w:t>荣誉或表彰，每提供一个得2分，最高得2分。</w:t>
            </w:r>
          </w:p>
          <w:p w14:paraId="55441FF3">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①响应文件中提供证书、批复、颁发单位荣誉文件、网上公示截图(具有其中之一即可)等证明材料。以上材料提供扫描件，未提或提供不全的不得分，如为所管项目荣誉，响应文件中同时提供业绩合同扫描件。②上述评分项最多提供两个荣誉，按照排列顺序从首个荣誉开始评审至对应数量，超出部分不进行评审。相同荣誉按最高分计取，不重复计分。有效时间以荣誉证书文件颁发时间为准。</w:t>
            </w:r>
          </w:p>
        </w:tc>
        <w:tc>
          <w:tcPr>
            <w:tcW w:w="745" w:type="pct"/>
            <w:tcBorders>
              <w:top w:val="single" w:color="auto" w:sz="4" w:space="0"/>
              <w:left w:val="single" w:color="auto" w:sz="4" w:space="0"/>
              <w:bottom w:val="single" w:color="auto" w:sz="4" w:space="0"/>
              <w:right w:val="single" w:color="auto" w:sz="4" w:space="0"/>
            </w:tcBorders>
            <w:vAlign w:val="center"/>
          </w:tcPr>
          <w:p w14:paraId="6ACD5FFD">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4分</w:t>
            </w:r>
          </w:p>
        </w:tc>
      </w:tr>
      <w:tr w14:paraId="54362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37D77921">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35"/>
              <w:jc w:val="center"/>
              <w:textAlignment w:val="auto"/>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773E63DD">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信用等级</w:t>
            </w:r>
          </w:p>
        </w:tc>
        <w:tc>
          <w:tcPr>
            <w:tcW w:w="2381" w:type="pct"/>
            <w:tcBorders>
              <w:top w:val="single" w:color="auto" w:sz="4" w:space="0"/>
              <w:left w:val="single" w:color="auto" w:sz="4" w:space="0"/>
              <w:bottom w:val="single" w:color="auto" w:sz="4" w:space="0"/>
              <w:right w:val="single" w:color="auto" w:sz="4" w:space="0"/>
            </w:tcBorders>
            <w:vAlign w:val="center"/>
          </w:tcPr>
          <w:p w14:paraId="30E012DF">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自2022年1月1日以来，投标人（含其分公司）至投标截止日，投标人被物业行政主管部门评为甲级（类）的得2分；被评为乙级(类)的得1分；本项满分6分。</w:t>
            </w:r>
          </w:p>
          <w:p w14:paraId="7C9D68EC">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注：①投标文件中提供物业主管部门颁发的证明文件或官网公示截图等材料扫描件；信用等级命名不同的，还须提供行业行政主管部门划分信用等级的证明材料扫描件。</w:t>
            </w:r>
          </w:p>
          <w:p w14:paraId="3D0E07A2">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②上述评分项最多提供3个信用评定，按照排列顺序从首个评分项开始评审至对应数量，超出部分不进行评审，不累计计分。有效时间以物业行政主管部门颁发的证明文件时间为准。</w:t>
            </w:r>
          </w:p>
          <w:p w14:paraId="0BB6978F">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③物业信用等级命名如有不同，性质类似均予以认可，如: AAA 级(类)、AA 级 (类)、A 级(类)，一级(类)、二级(类)、三级(类)等。最高等级的以甲级(类)计算，次高等级的按乙级(类)计算。</w:t>
            </w:r>
          </w:p>
        </w:tc>
        <w:tc>
          <w:tcPr>
            <w:tcW w:w="745" w:type="pct"/>
            <w:tcBorders>
              <w:top w:val="single" w:color="auto" w:sz="4" w:space="0"/>
              <w:left w:val="single" w:color="auto" w:sz="4" w:space="0"/>
              <w:bottom w:val="single" w:color="auto" w:sz="4" w:space="0"/>
              <w:right w:val="single" w:color="auto" w:sz="4" w:space="0"/>
            </w:tcBorders>
            <w:vAlign w:val="center"/>
          </w:tcPr>
          <w:p w14:paraId="55BEBD8E">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lang w:val="en-US" w:eastAsia="zh-CN"/>
              </w:rPr>
              <w:t>6分</w:t>
            </w:r>
          </w:p>
        </w:tc>
      </w:tr>
      <w:tr w14:paraId="1EEC3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615C26D1">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35"/>
              <w:jc w:val="center"/>
              <w:textAlignment w:val="auto"/>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11AA3B61">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人员配备</w:t>
            </w:r>
          </w:p>
        </w:tc>
        <w:tc>
          <w:tcPr>
            <w:tcW w:w="2381" w:type="pct"/>
            <w:tcBorders>
              <w:top w:val="single" w:color="auto" w:sz="4" w:space="0"/>
              <w:left w:val="single" w:color="auto" w:sz="4" w:space="0"/>
              <w:bottom w:val="single" w:color="auto" w:sz="4" w:space="0"/>
              <w:right w:val="single" w:color="auto" w:sz="4" w:space="0"/>
            </w:tcBorders>
            <w:vAlign w:val="center"/>
          </w:tcPr>
          <w:p w14:paraId="36C41AC3">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一、项目经理（4分）</w:t>
            </w:r>
          </w:p>
          <w:p w14:paraId="34A5C7C0">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①具有人社部门颁发的中级及以上职称证书的，得2分；</w:t>
            </w:r>
          </w:p>
          <w:p w14:paraId="08F64042">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color w:val="auto"/>
                <w:szCs w:val="20"/>
                <w:highlight w:val="none"/>
                <w:lang w:val="en-US" w:eastAsia="zh-CN"/>
              </w:rPr>
            </w:pPr>
            <w:r>
              <w:rPr>
                <w:rFonts w:hint="eastAsia" w:ascii="宋体" w:hAnsi="宋体" w:eastAsia="宋体" w:cs="宋体"/>
                <w:color w:val="auto"/>
                <w:sz w:val="24"/>
                <w:szCs w:val="24"/>
                <w:highlight w:val="none"/>
                <w:lang w:val="en-US" w:eastAsia="zh-CN"/>
              </w:rPr>
              <w:t>②具有安全生产管理人员证书的，得2分（须附应急管理部门官方网站成绩公示截图）。</w:t>
            </w:r>
          </w:p>
          <w:p w14:paraId="0DAC3CEF">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二、拟为本项目配备的其他人员(不含项目经理)（8分）：</w:t>
            </w:r>
          </w:p>
          <w:p w14:paraId="19E57903">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①具有电梯特种设备安全管理A证的，得2分（须附市场监督管理部门网站查询截图）；</w:t>
            </w:r>
          </w:p>
          <w:p w14:paraId="42DC3172">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②具有四级及以上消防设施操作员或建（构）筑物消防员证书的，得2分（须附技能人才评价证书全国联网查询截图）；</w:t>
            </w:r>
          </w:p>
          <w:p w14:paraId="7442D72D">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③具有应急管理部门颁发（或备案）的特种设备高压证和特种设备低压证书得2分；</w:t>
            </w:r>
          </w:p>
          <w:p w14:paraId="622F27B6">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④具有普通话二级甲等及以上等级证书的，得1分（须附国家普通话水平测试网查询截图）；</w:t>
            </w:r>
          </w:p>
          <w:p w14:paraId="74A1C59A">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⑤具有新媒体（或全媒体）运营师证书的，得1分。</w:t>
            </w:r>
          </w:p>
          <w:p w14:paraId="44A0146D">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注：上述人员不得兼任。</w:t>
            </w:r>
          </w:p>
          <w:p w14:paraId="123FE1E3">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投标文件中同时提供以下证明材料：</w:t>
            </w:r>
          </w:p>
          <w:p w14:paraId="59733A5D">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（1）上述人员名单（格式自拟）；</w:t>
            </w:r>
          </w:p>
          <w:p w14:paraId="56F18457">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（2）上述人员有效身份证（含正反页）、相关证书或证明材料扫描件；</w:t>
            </w:r>
          </w:p>
          <w:p w14:paraId="14FE1356">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（3）上述人员相关证书或证明材料扫描件。</w:t>
            </w:r>
          </w:p>
          <w:p w14:paraId="470F7E71">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上述人员须持有社保部门出具的本单位为其缴纳的投标前近三个月内任意一月的养老保险证明（含官网在线打印件，证明文件两个月内有效）【或投标人（或其分公司）提供已为上述人员缴纳养老保险证明的承诺书（格式自拟）】。</w:t>
            </w:r>
          </w:p>
        </w:tc>
        <w:tc>
          <w:tcPr>
            <w:tcW w:w="745" w:type="pct"/>
            <w:tcBorders>
              <w:top w:val="single" w:color="auto" w:sz="4" w:space="0"/>
              <w:left w:val="single" w:color="auto" w:sz="4" w:space="0"/>
              <w:bottom w:val="single" w:color="auto" w:sz="4" w:space="0"/>
              <w:right w:val="single" w:color="auto" w:sz="4" w:space="0"/>
            </w:tcBorders>
            <w:vAlign w:val="center"/>
          </w:tcPr>
          <w:p w14:paraId="7317E002">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12分</w:t>
            </w:r>
          </w:p>
        </w:tc>
      </w:tr>
      <w:tr w14:paraId="5BAE5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199297B1">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35"/>
              <w:jc w:val="center"/>
              <w:textAlignment w:val="auto"/>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40B4DA26">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6.项目调研</w:t>
            </w:r>
          </w:p>
        </w:tc>
        <w:tc>
          <w:tcPr>
            <w:tcW w:w="2381" w:type="pct"/>
            <w:tcBorders>
              <w:top w:val="single" w:color="auto" w:sz="4" w:space="0"/>
              <w:left w:val="single" w:color="auto" w:sz="4" w:space="0"/>
              <w:bottom w:val="single" w:color="auto" w:sz="4" w:space="0"/>
              <w:right w:val="single" w:color="auto" w:sz="4" w:space="0"/>
            </w:tcBorders>
            <w:vAlign w:val="center"/>
          </w:tcPr>
          <w:p w14:paraId="361F870C">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有关法规、政策、标准及本项目特点，拟提出项目的前期调研和对项目需求的理解程度，管理深度和广度的做法，超前性、创造性、全方位贴心服务的意识，创造优美舒适、安全文明、洁净环境的设想等内容。评标委员会根据供应商提供的以上内容综合评分：</w:t>
            </w:r>
          </w:p>
          <w:p w14:paraId="5ED880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①内容健全周密，完整详细，实施措施完善的得5分；</w:t>
            </w:r>
          </w:p>
          <w:p w14:paraId="5E91C8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②内容完整，有实施措施，符合实际需求的3分；</w:t>
            </w:r>
          </w:p>
          <w:p w14:paraId="06D588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③内容粗糙，条理不清晰，存在不足的得1分。</w:t>
            </w:r>
          </w:p>
          <w:p w14:paraId="6198AE31">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④未提供不得分。</w:t>
            </w:r>
          </w:p>
        </w:tc>
        <w:tc>
          <w:tcPr>
            <w:tcW w:w="745" w:type="pct"/>
            <w:tcBorders>
              <w:top w:val="single" w:color="auto" w:sz="4" w:space="0"/>
              <w:left w:val="single" w:color="auto" w:sz="4" w:space="0"/>
              <w:bottom w:val="single" w:color="auto" w:sz="4" w:space="0"/>
              <w:right w:val="single" w:color="auto" w:sz="4" w:space="0"/>
            </w:tcBorders>
            <w:vAlign w:val="center"/>
          </w:tcPr>
          <w:p w14:paraId="0F0A717F">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0-5分</w:t>
            </w:r>
          </w:p>
        </w:tc>
      </w:tr>
      <w:tr w14:paraId="319F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7532C3D4">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35"/>
              <w:jc w:val="center"/>
              <w:textAlignment w:val="auto"/>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5F8B35C9">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7.运行管理方案</w:t>
            </w:r>
          </w:p>
          <w:p w14:paraId="016925DF">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eastAsia" w:ascii="宋体" w:hAnsi="宋体" w:eastAsia="宋体" w:cs="宋体"/>
                <w:color w:val="auto"/>
                <w:sz w:val="24"/>
                <w:szCs w:val="24"/>
                <w:highlight w:val="none"/>
                <w:lang w:val="en-US" w:eastAsia="zh-CN"/>
              </w:rPr>
            </w:pPr>
          </w:p>
        </w:tc>
        <w:tc>
          <w:tcPr>
            <w:tcW w:w="2381" w:type="pct"/>
            <w:tcBorders>
              <w:top w:val="single" w:color="auto" w:sz="4" w:space="0"/>
              <w:left w:val="single" w:color="auto" w:sz="4" w:space="0"/>
              <w:bottom w:val="single" w:color="auto" w:sz="4" w:space="0"/>
              <w:right w:val="single" w:color="auto" w:sz="4" w:space="0"/>
            </w:tcBorders>
            <w:vAlign w:val="center"/>
          </w:tcPr>
          <w:p w14:paraId="40750D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根据投标人针对本项目的运行团队组织架构、岗位职责、招聘培训、考察学习、绩效考核等方案进行综合评分：</w:t>
            </w:r>
          </w:p>
          <w:p w14:paraId="568EC2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 xml:space="preserve">①方案周密、详尽、保障措施完善，贴合科技馆实际运行状况，充分考虑人员分配、充分考虑日常工作安排实施方案等因素的得5分； </w:t>
            </w:r>
          </w:p>
          <w:p w14:paraId="2E4D6B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②方案简单可行，方案及保障措施合理的得3分；</w:t>
            </w:r>
          </w:p>
          <w:p w14:paraId="23EFAA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③方案粗糙存在不足，方案及保障措施不满足实际工作的得1分；</w:t>
            </w:r>
          </w:p>
          <w:p w14:paraId="072DC8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④未提供的不得分。</w:t>
            </w:r>
          </w:p>
        </w:tc>
        <w:tc>
          <w:tcPr>
            <w:tcW w:w="745" w:type="pct"/>
            <w:tcBorders>
              <w:top w:val="single" w:color="auto" w:sz="4" w:space="0"/>
              <w:left w:val="single" w:color="auto" w:sz="4" w:space="0"/>
              <w:bottom w:val="single" w:color="auto" w:sz="4" w:space="0"/>
              <w:right w:val="single" w:color="auto" w:sz="4" w:space="0"/>
            </w:tcBorders>
            <w:vAlign w:val="center"/>
          </w:tcPr>
          <w:p w14:paraId="134F60ED">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0-5分</w:t>
            </w:r>
          </w:p>
        </w:tc>
      </w:tr>
      <w:tr w14:paraId="4B231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0824005A">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35"/>
              <w:jc w:val="center"/>
              <w:textAlignment w:val="auto"/>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0BA05867">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8.展厅服务方案</w:t>
            </w:r>
          </w:p>
        </w:tc>
        <w:tc>
          <w:tcPr>
            <w:tcW w:w="2381" w:type="pct"/>
            <w:tcBorders>
              <w:top w:val="single" w:color="auto" w:sz="4" w:space="0"/>
              <w:left w:val="single" w:color="auto" w:sz="4" w:space="0"/>
              <w:bottom w:val="single" w:color="auto" w:sz="4" w:space="0"/>
              <w:right w:val="single" w:color="auto" w:sz="4" w:space="0"/>
            </w:tcBorders>
            <w:vAlign w:val="center"/>
          </w:tcPr>
          <w:p w14:paraId="50F518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①对展厅辅助人员的招聘、培训、考核和激励有成熟的体系。需具备良好的科学素养、沟通能力和临场应变能力，有详细的持续培训计划的，得5分；</w:t>
            </w:r>
          </w:p>
          <w:p w14:paraId="2DCC66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②服务方案完整，覆盖了主要服务环节，但在细节和个性化服务上考虑不足的，得3分；</w:t>
            </w:r>
          </w:p>
          <w:p w14:paraId="58EF06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③仅提出基础性的服务内容，缺乏深度和体系的得1分；</w:t>
            </w:r>
          </w:p>
          <w:p w14:paraId="4B2C5C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④未提供的不得分。</w:t>
            </w:r>
          </w:p>
        </w:tc>
        <w:tc>
          <w:tcPr>
            <w:tcW w:w="745" w:type="pct"/>
            <w:tcBorders>
              <w:top w:val="single" w:color="auto" w:sz="4" w:space="0"/>
              <w:left w:val="single" w:color="auto" w:sz="4" w:space="0"/>
              <w:bottom w:val="single" w:color="auto" w:sz="4" w:space="0"/>
              <w:right w:val="single" w:color="auto" w:sz="4" w:space="0"/>
            </w:tcBorders>
            <w:vAlign w:val="center"/>
          </w:tcPr>
          <w:p w14:paraId="7F43DADA">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0-5分</w:t>
            </w:r>
          </w:p>
        </w:tc>
      </w:tr>
      <w:tr w14:paraId="45888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31B7A949">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35"/>
              <w:jc w:val="center"/>
              <w:textAlignment w:val="auto"/>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6DAA88AB">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9.展品维护方案</w:t>
            </w:r>
          </w:p>
        </w:tc>
        <w:tc>
          <w:tcPr>
            <w:tcW w:w="2381" w:type="pct"/>
            <w:tcBorders>
              <w:top w:val="single" w:color="auto" w:sz="4" w:space="0"/>
              <w:left w:val="single" w:color="auto" w:sz="4" w:space="0"/>
              <w:bottom w:val="single" w:color="auto" w:sz="4" w:space="0"/>
              <w:right w:val="single" w:color="auto" w:sz="4" w:space="0"/>
            </w:tcBorders>
            <w:vAlign w:val="center"/>
          </w:tcPr>
          <w:p w14:paraId="3AF5F19C">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不仅提出常规的保洁、安保、工程维修方案，更能针对科技馆大量精密互动展品的特点，提出前瞻性的、制度化的预防性维护保养计划。对展品故障有快速响应和修复机制，并备有关键备件预案的，得5分；</w:t>
            </w:r>
          </w:p>
          <w:p w14:paraId="6839CF04">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②设施和展品维护方案完整，但预防性维护和快速响应机制不够突出的，得3分；</w:t>
            </w:r>
          </w:p>
          <w:p w14:paraId="207B955B">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③以被动维修和基础保洁安保为主，对展品特殊性考虑不足的，得1分；</w:t>
            </w:r>
          </w:p>
          <w:p w14:paraId="7A692854">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④未提供的不得分。</w:t>
            </w:r>
          </w:p>
        </w:tc>
        <w:tc>
          <w:tcPr>
            <w:tcW w:w="745" w:type="pct"/>
            <w:tcBorders>
              <w:top w:val="single" w:color="auto" w:sz="4" w:space="0"/>
              <w:left w:val="single" w:color="auto" w:sz="4" w:space="0"/>
              <w:bottom w:val="single" w:color="auto" w:sz="4" w:space="0"/>
              <w:right w:val="single" w:color="auto" w:sz="4" w:space="0"/>
            </w:tcBorders>
            <w:vAlign w:val="center"/>
          </w:tcPr>
          <w:p w14:paraId="316F4E52">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0-5分</w:t>
            </w:r>
          </w:p>
        </w:tc>
      </w:tr>
      <w:tr w14:paraId="7EAAC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3275C79C">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35"/>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10</w:t>
            </w:r>
          </w:p>
        </w:tc>
        <w:tc>
          <w:tcPr>
            <w:tcW w:w="1009" w:type="pct"/>
            <w:tcBorders>
              <w:top w:val="single" w:color="auto" w:sz="4" w:space="0"/>
              <w:left w:val="single" w:color="auto" w:sz="4" w:space="0"/>
              <w:bottom w:val="single" w:color="auto" w:sz="4" w:space="0"/>
              <w:right w:val="single" w:color="auto" w:sz="4" w:space="0"/>
            </w:tcBorders>
            <w:vAlign w:val="center"/>
          </w:tcPr>
          <w:p w14:paraId="376D4539">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10.综合协调方案</w:t>
            </w:r>
          </w:p>
        </w:tc>
        <w:tc>
          <w:tcPr>
            <w:tcW w:w="2381" w:type="pct"/>
            <w:tcBorders>
              <w:top w:val="single" w:color="auto" w:sz="4" w:space="0"/>
              <w:left w:val="single" w:color="auto" w:sz="4" w:space="0"/>
              <w:bottom w:val="single" w:color="auto" w:sz="4" w:space="0"/>
              <w:right w:val="single" w:color="auto" w:sz="4" w:space="0"/>
            </w:tcBorders>
            <w:vAlign w:val="center"/>
          </w:tcPr>
          <w:p w14:paraId="07552990">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针对本项目的实际情况制定的综合协调方案，充分考虑服务范围内复杂的各 </w:t>
            </w:r>
          </w:p>
          <w:p w14:paraId="3D4E52C9">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类人群关系，如工作人员、来往市民、幼儿儿童等，评标委员会根据投标人提供的以上内容综合评分： </w:t>
            </w:r>
          </w:p>
          <w:p w14:paraId="2F3726D0">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①内容健全周密，实施措施完整，针对各类情形的综合协调有明确的措施方 </w:t>
            </w:r>
          </w:p>
          <w:p w14:paraId="654ECDFA">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案，内容与采购需求结合紧密的得5分； </w:t>
            </w:r>
          </w:p>
          <w:p w14:paraId="1A7953CF">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②内容完整，符合实际需求的得3分； </w:t>
            </w:r>
          </w:p>
          <w:p w14:paraId="004D9C03">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③方案编制内容缺失、实施流程混乱、存在前后不一致或与本项目无关的内容的得1分； </w:t>
            </w:r>
          </w:p>
          <w:p w14:paraId="589AF3AC">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④未提供不得分。</w:t>
            </w:r>
          </w:p>
        </w:tc>
        <w:tc>
          <w:tcPr>
            <w:tcW w:w="745" w:type="pct"/>
            <w:tcBorders>
              <w:top w:val="single" w:color="auto" w:sz="4" w:space="0"/>
              <w:left w:val="single" w:color="auto" w:sz="4" w:space="0"/>
              <w:bottom w:val="single" w:color="auto" w:sz="4" w:space="0"/>
              <w:right w:val="single" w:color="auto" w:sz="4" w:space="0"/>
            </w:tcBorders>
            <w:vAlign w:val="center"/>
          </w:tcPr>
          <w:p w14:paraId="500B25EE">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0-5分</w:t>
            </w:r>
          </w:p>
        </w:tc>
      </w:tr>
      <w:tr w14:paraId="28291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7D349BC6">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35"/>
              <w:jc w:val="center"/>
              <w:textAlignment w:val="auto"/>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5ABE26D7">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11.安全措施方案</w:t>
            </w:r>
          </w:p>
        </w:tc>
        <w:tc>
          <w:tcPr>
            <w:tcW w:w="2381" w:type="pct"/>
            <w:tcBorders>
              <w:top w:val="single" w:color="auto" w:sz="4" w:space="0"/>
              <w:left w:val="single" w:color="auto" w:sz="4" w:space="0"/>
              <w:bottom w:val="single" w:color="auto" w:sz="4" w:space="0"/>
              <w:right w:val="single" w:color="auto" w:sz="4" w:space="0"/>
            </w:tcBorders>
            <w:vAlign w:val="center"/>
          </w:tcPr>
          <w:p w14:paraId="0B2325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①能全面识别运行中可能出现的各类风险（如客流不及预期、重大安全事故、展品大面积故障、公众投诉危机等），并针对每类风险提出了具体、有效的规避、转移和应对措施的，得5分；</w:t>
            </w:r>
          </w:p>
          <w:p w14:paraId="4F321D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②能识别主要风险，应对措施常规可行的，得3分；</w:t>
            </w:r>
          </w:p>
          <w:p w14:paraId="2885CF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③风险识别不全，应对措施空泛的，得1分；</w:t>
            </w:r>
          </w:p>
          <w:p w14:paraId="607552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④未提供的，不得分。</w:t>
            </w:r>
          </w:p>
        </w:tc>
        <w:tc>
          <w:tcPr>
            <w:tcW w:w="745" w:type="pct"/>
            <w:tcBorders>
              <w:top w:val="single" w:color="auto" w:sz="4" w:space="0"/>
              <w:left w:val="single" w:color="auto" w:sz="4" w:space="0"/>
              <w:bottom w:val="single" w:color="auto" w:sz="4" w:space="0"/>
              <w:right w:val="single" w:color="auto" w:sz="4" w:space="0"/>
            </w:tcBorders>
            <w:vAlign w:val="center"/>
          </w:tcPr>
          <w:p w14:paraId="1597A293">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0-5分</w:t>
            </w:r>
          </w:p>
        </w:tc>
      </w:tr>
      <w:tr w14:paraId="2C3FF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52208BDB">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35"/>
              <w:jc w:val="center"/>
              <w:textAlignment w:val="auto"/>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01ACB01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textAlignment w:val="auto"/>
              <w:rPr>
                <w:rFonts w:hint="eastAsia" w:cs="@仿宋_GB2312" w:asciiTheme="minorEastAsia" w:hAnsiTheme="minorEastAsia" w:eastAsiaTheme="minorEastAsia"/>
                <w:color w:val="auto"/>
                <w:kern w:val="2"/>
                <w:sz w:val="24"/>
                <w:szCs w:val="20"/>
                <w:highlight w:val="none"/>
                <w:lang w:val="en-US" w:eastAsia="zh-CN" w:bidi="ar-SA"/>
              </w:rPr>
            </w:pPr>
            <w:r>
              <w:rPr>
                <w:rFonts w:hint="eastAsia" w:ascii="宋体" w:hAnsi="宋体" w:eastAsia="宋体" w:cs="宋体"/>
                <w:color w:val="auto"/>
                <w:kern w:val="0"/>
                <w:sz w:val="24"/>
                <w:szCs w:val="24"/>
                <w:highlight w:val="none"/>
                <w:lang w:val="en-US" w:eastAsia="zh-CN" w:bidi="ar"/>
              </w:rPr>
              <w:t>12.设施设备报修维修方案</w:t>
            </w:r>
          </w:p>
        </w:tc>
        <w:tc>
          <w:tcPr>
            <w:tcW w:w="2381" w:type="pct"/>
            <w:tcBorders>
              <w:top w:val="single" w:color="auto" w:sz="4" w:space="0"/>
              <w:left w:val="single" w:color="auto" w:sz="4" w:space="0"/>
              <w:bottom w:val="single" w:color="auto" w:sz="4" w:space="0"/>
              <w:right w:val="single" w:color="auto" w:sz="4" w:space="0"/>
            </w:tcBorders>
            <w:shd w:val="clear" w:color="auto" w:fill="auto"/>
            <w:vAlign w:val="center"/>
          </w:tcPr>
          <w:p w14:paraId="5A9F3D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根据投标人提供的设施设备报修维修方案，包括保修完成时限、维修质量、主动巡查主动维修进行综合评分：</w:t>
            </w:r>
          </w:p>
          <w:p w14:paraId="3798FD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①设施设备报修、维修方案详尽，有利于项目顺利实施的得5分；</w:t>
            </w:r>
          </w:p>
          <w:p w14:paraId="6DEDDE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 xml:space="preserve">②设施设备报修、维修方案符合项目需求的得3分； </w:t>
            </w:r>
          </w:p>
          <w:p w14:paraId="080F9F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③设施设备报修、维修方案，需进一步提升完善的得1分；</w:t>
            </w:r>
          </w:p>
          <w:p w14:paraId="3D896E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cs="@仿宋_GB2312" w:asciiTheme="minorEastAsia" w:hAnsiTheme="minorEastAsia" w:eastAsiaTheme="minorEastAsia"/>
                <w:color w:val="auto"/>
                <w:kern w:val="2"/>
                <w:sz w:val="24"/>
                <w:szCs w:val="20"/>
                <w:highlight w:val="none"/>
                <w:lang w:val="en-US" w:eastAsia="zh-CN" w:bidi="ar-SA"/>
              </w:rPr>
            </w:pPr>
            <w:r>
              <w:rPr>
                <w:rFonts w:hint="eastAsia" w:asciiTheme="minorEastAsia" w:hAnsiTheme="minorEastAsia" w:eastAsiaTheme="minorEastAsia"/>
                <w:color w:val="auto"/>
                <w:sz w:val="24"/>
                <w:szCs w:val="20"/>
                <w:highlight w:val="none"/>
                <w:lang w:val="en-US" w:eastAsia="zh-CN"/>
              </w:rPr>
              <w:t>④未提供方案的不得分。</w:t>
            </w:r>
          </w:p>
        </w:tc>
        <w:tc>
          <w:tcPr>
            <w:tcW w:w="745" w:type="pct"/>
            <w:tcBorders>
              <w:top w:val="single" w:color="auto" w:sz="4" w:space="0"/>
              <w:left w:val="single" w:color="auto" w:sz="4" w:space="0"/>
              <w:bottom w:val="single" w:color="auto" w:sz="4" w:space="0"/>
              <w:right w:val="single" w:color="auto" w:sz="4" w:space="0"/>
            </w:tcBorders>
            <w:vAlign w:val="center"/>
          </w:tcPr>
          <w:p w14:paraId="34823C22">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0-5分</w:t>
            </w:r>
          </w:p>
        </w:tc>
      </w:tr>
      <w:tr w14:paraId="75093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2470EEA2">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35"/>
              <w:jc w:val="center"/>
              <w:textAlignment w:val="auto"/>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45305C8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13.运行成本分析</w:t>
            </w:r>
          </w:p>
        </w:tc>
        <w:tc>
          <w:tcPr>
            <w:tcW w:w="2381" w:type="pct"/>
            <w:tcBorders>
              <w:top w:val="single" w:color="auto" w:sz="4" w:space="0"/>
              <w:left w:val="single" w:color="auto" w:sz="4" w:space="0"/>
              <w:bottom w:val="single" w:color="auto" w:sz="4" w:space="0"/>
              <w:right w:val="single" w:color="auto" w:sz="4" w:space="0"/>
            </w:tcBorders>
            <w:shd w:val="clear" w:color="auto" w:fill="auto"/>
            <w:vAlign w:val="center"/>
          </w:tcPr>
          <w:p w14:paraId="6F15C9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根据投标人对运行科技馆的运行费用分析、费用投入、费用组成、财务测算等方面进行综合评分：</w:t>
            </w:r>
          </w:p>
          <w:p w14:paraId="4BD61D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①分析的完整、正确、可实施的得5分；</w:t>
            </w:r>
          </w:p>
          <w:p w14:paraId="10D7FA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②分析合理的得3分；</w:t>
            </w:r>
          </w:p>
          <w:p w14:paraId="5BFCEA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③分析不合理的得1分；</w:t>
            </w:r>
          </w:p>
          <w:p w14:paraId="027F9F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④未提供的不得分。</w:t>
            </w:r>
          </w:p>
        </w:tc>
        <w:tc>
          <w:tcPr>
            <w:tcW w:w="745" w:type="pct"/>
            <w:tcBorders>
              <w:top w:val="single" w:color="auto" w:sz="4" w:space="0"/>
              <w:left w:val="single" w:color="auto" w:sz="4" w:space="0"/>
              <w:bottom w:val="single" w:color="auto" w:sz="4" w:space="0"/>
              <w:right w:val="single" w:color="auto" w:sz="4" w:space="0"/>
            </w:tcBorders>
            <w:vAlign w:val="center"/>
          </w:tcPr>
          <w:p w14:paraId="4EAB1EAA">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0-5分</w:t>
            </w:r>
          </w:p>
        </w:tc>
      </w:tr>
      <w:tr w14:paraId="70439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2EC892B6">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35"/>
              <w:jc w:val="center"/>
              <w:textAlignment w:val="auto"/>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7F4750C7">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14.应急处理预案</w:t>
            </w:r>
          </w:p>
        </w:tc>
        <w:tc>
          <w:tcPr>
            <w:tcW w:w="2381" w:type="pct"/>
            <w:tcBorders>
              <w:top w:val="single" w:color="auto" w:sz="4" w:space="0"/>
              <w:left w:val="single" w:color="auto" w:sz="4" w:space="0"/>
              <w:bottom w:val="single" w:color="auto" w:sz="4" w:space="0"/>
              <w:right w:val="single" w:color="auto" w:sz="4" w:space="0"/>
            </w:tcBorders>
            <w:vAlign w:val="center"/>
          </w:tcPr>
          <w:p w14:paraId="54A314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①应急预案体系完整，覆盖消防、治安、公共卫生、突发事件（如停电、设备伤人）、大型活动人群管控等。方案流程清晰，责任到人，并承诺定期组织全员演练和培训，有详细的与馆方、消防、公安的联动机制的，得5分；</w:t>
            </w:r>
          </w:p>
          <w:p w14:paraId="318A44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②应急预案合理，但细节和演练计划不够具体，得3分；</w:t>
            </w:r>
          </w:p>
          <w:p w14:paraId="4A9B1F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③有简单的安全规定，但未形成系统、可行的应急预案的，得1分；</w:t>
            </w:r>
          </w:p>
          <w:p w14:paraId="42800F69">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④未提供不得分。</w:t>
            </w:r>
          </w:p>
        </w:tc>
        <w:tc>
          <w:tcPr>
            <w:tcW w:w="745" w:type="pct"/>
            <w:tcBorders>
              <w:top w:val="single" w:color="auto" w:sz="4" w:space="0"/>
              <w:left w:val="single" w:color="auto" w:sz="4" w:space="0"/>
              <w:bottom w:val="single" w:color="auto" w:sz="4" w:space="0"/>
              <w:right w:val="single" w:color="auto" w:sz="4" w:space="0"/>
            </w:tcBorders>
            <w:vAlign w:val="center"/>
          </w:tcPr>
          <w:p w14:paraId="2DAB5504">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0-5分</w:t>
            </w:r>
          </w:p>
        </w:tc>
      </w:tr>
      <w:tr w14:paraId="583E3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11C921B8">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35"/>
              <w:jc w:val="center"/>
              <w:textAlignment w:val="auto"/>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560B41B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15.投入的物</w:t>
            </w:r>
          </w:p>
          <w:p w14:paraId="0859FD2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eastAsiaTheme="minorEastAsia"/>
                <w:color w:val="auto"/>
                <w:sz w:val="24"/>
                <w:szCs w:val="20"/>
                <w:highlight w:val="none"/>
                <w:lang w:val="en-US" w:eastAsia="zh-CN"/>
              </w:rPr>
              <w:t>资装备方案</w:t>
            </w:r>
          </w:p>
        </w:tc>
        <w:tc>
          <w:tcPr>
            <w:tcW w:w="2381" w:type="pct"/>
            <w:tcBorders>
              <w:top w:val="single" w:color="auto" w:sz="4" w:space="0"/>
              <w:left w:val="single" w:color="auto" w:sz="4" w:space="0"/>
              <w:bottom w:val="single" w:color="auto" w:sz="4" w:space="0"/>
              <w:right w:val="single" w:color="auto" w:sz="4" w:space="0"/>
            </w:tcBorders>
            <w:shd w:val="clear" w:color="auto" w:fill="auto"/>
            <w:vAlign w:val="center"/>
          </w:tcPr>
          <w:p w14:paraId="3CAD95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 xml:space="preserve">投入的物资装备方包括但不限于投入的工具设备（机械化清扫保洁设备、集中洗涤消毒设备、疏通机、小型维修工具等）、耗材、物料、通讯、办公用品等进行综合评分： </w:t>
            </w:r>
          </w:p>
          <w:p w14:paraId="6C0BC9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 xml:space="preserve">①投标人投入的物资装备、设备配备齐全、先进、可靠，能很好的完成各项物业管理工作，充分满足项目需求，切实可行的得5分； </w:t>
            </w:r>
          </w:p>
          <w:p w14:paraId="1E2498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 xml:space="preserve">②投标人投入的物资装备、设备配备齐全、可靠，能够完成各项物业管理，满足项目需求实际的3分； </w:t>
            </w:r>
          </w:p>
          <w:p w14:paraId="2A5235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default"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③投标人投入的物资装备、设备配备简单，仅能满足项目使用的得1分；</w:t>
            </w:r>
          </w:p>
          <w:p w14:paraId="621A67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eastAsiaTheme="minorEastAsia"/>
                <w:color w:val="auto"/>
                <w:sz w:val="24"/>
                <w:szCs w:val="20"/>
                <w:highlight w:val="none"/>
                <w:lang w:val="en-US" w:eastAsia="zh-CN"/>
              </w:rPr>
              <w:t>④未提供相关内容的不得分。</w:t>
            </w:r>
          </w:p>
        </w:tc>
        <w:tc>
          <w:tcPr>
            <w:tcW w:w="745" w:type="pct"/>
            <w:tcBorders>
              <w:top w:val="single" w:color="auto" w:sz="4" w:space="0"/>
              <w:left w:val="single" w:color="auto" w:sz="4" w:space="0"/>
              <w:bottom w:val="single" w:color="auto" w:sz="4" w:space="0"/>
              <w:right w:val="single" w:color="auto" w:sz="4" w:space="0"/>
            </w:tcBorders>
            <w:vAlign w:val="center"/>
          </w:tcPr>
          <w:p w14:paraId="762F5D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val="0"/>
                <w:bCs w:val="0"/>
                <w:color w:val="auto"/>
                <w:sz w:val="24"/>
                <w:szCs w:val="20"/>
                <w:highlight w:val="none"/>
                <w:lang w:val="en-US" w:eastAsia="zh-CN"/>
              </w:rPr>
              <w:t>0-5分</w:t>
            </w:r>
          </w:p>
        </w:tc>
      </w:tr>
      <w:tr w14:paraId="17F6F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66A30466">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35"/>
              <w:jc w:val="center"/>
              <w:textAlignment w:val="auto"/>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12CE49B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16.增值服务</w:t>
            </w:r>
          </w:p>
        </w:tc>
        <w:tc>
          <w:tcPr>
            <w:tcW w:w="2381" w:type="pct"/>
            <w:tcBorders>
              <w:top w:val="single" w:color="auto" w:sz="4" w:space="0"/>
              <w:left w:val="single" w:color="auto" w:sz="4" w:space="0"/>
              <w:bottom w:val="single" w:color="auto" w:sz="4" w:space="0"/>
              <w:right w:val="single" w:color="auto" w:sz="4" w:space="0"/>
            </w:tcBorders>
            <w:shd w:val="clear" w:color="auto" w:fill="auto"/>
            <w:vAlign w:val="center"/>
          </w:tcPr>
          <w:p w14:paraId="0C3545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根据本项目特点，为进一步提升服务质量，投标人除满足招标文件要求的服务需求以外提供增值服务内容:</w:t>
            </w:r>
          </w:p>
          <w:p w14:paraId="5E058E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①内容覆盖全面、要点突出、完整详实，表述清晰，利于项目实施的得4分；</w:t>
            </w:r>
          </w:p>
          <w:p w14:paraId="793FA4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②与本项目实际需求适应度高，便于实施的得3分；</w:t>
            </w:r>
          </w:p>
          <w:p w14:paraId="048595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③内容覆盖不够全面，要点不突出，具体细节有待完善的得1分；</w:t>
            </w:r>
          </w:p>
          <w:p w14:paraId="6C70DE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④差的或未提供相关内容的不得分。</w:t>
            </w:r>
          </w:p>
        </w:tc>
        <w:tc>
          <w:tcPr>
            <w:tcW w:w="745" w:type="pct"/>
            <w:tcBorders>
              <w:top w:val="single" w:color="auto" w:sz="4" w:space="0"/>
              <w:left w:val="single" w:color="auto" w:sz="4" w:space="0"/>
              <w:bottom w:val="single" w:color="auto" w:sz="4" w:space="0"/>
              <w:right w:val="single" w:color="auto" w:sz="4" w:space="0"/>
            </w:tcBorders>
            <w:vAlign w:val="center"/>
          </w:tcPr>
          <w:p w14:paraId="7D40AA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0-4分</w:t>
            </w:r>
          </w:p>
        </w:tc>
      </w:tr>
      <w:tr w14:paraId="196C2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3860E690">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35"/>
              <w:jc w:val="center"/>
              <w:textAlignment w:val="auto"/>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37DEC82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17.制度建设</w:t>
            </w:r>
          </w:p>
        </w:tc>
        <w:tc>
          <w:tcPr>
            <w:tcW w:w="2381" w:type="pct"/>
            <w:tcBorders>
              <w:top w:val="single" w:color="auto" w:sz="4" w:space="0"/>
              <w:left w:val="single" w:color="auto" w:sz="4" w:space="0"/>
              <w:bottom w:val="single" w:color="auto" w:sz="4" w:space="0"/>
              <w:right w:val="single" w:color="auto" w:sz="4" w:space="0"/>
            </w:tcBorders>
            <w:shd w:val="clear" w:color="auto" w:fill="auto"/>
            <w:vAlign w:val="center"/>
          </w:tcPr>
          <w:p w14:paraId="6193487E">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根据投标人针对本项目的人员管理、展项管理、参观接待流程、安全管理、展品展项维保等制度方案进行综合评分： </w:t>
            </w:r>
          </w:p>
          <w:p w14:paraId="28255279">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①方案完整详细、可行实用的得3分； </w:t>
            </w:r>
          </w:p>
          <w:p w14:paraId="4320DA04">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②方案适合本项目采购需求得2分； </w:t>
            </w:r>
          </w:p>
          <w:p w14:paraId="36E059EE">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③方案满足项目要求但有矛盾点或关键点缺失的得1分； </w:t>
            </w:r>
          </w:p>
          <w:p w14:paraId="6333C053">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④</w:t>
            </w:r>
            <w:r>
              <w:rPr>
                <w:rFonts w:hint="eastAsia" w:ascii="宋体" w:hAnsi="宋体" w:eastAsia="宋体" w:cs="宋体"/>
                <w:color w:val="auto"/>
                <w:sz w:val="24"/>
                <w:szCs w:val="24"/>
                <w:highlight w:val="none"/>
                <w:lang w:val="en-US" w:eastAsia="zh-CN"/>
              </w:rPr>
              <w:t>未提供的不得分。</w:t>
            </w:r>
          </w:p>
        </w:tc>
        <w:tc>
          <w:tcPr>
            <w:tcW w:w="745" w:type="pct"/>
            <w:tcBorders>
              <w:top w:val="single" w:color="auto" w:sz="4" w:space="0"/>
              <w:left w:val="single" w:color="auto" w:sz="4" w:space="0"/>
              <w:bottom w:val="single" w:color="auto" w:sz="4" w:space="0"/>
              <w:right w:val="single" w:color="auto" w:sz="4" w:space="0"/>
            </w:tcBorders>
            <w:vAlign w:val="center"/>
          </w:tcPr>
          <w:p w14:paraId="2FE226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0-3分</w:t>
            </w:r>
          </w:p>
        </w:tc>
      </w:tr>
      <w:tr w14:paraId="7D723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left w:val="single" w:color="auto" w:sz="4" w:space="0"/>
              <w:right w:val="single" w:color="auto" w:sz="4" w:space="0"/>
            </w:tcBorders>
            <w:vAlign w:val="center"/>
          </w:tcPr>
          <w:p w14:paraId="3FD485E2">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w:t>
            </w:r>
          </w:p>
          <w:p w14:paraId="5C700398">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17</w:t>
            </w:r>
            <w:r>
              <w:rPr>
                <w:rFonts w:hint="eastAsia" w:ascii="宋体" w:hAnsi="宋体" w:eastAsia="宋体" w:cs="宋体"/>
                <w:color w:val="auto"/>
                <w:sz w:val="24"/>
                <w:szCs w:val="24"/>
                <w:highlight w:val="none"/>
              </w:rPr>
              <w:t>分）</w:t>
            </w:r>
          </w:p>
        </w:tc>
        <w:tc>
          <w:tcPr>
            <w:tcW w:w="7476" w:type="dxa"/>
            <w:gridSpan w:val="3"/>
            <w:tcBorders>
              <w:top w:val="single" w:color="auto" w:sz="4" w:space="0"/>
              <w:left w:val="single" w:color="auto" w:sz="4" w:space="0"/>
              <w:bottom w:val="single" w:color="auto" w:sz="4" w:space="0"/>
              <w:right w:val="single" w:color="auto" w:sz="4" w:space="0"/>
            </w:tcBorders>
            <w:vAlign w:val="center"/>
          </w:tcPr>
          <w:p w14:paraId="024B465D">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价格分统一采用低价优先法，即满足招标文件要求且投标价格最低的投标报价为评标基准价，其价格分为满分</w:t>
            </w:r>
            <w:r>
              <w:rPr>
                <w:rFonts w:hint="eastAsia" w:ascii="宋体" w:hAnsi="宋体" w:eastAsia="宋体" w:cs="宋体"/>
                <w:color w:val="auto"/>
                <w:sz w:val="24"/>
                <w:szCs w:val="24"/>
                <w:highlight w:val="none"/>
                <w:u w:val="single"/>
                <w:lang w:val="en-US" w:eastAsia="zh-CN"/>
              </w:rPr>
              <w:t>17</w:t>
            </w:r>
            <w:r>
              <w:rPr>
                <w:rFonts w:hint="eastAsia" w:ascii="宋体" w:hAnsi="宋体" w:eastAsia="宋体" w:cs="宋体"/>
                <w:color w:val="auto"/>
                <w:sz w:val="24"/>
                <w:szCs w:val="24"/>
                <w:highlight w:val="none"/>
              </w:rPr>
              <w:t>分。其他投标人的价格分统一按照下列公式计算：</w:t>
            </w:r>
          </w:p>
          <w:p w14:paraId="1E0F7909">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投标报价得分＝（评标基准价/投标报价）×</w:t>
            </w:r>
            <w:r>
              <w:rPr>
                <w:rFonts w:hint="eastAsia" w:ascii="宋体" w:hAnsi="宋体" w:eastAsia="宋体" w:cs="宋体"/>
                <w:color w:val="auto"/>
                <w:sz w:val="24"/>
                <w:szCs w:val="24"/>
                <w:highlight w:val="none"/>
                <w:u w:val="single"/>
                <w:lang w:val="en-US" w:eastAsia="zh-CN"/>
              </w:rPr>
              <w:t>17</w:t>
            </w:r>
            <w:r>
              <w:rPr>
                <w:rFonts w:hint="eastAsia" w:ascii="宋体" w:hAnsi="宋体" w:eastAsia="宋体" w:cs="宋体"/>
                <w:color w:val="auto"/>
                <w:sz w:val="24"/>
                <w:szCs w:val="24"/>
                <w:highlight w:val="none"/>
              </w:rPr>
              <w:t>％×100</w:t>
            </w:r>
          </w:p>
        </w:tc>
      </w:tr>
    </w:tbl>
    <w:p w14:paraId="04929C6C">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2.3.3分值汇总</w:t>
      </w:r>
    </w:p>
    <w:p w14:paraId="52831B2E">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（1）评标委员会各成员应当独立对每个有效投标人的投标文件进行评分，并汇总每个投标人的得分。取各位评委评分之平均值，四舍五入保留至小数点后两位数，得到该投标人的技术资信分。</w:t>
      </w:r>
    </w:p>
    <w:p w14:paraId="7CAF5B0B">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（2）将投标人的技术资信分加上根据上述标准计算出的价格分，即为该投标人的综合总得分。</w:t>
      </w:r>
    </w:p>
    <w:p w14:paraId="3EE13A26">
      <w:pPr>
        <w:spacing w:line="500" w:lineRule="exact"/>
        <w:ind w:firstLine="437"/>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.3.3</w:t>
      </w:r>
      <w:r>
        <w:rPr>
          <w:rFonts w:hint="eastAsia" w:asciiTheme="minorEastAsia" w:hAnsiTheme="minorEastAsia" w:eastAsiaTheme="minorEastAsia"/>
          <w:color w:val="auto"/>
          <w:sz w:val="24"/>
          <w:szCs w:val="24"/>
          <w:highlight w:val="none"/>
        </w:rPr>
        <w:t>分值汇总</w:t>
      </w:r>
    </w:p>
    <w:p w14:paraId="00F211FE">
      <w:pPr>
        <w:spacing w:line="500" w:lineRule="exact"/>
        <w:ind w:firstLine="437"/>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r>
        <w:rPr>
          <w:rFonts w:asciiTheme="minorEastAsia" w:hAnsiTheme="minorEastAsia" w:eastAsiaTheme="minorEastAsia"/>
          <w:color w:val="auto"/>
          <w:sz w:val="24"/>
          <w:szCs w:val="24"/>
          <w:highlight w:val="none"/>
        </w:rPr>
        <w:t>评标委员会各成员应当独立对每个</w:t>
      </w:r>
      <w:r>
        <w:rPr>
          <w:rFonts w:hint="eastAsia" w:asciiTheme="minorEastAsia" w:hAnsiTheme="minorEastAsia" w:eastAsiaTheme="minorEastAsia"/>
          <w:color w:val="auto"/>
          <w:sz w:val="24"/>
          <w:szCs w:val="24"/>
          <w:highlight w:val="none"/>
        </w:rPr>
        <w:t>有效</w:t>
      </w:r>
      <w:r>
        <w:rPr>
          <w:rFonts w:asciiTheme="minorEastAsia" w:hAnsiTheme="minorEastAsia" w:eastAsiaTheme="minorEastAsia"/>
          <w:color w:val="auto"/>
          <w:sz w:val="24"/>
          <w:szCs w:val="24"/>
          <w:highlight w:val="none"/>
        </w:rPr>
        <w:t>投标人的投标文件进行评</w:t>
      </w:r>
      <w:r>
        <w:rPr>
          <w:rFonts w:hint="eastAsia" w:asciiTheme="minorEastAsia" w:hAnsiTheme="minorEastAsia" w:eastAsiaTheme="minorEastAsia"/>
          <w:color w:val="auto"/>
          <w:sz w:val="24"/>
          <w:szCs w:val="24"/>
          <w:highlight w:val="none"/>
        </w:rPr>
        <w:t>分</w:t>
      </w:r>
      <w:r>
        <w:rPr>
          <w:rFonts w:asciiTheme="minorEastAsia" w:hAnsiTheme="minorEastAsia" w:eastAsiaTheme="minorEastAsia"/>
          <w:color w:val="auto"/>
          <w:sz w:val="24"/>
          <w:szCs w:val="24"/>
          <w:highlight w:val="none"/>
        </w:rPr>
        <w:t>，并汇总每个投</w:t>
      </w:r>
      <w:r>
        <w:rPr>
          <w:rFonts w:hint="eastAsia" w:asciiTheme="minorEastAsia" w:hAnsiTheme="minorEastAsia" w:eastAsiaTheme="minorEastAsia"/>
          <w:color w:val="auto"/>
          <w:sz w:val="24"/>
          <w:szCs w:val="24"/>
          <w:highlight w:val="none"/>
        </w:rPr>
        <w:t>标人的得分。取各位评委评分之平均值，四舍五入保留至小数点后两位数，</w:t>
      </w:r>
      <w:r>
        <w:rPr>
          <w:rFonts w:asciiTheme="minorEastAsia" w:hAnsiTheme="minorEastAsia" w:eastAsiaTheme="minorEastAsia"/>
          <w:color w:val="auto"/>
          <w:sz w:val="24"/>
          <w:szCs w:val="24"/>
          <w:highlight w:val="none"/>
        </w:rPr>
        <w:t>得到该投标</w:t>
      </w:r>
      <w:r>
        <w:rPr>
          <w:rFonts w:hint="eastAsia" w:asciiTheme="minorEastAsia" w:hAnsiTheme="minorEastAsia" w:eastAsiaTheme="minorEastAsia"/>
          <w:color w:val="auto"/>
          <w:sz w:val="24"/>
          <w:szCs w:val="24"/>
          <w:highlight w:val="none"/>
        </w:rPr>
        <w:t>人</w:t>
      </w:r>
      <w:r>
        <w:rPr>
          <w:rFonts w:asciiTheme="minorEastAsia" w:hAnsiTheme="minorEastAsia" w:eastAsiaTheme="minorEastAsia"/>
          <w:color w:val="auto"/>
          <w:sz w:val="24"/>
          <w:szCs w:val="24"/>
          <w:highlight w:val="none"/>
        </w:rPr>
        <w:t>的技术资信分</w:t>
      </w:r>
      <w:r>
        <w:rPr>
          <w:rFonts w:hint="eastAsia" w:asciiTheme="minorEastAsia" w:hAnsiTheme="minorEastAsia" w:eastAsiaTheme="minorEastAsia"/>
          <w:color w:val="auto"/>
          <w:sz w:val="24"/>
          <w:szCs w:val="24"/>
          <w:highlight w:val="none"/>
        </w:rPr>
        <w:t>。</w:t>
      </w:r>
    </w:p>
    <w:p w14:paraId="5CBCA9F9">
      <w:pPr>
        <w:spacing w:line="500" w:lineRule="exact"/>
        <w:ind w:firstLine="437"/>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将投标</w:t>
      </w:r>
      <w:r>
        <w:rPr>
          <w:rFonts w:hint="eastAsia" w:asciiTheme="minorEastAsia" w:hAnsiTheme="minorEastAsia" w:eastAsiaTheme="minorEastAsia"/>
          <w:color w:val="auto"/>
          <w:sz w:val="24"/>
          <w:szCs w:val="24"/>
          <w:highlight w:val="none"/>
        </w:rPr>
        <w:t>人</w:t>
      </w:r>
      <w:r>
        <w:rPr>
          <w:rFonts w:asciiTheme="minorEastAsia" w:hAnsiTheme="minorEastAsia" w:eastAsiaTheme="minorEastAsia"/>
          <w:color w:val="auto"/>
          <w:sz w:val="24"/>
          <w:szCs w:val="24"/>
          <w:highlight w:val="none"/>
        </w:rPr>
        <w:t>的技术资信分加上根据上述标准计算出的价格分，即为该投标</w:t>
      </w:r>
      <w:r>
        <w:rPr>
          <w:rFonts w:hint="eastAsia" w:asciiTheme="minorEastAsia" w:hAnsiTheme="minorEastAsia" w:eastAsiaTheme="minorEastAsia"/>
          <w:color w:val="auto"/>
          <w:sz w:val="24"/>
          <w:szCs w:val="24"/>
          <w:highlight w:val="none"/>
        </w:rPr>
        <w:t>人</w:t>
      </w:r>
      <w:r>
        <w:rPr>
          <w:rFonts w:asciiTheme="minorEastAsia" w:hAnsiTheme="minorEastAsia" w:eastAsiaTheme="minorEastAsia"/>
          <w:color w:val="auto"/>
          <w:sz w:val="24"/>
          <w:szCs w:val="24"/>
          <w:highlight w:val="none"/>
        </w:rPr>
        <w:t>的综合总得分。</w:t>
      </w:r>
    </w:p>
    <w:p w14:paraId="0285BEF0">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三、无效投标条款</w:t>
      </w:r>
    </w:p>
    <w:p w14:paraId="141C54A9">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3.1投标文件有下列情形之一的,其投标文件拒收:</w:t>
      </w:r>
    </w:p>
    <w:p w14:paraId="7F8CCD50">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 未在开标截止时间前通过网上招标投标系统递交有效电子投标文件的，开标系统不予接收，投标将被拒绝。</w:t>
      </w:r>
    </w:p>
    <w:p w14:paraId="0493207C">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(2)投标企业接到远程解密指令后，须在规定时间内解密。因投标人自身原因导致投标文件在规定时间内未能解密、解密失败或解密超时，投标文件无效；解密时间：从本项目解密程序开始时计时，至完成投标文件解密时间，不得超过60分钟，否则投标文件将被拒绝。</w:t>
      </w:r>
    </w:p>
    <w:p w14:paraId="6291F7AE">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3.2投标人有下列情形之一的,资格审查后其投标作无效投标处理：</w:t>
      </w:r>
    </w:p>
    <w:p w14:paraId="3D771B30">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(1)投标人为本项目提供招标代理服务的；</w:t>
      </w:r>
    </w:p>
    <w:p w14:paraId="25F7AD35">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(2)投标人与在本项目代理机构存在相互任职或工作的；</w:t>
      </w:r>
    </w:p>
    <w:p w14:paraId="104AFB76">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(3)招标公告写明专门面向中小企业采购，投标人提供的货物非中小企业制造的；</w:t>
      </w:r>
    </w:p>
    <w:p w14:paraId="0F7031AC">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(4)要求供应商以联合体形式参加采购活动，投标人非联合体或者联合协议中中小企业合同金额未达到应当达到的比例；</w:t>
      </w:r>
    </w:p>
    <w:p w14:paraId="01C1F83A">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(5)要求获得采购合同的供应商向中小企业分包，投标人未提供分包意向协议或者分包意向协议中中小企业合同金额未达到应当达到的比例；</w:t>
      </w:r>
    </w:p>
    <w:p w14:paraId="11894A68">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(6)评标专家无法查看并检验电子投标文件中相关资料的；</w:t>
      </w:r>
    </w:p>
    <w:p w14:paraId="1A553B22">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(7)联合体投标未提交联合体协议的；</w:t>
      </w:r>
    </w:p>
    <w:p w14:paraId="4BA07199">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(8)责令停产停业的；</w:t>
      </w:r>
    </w:p>
    <w:p w14:paraId="73392D04">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(9)暂停或者取消参与政府采购项目资格的；</w:t>
      </w:r>
    </w:p>
    <w:p w14:paraId="3E34C875">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(10)投标人单位负责人为同一人或者存在（直接）控股、管理关系的不同单位的；</w:t>
      </w:r>
    </w:p>
    <w:p w14:paraId="513B7EAF">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(11)投标人基本资格条件和特定资格条件中有一项及以上不符合要求的；</w:t>
      </w:r>
    </w:p>
    <w:p w14:paraId="3C0DEAB4">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(12)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767882AE">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(13)其它情形，经评标委员会委提出按无效投标处理，并经公共资源交易监督部门核准的；</w:t>
      </w:r>
    </w:p>
    <w:p w14:paraId="3A73609D">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(14)投标人投标MAC地址或投标人联系人或联系电话相同的，由评标委员会否决其投标，并报告监管部门作不良行为处理和进一步调查；</w:t>
      </w:r>
    </w:p>
    <w:p w14:paraId="5D4F6ABE">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(15)投标人单方面出现其他投标人材料的；</w:t>
      </w:r>
    </w:p>
    <w:p w14:paraId="65F0033A">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(16)招标公告未写明允许采购进口产品，投标人所投产品为进口产品的；</w:t>
      </w:r>
    </w:p>
    <w:p w14:paraId="602AF590">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(17)招标文件规定的其它无效投标情形。</w:t>
      </w:r>
    </w:p>
    <w:p w14:paraId="6171A972">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3.3 投标人有下列情形之一的,符合性审查后其投标按无效投标处理：</w:t>
      </w:r>
    </w:p>
    <w:p w14:paraId="65648CD4">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(1)投标文件签字、盖章不全，经评标委员会一致认定对开评标内容有实质性影响并经公共资源交易监督部门核准的；</w:t>
      </w:r>
    </w:p>
    <w:p w14:paraId="1B7FB9E6">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(2)未按规定的格式填写导致实质性内容不全以及实质上不响应，或者关键字迹模糊、无法辨认; 经公共资源交易监督部门核准的；</w:t>
      </w:r>
    </w:p>
    <w:p w14:paraId="0ACAFD35">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(3)同一投标人提交两个以上不同的投标文件或者投标报价，但招标文件规定提交备选方案的除外；</w:t>
      </w:r>
    </w:p>
    <w:p w14:paraId="3664AF9A">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(4)投标文件没有对招标文件的实质性要求和条件作出响应;</w:t>
      </w:r>
    </w:p>
    <w:p w14:paraId="462E7AE8">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(5)投标报价超出规定的投标限价或公布的采购预算的或投标人的投标报价各项单价高于招标文件给定的单价最高限价；</w:t>
      </w:r>
    </w:p>
    <w:p w14:paraId="4D4E2171">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(6)不按评标委员会要求澄清、说明或补正的，或者评标委员会根据招标文件的规定对投标文件的计算错误进行修正后，投标人不接受修正的投标报价的。</w:t>
      </w:r>
    </w:p>
    <w:p w14:paraId="7F3E4B16">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(7)其它情形，经评标委员会委提出按无效投标处理，并经公共资源交易监督部门核准的；</w:t>
      </w:r>
    </w:p>
    <w:p w14:paraId="0B38FC12">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(8)投标文件含有采购人不能接受的附加条件的；</w:t>
      </w:r>
    </w:p>
    <w:p w14:paraId="41AB4122">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(9)招标文件规定的其它无效投标情形。</w:t>
      </w:r>
    </w:p>
    <w:p w14:paraId="33E1E626">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3.4 投标人有下列情形之一的, 详细评审后其投标按无效投标处理：</w:t>
      </w:r>
    </w:p>
    <w:p w14:paraId="2F522AB9">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(1)投标产品不符合必须强制执行的国家标准的；</w:t>
      </w:r>
    </w:p>
    <w:p w14:paraId="0C727E26">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(2)投标人有串通投标、弄虚作假、行贿等违法行为；</w:t>
      </w:r>
    </w:p>
    <w:p w14:paraId="69D9CB14">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(3)投标文件含有违反国家法律、法规的内容，或附有采购人不能接受的条件的；</w:t>
      </w:r>
    </w:p>
    <w:p w14:paraId="189BDDA1">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(4)报价明显低于其他投标人，且不能证明报价合理性的投标无效；</w:t>
      </w:r>
    </w:p>
    <w:p w14:paraId="4B2E6140">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(5)拒不确认评标委员会评审修正的投标无效；</w:t>
      </w:r>
    </w:p>
    <w:p w14:paraId="5B82DAFA">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(6)其它情形，经评标委员会委提出按无效投标处理，并经公共资源交易监督部门核准的；</w:t>
      </w:r>
    </w:p>
    <w:p w14:paraId="0F23AE24">
      <w:pPr>
        <w:spacing w:line="500" w:lineRule="exact"/>
        <w:ind w:firstLine="437"/>
        <w:jc w:val="left"/>
        <w:rPr>
          <w:rFonts w:asciiTheme="minorEastAsia" w:hAnsiTheme="minorEastAsia" w:eastAsiaTheme="minorEastAsia"/>
          <w:color w:val="auto"/>
          <w:sz w:val="24"/>
          <w:szCs w:val="24"/>
          <w:highlight w:val="none"/>
        </w:rPr>
      </w:pPr>
      <w:r>
        <w:rPr>
          <w:rFonts w:hint="eastAsia" w:ascii="宋体" w:hAnsi="宋体" w:eastAsia="宋体"/>
          <w:color w:val="auto"/>
          <w:sz w:val="24"/>
          <w:highlight w:val="none"/>
        </w:rPr>
        <w:t>(7)招标文件规定的其它无效投标情形。</w:t>
      </w:r>
    </w:p>
    <w:p w14:paraId="0EBD5F12">
      <w:pPr>
        <w:spacing w:line="500" w:lineRule="exact"/>
        <w:ind w:firstLine="437"/>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(6)其它情形，经评标委员会委提出按无效投标处理，并经公共资源交易监督部门核准的；</w:t>
      </w:r>
    </w:p>
    <w:p w14:paraId="72C6C2A0">
      <w:pPr>
        <w:spacing w:line="500" w:lineRule="exact"/>
        <w:ind w:firstLine="437"/>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4"/>
          <w:highlight w:val="none"/>
        </w:rPr>
        <w:t>(7)招标文件规定的其它无效投标情形。</w:t>
      </w:r>
      <w:r>
        <w:rPr>
          <w:rFonts w:asciiTheme="minorEastAsia" w:hAnsiTheme="minorEastAsia" w:eastAsiaTheme="minorEastAsia"/>
          <w:color w:val="auto"/>
          <w:sz w:val="24"/>
          <w:highlight w:val="none"/>
        </w:rPr>
        <w:br w:type="page"/>
      </w:r>
    </w:p>
    <w:p w14:paraId="4D39CB65">
      <w:pPr>
        <w:spacing w:line="360" w:lineRule="auto"/>
        <w:jc w:val="center"/>
        <w:outlineLvl w:val="0"/>
        <w:rPr>
          <w:rFonts w:hint="eastAsia" w:ascii="宋体" w:hAnsi="宋体" w:eastAsia="宋体" w:cs="宋体"/>
          <w:b/>
          <w:color w:val="auto"/>
          <w:sz w:val="28"/>
          <w:highlight w:val="none"/>
        </w:rPr>
      </w:pPr>
      <w:bookmarkStart w:id="70" w:name="_Toc32537"/>
      <w:r>
        <w:rPr>
          <w:rFonts w:hint="eastAsia" w:ascii="宋体" w:hAnsi="宋体" w:eastAsia="宋体" w:cs="宋体"/>
          <w:b/>
          <w:color w:val="auto"/>
          <w:sz w:val="28"/>
          <w:highlight w:val="none"/>
        </w:rPr>
        <w:t>第五章  政府采购合同</w:t>
      </w:r>
      <w:bookmarkEnd w:id="70"/>
    </w:p>
    <w:p w14:paraId="41479CD5">
      <w:pPr>
        <w:widowControl/>
        <w:spacing w:line="400" w:lineRule="exact"/>
        <w:ind w:left="360"/>
        <w:jc w:val="center"/>
        <w:textAlignment w:val="baseline"/>
        <w:outlineLvl w:val="1"/>
        <w:rPr>
          <w:rFonts w:hint="eastAsia" w:ascii="宋体" w:hAnsi="宋体" w:eastAsia="宋体" w:cs="宋体"/>
          <w:b/>
          <w:color w:val="auto"/>
          <w:sz w:val="30"/>
          <w:szCs w:val="30"/>
          <w:highlight w:val="none"/>
        </w:rPr>
      </w:pPr>
    </w:p>
    <w:p w14:paraId="21582B2E">
      <w:pPr>
        <w:widowControl/>
        <w:spacing w:line="400" w:lineRule="exact"/>
        <w:ind w:left="360"/>
        <w:jc w:val="center"/>
        <w:textAlignment w:val="baseline"/>
        <w:outlineLvl w:val="1"/>
        <w:rPr>
          <w:rFonts w:hint="eastAsia" w:ascii="宋体" w:hAnsi="宋体" w:eastAsia="宋体" w:cs="宋体"/>
          <w:b/>
          <w:color w:val="auto"/>
          <w:sz w:val="30"/>
          <w:szCs w:val="30"/>
          <w:highlight w:val="none"/>
        </w:rPr>
      </w:pPr>
    </w:p>
    <w:p w14:paraId="1646A82F">
      <w:pPr>
        <w:widowControl/>
        <w:spacing w:line="400" w:lineRule="exact"/>
        <w:ind w:left="360"/>
        <w:jc w:val="center"/>
        <w:textAlignment w:val="baseline"/>
        <w:outlineLvl w:val="1"/>
        <w:rPr>
          <w:rFonts w:hint="eastAsia" w:ascii="宋体" w:hAnsi="宋体" w:eastAsia="宋体" w:cs="宋体"/>
          <w:b/>
          <w:color w:val="auto"/>
          <w:sz w:val="30"/>
          <w:szCs w:val="30"/>
          <w:highlight w:val="none"/>
        </w:rPr>
      </w:pPr>
    </w:p>
    <w:p w14:paraId="1A69FC18">
      <w:pPr>
        <w:widowControl/>
        <w:spacing w:line="400" w:lineRule="exact"/>
        <w:ind w:left="360"/>
        <w:jc w:val="center"/>
        <w:textAlignment w:val="baseline"/>
        <w:outlineLvl w:val="1"/>
        <w:rPr>
          <w:rFonts w:hint="eastAsia" w:ascii="宋体" w:hAnsi="宋体" w:eastAsia="宋体" w:cs="宋体"/>
          <w:b/>
          <w:color w:val="auto"/>
          <w:sz w:val="30"/>
          <w:szCs w:val="30"/>
          <w:highlight w:val="none"/>
        </w:rPr>
      </w:pPr>
      <w:bookmarkStart w:id="71" w:name="_Toc44"/>
      <w:r>
        <w:rPr>
          <w:rFonts w:hint="eastAsia" w:ascii="宋体" w:hAnsi="宋体" w:eastAsia="宋体" w:cs="宋体"/>
          <w:b/>
          <w:color w:val="auto"/>
          <w:sz w:val="30"/>
          <w:szCs w:val="30"/>
          <w:highlight w:val="none"/>
        </w:rPr>
        <w:t>一</w:t>
      </w:r>
      <w:bookmarkStart w:id="72" w:name="_Toc449028946"/>
      <w:r>
        <w:rPr>
          <w:rFonts w:hint="eastAsia" w:ascii="宋体" w:hAnsi="宋体" w:eastAsia="宋体" w:cs="宋体"/>
          <w:b/>
          <w:color w:val="auto"/>
          <w:sz w:val="30"/>
          <w:szCs w:val="30"/>
          <w:highlight w:val="none"/>
        </w:rPr>
        <w:t>、合同协议书（格式）</w:t>
      </w:r>
      <w:bookmarkEnd w:id="71"/>
      <w:bookmarkEnd w:id="72"/>
    </w:p>
    <w:p w14:paraId="33363D32">
      <w:pPr>
        <w:spacing w:before="120" w:line="480" w:lineRule="auto"/>
        <w:ind w:left="960"/>
        <w:rPr>
          <w:rFonts w:hint="eastAsia" w:ascii="宋体" w:hAnsi="宋体" w:eastAsia="宋体" w:cs="宋体"/>
          <w:color w:val="auto"/>
          <w:sz w:val="24"/>
          <w:highlight w:val="none"/>
        </w:rPr>
      </w:pPr>
    </w:p>
    <w:p w14:paraId="3601C792">
      <w:pPr>
        <w:spacing w:before="120" w:line="480" w:lineRule="auto"/>
        <w:ind w:left="960"/>
        <w:rPr>
          <w:rFonts w:hint="eastAsia" w:ascii="宋体" w:hAnsi="宋体" w:eastAsia="宋体" w:cs="宋体"/>
          <w:color w:val="auto"/>
          <w:sz w:val="24"/>
          <w:highlight w:val="none"/>
        </w:rPr>
      </w:pPr>
    </w:p>
    <w:p w14:paraId="78E97017">
      <w:pPr>
        <w:spacing w:before="120" w:line="480" w:lineRule="auto"/>
        <w:ind w:left="960"/>
        <w:rPr>
          <w:rFonts w:hint="eastAsia" w:ascii="宋体" w:hAnsi="宋体" w:eastAsia="宋体" w:cs="宋体"/>
          <w:color w:val="auto"/>
          <w:sz w:val="24"/>
          <w:highlight w:val="none"/>
        </w:rPr>
      </w:pPr>
    </w:p>
    <w:p w14:paraId="099959D1">
      <w:pPr>
        <w:spacing w:before="120" w:line="480" w:lineRule="auto"/>
        <w:ind w:left="960"/>
        <w:rPr>
          <w:rFonts w:hint="eastAsia" w:ascii="宋体" w:hAnsi="宋体" w:eastAsia="宋体" w:cs="宋体"/>
          <w:color w:val="auto"/>
          <w:sz w:val="24"/>
          <w:highlight w:val="none"/>
        </w:rPr>
      </w:pPr>
    </w:p>
    <w:p w14:paraId="63C2BF0E">
      <w:pPr>
        <w:spacing w:before="120" w:line="480" w:lineRule="auto"/>
        <w:ind w:left="960"/>
        <w:rPr>
          <w:rFonts w:hint="eastAsia" w:ascii="宋体" w:hAnsi="宋体" w:eastAsia="宋体" w:cs="宋体"/>
          <w:color w:val="auto"/>
          <w:sz w:val="24"/>
          <w:highlight w:val="none"/>
        </w:rPr>
      </w:pPr>
    </w:p>
    <w:p w14:paraId="683B3651">
      <w:pPr>
        <w:spacing w:before="120" w:line="480" w:lineRule="auto"/>
        <w:ind w:left="960"/>
        <w:rPr>
          <w:rFonts w:hint="eastAsia" w:ascii="宋体" w:hAnsi="宋体" w:eastAsia="宋体" w:cs="宋体"/>
          <w:color w:val="auto"/>
          <w:szCs w:val="21"/>
          <w:highlight w:val="none"/>
        </w:rPr>
      </w:pPr>
    </w:p>
    <w:p w14:paraId="426D81A8">
      <w:pPr>
        <w:spacing w:before="120" w:line="480" w:lineRule="auto"/>
        <w:ind w:left="96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lang w:eastAsia="zh-CN"/>
        </w:rPr>
        <w:t>滁州市科学技术馆展教辅助服务及运行保障项目（2026年-2028年）</w:t>
      </w:r>
    </w:p>
    <w:p w14:paraId="7FBF6B68">
      <w:pPr>
        <w:spacing w:before="120" w:line="480" w:lineRule="auto"/>
        <w:ind w:left="96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p>
    <w:p w14:paraId="04CCF697">
      <w:pPr>
        <w:spacing w:before="120" w:line="480" w:lineRule="auto"/>
        <w:ind w:left="96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甲方（采购人）：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滁州市科学技术馆 </w:t>
      </w:r>
    </w:p>
    <w:p w14:paraId="226FEBAD">
      <w:pPr>
        <w:spacing w:before="120" w:line="480" w:lineRule="auto"/>
        <w:ind w:left="96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乙方（中标人）：</w:t>
      </w:r>
      <w:r>
        <w:rPr>
          <w:rFonts w:hint="eastAsia" w:ascii="宋体" w:hAnsi="宋体" w:eastAsia="宋体" w:cs="宋体"/>
          <w:color w:val="auto"/>
          <w:szCs w:val="21"/>
          <w:highlight w:val="none"/>
          <w:u w:val="single"/>
        </w:rPr>
        <w:t xml:space="preserve">                              </w:t>
      </w:r>
    </w:p>
    <w:p w14:paraId="5B6CEE98">
      <w:pPr>
        <w:spacing w:before="120" w:line="480" w:lineRule="auto"/>
        <w:ind w:left="96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签订地：</w:t>
      </w:r>
      <w:r>
        <w:rPr>
          <w:rFonts w:hint="eastAsia" w:ascii="宋体" w:hAnsi="宋体" w:eastAsia="宋体" w:cs="宋体"/>
          <w:color w:val="auto"/>
          <w:szCs w:val="21"/>
          <w:highlight w:val="none"/>
          <w:u w:val="single"/>
        </w:rPr>
        <w:t xml:space="preserve">                                     </w:t>
      </w:r>
    </w:p>
    <w:p w14:paraId="6625F190">
      <w:pPr>
        <w:spacing w:before="120" w:line="480" w:lineRule="auto"/>
        <w:ind w:left="960"/>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5A92EFD3">
      <w:pPr>
        <w:widowControl/>
        <w:jc w:val="left"/>
        <w:rPr>
          <w:rFonts w:ascii="宋体" w:hAnsi="宋体"/>
          <w:color w:val="auto"/>
          <w:szCs w:val="21"/>
          <w:highlight w:val="none"/>
        </w:rPr>
      </w:pPr>
      <w:r>
        <w:rPr>
          <w:rFonts w:ascii="宋体" w:hAnsi="宋体"/>
          <w:color w:val="auto"/>
          <w:szCs w:val="21"/>
          <w:highlight w:val="none"/>
        </w:rPr>
        <w:br w:type="page"/>
      </w:r>
    </w:p>
    <w:p w14:paraId="026B85AD">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olor w:val="auto"/>
          <w:sz w:val="24"/>
          <w:highlight w:val="none"/>
          <w:u w:val="single"/>
          <w:lang w:val="en-US" w:eastAsia="zh-CN"/>
        </w:rPr>
        <w:t>滁州市科学技术馆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以下简称：甲方</w:t>
      </w:r>
      <w:r>
        <w:rPr>
          <w:rFonts w:hint="eastAsia" w:ascii="宋体" w:hAnsi="宋体" w:eastAsia="宋体" w:cs="宋体"/>
          <w:color w:val="auto"/>
          <w:sz w:val="24"/>
          <w:szCs w:val="24"/>
          <w:highlight w:val="none"/>
        </w:rPr>
        <w:t>）通过</w:t>
      </w:r>
      <w:r>
        <w:rPr>
          <w:rFonts w:hint="eastAsia" w:ascii="宋体" w:hAnsi="宋体" w:eastAsia="宋体" w:cs="宋体"/>
          <w:color w:val="auto"/>
          <w:sz w:val="24"/>
          <w:szCs w:val="24"/>
          <w:highlight w:val="none"/>
          <w:u w:val="single"/>
          <w:lang w:val="en-US" w:eastAsia="zh-CN"/>
        </w:rPr>
        <w:t xml:space="preserve"> 滁州市政府采购中心 </w:t>
      </w:r>
      <w:r>
        <w:rPr>
          <w:rFonts w:hint="eastAsia" w:ascii="宋体" w:hAnsi="宋体" w:eastAsia="宋体" w:cs="宋体"/>
          <w:color w:val="auto"/>
          <w:sz w:val="24"/>
          <w:szCs w:val="24"/>
          <w:highlight w:val="none"/>
        </w:rPr>
        <w:t>组织的</w:t>
      </w:r>
      <w:r>
        <w:rPr>
          <w:rFonts w:hint="eastAsia" w:ascii="宋体" w:hAnsi="宋体" w:eastAsia="宋体" w:cs="宋体"/>
          <w:color w:val="auto"/>
          <w:sz w:val="24"/>
          <w:szCs w:val="24"/>
          <w:highlight w:val="none"/>
          <w:lang w:val="en-US" w:eastAsia="zh-CN"/>
        </w:rPr>
        <w:t>公开招标</w:t>
      </w:r>
      <w:r>
        <w:rPr>
          <w:rFonts w:hint="eastAsia" w:ascii="宋体" w:hAnsi="宋体" w:eastAsia="宋体" w:cs="宋体"/>
          <w:color w:val="auto"/>
          <w:sz w:val="24"/>
          <w:szCs w:val="24"/>
          <w:highlight w:val="none"/>
        </w:rPr>
        <w:t>采购方式采购活动，经采购小组评定，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以下简称：乙方</w:t>
      </w:r>
      <w:r>
        <w:rPr>
          <w:rFonts w:hint="eastAsia" w:ascii="宋体" w:hAnsi="宋体" w:eastAsia="宋体" w:cs="宋体"/>
          <w:color w:val="auto"/>
          <w:sz w:val="24"/>
          <w:szCs w:val="24"/>
          <w:highlight w:val="none"/>
        </w:rPr>
        <w:t>）为本项目</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供应商，现按照采购文件确定的事项签订本合同。</w:t>
      </w:r>
    </w:p>
    <w:p w14:paraId="3F9B4D64">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6D677C96">
      <w:pPr>
        <w:keepNext w:val="0"/>
        <w:keepLines w:val="0"/>
        <w:pageBreakBefore w:val="0"/>
        <w:kinsoku/>
        <w:wordWrap/>
        <w:overflowPunct/>
        <w:topLinePunct w:val="0"/>
        <w:bidi w:val="0"/>
        <w:snapToGrid/>
        <w:spacing w:line="500" w:lineRule="exact"/>
        <w:ind w:firstLine="437"/>
        <w:textAlignment w:val="auto"/>
        <w:outlineLvl w:val="3"/>
        <w:rPr>
          <w:rFonts w:hint="eastAsia" w:ascii="宋体" w:hAnsi="宋体" w:eastAsia="宋体" w:cs="宋体"/>
          <w:b/>
          <w:bCs/>
          <w:color w:val="auto"/>
          <w:sz w:val="24"/>
          <w:szCs w:val="24"/>
          <w:highlight w:val="none"/>
          <w:lang w:val="zh-CN"/>
        </w:rPr>
      </w:pPr>
      <w:bookmarkStart w:id="73" w:name="_Toc2232"/>
      <w:bookmarkStart w:id="74" w:name="_Toc3029"/>
      <w:bookmarkStart w:id="75" w:name="_Toc24059"/>
      <w:r>
        <w:rPr>
          <w:rFonts w:hint="eastAsia" w:ascii="宋体" w:hAnsi="宋体" w:eastAsia="宋体" w:cs="宋体"/>
          <w:b/>
          <w:bCs/>
          <w:color w:val="auto"/>
          <w:sz w:val="24"/>
          <w:szCs w:val="24"/>
          <w:highlight w:val="none"/>
          <w:lang w:val="zh-CN"/>
        </w:rPr>
        <w:t>1.1 合同组成部分</w:t>
      </w:r>
      <w:bookmarkEnd w:id="73"/>
      <w:bookmarkEnd w:id="74"/>
      <w:bookmarkEnd w:id="75"/>
    </w:p>
    <w:p w14:paraId="6D5DB4D8">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7161D0BB">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1.1.1本合同及其补充合同、变更协议；</w:t>
      </w:r>
    </w:p>
    <w:p w14:paraId="191453A2">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1.1.2</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val="zh-CN"/>
        </w:rPr>
        <w:t>通知书；</w:t>
      </w:r>
    </w:p>
    <w:p w14:paraId="6FF64B5A">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1.1.3</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rPr>
        <w:t>文件（含澄清或者说明文件）；</w:t>
      </w:r>
    </w:p>
    <w:p w14:paraId="431DBC2B">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1.1.4采购文件（含澄清或者修改文件）；</w:t>
      </w:r>
    </w:p>
    <w:p w14:paraId="7FDCFF9C">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1.1.5其他相关采购文件。</w:t>
      </w:r>
    </w:p>
    <w:p w14:paraId="3329157A">
      <w:pPr>
        <w:keepNext w:val="0"/>
        <w:keepLines w:val="0"/>
        <w:pageBreakBefore w:val="0"/>
        <w:kinsoku/>
        <w:wordWrap/>
        <w:overflowPunct/>
        <w:topLinePunct w:val="0"/>
        <w:bidi w:val="0"/>
        <w:snapToGrid/>
        <w:spacing w:line="500" w:lineRule="exact"/>
        <w:ind w:firstLine="437"/>
        <w:textAlignment w:val="auto"/>
        <w:outlineLvl w:val="3"/>
        <w:rPr>
          <w:rFonts w:hint="eastAsia" w:ascii="宋体" w:hAnsi="宋体" w:eastAsia="宋体" w:cs="宋体"/>
          <w:b/>
          <w:bCs/>
          <w:color w:val="auto"/>
          <w:sz w:val="24"/>
          <w:szCs w:val="24"/>
          <w:highlight w:val="none"/>
          <w:lang w:val="zh-CN"/>
        </w:rPr>
      </w:pPr>
      <w:bookmarkStart w:id="76" w:name="_Toc18585"/>
      <w:bookmarkStart w:id="77" w:name="_Toc22185"/>
      <w:bookmarkStart w:id="78" w:name="_Toc2918"/>
      <w:bookmarkStart w:id="79" w:name="_Toc6773"/>
      <w:bookmarkStart w:id="80" w:name="_Toc6311"/>
      <w:r>
        <w:rPr>
          <w:rFonts w:hint="eastAsia" w:ascii="宋体" w:hAnsi="宋体" w:eastAsia="宋体" w:cs="宋体"/>
          <w:b/>
          <w:bCs/>
          <w:color w:val="auto"/>
          <w:sz w:val="24"/>
          <w:szCs w:val="24"/>
          <w:highlight w:val="none"/>
          <w:lang w:val="zh-CN"/>
        </w:rPr>
        <w:t xml:space="preserve">1.2 </w:t>
      </w:r>
      <w:bookmarkEnd w:id="76"/>
      <w:bookmarkEnd w:id="77"/>
      <w:bookmarkEnd w:id="78"/>
      <w:bookmarkEnd w:id="79"/>
      <w:bookmarkEnd w:id="80"/>
      <w:r>
        <w:rPr>
          <w:rFonts w:hint="eastAsia" w:ascii="宋体" w:hAnsi="宋体" w:eastAsia="宋体" w:cs="宋体"/>
          <w:b/>
          <w:bCs/>
          <w:color w:val="auto"/>
          <w:sz w:val="24"/>
          <w:szCs w:val="24"/>
          <w:highlight w:val="none"/>
          <w:lang w:val="zh-CN"/>
        </w:rPr>
        <w:t>服务</w:t>
      </w:r>
    </w:p>
    <w:p w14:paraId="7F771E15">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1.2.1服务名称：</w:t>
      </w:r>
      <w:r>
        <w:rPr>
          <w:rFonts w:hint="eastAsia" w:ascii="宋体" w:hAnsi="宋体" w:eastAsia="宋体" w:cs="宋体"/>
          <w:color w:val="auto"/>
          <w:sz w:val="24"/>
          <w:szCs w:val="24"/>
          <w:highlight w:val="none"/>
          <w:u w:val="single"/>
          <w:lang w:val="en-US" w:eastAsia="zh-CN"/>
        </w:rPr>
        <w:t>滁州市科学技术馆展教辅助服务及运行保障项目（2026年-2028年）</w:t>
      </w:r>
      <w:r>
        <w:rPr>
          <w:rFonts w:hint="eastAsia" w:ascii="宋体" w:hAnsi="宋体" w:eastAsia="宋体" w:cs="宋体"/>
          <w:color w:val="auto"/>
          <w:sz w:val="24"/>
          <w:szCs w:val="24"/>
          <w:highlight w:val="none"/>
        </w:rPr>
        <w:t>；</w:t>
      </w:r>
    </w:p>
    <w:p w14:paraId="7D34BAB0">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1.2.2服务内容：</w:t>
      </w:r>
      <w:r>
        <w:rPr>
          <w:rFonts w:hint="eastAsia" w:ascii="宋体" w:hAnsi="宋体" w:eastAsia="宋体" w:cs="宋体"/>
          <w:color w:val="auto"/>
          <w:sz w:val="24"/>
          <w:szCs w:val="24"/>
          <w:highlight w:val="none"/>
          <w:u w:val="single"/>
          <w:lang w:val="en-US" w:eastAsia="zh-CN"/>
        </w:rPr>
        <w:t>详见招标文件第三章《采购需求》全部内容</w:t>
      </w:r>
      <w:r>
        <w:rPr>
          <w:rFonts w:hint="eastAsia" w:ascii="宋体" w:hAnsi="宋体" w:eastAsia="宋体" w:cs="宋体"/>
          <w:color w:val="auto"/>
          <w:sz w:val="24"/>
          <w:szCs w:val="24"/>
          <w:highlight w:val="none"/>
        </w:rPr>
        <w:t>；</w:t>
      </w:r>
    </w:p>
    <w:p w14:paraId="3B743FF9">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1.2.3服务质量：</w:t>
      </w:r>
      <w:r>
        <w:rPr>
          <w:rFonts w:hint="eastAsia" w:ascii="宋体" w:hAnsi="宋体" w:eastAsia="宋体" w:cs="宋体"/>
          <w:color w:val="auto"/>
          <w:sz w:val="24"/>
          <w:szCs w:val="24"/>
          <w:highlight w:val="none"/>
          <w:u w:val="single"/>
          <w:lang w:val="en-US" w:eastAsia="zh-CN"/>
        </w:rPr>
        <w:t>满足招标文件要求、满足考核相关要求</w:t>
      </w:r>
      <w:r>
        <w:rPr>
          <w:rFonts w:hint="eastAsia" w:ascii="宋体" w:hAnsi="宋体" w:eastAsia="宋体" w:cs="宋体"/>
          <w:color w:val="auto"/>
          <w:sz w:val="24"/>
          <w:szCs w:val="24"/>
          <w:highlight w:val="none"/>
        </w:rPr>
        <w:t>。</w:t>
      </w:r>
    </w:p>
    <w:p w14:paraId="65F6F947">
      <w:pPr>
        <w:keepNext w:val="0"/>
        <w:keepLines w:val="0"/>
        <w:pageBreakBefore w:val="0"/>
        <w:kinsoku/>
        <w:wordWrap/>
        <w:overflowPunct/>
        <w:topLinePunct w:val="0"/>
        <w:bidi w:val="0"/>
        <w:snapToGrid/>
        <w:spacing w:line="500" w:lineRule="exact"/>
        <w:ind w:firstLine="437"/>
        <w:textAlignment w:val="auto"/>
        <w:outlineLvl w:val="3"/>
        <w:rPr>
          <w:rFonts w:hint="eastAsia" w:ascii="宋体" w:hAnsi="宋体" w:eastAsia="宋体" w:cs="宋体"/>
          <w:b/>
          <w:bCs/>
          <w:color w:val="auto"/>
          <w:sz w:val="24"/>
          <w:szCs w:val="24"/>
          <w:highlight w:val="none"/>
          <w:lang w:val="zh-CN"/>
        </w:rPr>
      </w:pPr>
      <w:bookmarkStart w:id="81" w:name="_Toc21551"/>
      <w:bookmarkStart w:id="82" w:name="_Toc21631"/>
      <w:bookmarkStart w:id="83" w:name="_Toc23292"/>
      <w:r>
        <w:rPr>
          <w:rFonts w:hint="eastAsia" w:ascii="宋体" w:hAnsi="宋体" w:eastAsia="宋体" w:cs="宋体"/>
          <w:b/>
          <w:bCs/>
          <w:color w:val="auto"/>
          <w:sz w:val="24"/>
          <w:szCs w:val="24"/>
          <w:highlight w:val="none"/>
          <w:lang w:val="zh-CN"/>
        </w:rPr>
        <w:t>1.3 价款</w:t>
      </w:r>
      <w:bookmarkEnd w:id="81"/>
      <w:bookmarkEnd w:id="82"/>
      <w:bookmarkEnd w:id="83"/>
    </w:p>
    <w:p w14:paraId="5C4F7196">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本合同总价为：￥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655A2E95">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分项价格：</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
        <w:gridCol w:w="4576"/>
        <w:gridCol w:w="13"/>
        <w:gridCol w:w="3419"/>
        <w:gridCol w:w="13"/>
      </w:tblGrid>
      <w:tr w14:paraId="095E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16" w:hRule="atLeast"/>
          <w:jc w:val="center"/>
        </w:trPr>
        <w:tc>
          <w:tcPr>
            <w:tcW w:w="562" w:type="pct"/>
            <w:vAlign w:val="center"/>
          </w:tcPr>
          <w:p w14:paraId="02DB8C7D">
            <w:pPr>
              <w:keepNext w:val="0"/>
              <w:keepLines w:val="0"/>
              <w:pageBreakBefore w:val="0"/>
              <w:suppressLineNumbers w:val="0"/>
              <w:kinsoku/>
              <w:wordWrap/>
              <w:overflowPunct/>
              <w:topLinePunct w:val="0"/>
              <w:bidi w:val="0"/>
              <w:snapToGrid/>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序号</w:t>
            </w:r>
          </w:p>
        </w:tc>
        <w:tc>
          <w:tcPr>
            <w:tcW w:w="2532" w:type="pct"/>
            <w:vAlign w:val="center"/>
          </w:tcPr>
          <w:p w14:paraId="1E5D7505">
            <w:pPr>
              <w:pStyle w:val="87"/>
              <w:keepNext w:val="0"/>
              <w:keepLines w:val="0"/>
              <w:pageBreakBefore w:val="0"/>
              <w:suppressLineNumbers w:val="0"/>
              <w:kinsoku/>
              <w:wordWrap/>
              <w:overflowPunct/>
              <w:topLinePunct w:val="0"/>
              <w:bidi w:val="0"/>
              <w:snapToGrid/>
              <w:spacing w:before="0" w:beforeAutospacing="0" w:after="0" w:afterAutospacing="0" w:line="500" w:lineRule="exact"/>
              <w:ind w:left="0" w:right="0" w:firstLine="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分项名称</w:t>
            </w:r>
          </w:p>
        </w:tc>
        <w:tc>
          <w:tcPr>
            <w:tcW w:w="1899" w:type="pct"/>
            <w:gridSpan w:val="2"/>
            <w:vAlign w:val="center"/>
          </w:tcPr>
          <w:p w14:paraId="57472EF1">
            <w:pPr>
              <w:pStyle w:val="87"/>
              <w:keepNext w:val="0"/>
              <w:keepLines w:val="0"/>
              <w:pageBreakBefore w:val="0"/>
              <w:suppressLineNumbers w:val="0"/>
              <w:kinsoku/>
              <w:wordWrap/>
              <w:overflowPunct/>
              <w:topLinePunct w:val="0"/>
              <w:bidi w:val="0"/>
              <w:snapToGrid/>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分项价格</w:t>
            </w:r>
          </w:p>
        </w:tc>
      </w:tr>
      <w:tr w14:paraId="20537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3" w:hRule="atLeast"/>
          <w:jc w:val="center"/>
        </w:trPr>
        <w:tc>
          <w:tcPr>
            <w:tcW w:w="562" w:type="pct"/>
          </w:tcPr>
          <w:p w14:paraId="5D2776B2">
            <w:pPr>
              <w:keepNext w:val="0"/>
              <w:keepLines w:val="0"/>
              <w:pageBreakBefore w:val="0"/>
              <w:suppressLineNumbers w:val="0"/>
              <w:kinsoku/>
              <w:wordWrap/>
              <w:overflowPunct/>
              <w:topLinePunct w:val="0"/>
              <w:bidi w:val="0"/>
              <w:snapToGrid/>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p>
        </w:tc>
        <w:tc>
          <w:tcPr>
            <w:tcW w:w="2532" w:type="pct"/>
            <w:vAlign w:val="center"/>
          </w:tcPr>
          <w:p w14:paraId="39C11A7D">
            <w:pPr>
              <w:pStyle w:val="87"/>
              <w:keepNext w:val="0"/>
              <w:keepLines w:val="0"/>
              <w:pageBreakBefore w:val="0"/>
              <w:suppressLineNumbers w:val="0"/>
              <w:kinsoku/>
              <w:wordWrap/>
              <w:overflowPunct/>
              <w:topLinePunct w:val="0"/>
              <w:bidi w:val="0"/>
              <w:snapToGrid/>
              <w:spacing w:before="0" w:beforeAutospacing="0" w:after="0" w:afterAutospacing="0" w:line="500" w:lineRule="exact"/>
              <w:ind w:left="0" w:right="0" w:firstLine="200"/>
              <w:jc w:val="center"/>
              <w:textAlignment w:val="auto"/>
              <w:rPr>
                <w:rFonts w:hint="eastAsia" w:ascii="宋体" w:hAnsi="宋体" w:eastAsia="宋体" w:cs="宋体"/>
                <w:color w:val="auto"/>
                <w:sz w:val="24"/>
                <w:szCs w:val="24"/>
                <w:highlight w:val="none"/>
              </w:rPr>
            </w:pPr>
          </w:p>
        </w:tc>
        <w:tc>
          <w:tcPr>
            <w:tcW w:w="1899" w:type="pct"/>
            <w:gridSpan w:val="2"/>
            <w:vAlign w:val="center"/>
          </w:tcPr>
          <w:p w14:paraId="7D886419">
            <w:pPr>
              <w:pStyle w:val="87"/>
              <w:keepNext w:val="0"/>
              <w:keepLines w:val="0"/>
              <w:pageBreakBefore w:val="0"/>
              <w:suppressLineNumbers w:val="0"/>
              <w:kinsoku/>
              <w:wordWrap/>
              <w:overflowPunct/>
              <w:topLinePunct w:val="0"/>
              <w:bidi w:val="0"/>
              <w:snapToGrid/>
              <w:spacing w:before="0" w:beforeAutospacing="0" w:after="0" w:afterAutospacing="0" w:line="500" w:lineRule="exact"/>
              <w:ind w:left="0" w:right="0" w:firstLine="200"/>
              <w:jc w:val="center"/>
              <w:textAlignment w:val="auto"/>
              <w:rPr>
                <w:rFonts w:hint="eastAsia" w:ascii="宋体" w:hAnsi="宋体" w:eastAsia="宋体" w:cs="宋体"/>
                <w:color w:val="auto"/>
                <w:sz w:val="24"/>
                <w:szCs w:val="24"/>
                <w:highlight w:val="none"/>
              </w:rPr>
            </w:pPr>
          </w:p>
        </w:tc>
      </w:tr>
      <w:tr w14:paraId="1FB02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121" w:hRule="atLeast"/>
          <w:jc w:val="center"/>
        </w:trPr>
        <w:tc>
          <w:tcPr>
            <w:tcW w:w="562" w:type="pct"/>
          </w:tcPr>
          <w:p w14:paraId="76C291A4">
            <w:pPr>
              <w:keepNext w:val="0"/>
              <w:keepLines w:val="0"/>
              <w:pageBreakBefore w:val="0"/>
              <w:suppressLineNumbers w:val="0"/>
              <w:kinsoku/>
              <w:wordWrap/>
              <w:overflowPunct/>
              <w:topLinePunct w:val="0"/>
              <w:bidi w:val="0"/>
              <w:snapToGrid/>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p>
        </w:tc>
        <w:tc>
          <w:tcPr>
            <w:tcW w:w="2532" w:type="pct"/>
            <w:vAlign w:val="center"/>
          </w:tcPr>
          <w:p w14:paraId="3018084D">
            <w:pPr>
              <w:pStyle w:val="87"/>
              <w:keepNext w:val="0"/>
              <w:keepLines w:val="0"/>
              <w:pageBreakBefore w:val="0"/>
              <w:suppressLineNumbers w:val="0"/>
              <w:kinsoku/>
              <w:wordWrap/>
              <w:overflowPunct/>
              <w:topLinePunct w:val="0"/>
              <w:bidi w:val="0"/>
              <w:snapToGrid/>
              <w:spacing w:before="0" w:beforeAutospacing="0" w:after="0" w:afterAutospacing="0" w:line="500" w:lineRule="exact"/>
              <w:ind w:left="0" w:right="0" w:firstLine="200"/>
              <w:jc w:val="center"/>
              <w:textAlignment w:val="auto"/>
              <w:rPr>
                <w:rFonts w:hint="eastAsia" w:ascii="宋体" w:hAnsi="宋体" w:eastAsia="宋体" w:cs="宋体"/>
                <w:color w:val="auto"/>
                <w:sz w:val="24"/>
                <w:szCs w:val="24"/>
                <w:highlight w:val="none"/>
              </w:rPr>
            </w:pPr>
          </w:p>
        </w:tc>
        <w:tc>
          <w:tcPr>
            <w:tcW w:w="1899" w:type="pct"/>
            <w:gridSpan w:val="2"/>
            <w:vAlign w:val="center"/>
          </w:tcPr>
          <w:p w14:paraId="27BDE5D8">
            <w:pPr>
              <w:pStyle w:val="87"/>
              <w:keepNext w:val="0"/>
              <w:keepLines w:val="0"/>
              <w:pageBreakBefore w:val="0"/>
              <w:suppressLineNumbers w:val="0"/>
              <w:kinsoku/>
              <w:wordWrap/>
              <w:overflowPunct/>
              <w:topLinePunct w:val="0"/>
              <w:bidi w:val="0"/>
              <w:snapToGrid/>
              <w:spacing w:before="0" w:beforeAutospacing="0" w:after="0" w:afterAutospacing="0" w:line="500" w:lineRule="exact"/>
              <w:ind w:left="0" w:right="0" w:firstLine="200"/>
              <w:jc w:val="center"/>
              <w:textAlignment w:val="auto"/>
              <w:rPr>
                <w:rFonts w:hint="eastAsia" w:ascii="宋体" w:hAnsi="宋体" w:eastAsia="宋体" w:cs="宋体"/>
                <w:color w:val="auto"/>
                <w:sz w:val="24"/>
                <w:szCs w:val="24"/>
                <w:highlight w:val="none"/>
              </w:rPr>
            </w:pPr>
          </w:p>
        </w:tc>
      </w:tr>
      <w:tr w14:paraId="22578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24756CC3">
            <w:pPr>
              <w:keepNext w:val="0"/>
              <w:keepLines w:val="0"/>
              <w:pageBreakBefore w:val="0"/>
              <w:suppressLineNumbers w:val="0"/>
              <w:kinsoku/>
              <w:wordWrap/>
              <w:overflowPunct/>
              <w:topLinePunct w:val="0"/>
              <w:bidi w:val="0"/>
              <w:snapToGrid/>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p>
        </w:tc>
        <w:tc>
          <w:tcPr>
            <w:tcW w:w="2532" w:type="pct"/>
            <w:vAlign w:val="center"/>
          </w:tcPr>
          <w:p w14:paraId="72A1A313">
            <w:pPr>
              <w:pStyle w:val="87"/>
              <w:keepNext w:val="0"/>
              <w:keepLines w:val="0"/>
              <w:pageBreakBefore w:val="0"/>
              <w:suppressLineNumbers w:val="0"/>
              <w:kinsoku/>
              <w:wordWrap/>
              <w:overflowPunct/>
              <w:topLinePunct w:val="0"/>
              <w:bidi w:val="0"/>
              <w:snapToGrid/>
              <w:spacing w:before="0" w:beforeAutospacing="0" w:after="0" w:afterAutospacing="0" w:line="500" w:lineRule="exact"/>
              <w:ind w:left="0" w:right="0" w:firstLine="200"/>
              <w:jc w:val="center"/>
              <w:textAlignment w:val="auto"/>
              <w:rPr>
                <w:rFonts w:hint="eastAsia" w:ascii="宋体" w:hAnsi="宋体" w:eastAsia="宋体" w:cs="宋体"/>
                <w:color w:val="auto"/>
                <w:sz w:val="24"/>
                <w:szCs w:val="24"/>
                <w:highlight w:val="none"/>
              </w:rPr>
            </w:pPr>
          </w:p>
        </w:tc>
        <w:tc>
          <w:tcPr>
            <w:tcW w:w="1899" w:type="pct"/>
            <w:gridSpan w:val="2"/>
            <w:vAlign w:val="center"/>
          </w:tcPr>
          <w:p w14:paraId="1AEE1415">
            <w:pPr>
              <w:pStyle w:val="87"/>
              <w:keepNext w:val="0"/>
              <w:keepLines w:val="0"/>
              <w:pageBreakBefore w:val="0"/>
              <w:suppressLineNumbers w:val="0"/>
              <w:kinsoku/>
              <w:wordWrap/>
              <w:overflowPunct/>
              <w:topLinePunct w:val="0"/>
              <w:bidi w:val="0"/>
              <w:snapToGrid/>
              <w:spacing w:before="0" w:beforeAutospacing="0" w:after="0" w:afterAutospacing="0" w:line="500" w:lineRule="exact"/>
              <w:ind w:left="0" w:right="0" w:firstLine="200"/>
              <w:jc w:val="center"/>
              <w:textAlignment w:val="auto"/>
              <w:rPr>
                <w:rFonts w:hint="eastAsia" w:ascii="宋体" w:hAnsi="宋体" w:eastAsia="宋体" w:cs="宋体"/>
                <w:color w:val="auto"/>
                <w:sz w:val="24"/>
                <w:szCs w:val="24"/>
                <w:highlight w:val="none"/>
              </w:rPr>
            </w:pPr>
          </w:p>
        </w:tc>
      </w:tr>
      <w:tr w14:paraId="1B07D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66B3946B">
            <w:pPr>
              <w:keepNext w:val="0"/>
              <w:keepLines w:val="0"/>
              <w:pageBreakBefore w:val="0"/>
              <w:suppressLineNumbers w:val="0"/>
              <w:kinsoku/>
              <w:wordWrap/>
              <w:overflowPunct/>
              <w:topLinePunct w:val="0"/>
              <w:bidi w:val="0"/>
              <w:snapToGrid/>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p>
        </w:tc>
        <w:tc>
          <w:tcPr>
            <w:tcW w:w="2532" w:type="pct"/>
            <w:vAlign w:val="center"/>
          </w:tcPr>
          <w:p w14:paraId="6163DDDA">
            <w:pPr>
              <w:pStyle w:val="87"/>
              <w:keepNext w:val="0"/>
              <w:keepLines w:val="0"/>
              <w:pageBreakBefore w:val="0"/>
              <w:suppressLineNumbers w:val="0"/>
              <w:kinsoku/>
              <w:wordWrap/>
              <w:overflowPunct/>
              <w:topLinePunct w:val="0"/>
              <w:bidi w:val="0"/>
              <w:snapToGrid/>
              <w:spacing w:before="0" w:beforeAutospacing="0" w:after="0" w:afterAutospacing="0" w:line="500" w:lineRule="exact"/>
              <w:ind w:left="0" w:right="0" w:firstLine="200"/>
              <w:jc w:val="center"/>
              <w:textAlignment w:val="auto"/>
              <w:rPr>
                <w:rFonts w:hint="eastAsia" w:ascii="宋体" w:hAnsi="宋体" w:eastAsia="宋体" w:cs="宋体"/>
                <w:color w:val="auto"/>
                <w:sz w:val="24"/>
                <w:szCs w:val="24"/>
                <w:highlight w:val="none"/>
              </w:rPr>
            </w:pPr>
          </w:p>
        </w:tc>
        <w:tc>
          <w:tcPr>
            <w:tcW w:w="1899" w:type="pct"/>
            <w:gridSpan w:val="2"/>
            <w:vAlign w:val="center"/>
          </w:tcPr>
          <w:p w14:paraId="7DDB580E">
            <w:pPr>
              <w:pStyle w:val="87"/>
              <w:keepNext w:val="0"/>
              <w:keepLines w:val="0"/>
              <w:pageBreakBefore w:val="0"/>
              <w:suppressLineNumbers w:val="0"/>
              <w:kinsoku/>
              <w:wordWrap/>
              <w:overflowPunct/>
              <w:topLinePunct w:val="0"/>
              <w:bidi w:val="0"/>
              <w:snapToGrid/>
              <w:spacing w:before="0" w:beforeAutospacing="0" w:after="0" w:afterAutospacing="0" w:line="500" w:lineRule="exact"/>
              <w:ind w:left="0" w:right="0" w:firstLine="200"/>
              <w:jc w:val="center"/>
              <w:textAlignment w:val="auto"/>
              <w:rPr>
                <w:rFonts w:hint="eastAsia" w:ascii="宋体" w:hAnsi="宋体" w:eastAsia="宋体" w:cs="宋体"/>
                <w:color w:val="auto"/>
                <w:sz w:val="24"/>
                <w:szCs w:val="24"/>
                <w:highlight w:val="none"/>
              </w:rPr>
            </w:pPr>
          </w:p>
        </w:tc>
      </w:tr>
      <w:tr w14:paraId="1F7E1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vAlign w:val="center"/>
          </w:tcPr>
          <w:p w14:paraId="0565B84B">
            <w:pPr>
              <w:pStyle w:val="87"/>
              <w:keepNext w:val="0"/>
              <w:keepLines w:val="0"/>
              <w:pageBreakBefore w:val="0"/>
              <w:suppressLineNumbers w:val="0"/>
              <w:kinsoku/>
              <w:wordWrap/>
              <w:overflowPunct/>
              <w:topLinePunct w:val="0"/>
              <w:bidi w:val="0"/>
              <w:snapToGrid/>
              <w:spacing w:before="0" w:beforeAutospacing="0" w:after="0" w:afterAutospacing="0" w:line="500" w:lineRule="exact"/>
              <w:ind w:left="0" w:right="0" w:firstLine="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1899" w:type="pct"/>
            <w:gridSpan w:val="2"/>
            <w:vAlign w:val="center"/>
          </w:tcPr>
          <w:p w14:paraId="5F6B5B22">
            <w:pPr>
              <w:pStyle w:val="87"/>
              <w:keepNext w:val="0"/>
              <w:keepLines w:val="0"/>
              <w:pageBreakBefore w:val="0"/>
              <w:suppressLineNumbers w:val="0"/>
              <w:kinsoku/>
              <w:wordWrap/>
              <w:overflowPunct/>
              <w:topLinePunct w:val="0"/>
              <w:bidi w:val="0"/>
              <w:snapToGrid/>
              <w:spacing w:before="0" w:beforeAutospacing="0" w:after="0" w:afterAutospacing="0" w:line="500" w:lineRule="exact"/>
              <w:ind w:left="0" w:right="0" w:firstLine="200"/>
              <w:jc w:val="center"/>
              <w:textAlignment w:val="auto"/>
              <w:rPr>
                <w:rFonts w:hint="eastAsia" w:ascii="宋体" w:hAnsi="宋体" w:eastAsia="宋体" w:cs="宋体"/>
                <w:color w:val="auto"/>
                <w:sz w:val="24"/>
                <w:szCs w:val="24"/>
                <w:highlight w:val="none"/>
              </w:rPr>
            </w:pPr>
          </w:p>
        </w:tc>
      </w:tr>
    </w:tbl>
    <w:p w14:paraId="451CA63F">
      <w:pPr>
        <w:keepNext w:val="0"/>
        <w:keepLines w:val="0"/>
        <w:pageBreakBefore w:val="0"/>
        <w:kinsoku/>
        <w:wordWrap/>
        <w:overflowPunct/>
        <w:topLinePunct w:val="0"/>
        <w:bidi w:val="0"/>
        <w:snapToGrid/>
        <w:spacing w:line="500" w:lineRule="exact"/>
        <w:ind w:firstLine="437"/>
        <w:textAlignment w:val="auto"/>
        <w:outlineLvl w:val="3"/>
        <w:rPr>
          <w:rFonts w:hint="eastAsia" w:ascii="宋体" w:hAnsi="宋体" w:eastAsia="宋体" w:cs="宋体"/>
          <w:b/>
          <w:bCs/>
          <w:color w:val="auto"/>
          <w:sz w:val="24"/>
          <w:szCs w:val="24"/>
          <w:highlight w:val="none"/>
          <w:lang w:val="zh-CN"/>
        </w:rPr>
      </w:pPr>
      <w:bookmarkStart w:id="84" w:name="_Toc10340"/>
      <w:bookmarkStart w:id="85" w:name="_Toc22618"/>
      <w:bookmarkStart w:id="86" w:name="_Toc1814"/>
      <w:r>
        <w:rPr>
          <w:rFonts w:hint="eastAsia" w:ascii="宋体" w:hAnsi="宋体" w:eastAsia="宋体" w:cs="宋体"/>
          <w:b/>
          <w:bCs/>
          <w:color w:val="auto"/>
          <w:sz w:val="24"/>
          <w:szCs w:val="24"/>
          <w:highlight w:val="none"/>
          <w:lang w:val="zh-CN"/>
        </w:rPr>
        <w:t>1.4 付款方式和发票开具方式</w:t>
      </w:r>
      <w:bookmarkEnd w:id="84"/>
      <w:bookmarkEnd w:id="85"/>
      <w:bookmarkEnd w:id="86"/>
    </w:p>
    <w:p w14:paraId="76C9EB9F">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1.4.1付款方式：</w:t>
      </w:r>
    </w:p>
    <w:p w14:paraId="13B657F7">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1.4.2发票开具方式：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增值税发票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335BA04">
      <w:pPr>
        <w:keepNext w:val="0"/>
        <w:keepLines w:val="0"/>
        <w:pageBreakBefore w:val="0"/>
        <w:kinsoku/>
        <w:wordWrap/>
        <w:overflowPunct/>
        <w:topLinePunct w:val="0"/>
        <w:bidi w:val="0"/>
        <w:snapToGrid/>
        <w:spacing w:line="500" w:lineRule="exact"/>
        <w:ind w:firstLine="437"/>
        <w:textAlignment w:val="auto"/>
        <w:outlineLvl w:val="3"/>
        <w:rPr>
          <w:rFonts w:hint="eastAsia" w:ascii="宋体" w:hAnsi="宋体" w:eastAsia="宋体" w:cs="宋体"/>
          <w:b/>
          <w:bCs/>
          <w:color w:val="auto"/>
          <w:sz w:val="24"/>
          <w:szCs w:val="24"/>
          <w:highlight w:val="none"/>
          <w:lang w:val="zh-CN"/>
        </w:rPr>
      </w:pPr>
      <w:bookmarkStart w:id="87" w:name="_Toc32071"/>
      <w:bookmarkStart w:id="88" w:name="_Toc19304"/>
      <w:bookmarkStart w:id="89" w:name="_Toc2846"/>
      <w:r>
        <w:rPr>
          <w:rFonts w:hint="eastAsia" w:ascii="宋体" w:hAnsi="宋体" w:eastAsia="宋体" w:cs="宋体"/>
          <w:b/>
          <w:bCs/>
          <w:color w:val="auto"/>
          <w:sz w:val="24"/>
          <w:szCs w:val="24"/>
          <w:highlight w:val="none"/>
          <w:lang w:val="zh-CN"/>
        </w:rPr>
        <w:t>1.5 服务期限、地点和方式</w:t>
      </w:r>
      <w:bookmarkEnd w:id="87"/>
      <w:bookmarkEnd w:id="88"/>
      <w:bookmarkEnd w:id="89"/>
    </w:p>
    <w:p w14:paraId="698AE82B">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1.5.1服务期限：</w:t>
      </w:r>
      <w:r>
        <w:rPr>
          <w:rFonts w:hint="eastAsia" w:ascii="宋体" w:hAnsi="宋体" w:eastAsia="宋体" w:cs="宋体"/>
          <w:color w:val="auto"/>
          <w:sz w:val="24"/>
          <w:szCs w:val="24"/>
          <w:highlight w:val="none"/>
          <w:u w:val="single"/>
          <w:lang w:val="en-US" w:eastAsia="zh-CN"/>
        </w:rPr>
        <w:t xml:space="preserve">   三年，合同一年一签     ；</w:t>
      </w:r>
    </w:p>
    <w:p w14:paraId="6C5B56E3">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1.5.2服务地点：</w:t>
      </w:r>
      <w:r>
        <w:rPr>
          <w:rFonts w:hint="eastAsia" w:ascii="宋体" w:hAnsi="宋体" w:eastAsia="宋体" w:cs="宋体"/>
          <w:color w:val="auto"/>
          <w:sz w:val="24"/>
          <w:szCs w:val="24"/>
          <w:highlight w:val="none"/>
          <w:u w:val="single"/>
          <w:lang w:val="en-US" w:eastAsia="zh-CN"/>
        </w:rPr>
        <w:t xml:space="preserve"> 滁州市科学技术馆 ，采购人指定地点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B5D257F">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1.5.3服务方式：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现场驻点服务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32AC062B">
      <w:pPr>
        <w:keepNext w:val="0"/>
        <w:keepLines w:val="0"/>
        <w:pageBreakBefore w:val="0"/>
        <w:kinsoku/>
        <w:wordWrap/>
        <w:overflowPunct/>
        <w:topLinePunct w:val="0"/>
        <w:bidi w:val="0"/>
        <w:snapToGrid/>
        <w:spacing w:line="500" w:lineRule="exact"/>
        <w:ind w:firstLine="437"/>
        <w:textAlignment w:val="auto"/>
        <w:outlineLvl w:val="3"/>
        <w:rPr>
          <w:rFonts w:hint="eastAsia" w:ascii="宋体" w:hAnsi="宋体" w:eastAsia="宋体" w:cs="宋体"/>
          <w:b/>
          <w:bCs/>
          <w:color w:val="auto"/>
          <w:sz w:val="24"/>
          <w:szCs w:val="24"/>
          <w:highlight w:val="none"/>
          <w:lang w:val="zh-CN"/>
        </w:rPr>
      </w:pPr>
      <w:bookmarkStart w:id="90" w:name="_Toc19554"/>
      <w:bookmarkStart w:id="91" w:name="_Toc21423"/>
      <w:bookmarkStart w:id="92" w:name="_Toc27250"/>
      <w:r>
        <w:rPr>
          <w:rFonts w:hint="eastAsia" w:ascii="宋体" w:hAnsi="宋体" w:eastAsia="宋体" w:cs="宋体"/>
          <w:b/>
          <w:bCs/>
          <w:color w:val="auto"/>
          <w:sz w:val="24"/>
          <w:szCs w:val="24"/>
          <w:highlight w:val="none"/>
          <w:lang w:val="zh-CN"/>
        </w:rPr>
        <w:t>1.6 违约责任</w:t>
      </w:r>
      <w:bookmarkEnd w:id="90"/>
      <w:bookmarkEnd w:id="91"/>
      <w:bookmarkEnd w:id="92"/>
    </w:p>
    <w:p w14:paraId="7FAA2039">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0.5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10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%；迟延履行的违约金计算数额达到前述最高限额之日起，甲方有权在要求乙方支付违约金的同时，书面通知乙方解除本合同；</w:t>
      </w:r>
    </w:p>
    <w:p w14:paraId="761671DD">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0.5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10  </w:t>
      </w:r>
      <w:r>
        <w:rPr>
          <w:rFonts w:hint="eastAsia" w:ascii="宋体" w:hAnsi="宋体" w:eastAsia="宋体" w:cs="宋体"/>
          <w:color w:val="auto"/>
          <w:sz w:val="24"/>
          <w:szCs w:val="24"/>
          <w:highlight w:val="none"/>
        </w:rPr>
        <w:t>%；迟延付款的违约金计算数额达到前述最高限额之日起，乙方有权在要求甲方支付违约金的同时，书面通知甲方解除本合同；</w:t>
      </w:r>
    </w:p>
    <w:p w14:paraId="78B12E83">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524A1B4">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5CEA269">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6E9362A">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7AADABAF">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1.6.7因甲方未按合同约定支付价款、未按合同约定受领标的物、擅自解除合同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04D7DCFD">
      <w:pPr>
        <w:keepNext w:val="0"/>
        <w:keepLines w:val="0"/>
        <w:pageBreakBefore w:val="0"/>
        <w:kinsoku/>
        <w:wordWrap/>
        <w:overflowPunct/>
        <w:topLinePunct w:val="0"/>
        <w:bidi w:val="0"/>
        <w:snapToGrid/>
        <w:spacing w:line="500" w:lineRule="exact"/>
        <w:ind w:firstLine="437"/>
        <w:textAlignment w:val="auto"/>
        <w:outlineLvl w:val="3"/>
        <w:rPr>
          <w:rFonts w:hint="eastAsia" w:ascii="宋体" w:hAnsi="宋体" w:eastAsia="宋体" w:cs="宋体"/>
          <w:b/>
          <w:bCs/>
          <w:color w:val="auto"/>
          <w:sz w:val="24"/>
          <w:szCs w:val="24"/>
          <w:highlight w:val="none"/>
          <w:lang w:val="zh-CN"/>
        </w:rPr>
      </w:pPr>
      <w:bookmarkStart w:id="93" w:name="_Toc16021"/>
      <w:bookmarkStart w:id="94" w:name="_Toc28375"/>
      <w:bookmarkStart w:id="95" w:name="_Toc15583"/>
      <w:r>
        <w:rPr>
          <w:rFonts w:hint="eastAsia" w:ascii="宋体" w:hAnsi="宋体" w:eastAsia="宋体" w:cs="宋体"/>
          <w:b/>
          <w:bCs/>
          <w:color w:val="auto"/>
          <w:sz w:val="24"/>
          <w:szCs w:val="24"/>
          <w:highlight w:val="none"/>
          <w:lang w:val="zh-CN"/>
        </w:rPr>
        <w:t>1.7 合同争议的解决</w:t>
      </w:r>
      <w:bookmarkEnd w:id="93"/>
      <w:bookmarkEnd w:id="94"/>
      <w:bookmarkEnd w:id="95"/>
    </w:p>
    <w:p w14:paraId="1D9D3DF3">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1.7.2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种方式解决：</w:t>
      </w:r>
    </w:p>
    <w:p w14:paraId="7E369597">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1.7.1将争议提交</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滁州</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仲裁委员会依申请仲裁时其现行有效的仲裁规则裁决；</w:t>
      </w:r>
    </w:p>
    <w:p w14:paraId="77217B85">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有管辖权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人民法院起诉。</w:t>
      </w:r>
    </w:p>
    <w:p w14:paraId="6FDD3833">
      <w:pPr>
        <w:keepNext w:val="0"/>
        <w:keepLines w:val="0"/>
        <w:pageBreakBefore w:val="0"/>
        <w:kinsoku/>
        <w:wordWrap/>
        <w:overflowPunct/>
        <w:topLinePunct w:val="0"/>
        <w:bidi w:val="0"/>
        <w:snapToGrid/>
        <w:spacing w:line="500" w:lineRule="exact"/>
        <w:ind w:firstLine="437"/>
        <w:textAlignment w:val="auto"/>
        <w:outlineLvl w:val="3"/>
        <w:rPr>
          <w:rFonts w:hint="eastAsia" w:ascii="宋体" w:hAnsi="宋体" w:eastAsia="宋体" w:cs="宋体"/>
          <w:b/>
          <w:bCs/>
          <w:color w:val="auto"/>
          <w:sz w:val="24"/>
          <w:szCs w:val="24"/>
          <w:highlight w:val="none"/>
          <w:lang w:val="zh-CN"/>
        </w:rPr>
      </w:pPr>
      <w:bookmarkStart w:id="96" w:name="_Toc15322"/>
      <w:bookmarkStart w:id="97" w:name="_Toc11173"/>
      <w:bookmarkStart w:id="98" w:name="_Toc7245"/>
      <w:r>
        <w:rPr>
          <w:rFonts w:hint="eastAsia" w:ascii="宋体" w:hAnsi="宋体" w:eastAsia="宋体" w:cs="宋体"/>
          <w:b/>
          <w:bCs/>
          <w:color w:val="auto"/>
          <w:sz w:val="24"/>
          <w:szCs w:val="24"/>
          <w:highlight w:val="none"/>
          <w:lang w:val="zh-CN"/>
        </w:rPr>
        <w:t>1.8 合同生效</w:t>
      </w:r>
      <w:bookmarkEnd w:id="96"/>
      <w:bookmarkEnd w:id="97"/>
      <w:bookmarkEnd w:id="98"/>
    </w:p>
    <w:p w14:paraId="082D3872">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本合同自双方当事人盖章时生效。</w:t>
      </w:r>
    </w:p>
    <w:p w14:paraId="03ABA0E7">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甲    方：</w:t>
      </w:r>
      <w:r>
        <w:rPr>
          <w:rFonts w:hint="eastAsia" w:ascii="宋体" w:hAnsi="宋体" w:eastAsia="宋体" w:cs="宋体"/>
          <w:bCs/>
          <w:color w:val="auto"/>
          <w:sz w:val="24"/>
          <w:szCs w:val="24"/>
          <w:highlight w:val="none"/>
          <w:u w:val="single"/>
          <w:lang w:val="zh-CN"/>
        </w:rPr>
        <w:t xml:space="preserve">    （单位盖章）     </w:t>
      </w:r>
      <w:r>
        <w:rPr>
          <w:rFonts w:hint="eastAsia" w:ascii="宋体" w:hAnsi="宋体" w:eastAsia="宋体" w:cs="宋体"/>
          <w:bCs/>
          <w:color w:val="auto"/>
          <w:sz w:val="24"/>
          <w:szCs w:val="24"/>
          <w:highlight w:val="none"/>
          <w:lang w:val="zh-CN"/>
        </w:rPr>
        <w:t xml:space="preserve">          乙方：</w:t>
      </w:r>
      <w:r>
        <w:rPr>
          <w:rFonts w:hint="eastAsia" w:ascii="宋体" w:hAnsi="宋体" w:eastAsia="宋体" w:cs="宋体"/>
          <w:bCs/>
          <w:color w:val="auto"/>
          <w:sz w:val="24"/>
          <w:szCs w:val="24"/>
          <w:highlight w:val="none"/>
          <w:u w:val="single"/>
          <w:lang w:val="zh-CN"/>
        </w:rPr>
        <w:t xml:space="preserve">    （单位盖章）     </w:t>
      </w:r>
    </w:p>
    <w:p w14:paraId="27A2C647">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                               法定代表人</w:t>
      </w:r>
    </w:p>
    <w:p w14:paraId="77AA9ED7">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或授权代表（签字）：                      或授权代表（签字）：</w:t>
      </w:r>
    </w:p>
    <w:p w14:paraId="0742EA27">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bCs/>
          <w:color w:val="auto"/>
          <w:sz w:val="24"/>
          <w:szCs w:val="24"/>
          <w:highlight w:val="none"/>
        </w:rPr>
      </w:pPr>
      <w:bookmarkStart w:id="99" w:name="_Toc331685783"/>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               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14:paraId="22196FA8">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乙方账户信息</w:t>
      </w:r>
    </w:p>
    <w:p w14:paraId="0EFD29C3">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户名：</w:t>
      </w:r>
      <w:r>
        <w:rPr>
          <w:rFonts w:hint="eastAsia" w:ascii="宋体" w:hAnsi="宋体" w:eastAsia="宋体" w:cs="宋体"/>
          <w:bCs/>
          <w:color w:val="auto"/>
          <w:sz w:val="24"/>
          <w:szCs w:val="24"/>
          <w:highlight w:val="none"/>
          <w:u w:val="single"/>
        </w:rPr>
        <w:t xml:space="preserve">            </w:t>
      </w:r>
    </w:p>
    <w:p w14:paraId="47933B4B">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账号：</w:t>
      </w:r>
      <w:r>
        <w:rPr>
          <w:rFonts w:hint="eastAsia" w:ascii="宋体" w:hAnsi="宋体" w:eastAsia="宋体" w:cs="宋体"/>
          <w:bCs/>
          <w:color w:val="auto"/>
          <w:sz w:val="24"/>
          <w:szCs w:val="24"/>
          <w:highlight w:val="none"/>
          <w:u w:val="single"/>
        </w:rPr>
        <w:t xml:space="preserve">            </w:t>
      </w:r>
    </w:p>
    <w:p w14:paraId="69A6E57A">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开户银行：</w:t>
      </w:r>
      <w:r>
        <w:rPr>
          <w:rFonts w:hint="eastAsia" w:ascii="宋体" w:hAnsi="宋体" w:eastAsia="宋体" w:cs="宋体"/>
          <w:bCs/>
          <w:color w:val="auto"/>
          <w:sz w:val="24"/>
          <w:szCs w:val="24"/>
          <w:highlight w:val="none"/>
          <w:u w:val="single"/>
        </w:rPr>
        <w:t xml:space="preserve">        </w:t>
      </w:r>
    </w:p>
    <w:p w14:paraId="35465A90">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3E2EB996">
      <w:pPr>
        <w:spacing w:line="360" w:lineRule="auto"/>
        <w:jc w:val="center"/>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第二部分</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合同一般条款</w:t>
      </w:r>
      <w:bookmarkEnd w:id="99"/>
    </w:p>
    <w:p w14:paraId="3673F296">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00" w:name="_Ref467379094"/>
      <w:bookmarkStart w:id="101" w:name="_Ref467378499"/>
      <w:bookmarkStart w:id="102" w:name="_Toc487900349"/>
      <w:bookmarkStart w:id="103" w:name="_Ref467379101"/>
      <w:bookmarkStart w:id="104" w:name="_Ref467379109"/>
      <w:bookmarkStart w:id="105" w:name="_Ref467379195"/>
      <w:bookmarkStart w:id="106" w:name="_Toc16917"/>
      <w:bookmarkStart w:id="107" w:name="_Toc28763"/>
      <w:bookmarkStart w:id="108" w:name="_Toc279701240"/>
      <w:bookmarkStart w:id="109" w:name="_Ref467378404"/>
      <w:bookmarkStart w:id="110" w:name="_Toc19614"/>
      <w:bookmarkStart w:id="111" w:name="_Toc259093669"/>
      <w:bookmarkStart w:id="112" w:name="_Ref467378463"/>
      <w:bookmarkStart w:id="113" w:name="_Ref467379205"/>
      <w:bookmarkStart w:id="114" w:name="_Ref467379225"/>
      <w:bookmarkStart w:id="115" w:name="_Ref467379214"/>
      <w:r>
        <w:rPr>
          <w:rFonts w:hint="eastAsia" w:ascii="宋体" w:hAnsi="宋体" w:eastAsia="宋体" w:cs="宋体"/>
          <w:b/>
          <w:bCs/>
          <w:color w:val="auto"/>
          <w:sz w:val="24"/>
          <w:highlight w:val="none"/>
          <w:lang w:val="zh-CN"/>
        </w:rPr>
        <w:t>2.1 定义</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15ABECF3">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14:paraId="19D59310">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2.1.1“合同”系指采购人和成交供应商签订的载明双方当事人所达成的协议，并包括所有的附件、附录和构成合同的其他文件。</w:t>
      </w:r>
    </w:p>
    <w:p w14:paraId="4C795C4C">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2.1.2“合同价”系指根据合同约定，成交供应商在完全履行合同义务后，采购人应支付给成交供应商的价格。</w:t>
      </w:r>
    </w:p>
    <w:p w14:paraId="6E768F5A">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2.1.3“服务”系指成交供应商根据合同约定应向采购人履行的除货物和工程以外的其他政府采购对象，包括采购人自身需要的服务和向社会公众提供的公共服务。</w:t>
      </w:r>
    </w:p>
    <w:p w14:paraId="150BFE8B">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bookmarkStart w:id="116" w:name="_Ref467378840"/>
      <w:r>
        <w:rPr>
          <w:rFonts w:hint="eastAsia" w:ascii="宋体" w:hAnsi="宋体" w:eastAsia="宋体" w:cs="宋体"/>
          <w:color w:val="auto"/>
          <w:sz w:val="24"/>
          <w:highlight w:val="none"/>
        </w:rPr>
        <w:t>2.1.4“甲方”系指与成交供应商签署合同的采购人</w:t>
      </w:r>
      <w:bookmarkEnd w:id="116"/>
      <w:r>
        <w:rPr>
          <w:rFonts w:hint="eastAsia" w:ascii="宋体" w:hAnsi="宋体" w:eastAsia="宋体" w:cs="宋体"/>
          <w:color w:val="auto"/>
          <w:sz w:val="24"/>
          <w:highlight w:val="none"/>
        </w:rPr>
        <w:t>；采购人委托采购代理机构代表其与乙方签订合同的，采购人的授权委托书作为合同附件。</w:t>
      </w:r>
    </w:p>
    <w:p w14:paraId="6C175583">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bookmarkStart w:id="117" w:name="_Ref467379400"/>
      <w:r>
        <w:rPr>
          <w:rFonts w:hint="eastAsia" w:ascii="宋体" w:hAnsi="宋体" w:eastAsia="宋体" w:cs="宋体"/>
          <w:color w:val="auto"/>
          <w:sz w:val="24"/>
          <w:highlight w:val="none"/>
        </w:rPr>
        <w:t>2.1.5“乙方”系指根据合同约定提供服务的成交供应商</w:t>
      </w:r>
      <w:bookmarkEnd w:id="117"/>
      <w:r>
        <w:rPr>
          <w:rFonts w:hint="eastAsia" w:ascii="宋体" w:hAnsi="宋体" w:eastAsia="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E12CA48">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bookmarkStart w:id="118" w:name="_Ref467379436"/>
      <w:r>
        <w:rPr>
          <w:rFonts w:hint="eastAsia" w:ascii="宋体" w:hAnsi="宋体" w:eastAsia="宋体" w:cs="宋体"/>
          <w:color w:val="auto"/>
          <w:sz w:val="24"/>
          <w:highlight w:val="none"/>
        </w:rPr>
        <w:t>2.1.6“现场”系指合同约定提供服务的地点。</w:t>
      </w:r>
      <w:bookmarkEnd w:id="118"/>
    </w:p>
    <w:p w14:paraId="4E0EF006">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19" w:name="_Toc13336"/>
      <w:bookmarkStart w:id="120" w:name="_Toc279701241"/>
      <w:bookmarkStart w:id="121" w:name="_Toc27635"/>
      <w:bookmarkStart w:id="122" w:name="_Toc487900350"/>
      <w:bookmarkStart w:id="123" w:name="_Toc259093670"/>
      <w:bookmarkStart w:id="124" w:name="_Toc32504"/>
      <w:r>
        <w:rPr>
          <w:rFonts w:hint="eastAsia" w:ascii="宋体" w:hAnsi="宋体" w:eastAsia="宋体" w:cs="宋体"/>
          <w:b/>
          <w:bCs/>
          <w:color w:val="auto"/>
          <w:sz w:val="24"/>
          <w:highlight w:val="none"/>
          <w:lang w:val="zh-CN"/>
        </w:rPr>
        <w:t>2.2 技术规范</w:t>
      </w:r>
      <w:bookmarkEnd w:id="119"/>
      <w:bookmarkEnd w:id="120"/>
      <w:bookmarkEnd w:id="121"/>
      <w:bookmarkEnd w:id="122"/>
      <w:bookmarkEnd w:id="123"/>
      <w:bookmarkEnd w:id="124"/>
    </w:p>
    <w:p w14:paraId="0AD58AA1">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35E36169">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25" w:name="_Toc259093671"/>
      <w:bookmarkStart w:id="126" w:name="_Toc487900351"/>
      <w:bookmarkStart w:id="127" w:name="_Toc31634"/>
      <w:bookmarkStart w:id="128" w:name="_Toc9829"/>
      <w:bookmarkStart w:id="129" w:name="_Toc279701242"/>
      <w:bookmarkStart w:id="130" w:name="_Toc27853"/>
      <w:r>
        <w:rPr>
          <w:rFonts w:hint="eastAsia" w:ascii="宋体" w:hAnsi="宋体" w:eastAsia="宋体" w:cs="宋体"/>
          <w:b/>
          <w:bCs/>
          <w:color w:val="auto"/>
          <w:sz w:val="24"/>
          <w:highlight w:val="none"/>
          <w:lang w:val="zh-CN"/>
        </w:rPr>
        <w:t>2.3 知识产权</w:t>
      </w:r>
      <w:bookmarkEnd w:id="125"/>
      <w:bookmarkEnd w:id="126"/>
      <w:bookmarkEnd w:id="127"/>
      <w:bookmarkEnd w:id="128"/>
      <w:bookmarkEnd w:id="129"/>
      <w:bookmarkEnd w:id="130"/>
    </w:p>
    <w:p w14:paraId="32AAFADC">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17F1CE4E">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2.3.2具有知识产权的计算机软件等货物的知识产权归属，详见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016F8FF1">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31" w:name="_Ref467379542"/>
      <w:bookmarkStart w:id="132" w:name="_Ref467378541"/>
      <w:bookmarkStart w:id="133" w:name="_Toc487900354"/>
      <w:bookmarkStart w:id="134" w:name="_Ref467379536"/>
      <w:bookmarkStart w:id="135" w:name="_Toc279701245"/>
      <w:bookmarkStart w:id="136" w:name="_Toc259093674"/>
      <w:bookmarkStart w:id="137" w:name="_Ref467378591"/>
      <w:bookmarkStart w:id="138" w:name="_Ref467379527"/>
      <w:bookmarkStart w:id="139" w:name="_Toc30272"/>
      <w:bookmarkStart w:id="140" w:name="_Toc19074"/>
      <w:bookmarkStart w:id="141" w:name="_Toc26182"/>
      <w:r>
        <w:rPr>
          <w:rFonts w:hint="eastAsia" w:ascii="宋体" w:hAnsi="宋体" w:eastAsia="宋体" w:cs="宋体"/>
          <w:b/>
          <w:bCs/>
          <w:color w:val="auto"/>
          <w:sz w:val="24"/>
          <w:highlight w:val="none"/>
          <w:lang w:val="zh-CN"/>
        </w:rPr>
        <w:t>2.</w:t>
      </w:r>
      <w:bookmarkEnd w:id="131"/>
      <w:bookmarkEnd w:id="132"/>
      <w:bookmarkEnd w:id="133"/>
      <w:bookmarkEnd w:id="134"/>
      <w:bookmarkEnd w:id="135"/>
      <w:bookmarkEnd w:id="136"/>
      <w:bookmarkEnd w:id="137"/>
      <w:bookmarkEnd w:id="138"/>
      <w:r>
        <w:rPr>
          <w:rFonts w:hint="eastAsia" w:ascii="宋体" w:hAnsi="宋体" w:eastAsia="宋体" w:cs="宋体"/>
          <w:b/>
          <w:bCs/>
          <w:color w:val="auto"/>
          <w:sz w:val="24"/>
          <w:highlight w:val="none"/>
          <w:lang w:val="zh-CN"/>
        </w:rPr>
        <w:t>4 履约检查和问题反馈</w:t>
      </w:r>
      <w:bookmarkEnd w:id="139"/>
      <w:bookmarkEnd w:id="140"/>
      <w:bookmarkEnd w:id="141"/>
    </w:p>
    <w:p w14:paraId="5A13AEFA">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bookmarkStart w:id="142" w:name="_Toc186431854"/>
      <w:bookmarkStart w:id="143" w:name="_Toc279701247"/>
      <w:bookmarkStart w:id="144" w:name="_Toc259093676"/>
      <w:bookmarkStart w:id="145" w:name="_Ref467379793"/>
      <w:bookmarkStart w:id="146" w:name="_Toc487900357"/>
      <w:bookmarkStart w:id="147" w:name="_Ref467379807"/>
      <w:r>
        <w:rPr>
          <w:rFonts w:hint="eastAsia" w:ascii="宋体" w:hAnsi="宋体" w:eastAsia="宋体" w:cs="宋体"/>
          <w:color w:val="auto"/>
          <w:sz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6B79B8C3">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2.4.2合同履行期间，甲方有权将履行过程中出现的问题反馈给乙方，双方当事人应以书面形式约定需要完善和改进的内容</w:t>
      </w:r>
      <w:bookmarkEnd w:id="142"/>
      <w:bookmarkStart w:id="148" w:name="_Toc186431855"/>
      <w:r>
        <w:rPr>
          <w:rFonts w:hint="eastAsia" w:ascii="宋体" w:hAnsi="宋体" w:eastAsia="宋体" w:cs="宋体"/>
          <w:color w:val="auto"/>
          <w:sz w:val="24"/>
          <w:highlight w:val="none"/>
        </w:rPr>
        <w:t>。</w:t>
      </w:r>
    </w:p>
    <w:bookmarkEnd w:id="148"/>
    <w:p w14:paraId="1411F834">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49" w:name="_Toc19219"/>
      <w:bookmarkStart w:id="150" w:name="_Toc7836"/>
      <w:bookmarkStart w:id="151" w:name="_Toc28451"/>
      <w:r>
        <w:rPr>
          <w:rFonts w:hint="eastAsia" w:ascii="宋体" w:hAnsi="宋体" w:eastAsia="宋体" w:cs="宋体"/>
          <w:b/>
          <w:bCs/>
          <w:color w:val="auto"/>
          <w:sz w:val="24"/>
          <w:highlight w:val="none"/>
          <w:lang w:val="zh-CN"/>
        </w:rPr>
        <w:t>2.5 结算方式和付款条件</w:t>
      </w:r>
      <w:bookmarkEnd w:id="143"/>
      <w:bookmarkEnd w:id="144"/>
      <w:bookmarkEnd w:id="145"/>
      <w:bookmarkEnd w:id="146"/>
      <w:bookmarkEnd w:id="147"/>
      <w:bookmarkEnd w:id="149"/>
      <w:bookmarkEnd w:id="150"/>
      <w:bookmarkEnd w:id="151"/>
    </w:p>
    <w:p w14:paraId="587BC48B">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6AD35C73">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52" w:name="_Toc487900358"/>
      <w:bookmarkStart w:id="153" w:name="_Ref467379923"/>
      <w:bookmarkStart w:id="154" w:name="_Toc259093677"/>
      <w:bookmarkStart w:id="155" w:name="_Toc279701248"/>
      <w:bookmarkStart w:id="156" w:name="_Ref467379863"/>
      <w:bookmarkStart w:id="157" w:name="_Ref467379852"/>
      <w:bookmarkStart w:id="158" w:name="_Toc774"/>
      <w:bookmarkStart w:id="159" w:name="_Toc3225"/>
      <w:bookmarkStart w:id="160" w:name="_Toc16110"/>
      <w:r>
        <w:rPr>
          <w:rFonts w:hint="eastAsia" w:ascii="宋体" w:hAnsi="宋体" w:eastAsia="宋体" w:cs="宋体"/>
          <w:b/>
          <w:bCs/>
          <w:color w:val="auto"/>
          <w:sz w:val="24"/>
          <w:highlight w:val="none"/>
          <w:lang w:val="zh-CN"/>
        </w:rPr>
        <w:t>2.6 技术资料</w:t>
      </w:r>
      <w:bookmarkEnd w:id="152"/>
      <w:bookmarkEnd w:id="153"/>
      <w:bookmarkEnd w:id="154"/>
      <w:bookmarkEnd w:id="155"/>
      <w:bookmarkEnd w:id="156"/>
      <w:bookmarkEnd w:id="157"/>
      <w:r>
        <w:rPr>
          <w:rFonts w:hint="eastAsia" w:ascii="宋体" w:hAnsi="宋体" w:eastAsia="宋体" w:cs="宋体"/>
          <w:b/>
          <w:bCs/>
          <w:color w:val="auto"/>
          <w:sz w:val="24"/>
          <w:highlight w:val="none"/>
          <w:lang w:val="zh-CN"/>
        </w:rPr>
        <w:t>和保密义务</w:t>
      </w:r>
      <w:bookmarkEnd w:id="158"/>
      <w:bookmarkEnd w:id="159"/>
      <w:bookmarkEnd w:id="160"/>
    </w:p>
    <w:p w14:paraId="73F68396">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2.6.1乙方有权依据合同约定和项目需要，向甲方了解有关情况，调阅有关资料等，甲方应予积极配合；</w:t>
      </w:r>
    </w:p>
    <w:p w14:paraId="3A02F1E9">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2.6.2乙方有义务妥善保管和保护由甲方提供的前款信息和资料等；</w:t>
      </w:r>
    </w:p>
    <w:p w14:paraId="2F0588F1">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8E695FE">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61" w:name="_Toc7860"/>
      <w:r>
        <w:rPr>
          <w:rFonts w:hint="eastAsia" w:ascii="宋体" w:hAnsi="宋体" w:eastAsia="宋体" w:cs="宋体"/>
          <w:b/>
          <w:bCs/>
          <w:color w:val="auto"/>
          <w:sz w:val="24"/>
          <w:highlight w:val="none"/>
          <w:lang w:val="zh-CN"/>
        </w:rPr>
        <w:t>2.7 质量保证</w:t>
      </w:r>
      <w:bookmarkEnd w:id="161"/>
    </w:p>
    <w:p w14:paraId="5000421D">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2.7.1乙方应建立和完善履行合同的内部质量保证体系，并提供相关内部规章制度给甲方，以便甲方进行监督检查；</w:t>
      </w:r>
    </w:p>
    <w:p w14:paraId="6ECF68CD">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2.7.2乙方应保证履行合同的人员数量和素质、软件和硬件设备的配置、场地、环境和设施等满足全面履行合同的要求，并应接受甲方的监督检查。</w:t>
      </w:r>
    </w:p>
    <w:p w14:paraId="318099B6">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color w:val="auto"/>
          <w:sz w:val="24"/>
          <w:highlight w:val="none"/>
        </w:rPr>
      </w:pPr>
      <w:bookmarkStart w:id="162" w:name="_Toc22267"/>
      <w:r>
        <w:rPr>
          <w:rFonts w:hint="eastAsia" w:ascii="宋体" w:hAnsi="宋体" w:eastAsia="宋体" w:cs="宋体"/>
          <w:b/>
          <w:color w:val="auto"/>
          <w:sz w:val="24"/>
          <w:highlight w:val="none"/>
        </w:rPr>
        <w:t>2.8 延迟履行</w:t>
      </w:r>
      <w:bookmarkEnd w:id="162"/>
    </w:p>
    <w:p w14:paraId="57AD4257">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6E9F6972">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63" w:name="_Toc7502"/>
      <w:bookmarkStart w:id="164" w:name="_Toc279701254"/>
      <w:bookmarkStart w:id="165" w:name="_Ref467378121"/>
      <w:bookmarkStart w:id="166" w:name="_Toc487900364"/>
      <w:bookmarkStart w:id="167" w:name="_Toc259093683"/>
      <w:r>
        <w:rPr>
          <w:rFonts w:hint="eastAsia" w:ascii="宋体" w:hAnsi="宋体" w:eastAsia="宋体" w:cs="宋体"/>
          <w:b/>
          <w:bCs/>
          <w:color w:val="auto"/>
          <w:sz w:val="24"/>
          <w:highlight w:val="none"/>
          <w:lang w:val="zh-CN"/>
        </w:rPr>
        <w:t>2.9 合同变更</w:t>
      </w:r>
      <w:bookmarkEnd w:id="163"/>
    </w:p>
    <w:p w14:paraId="05C06321">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2.9.1双方当事人协商一致，可以签订书面补充合同的形式变更合同，但不得违背采购文件确定的事项；</w:t>
      </w:r>
    </w:p>
    <w:p w14:paraId="2F24D0CC">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2.9.2合同继续履行将损害国家利益和社会公共利益的，双方当事人应当以书面形式变更合同。有过错的一方应当承担赔偿责任，双方当事人都有过错的，各自承担相应的责任。</w:t>
      </w:r>
      <w:bookmarkStart w:id="168" w:name="_Toc259093688"/>
      <w:bookmarkStart w:id="169" w:name="_Toc279701259"/>
      <w:bookmarkStart w:id="170" w:name="_Toc487900369"/>
    </w:p>
    <w:p w14:paraId="4B095DC3">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71" w:name="_Toc22955"/>
      <w:bookmarkStart w:id="172" w:name="_Toc10366"/>
      <w:bookmarkStart w:id="173" w:name="_Toc15237"/>
      <w:r>
        <w:rPr>
          <w:rFonts w:hint="eastAsia" w:ascii="宋体" w:hAnsi="宋体" w:eastAsia="宋体" w:cs="宋体"/>
          <w:b/>
          <w:bCs/>
          <w:color w:val="auto"/>
          <w:sz w:val="24"/>
          <w:highlight w:val="none"/>
          <w:lang w:val="zh-CN"/>
        </w:rPr>
        <w:t>2.10 合同转让</w:t>
      </w:r>
      <w:bookmarkEnd w:id="168"/>
      <w:bookmarkEnd w:id="169"/>
      <w:bookmarkEnd w:id="170"/>
      <w:r>
        <w:rPr>
          <w:rFonts w:hint="eastAsia" w:ascii="宋体" w:hAnsi="宋体" w:eastAsia="宋体" w:cs="宋体"/>
          <w:b/>
          <w:bCs/>
          <w:color w:val="auto"/>
          <w:sz w:val="24"/>
          <w:highlight w:val="none"/>
          <w:lang w:val="zh-CN"/>
        </w:rPr>
        <w:t>和分包</w:t>
      </w:r>
      <w:bookmarkEnd w:id="171"/>
      <w:bookmarkEnd w:id="172"/>
      <w:bookmarkEnd w:id="173"/>
    </w:p>
    <w:p w14:paraId="4722C718">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416F211">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74" w:name="_Toc13566"/>
      <w:bookmarkStart w:id="175" w:name="_Toc16508"/>
      <w:bookmarkStart w:id="176" w:name="_Toc14066"/>
      <w:r>
        <w:rPr>
          <w:rFonts w:hint="eastAsia" w:ascii="宋体" w:hAnsi="宋体" w:eastAsia="宋体" w:cs="宋体"/>
          <w:b/>
          <w:bCs/>
          <w:color w:val="auto"/>
          <w:sz w:val="24"/>
          <w:highlight w:val="none"/>
          <w:lang w:val="zh-CN"/>
        </w:rPr>
        <w:t>2.11 不可抗力</w:t>
      </w:r>
      <w:bookmarkEnd w:id="174"/>
      <w:bookmarkEnd w:id="175"/>
      <w:bookmarkEnd w:id="176"/>
    </w:p>
    <w:p w14:paraId="31E0B89D">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2.11.1如果任何一方遭遇法律规定的不可抗力，致使合同履行受阻时，履行合同的期限应予延长，延长的期限应相当于不可抗力所影响的时间；</w:t>
      </w:r>
    </w:p>
    <w:p w14:paraId="71E8B2FE">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2.11.2因不可抗力致使不能实现合同目的的，当事人可以解除合同；</w:t>
      </w:r>
    </w:p>
    <w:p w14:paraId="2763D188">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2.11.3因不可抗力致使合同有变更必要的，双方当事人应在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14:paraId="07CDF9AF">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2.11.4受不可抗力影响的一方在不可抗力发生后，应在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14:paraId="036A10C5">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77" w:name="_Toc6969"/>
      <w:bookmarkStart w:id="178" w:name="_Toc689"/>
      <w:bookmarkStart w:id="179" w:name="_Toc487900365"/>
      <w:bookmarkStart w:id="180" w:name="_Toc259093684"/>
      <w:bookmarkStart w:id="181" w:name="_Toc30676"/>
      <w:bookmarkStart w:id="182" w:name="_Toc279701255"/>
      <w:r>
        <w:rPr>
          <w:rFonts w:hint="eastAsia" w:ascii="宋体" w:hAnsi="宋体" w:eastAsia="宋体" w:cs="宋体"/>
          <w:b/>
          <w:bCs/>
          <w:color w:val="auto"/>
          <w:sz w:val="24"/>
          <w:highlight w:val="none"/>
          <w:lang w:val="zh-CN"/>
        </w:rPr>
        <w:t>2.12 税费</w:t>
      </w:r>
      <w:bookmarkEnd w:id="177"/>
      <w:bookmarkEnd w:id="178"/>
      <w:bookmarkEnd w:id="179"/>
      <w:bookmarkEnd w:id="180"/>
      <w:bookmarkEnd w:id="181"/>
      <w:bookmarkEnd w:id="182"/>
    </w:p>
    <w:p w14:paraId="219FAFF8">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与合同有关的一切税费，均按照中华人民共和国法律的相关规定缴纳。</w:t>
      </w:r>
    </w:p>
    <w:p w14:paraId="4B619DB3">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83" w:name="_Toc259093687"/>
      <w:bookmarkStart w:id="184" w:name="_Toc8298"/>
      <w:bookmarkStart w:id="185" w:name="_Toc487900368"/>
      <w:bookmarkStart w:id="186" w:name="_Toc7102"/>
      <w:bookmarkStart w:id="187" w:name="_Toc16959"/>
      <w:bookmarkStart w:id="188" w:name="_Toc279701258"/>
      <w:r>
        <w:rPr>
          <w:rFonts w:hint="eastAsia" w:ascii="宋体" w:hAnsi="宋体" w:eastAsia="宋体" w:cs="宋体"/>
          <w:b/>
          <w:bCs/>
          <w:color w:val="auto"/>
          <w:sz w:val="24"/>
          <w:highlight w:val="none"/>
          <w:lang w:val="zh-CN"/>
        </w:rPr>
        <w:t>2.13 乙方破产</w:t>
      </w:r>
      <w:bookmarkEnd w:id="183"/>
      <w:bookmarkEnd w:id="184"/>
      <w:bookmarkEnd w:id="185"/>
      <w:bookmarkEnd w:id="186"/>
      <w:bookmarkEnd w:id="187"/>
      <w:bookmarkEnd w:id="188"/>
    </w:p>
    <w:p w14:paraId="0340A91B">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06F6C2D">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color w:val="auto"/>
          <w:sz w:val="24"/>
          <w:highlight w:val="none"/>
        </w:rPr>
      </w:pPr>
      <w:bookmarkStart w:id="189" w:name="_Toc29333"/>
      <w:bookmarkStart w:id="190" w:name="_Toc15387"/>
      <w:bookmarkStart w:id="191" w:name="_Toc6134"/>
      <w:r>
        <w:rPr>
          <w:rFonts w:hint="eastAsia" w:ascii="宋体" w:hAnsi="宋体" w:eastAsia="宋体" w:cs="宋体"/>
          <w:b/>
          <w:bCs/>
          <w:color w:val="auto"/>
          <w:sz w:val="24"/>
          <w:highlight w:val="none"/>
          <w:lang w:val="zh-CN"/>
        </w:rPr>
        <w:t>2.14 合同中止、终止</w:t>
      </w:r>
      <w:bookmarkEnd w:id="189"/>
      <w:bookmarkEnd w:id="190"/>
      <w:bookmarkEnd w:id="191"/>
    </w:p>
    <w:p w14:paraId="1624090C">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2.14.1双方当事人不得擅自中止或者终止合同；</w:t>
      </w:r>
    </w:p>
    <w:p w14:paraId="3FFEB299">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58C2A41C">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92" w:name="_Toc14563"/>
      <w:bookmarkStart w:id="193" w:name="_Toc1125"/>
      <w:bookmarkStart w:id="194" w:name="_Toc6596"/>
      <w:r>
        <w:rPr>
          <w:rFonts w:hint="eastAsia" w:ascii="宋体" w:hAnsi="宋体" w:eastAsia="宋体" w:cs="宋体"/>
          <w:b/>
          <w:bCs/>
          <w:color w:val="auto"/>
          <w:sz w:val="24"/>
          <w:highlight w:val="none"/>
          <w:lang w:val="zh-CN"/>
        </w:rPr>
        <w:t>2.15 检验和验收</w:t>
      </w:r>
      <w:bookmarkEnd w:id="192"/>
      <w:bookmarkEnd w:id="193"/>
      <w:bookmarkEnd w:id="194"/>
    </w:p>
    <w:p w14:paraId="293FC9BF">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2.15.1乙方按照</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的约定，定期提交服务报告，甲方按照</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的约定进行定期验收；</w:t>
      </w:r>
    </w:p>
    <w:p w14:paraId="45465D05">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9227821">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2.15.3检验和验收标准、程序等具体内容以及前述验收书的效力详见</w:t>
      </w:r>
      <w:r>
        <w:rPr>
          <w:rFonts w:hint="eastAsia" w:ascii="宋体" w:hAnsi="宋体" w:eastAsia="宋体" w:cs="宋体"/>
          <w:b/>
          <w:i/>
          <w:color w:val="auto"/>
          <w:sz w:val="24"/>
          <w:highlight w:val="none"/>
          <w:u w:val="single"/>
        </w:rPr>
        <w:t>合同专用条款</w:t>
      </w:r>
      <w:r>
        <w:rPr>
          <w:rFonts w:hint="eastAsia" w:ascii="宋体" w:hAnsi="宋体" w:eastAsia="宋体" w:cs="宋体"/>
          <w:i/>
          <w:color w:val="auto"/>
          <w:sz w:val="24"/>
          <w:highlight w:val="none"/>
        </w:rPr>
        <w:t>。</w:t>
      </w:r>
    </w:p>
    <w:bookmarkEnd w:id="164"/>
    <w:bookmarkEnd w:id="165"/>
    <w:bookmarkEnd w:id="166"/>
    <w:bookmarkEnd w:id="167"/>
    <w:p w14:paraId="4F211284">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rPr>
      </w:pPr>
      <w:bookmarkStart w:id="195" w:name="_Toc10330"/>
      <w:bookmarkStart w:id="196" w:name="_Toc487900373"/>
      <w:bookmarkStart w:id="197" w:name="_Toc279701263"/>
      <w:bookmarkStart w:id="198" w:name="_Toc259093692"/>
      <w:bookmarkStart w:id="199" w:name="_Toc12773"/>
      <w:bookmarkStart w:id="200" w:name="_Toc18567"/>
      <w:r>
        <w:rPr>
          <w:rFonts w:hint="eastAsia" w:ascii="宋体" w:hAnsi="宋体" w:eastAsia="宋体" w:cs="宋体"/>
          <w:b/>
          <w:bCs/>
          <w:color w:val="auto"/>
          <w:sz w:val="24"/>
          <w:highlight w:val="none"/>
        </w:rPr>
        <w:t xml:space="preserve">2.16 </w:t>
      </w:r>
      <w:r>
        <w:rPr>
          <w:rFonts w:hint="eastAsia" w:ascii="宋体" w:hAnsi="宋体" w:eastAsia="宋体" w:cs="宋体"/>
          <w:b/>
          <w:bCs/>
          <w:color w:val="auto"/>
          <w:sz w:val="24"/>
          <w:highlight w:val="none"/>
          <w:lang w:val="zh-CN"/>
        </w:rPr>
        <w:t>合同使用的文字和适用的法律</w:t>
      </w:r>
      <w:bookmarkEnd w:id="195"/>
      <w:bookmarkEnd w:id="196"/>
      <w:bookmarkEnd w:id="197"/>
      <w:bookmarkEnd w:id="198"/>
      <w:bookmarkEnd w:id="199"/>
      <w:bookmarkEnd w:id="200"/>
    </w:p>
    <w:p w14:paraId="0024B3CD">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2.16.1合同使用汉语书就、变更和解释；</w:t>
      </w:r>
    </w:p>
    <w:p w14:paraId="1CB4BC79">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2.16.2合同适用中华人民共和国法律。</w:t>
      </w:r>
    </w:p>
    <w:p w14:paraId="785E7A82">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color w:val="auto"/>
          <w:sz w:val="24"/>
          <w:highlight w:val="none"/>
        </w:rPr>
      </w:pPr>
      <w:bookmarkStart w:id="201" w:name="_Toc12004"/>
      <w:bookmarkStart w:id="202" w:name="_Toc3148"/>
      <w:bookmarkStart w:id="203" w:name="_Toc279701264"/>
      <w:bookmarkStart w:id="204" w:name="_Toc259093693"/>
      <w:bookmarkStart w:id="205" w:name="_Toc16673"/>
      <w:bookmarkStart w:id="206" w:name="_Toc487900374"/>
      <w:r>
        <w:rPr>
          <w:rFonts w:hint="eastAsia" w:ascii="宋体" w:hAnsi="宋体" w:eastAsia="宋体" w:cs="宋体"/>
          <w:b/>
          <w:bCs/>
          <w:color w:val="auto"/>
          <w:sz w:val="24"/>
          <w:highlight w:val="none"/>
          <w:lang w:val="zh-CN"/>
        </w:rPr>
        <w:t>2.17 履约保证金</w:t>
      </w:r>
      <w:bookmarkEnd w:id="201"/>
      <w:bookmarkEnd w:id="202"/>
      <w:bookmarkEnd w:id="203"/>
      <w:bookmarkEnd w:id="204"/>
      <w:bookmarkEnd w:id="205"/>
    </w:p>
    <w:p w14:paraId="54C2901E">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2.17.1采购文件要求乙方提交履约保证金的，乙方应按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约定的方式，以支票、汇票、本票或者金融机构、担保机构出具的保函等非现金形式提交；</w:t>
      </w:r>
    </w:p>
    <w:p w14:paraId="10778A44">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2.17.2履约保证金在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约定期间内不予退还或者应完全有效，前述约定期间届满之日起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个工作日内，甲方应将履约保证金退还乙方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逾期退还履约保证金</w:t>
      </w:r>
      <w:r>
        <w:rPr>
          <w:rFonts w:hint="eastAsia" w:ascii="宋体" w:hAnsi="宋体" w:eastAsia="宋体" w:cs="宋体"/>
          <w:color w:val="auto"/>
          <w:sz w:val="24"/>
          <w:szCs w:val="24"/>
          <w:highlight w:val="none"/>
          <w:lang w:val="en-US" w:eastAsia="zh-CN"/>
        </w:rPr>
        <w:t>应承担违约责任。</w:t>
      </w:r>
    </w:p>
    <w:p w14:paraId="10CEB34B">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06"/>
    <w:p w14:paraId="11FBBEFB">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color w:val="auto"/>
          <w:sz w:val="24"/>
          <w:highlight w:val="none"/>
        </w:rPr>
      </w:pPr>
      <w:bookmarkStart w:id="207" w:name="_Toc19890"/>
      <w:bookmarkStart w:id="208" w:name="_Toc14001"/>
      <w:bookmarkStart w:id="209" w:name="_Toc6885"/>
      <w:r>
        <w:rPr>
          <w:rFonts w:hint="eastAsia" w:ascii="宋体" w:hAnsi="宋体" w:eastAsia="宋体" w:cs="宋体"/>
          <w:b/>
          <w:bCs/>
          <w:color w:val="auto"/>
          <w:sz w:val="24"/>
          <w:highlight w:val="none"/>
          <w:lang w:val="zh-CN"/>
        </w:rPr>
        <w:t>2.18 合同份数</w:t>
      </w:r>
      <w:bookmarkEnd w:id="207"/>
      <w:bookmarkEnd w:id="208"/>
      <w:bookmarkEnd w:id="209"/>
    </w:p>
    <w:p w14:paraId="0E524B9E">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合同份数按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规定，每份均具有同等法律效力。</w:t>
      </w:r>
    </w:p>
    <w:p w14:paraId="6F277491">
      <w:pPr>
        <w:spacing w:line="360" w:lineRule="auto"/>
        <w:jc w:val="center"/>
        <w:outlineLvl w:val="2"/>
        <w:rPr>
          <w:rFonts w:asciiTheme="minorEastAsia" w:hAnsiTheme="minorEastAsia" w:eastAsiaTheme="minorEastAsia"/>
          <w:b/>
          <w:color w:val="auto"/>
          <w:sz w:val="24"/>
          <w:highlight w:val="none"/>
        </w:rPr>
      </w:pPr>
      <w:r>
        <w:rPr>
          <w:rFonts w:asciiTheme="minorEastAsia" w:hAnsiTheme="minorEastAsia" w:eastAsiaTheme="minorEastAsia"/>
          <w:color w:val="auto"/>
          <w:sz w:val="24"/>
          <w:highlight w:val="none"/>
        </w:rPr>
        <w:br w:type="page"/>
      </w:r>
      <w:bookmarkStart w:id="210" w:name="_Toc331685784"/>
      <w:r>
        <w:rPr>
          <w:rFonts w:hint="eastAsia" w:asciiTheme="minorEastAsia" w:hAnsiTheme="minorEastAsia" w:eastAsiaTheme="minorEastAsia"/>
          <w:b/>
          <w:color w:val="auto"/>
          <w:sz w:val="24"/>
          <w:highlight w:val="none"/>
        </w:rPr>
        <w:t>第三部分</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合同专用条款</w:t>
      </w:r>
      <w:bookmarkEnd w:id="210"/>
    </w:p>
    <w:p w14:paraId="666F15B8">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1"/>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40"/>
        <w:gridCol w:w="8036"/>
      </w:tblGrid>
      <w:tr w14:paraId="04539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3" w:type="pct"/>
            <w:tcBorders>
              <w:left w:val="single" w:color="auto" w:sz="4" w:space="0"/>
            </w:tcBorders>
            <w:vAlign w:val="center"/>
          </w:tcPr>
          <w:p w14:paraId="359A4E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4526" w:type="pct"/>
            <w:vAlign w:val="center"/>
          </w:tcPr>
          <w:p w14:paraId="4D8314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约定内容</w:t>
            </w:r>
          </w:p>
        </w:tc>
      </w:tr>
      <w:tr w14:paraId="39D4A3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3" w:type="pct"/>
            <w:tcBorders>
              <w:left w:val="single" w:color="auto" w:sz="4" w:space="0"/>
            </w:tcBorders>
            <w:shd w:val="clear" w:color="auto" w:fill="auto"/>
            <w:vAlign w:val="center"/>
          </w:tcPr>
          <w:p w14:paraId="706375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0"/>
                <w:highlight w:val="none"/>
              </w:rPr>
              <w:t>2.3.2</w:t>
            </w:r>
          </w:p>
        </w:tc>
        <w:tc>
          <w:tcPr>
            <w:tcW w:w="4526" w:type="pct"/>
            <w:shd w:val="clear" w:color="auto" w:fill="auto"/>
            <w:vAlign w:val="center"/>
          </w:tcPr>
          <w:p w14:paraId="330992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0"/>
                <w:highlight w:val="none"/>
              </w:rPr>
              <w:t>具有知识产权的计算机软件等货物的知识产权归属</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lang w:val="en-US" w:eastAsia="zh-CN"/>
              </w:rPr>
              <w:t>服务期限内，</w:t>
            </w:r>
            <w:r>
              <w:rPr>
                <w:rFonts w:hint="eastAsia" w:ascii="宋体" w:hAnsi="宋体" w:eastAsia="宋体" w:cs="宋体"/>
                <w:color w:val="auto"/>
                <w:sz w:val="24"/>
                <w:szCs w:val="20"/>
                <w:highlight w:val="none"/>
              </w:rPr>
              <w:t>知识产权归属</w:t>
            </w:r>
            <w:r>
              <w:rPr>
                <w:rFonts w:hint="eastAsia" w:ascii="宋体" w:hAnsi="宋体" w:eastAsia="宋体" w:cs="宋体"/>
                <w:color w:val="auto"/>
                <w:sz w:val="24"/>
                <w:szCs w:val="20"/>
                <w:highlight w:val="none"/>
                <w:lang w:val="en-US" w:eastAsia="zh-CN"/>
              </w:rPr>
              <w:t>乙方；乙方负责服务期内管理软件系统的维护。服务期限届满后甲方拥有该软件系统的使用权。</w:t>
            </w:r>
          </w:p>
        </w:tc>
      </w:tr>
      <w:tr w14:paraId="02EE87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3" w:type="pct"/>
            <w:tcBorders>
              <w:left w:val="single" w:color="auto" w:sz="4" w:space="0"/>
            </w:tcBorders>
            <w:shd w:val="clear" w:color="auto" w:fill="auto"/>
            <w:vAlign w:val="center"/>
          </w:tcPr>
          <w:p w14:paraId="492F80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w:t>
            </w:r>
          </w:p>
        </w:tc>
        <w:tc>
          <w:tcPr>
            <w:tcW w:w="4526" w:type="pct"/>
            <w:shd w:val="clear" w:color="auto" w:fill="auto"/>
            <w:vAlign w:val="center"/>
          </w:tcPr>
          <w:p w14:paraId="5DC3EE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甲方根据每月对服务内容检查考核结果支付服务费用（考核标准按甲方规定要求执行）。考核合格，甲方于次月15日前支付上月的服务费；考核不合格，甲方依据考核情况酌情扣减服务费且同步进行整改，若整改仍不合格的终止合同。</w:t>
            </w:r>
          </w:p>
          <w:p w14:paraId="1EE84D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月度</w:t>
            </w:r>
            <w:r>
              <w:rPr>
                <w:rFonts w:hint="eastAsia" w:ascii="宋体" w:hAnsi="宋体" w:eastAsia="宋体" w:cs="宋体"/>
                <w:color w:val="auto"/>
                <w:sz w:val="24"/>
                <w:szCs w:val="24"/>
                <w:highlight w:val="none"/>
                <w:lang w:val="zh-CN" w:eastAsia="zh-CN"/>
              </w:rPr>
              <w:t>考核基础分为100分，加分项目10分，总分110分。得90分 （含）</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lang w:val="zh-CN" w:eastAsia="zh-CN"/>
              </w:rPr>
              <w:t>以上</w:t>
            </w:r>
            <w:r>
              <w:rPr>
                <w:rFonts w:hint="eastAsia" w:ascii="宋体" w:hAnsi="宋体" w:eastAsia="宋体" w:cs="宋体"/>
                <w:color w:val="auto"/>
                <w:sz w:val="24"/>
                <w:szCs w:val="24"/>
                <w:highlight w:val="none"/>
                <w:lang w:val="en-US" w:eastAsia="zh-CN"/>
              </w:rPr>
              <w:t>的全额支付月度服务费</w:t>
            </w:r>
            <w:r>
              <w:rPr>
                <w:rFonts w:hint="eastAsia" w:ascii="宋体" w:hAnsi="宋体" w:eastAsia="宋体" w:cs="宋体"/>
                <w:color w:val="auto"/>
                <w:sz w:val="24"/>
                <w:szCs w:val="24"/>
                <w:highlight w:val="none"/>
                <w:lang w:val="zh-CN" w:eastAsia="zh-CN"/>
              </w:rPr>
              <w:t>；得80</w:t>
            </w:r>
            <w:r>
              <w:rPr>
                <w:rFonts w:hint="eastAsia" w:ascii="宋体" w:hAnsi="宋体" w:eastAsia="宋体" w:cs="宋体"/>
                <w:color w:val="auto"/>
                <w:sz w:val="24"/>
                <w:szCs w:val="24"/>
                <w:highlight w:val="none"/>
                <w:lang w:val="en-US" w:eastAsia="zh-CN"/>
              </w:rPr>
              <w:t>分（含）</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90分</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lang w:val="zh-CN" w:eastAsia="zh-CN"/>
              </w:rPr>
              <w:t>含）</w:t>
            </w:r>
            <w:r>
              <w:rPr>
                <w:rFonts w:hint="eastAsia" w:ascii="宋体" w:hAnsi="宋体" w:eastAsia="宋体" w:cs="宋体"/>
                <w:color w:val="auto"/>
                <w:sz w:val="24"/>
                <w:szCs w:val="24"/>
                <w:highlight w:val="none"/>
                <w:lang w:val="en-US" w:eastAsia="zh-CN"/>
              </w:rPr>
              <w:t>的支付月度服务费的90%</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得70分（含）-80</w:t>
            </w:r>
            <w:r>
              <w:rPr>
                <w:rFonts w:hint="eastAsia" w:ascii="宋体" w:hAnsi="宋体" w:eastAsia="宋体" w:cs="宋体"/>
                <w:color w:val="auto"/>
                <w:sz w:val="24"/>
                <w:szCs w:val="24"/>
                <w:highlight w:val="none"/>
                <w:lang w:val="zh-CN" w:eastAsia="zh-CN"/>
              </w:rPr>
              <w:t>分（</w:t>
            </w:r>
            <w:r>
              <w:rPr>
                <w:rFonts w:hint="eastAsia" w:ascii="宋体" w:hAnsi="宋体" w:eastAsia="宋体" w:cs="宋体"/>
                <w:color w:val="auto"/>
                <w:sz w:val="24"/>
                <w:szCs w:val="24"/>
                <w:highlight w:val="none"/>
                <w:lang w:val="en-US" w:eastAsia="zh-CN"/>
              </w:rPr>
              <w:t>不含）支付月度服务费的75%</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得60分（含）-70</w:t>
            </w:r>
            <w:r>
              <w:rPr>
                <w:rFonts w:hint="eastAsia" w:ascii="宋体" w:hAnsi="宋体" w:eastAsia="宋体" w:cs="宋体"/>
                <w:color w:val="auto"/>
                <w:sz w:val="24"/>
                <w:szCs w:val="24"/>
                <w:highlight w:val="none"/>
                <w:lang w:val="zh-CN" w:eastAsia="zh-CN"/>
              </w:rPr>
              <w:t>分（</w:t>
            </w:r>
            <w:r>
              <w:rPr>
                <w:rFonts w:hint="eastAsia" w:ascii="宋体" w:hAnsi="宋体" w:eastAsia="宋体" w:cs="宋体"/>
                <w:color w:val="auto"/>
                <w:sz w:val="24"/>
                <w:szCs w:val="24"/>
                <w:highlight w:val="none"/>
                <w:lang w:val="en-US" w:eastAsia="zh-CN"/>
              </w:rPr>
              <w:t>不含）支付月度服务费的50%</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得60分</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lang w:val="zh-CN" w:eastAsia="zh-CN"/>
              </w:rPr>
              <w:t>含）以</w:t>
            </w:r>
            <w:r>
              <w:rPr>
                <w:rFonts w:hint="eastAsia" w:ascii="宋体" w:hAnsi="宋体" w:eastAsia="宋体" w:cs="宋体"/>
                <w:color w:val="auto"/>
                <w:sz w:val="24"/>
                <w:szCs w:val="24"/>
                <w:highlight w:val="none"/>
                <w:lang w:val="en-US" w:eastAsia="zh-CN"/>
              </w:rPr>
              <w:t>下的不支付月度服务费；连续两个月度考核得60分</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lang w:val="zh-CN" w:eastAsia="zh-CN"/>
              </w:rPr>
              <w:t>含）以</w:t>
            </w:r>
            <w:r>
              <w:rPr>
                <w:rFonts w:hint="eastAsia" w:ascii="宋体" w:hAnsi="宋体" w:eastAsia="宋体" w:cs="宋体"/>
                <w:color w:val="auto"/>
                <w:sz w:val="24"/>
                <w:szCs w:val="24"/>
                <w:highlight w:val="none"/>
                <w:lang w:val="en-US" w:eastAsia="zh-CN"/>
              </w:rPr>
              <w:t>下的终止合同；具体考核细则待项目实施阶段由采购人制定。</w:t>
            </w:r>
          </w:p>
          <w:p w14:paraId="613D5C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年度考核平均得分90分(含）以上可直接续签下一年度合同；年度考核得分80分（含）至90分（不含）提出下一年度专项整改方案经采购人同意后，可签订下一年度合同；年度考核得分80分（不含）以下不再续签下一年度合同。</w:t>
            </w:r>
          </w:p>
        </w:tc>
      </w:tr>
      <w:tr w14:paraId="41CFB3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3" w:type="pct"/>
            <w:tcBorders>
              <w:left w:val="single" w:color="auto" w:sz="4" w:space="0"/>
            </w:tcBorders>
            <w:shd w:val="clear" w:color="auto" w:fill="auto"/>
            <w:vAlign w:val="center"/>
          </w:tcPr>
          <w:p w14:paraId="7C446A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2.11</w:t>
            </w:r>
          </w:p>
        </w:tc>
        <w:tc>
          <w:tcPr>
            <w:tcW w:w="4526" w:type="pct"/>
            <w:shd w:val="clear" w:color="auto" w:fill="auto"/>
            <w:vAlign w:val="center"/>
          </w:tcPr>
          <w:p w14:paraId="0B9BC7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cs="Times New Roman" w:asciiTheme="minorEastAsia" w:hAnsiTheme="minorEastAsia" w:eastAsiaTheme="minorEastAsia"/>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2.11.3</w:t>
            </w:r>
            <w:r>
              <w:rPr>
                <w:rFonts w:hint="eastAsia" w:cs="Times New Roman" w:asciiTheme="minorEastAsia" w:hAnsiTheme="minorEastAsia" w:eastAsiaTheme="minorEastAsia"/>
                <w:color w:val="auto"/>
                <w:sz w:val="24"/>
                <w:szCs w:val="24"/>
                <w:highlight w:val="none"/>
              </w:rPr>
              <w:t>因不可抗力致使合同有变更必要的，双方当事人应在不可抗力发生的3个工作日内以书面形式变更合同</w:t>
            </w:r>
            <w:r>
              <w:rPr>
                <w:rFonts w:hint="eastAsia" w:cs="Times New Roman" w:asciiTheme="minorEastAsia" w:hAnsiTheme="minorEastAsia" w:eastAsiaTheme="minorEastAsia"/>
                <w:color w:val="auto"/>
                <w:sz w:val="24"/>
                <w:szCs w:val="24"/>
                <w:highlight w:val="none"/>
                <w:lang w:eastAsia="zh-CN"/>
              </w:rPr>
              <w:t>。</w:t>
            </w:r>
          </w:p>
          <w:p w14:paraId="5E04DA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kern w:val="2"/>
                <w:sz w:val="24"/>
                <w:szCs w:val="24"/>
                <w:highlight w:val="none"/>
                <w:lang w:val="en-US" w:eastAsia="zh-CN" w:bidi="ar-SA"/>
              </w:rPr>
            </w:pPr>
            <w:r>
              <w:rPr>
                <w:rFonts w:hint="eastAsia" w:cs="Times New Roman" w:asciiTheme="minorEastAsia" w:hAnsiTheme="minorEastAsia" w:eastAsiaTheme="minorEastAsia"/>
                <w:color w:val="auto"/>
                <w:sz w:val="24"/>
                <w:szCs w:val="24"/>
                <w:highlight w:val="none"/>
                <w:lang w:val="en-US" w:eastAsia="zh-CN"/>
              </w:rPr>
              <w:t>2.11.4</w:t>
            </w:r>
            <w:r>
              <w:rPr>
                <w:rFonts w:hint="eastAsia" w:cs="Times New Roman" w:asciiTheme="minorEastAsia" w:hAnsiTheme="minorEastAsia" w:eastAsiaTheme="minorEastAsia"/>
                <w:color w:val="auto"/>
                <w:sz w:val="24"/>
                <w:szCs w:val="24"/>
                <w:highlight w:val="none"/>
              </w:rPr>
              <w:t>受不可抗力影响的一方在不可抗力发生后，应在不可抗力发生的1个工作日内以书面形式通知对方当事人，并在1个工作日内，将有关部门出具的证明文件送达对方当事人</w:t>
            </w:r>
            <w:r>
              <w:rPr>
                <w:rFonts w:hint="eastAsia" w:cs="Times New Roman" w:asciiTheme="minorEastAsia" w:hAnsiTheme="minorEastAsia" w:eastAsiaTheme="minorEastAsia"/>
                <w:color w:val="auto"/>
                <w:sz w:val="24"/>
                <w:szCs w:val="24"/>
                <w:highlight w:val="none"/>
                <w:lang w:eastAsia="zh-CN"/>
              </w:rPr>
              <w:t>。</w:t>
            </w:r>
          </w:p>
        </w:tc>
      </w:tr>
      <w:tr w14:paraId="7A0F1E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3" w:type="pct"/>
            <w:tcBorders>
              <w:left w:val="single" w:color="auto" w:sz="4" w:space="0"/>
            </w:tcBorders>
            <w:shd w:val="clear" w:color="auto" w:fill="auto"/>
            <w:vAlign w:val="center"/>
          </w:tcPr>
          <w:p w14:paraId="4DA23B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2.15</w:t>
            </w:r>
          </w:p>
        </w:tc>
        <w:tc>
          <w:tcPr>
            <w:tcW w:w="4526" w:type="pct"/>
            <w:shd w:val="clear" w:color="auto" w:fill="auto"/>
            <w:vAlign w:val="center"/>
          </w:tcPr>
          <w:p w14:paraId="74EE5F1E">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2.15.1乙方须接受甲方对项目执行情况、服务质量等的监督、检查和验收，甲方有权查看与项目直接相关的凭证和资料，乙方应予以配合。</w:t>
            </w:r>
          </w:p>
          <w:p w14:paraId="29686A70">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2.15.3</w:t>
            </w:r>
            <w:r>
              <w:rPr>
                <w:rFonts w:hint="eastAsia" w:ascii="宋体" w:hAnsi="宋体" w:eastAsia="宋体" w:cs="宋体"/>
                <w:color w:val="auto"/>
                <w:sz w:val="24"/>
                <w:szCs w:val="24"/>
                <w:highlight w:val="none"/>
                <w:lang w:val="en-US" w:eastAsia="zh-CN"/>
              </w:rPr>
              <w:t>根据</w:t>
            </w:r>
            <w:r>
              <w:rPr>
                <w:rFonts w:hint="eastAsia" w:ascii="宋体" w:hAnsi="宋体" w:eastAsia="宋体" w:cs="宋体"/>
                <w:color w:val="auto"/>
                <w:sz w:val="24"/>
                <w:szCs w:val="24"/>
                <w:highlight w:val="none"/>
              </w:rPr>
              <w:t>《考核评分细则》</w:t>
            </w:r>
            <w:r>
              <w:rPr>
                <w:rFonts w:hint="eastAsia" w:ascii="宋体" w:hAnsi="宋体" w:eastAsia="宋体" w:cs="宋体"/>
                <w:color w:val="auto"/>
                <w:sz w:val="24"/>
                <w:szCs w:val="24"/>
                <w:highlight w:val="none"/>
                <w:lang w:val="en-US" w:eastAsia="zh-CN"/>
              </w:rPr>
              <w:t>对乙方按月进行考核评分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《考核评分细则》待项目实施阶段，由甲方根据乙方投标文件响应内容制定</w:t>
            </w:r>
            <w:r>
              <w:rPr>
                <w:rFonts w:hint="eastAsia" w:ascii="宋体" w:hAnsi="宋体" w:eastAsia="宋体" w:cs="宋体"/>
                <w:color w:val="auto"/>
                <w:sz w:val="24"/>
                <w:szCs w:val="24"/>
                <w:highlight w:val="none"/>
                <w:lang w:eastAsia="zh-CN"/>
              </w:rPr>
              <w:t>。</w:t>
            </w:r>
          </w:p>
        </w:tc>
      </w:tr>
      <w:tr w14:paraId="73F1C9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3" w:type="pct"/>
            <w:tcBorders>
              <w:left w:val="single" w:color="auto" w:sz="4" w:space="0"/>
            </w:tcBorders>
            <w:vAlign w:val="center"/>
          </w:tcPr>
          <w:p w14:paraId="686090D7">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r>
              <w:rPr>
                <w:rFonts w:hint="eastAsia" w:ascii="宋体" w:hAnsi="宋体" w:eastAsia="宋体"/>
                <w:color w:val="auto"/>
                <w:sz w:val="24"/>
                <w:szCs w:val="20"/>
                <w:highlight w:val="none"/>
              </w:rPr>
              <w:t>2.17</w:t>
            </w:r>
          </w:p>
        </w:tc>
        <w:tc>
          <w:tcPr>
            <w:tcW w:w="4526" w:type="pct"/>
            <w:vAlign w:val="center"/>
          </w:tcPr>
          <w:p w14:paraId="5567E0E7">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u w:val="single"/>
              </w:rPr>
            </w:pPr>
            <w:r>
              <w:rPr>
                <w:rFonts w:hint="eastAsia" w:cs="Times New Roman" w:asciiTheme="minorEastAsia" w:hAnsiTheme="minorEastAsia" w:eastAsiaTheme="minorEastAsia"/>
                <w:color w:val="auto"/>
                <w:sz w:val="24"/>
                <w:szCs w:val="24"/>
                <w:highlight w:val="none"/>
              </w:rPr>
              <w:t>本项目免收</w:t>
            </w:r>
            <w:r>
              <w:rPr>
                <w:rFonts w:hint="eastAsia" w:cs="Times New Roman" w:asciiTheme="minorEastAsia" w:hAnsiTheme="minorEastAsia" w:eastAsiaTheme="minorEastAsia"/>
                <w:color w:val="auto"/>
                <w:sz w:val="24"/>
                <w:szCs w:val="24"/>
                <w:highlight w:val="none"/>
                <w:lang w:val="zh-CN"/>
              </w:rPr>
              <w:t>履约保证金。</w:t>
            </w:r>
          </w:p>
        </w:tc>
      </w:tr>
      <w:tr w14:paraId="5B5BA4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40" w:type="dxa"/>
            <w:tcBorders>
              <w:left w:val="single" w:color="auto" w:sz="4" w:space="0"/>
            </w:tcBorders>
            <w:vAlign w:val="center"/>
          </w:tcPr>
          <w:p w14:paraId="7C594F1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cs="Times New Roman" w:asciiTheme="minorEastAsia" w:hAnsiTheme="minorEastAsia" w:eastAsiaTheme="minorEastAsia"/>
                <w:color w:val="auto"/>
                <w:sz w:val="24"/>
                <w:szCs w:val="24"/>
                <w:highlight w:val="none"/>
              </w:rPr>
              <w:t>2.18</w:t>
            </w:r>
          </w:p>
        </w:tc>
        <w:tc>
          <w:tcPr>
            <w:tcW w:w="8036" w:type="dxa"/>
            <w:vAlign w:val="center"/>
          </w:tcPr>
          <w:p w14:paraId="4165430D">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0"/>
                <w:highlight w:val="none"/>
              </w:rPr>
              <w:t>合同一式陆份，甲乙双方各执叁份。</w:t>
            </w:r>
          </w:p>
        </w:tc>
      </w:tr>
      <w:tr w14:paraId="2E4F15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40" w:type="dxa"/>
            <w:tcBorders>
              <w:left w:val="single" w:color="auto" w:sz="4" w:space="0"/>
            </w:tcBorders>
            <w:vAlign w:val="center"/>
          </w:tcPr>
          <w:p w14:paraId="0E7E66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p>
        </w:tc>
        <w:tc>
          <w:tcPr>
            <w:tcW w:w="8036" w:type="dxa"/>
            <w:vAlign w:val="center"/>
          </w:tcPr>
          <w:p w14:paraId="6B41AE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乙方须在签订合同后完成与原服务单位的工作对接，以及投入工作的前期与甲方相关对接，做到全员上岗投入使用，不得出现缺岗或岗位缺人等现象，如出现，甲方不予支付任何费用，产生的损失由乙方自负。</w:t>
            </w:r>
          </w:p>
        </w:tc>
      </w:tr>
      <w:tr w14:paraId="16BC92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3" w:type="pct"/>
            <w:tcBorders>
              <w:left w:val="single" w:color="auto" w:sz="4" w:space="0"/>
            </w:tcBorders>
            <w:vAlign w:val="center"/>
          </w:tcPr>
          <w:p w14:paraId="203716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4526" w:type="pct"/>
            <w:vAlign w:val="center"/>
          </w:tcPr>
          <w:p w14:paraId="7E06FD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乙方未按</w:t>
            </w:r>
            <w:r>
              <w:rPr>
                <w:rFonts w:hint="eastAsia" w:ascii="宋体" w:hAnsi="宋体" w:eastAsia="宋体" w:cs="宋体"/>
                <w:color w:val="auto"/>
                <w:sz w:val="24"/>
                <w:szCs w:val="24"/>
                <w:highlight w:val="none"/>
                <w:u w:val="single"/>
                <w:lang w:val="en-US" w:eastAsia="zh-CN"/>
              </w:rPr>
              <w:t>招标文件第三章《采购需求》执行的</w:t>
            </w:r>
            <w:r>
              <w:rPr>
                <w:rFonts w:hint="eastAsia" w:ascii="宋体" w:hAnsi="宋体" w:eastAsia="宋体" w:cs="宋体"/>
                <w:color w:val="auto"/>
                <w:sz w:val="24"/>
                <w:szCs w:val="24"/>
                <w:highlight w:val="none"/>
                <w:lang w:val="en-US" w:eastAsia="zh-CN"/>
              </w:rPr>
              <w:t>，视为违约，甲方每发现1次（或1项），可责令乙方整改；乙方不及时整改或违约情节严重，采购人可对乙方提出书面警告。在1年合同服务期内甲方做出书面警告超过三次的，将终止合同并要求乙方承担因此而产生的损失后果。</w:t>
            </w:r>
          </w:p>
        </w:tc>
      </w:tr>
      <w:tr w14:paraId="70B1F3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3" w:type="pct"/>
            <w:tcBorders>
              <w:left w:val="single" w:color="auto" w:sz="4" w:space="0"/>
            </w:tcBorders>
            <w:vAlign w:val="center"/>
          </w:tcPr>
          <w:p w14:paraId="20A33F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4526" w:type="pct"/>
            <w:vAlign w:val="center"/>
          </w:tcPr>
          <w:p w14:paraId="3D6FC3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若乙方团队管理不善，存在人员纪律意识、责任意识不足，以各种理由阻碍采购人执行业务活动的报相关部门依法处理。</w:t>
            </w:r>
          </w:p>
        </w:tc>
      </w:tr>
      <w:tr w14:paraId="793728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3" w:type="pct"/>
            <w:tcBorders>
              <w:left w:val="single" w:color="auto" w:sz="4" w:space="0"/>
            </w:tcBorders>
            <w:vAlign w:val="center"/>
          </w:tcPr>
          <w:p w14:paraId="17F104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4526" w:type="pct"/>
            <w:vAlign w:val="center"/>
          </w:tcPr>
          <w:p w14:paraId="04C61F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如发现乙方存在无正当理由克扣员工工资福利现象，视为重大违约，采购人责乙方整改、如未按期整改则终止合同并要求乙方因此而产生的损失后果。</w:t>
            </w:r>
          </w:p>
        </w:tc>
      </w:tr>
      <w:tr w14:paraId="174A91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3" w:type="pct"/>
            <w:tcBorders>
              <w:top w:val="single" w:color="auto" w:sz="6" w:space="0"/>
              <w:left w:val="single" w:color="auto" w:sz="4" w:space="0"/>
              <w:bottom w:val="single" w:color="auto" w:sz="6" w:space="0"/>
              <w:right w:val="single" w:color="auto" w:sz="6" w:space="0"/>
            </w:tcBorders>
            <w:vAlign w:val="center"/>
          </w:tcPr>
          <w:p w14:paraId="0CEBCC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4526" w:type="pct"/>
            <w:tcBorders>
              <w:top w:val="single" w:color="auto" w:sz="6" w:space="0"/>
              <w:left w:val="single" w:color="auto" w:sz="6" w:space="0"/>
              <w:bottom w:val="single" w:color="auto" w:sz="6" w:space="0"/>
              <w:right w:val="single" w:color="auto" w:sz="6" w:space="0"/>
            </w:tcBorders>
            <w:vAlign w:val="center"/>
          </w:tcPr>
          <w:p w14:paraId="629853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若因乙方责任，导致采购人或第三者人身及财产损失的，由乙方在责任范围内承担赔偿责任。乙方拒绝赔偿的，视为重大违约，终止合同并要求乙方承担因此而产生的损失后果。</w:t>
            </w:r>
          </w:p>
        </w:tc>
      </w:tr>
      <w:tr w14:paraId="28DCFC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3" w:type="pct"/>
            <w:tcBorders>
              <w:top w:val="single" w:color="auto" w:sz="6" w:space="0"/>
              <w:left w:val="single" w:color="auto" w:sz="4" w:space="0"/>
              <w:bottom w:val="single" w:color="auto" w:sz="6" w:space="0"/>
              <w:right w:val="single" w:color="auto" w:sz="6" w:space="0"/>
            </w:tcBorders>
            <w:vAlign w:val="center"/>
          </w:tcPr>
          <w:p w14:paraId="50803B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4526" w:type="pct"/>
            <w:tcBorders>
              <w:top w:val="single" w:color="auto" w:sz="6" w:space="0"/>
              <w:left w:val="single" w:color="auto" w:sz="6" w:space="0"/>
              <w:bottom w:val="single" w:color="auto" w:sz="6" w:space="0"/>
              <w:right w:val="single" w:color="auto" w:sz="6" w:space="0"/>
            </w:tcBorders>
            <w:vAlign w:val="center"/>
          </w:tcPr>
          <w:p w14:paraId="59BB22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若因乙方责任，导致观众向上级投诉，给采购人造成恶劣影响的；或经报纸广电网络等媒体向社会曝光，给采购人造成恶劣影响的，视为重大违约， 终止合同并要求乙方承担因此而产生的损失后果。</w:t>
            </w:r>
          </w:p>
        </w:tc>
      </w:tr>
      <w:tr w14:paraId="39F8B0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3" w:type="pct"/>
            <w:tcBorders>
              <w:top w:val="single" w:color="auto" w:sz="6" w:space="0"/>
              <w:left w:val="single" w:color="auto" w:sz="4" w:space="0"/>
              <w:bottom w:val="single" w:color="auto" w:sz="6" w:space="0"/>
              <w:right w:val="single" w:color="auto" w:sz="6" w:space="0"/>
            </w:tcBorders>
            <w:vAlign w:val="center"/>
          </w:tcPr>
          <w:p w14:paraId="658467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4526" w:type="pct"/>
            <w:tcBorders>
              <w:top w:val="single" w:color="auto" w:sz="6" w:space="0"/>
              <w:left w:val="single" w:color="auto" w:sz="6" w:space="0"/>
              <w:bottom w:val="single" w:color="auto" w:sz="6" w:space="0"/>
              <w:right w:val="single" w:color="auto" w:sz="6" w:space="0"/>
            </w:tcBorders>
            <w:vAlign w:val="center"/>
          </w:tcPr>
          <w:p w14:paraId="7BF1F6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上岗人数必须符合招投标文件</w:t>
            </w:r>
            <w:r>
              <w:rPr>
                <w:rFonts w:hint="eastAsia" w:ascii="宋体" w:hAnsi="宋体" w:eastAsia="宋体" w:cs="宋体"/>
                <w:color w:val="auto"/>
                <w:sz w:val="24"/>
                <w:szCs w:val="24"/>
                <w:highlight w:val="none"/>
                <w:lang w:val="en-US" w:eastAsia="zh-CN"/>
              </w:rPr>
              <w:t>和实际需求</w:t>
            </w:r>
            <w:r>
              <w:rPr>
                <w:rFonts w:hint="eastAsia" w:ascii="宋体" w:hAnsi="宋体" w:eastAsia="宋体" w:cs="宋体"/>
                <w:color w:val="auto"/>
                <w:sz w:val="24"/>
                <w:szCs w:val="24"/>
                <w:highlight w:val="none"/>
                <w:lang w:val="zh-CN" w:eastAsia="zh-CN"/>
              </w:rPr>
              <w:t>，如</w:t>
            </w:r>
            <w:r>
              <w:rPr>
                <w:rFonts w:hint="eastAsia" w:ascii="宋体" w:hAnsi="宋体" w:eastAsia="宋体" w:cs="宋体"/>
                <w:color w:val="auto"/>
                <w:sz w:val="24"/>
                <w:szCs w:val="24"/>
                <w:highlight w:val="none"/>
                <w:lang w:val="en-US" w:eastAsia="zh-CN"/>
              </w:rPr>
              <w:t>配备</w:t>
            </w:r>
            <w:r>
              <w:rPr>
                <w:rFonts w:hint="eastAsia" w:ascii="宋体" w:hAnsi="宋体" w:eastAsia="宋体" w:cs="宋体"/>
                <w:color w:val="auto"/>
                <w:sz w:val="24"/>
                <w:szCs w:val="24"/>
                <w:highlight w:val="none"/>
                <w:lang w:val="zh-CN" w:eastAsia="zh-CN"/>
              </w:rPr>
              <w:t>人员少于</w:t>
            </w:r>
            <w:r>
              <w:rPr>
                <w:rFonts w:hint="eastAsia" w:ascii="宋体" w:hAnsi="宋体" w:eastAsia="宋体" w:cs="宋体"/>
                <w:color w:val="auto"/>
                <w:sz w:val="24"/>
                <w:szCs w:val="24"/>
                <w:highlight w:val="none"/>
                <w:lang w:val="en-US" w:eastAsia="zh-CN"/>
              </w:rPr>
              <w:t>乙方其</w:t>
            </w:r>
            <w:r>
              <w:rPr>
                <w:rFonts w:hint="eastAsia" w:ascii="宋体" w:hAnsi="宋体" w:eastAsia="宋体" w:cs="宋体"/>
                <w:color w:val="auto"/>
                <w:sz w:val="24"/>
                <w:szCs w:val="24"/>
                <w:highlight w:val="none"/>
                <w:lang w:val="zh-CN" w:eastAsia="zh-CN"/>
              </w:rPr>
              <w:t>投标文件</w:t>
            </w:r>
            <w:r>
              <w:rPr>
                <w:rFonts w:hint="eastAsia" w:ascii="宋体" w:hAnsi="宋体" w:eastAsia="宋体" w:cs="宋体"/>
                <w:color w:val="auto"/>
                <w:sz w:val="24"/>
                <w:szCs w:val="24"/>
                <w:highlight w:val="none"/>
                <w:lang w:val="en-US" w:eastAsia="zh-CN"/>
              </w:rPr>
              <w:t>中响应</w:t>
            </w:r>
            <w:r>
              <w:rPr>
                <w:rFonts w:hint="eastAsia" w:ascii="宋体" w:hAnsi="宋体" w:eastAsia="宋体" w:cs="宋体"/>
                <w:color w:val="auto"/>
                <w:sz w:val="24"/>
                <w:szCs w:val="24"/>
                <w:highlight w:val="none"/>
                <w:lang w:val="zh-CN" w:eastAsia="zh-CN"/>
              </w:rPr>
              <w:t>人数，则由</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lang w:val="zh-CN" w:eastAsia="zh-CN"/>
              </w:rPr>
              <w:t>按缺额人数从运行服务费中扣除缺少的人员费用。</w:t>
            </w:r>
          </w:p>
        </w:tc>
      </w:tr>
    </w:tbl>
    <w:p w14:paraId="1A2667DF">
      <w:pPr>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14:paraId="189FBE94">
      <w:pPr>
        <w:spacing w:line="360" w:lineRule="auto"/>
        <w:jc w:val="center"/>
        <w:outlineLvl w:val="0"/>
        <w:rPr>
          <w:rFonts w:hint="eastAsia" w:ascii="宋体" w:hAnsi="宋体" w:eastAsia="宋体" w:cs="宋体"/>
          <w:b/>
          <w:color w:val="auto"/>
          <w:sz w:val="28"/>
          <w:highlight w:val="none"/>
        </w:rPr>
      </w:pPr>
      <w:bookmarkStart w:id="211" w:name="_Toc18147"/>
      <w:r>
        <w:rPr>
          <w:rFonts w:hint="eastAsia" w:asciiTheme="minorEastAsia" w:hAnsiTheme="minorEastAsia" w:eastAsiaTheme="minorEastAsia"/>
          <w:b/>
          <w:color w:val="auto"/>
          <w:sz w:val="28"/>
          <w:highlight w:val="none"/>
        </w:rPr>
        <w:t>第六章  投标文件格</w:t>
      </w:r>
      <w:r>
        <w:rPr>
          <w:rFonts w:hint="eastAsia" w:ascii="宋体" w:hAnsi="宋体" w:eastAsia="宋体" w:cs="宋体"/>
          <w:b/>
          <w:color w:val="auto"/>
          <w:sz w:val="28"/>
          <w:highlight w:val="none"/>
        </w:rPr>
        <w:t>式</w:t>
      </w:r>
      <w:bookmarkEnd w:id="211"/>
    </w:p>
    <w:p w14:paraId="0C3C63BB">
      <w:pPr>
        <w:jc w:val="center"/>
        <w:rPr>
          <w:rFonts w:hint="eastAsia" w:ascii="宋体" w:hAnsi="宋体" w:eastAsia="宋体" w:cs="宋体"/>
          <w:b/>
          <w:color w:val="auto"/>
          <w:sz w:val="28"/>
          <w:szCs w:val="28"/>
          <w:highlight w:val="none"/>
        </w:rPr>
      </w:pPr>
    </w:p>
    <w:p w14:paraId="60960EB8">
      <w:pPr>
        <w:jc w:val="center"/>
        <w:rPr>
          <w:rFonts w:hint="eastAsia" w:ascii="宋体" w:hAnsi="宋体" w:eastAsia="宋体" w:cs="宋体"/>
          <w:b/>
          <w:color w:val="auto"/>
          <w:sz w:val="28"/>
          <w:szCs w:val="28"/>
          <w:highlight w:val="none"/>
          <w:bdr w:val="single" w:color="000000" w:sz="4" w:space="0"/>
        </w:rPr>
      </w:pPr>
      <w:r>
        <w:rPr>
          <w:rFonts w:hint="eastAsia" w:ascii="宋体" w:hAnsi="宋体" w:eastAsia="宋体" w:cs="宋体"/>
          <w:b/>
          <w:color w:val="auto"/>
          <w:sz w:val="28"/>
          <w:szCs w:val="28"/>
          <w:highlight w:val="none"/>
        </w:rPr>
        <w:t>一、资信证明格式文件</w:t>
      </w:r>
    </w:p>
    <w:p w14:paraId="0F1BB7A4">
      <w:pPr>
        <w:jc w:val="center"/>
        <w:rPr>
          <w:rFonts w:hint="eastAsia" w:ascii="宋体" w:hAnsi="宋体" w:eastAsia="宋体" w:cs="宋体"/>
          <w:color w:val="auto"/>
          <w:sz w:val="20"/>
          <w:highlight w:val="none"/>
        </w:rPr>
      </w:pPr>
    </w:p>
    <w:p w14:paraId="7891B489">
      <w:pPr>
        <w:rPr>
          <w:rFonts w:hint="eastAsia" w:ascii="宋体" w:hAnsi="宋体" w:eastAsia="宋体" w:cs="宋体"/>
          <w:color w:val="auto"/>
          <w:sz w:val="20"/>
          <w:highlight w:val="none"/>
        </w:rPr>
      </w:pPr>
    </w:p>
    <w:p w14:paraId="09C0FFC3">
      <w:pPr>
        <w:jc w:val="center"/>
        <w:rPr>
          <w:rFonts w:hint="eastAsia" w:ascii="宋体" w:hAnsi="宋体" w:eastAsia="宋体" w:cs="宋体"/>
          <w:b/>
          <w:color w:val="auto"/>
          <w:sz w:val="44"/>
          <w:szCs w:val="44"/>
          <w:highlight w:val="none"/>
        </w:rPr>
      </w:pPr>
      <w:bookmarkStart w:id="212" w:name="_Toc350698753"/>
      <w:bookmarkStart w:id="213" w:name="_Toc449028949"/>
      <w:r>
        <w:rPr>
          <w:rFonts w:hint="eastAsia" w:ascii="宋体" w:hAnsi="宋体" w:eastAsia="宋体" w:cs="宋体"/>
          <w:b/>
          <w:color w:val="auto"/>
          <w:sz w:val="44"/>
          <w:szCs w:val="44"/>
          <w:highlight w:val="none"/>
        </w:rPr>
        <w:t>资信证明文件</w:t>
      </w:r>
      <w:bookmarkEnd w:id="212"/>
      <w:bookmarkEnd w:id="213"/>
    </w:p>
    <w:p w14:paraId="6E6FB1A9">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（投标文件一）</w:t>
      </w:r>
    </w:p>
    <w:p w14:paraId="1C9BEB4E">
      <w:pPr>
        <w:jc w:val="center"/>
        <w:rPr>
          <w:rFonts w:hint="eastAsia" w:ascii="宋体" w:hAnsi="宋体" w:eastAsia="宋体" w:cs="宋体"/>
          <w:color w:val="auto"/>
          <w:sz w:val="44"/>
          <w:szCs w:val="44"/>
          <w:highlight w:val="none"/>
        </w:rPr>
      </w:pPr>
    </w:p>
    <w:p w14:paraId="37ACF8F8">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项目</w:t>
      </w:r>
    </w:p>
    <w:p w14:paraId="0EC2E074">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rPr>
        <w:t xml:space="preserve">   </w:t>
      </w:r>
    </w:p>
    <w:p w14:paraId="56720E58">
      <w:pPr>
        <w:rPr>
          <w:rFonts w:hint="eastAsia" w:ascii="宋体" w:hAnsi="宋体" w:eastAsia="宋体" w:cs="宋体"/>
          <w:color w:val="auto"/>
          <w:sz w:val="28"/>
          <w:szCs w:val="28"/>
          <w:highlight w:val="none"/>
        </w:rPr>
      </w:pPr>
    </w:p>
    <w:p w14:paraId="60D75977">
      <w:pPr>
        <w:rPr>
          <w:rFonts w:hint="eastAsia" w:ascii="宋体" w:hAnsi="宋体" w:eastAsia="宋体" w:cs="宋体"/>
          <w:color w:val="auto"/>
          <w:sz w:val="28"/>
          <w:szCs w:val="28"/>
          <w:highlight w:val="none"/>
        </w:rPr>
      </w:pPr>
    </w:p>
    <w:p w14:paraId="27E89F41">
      <w:pPr>
        <w:rPr>
          <w:rFonts w:hint="eastAsia" w:ascii="宋体" w:hAnsi="宋体" w:eastAsia="宋体" w:cs="宋体"/>
          <w:color w:val="auto"/>
          <w:sz w:val="28"/>
          <w:szCs w:val="28"/>
          <w:highlight w:val="none"/>
        </w:rPr>
      </w:pPr>
    </w:p>
    <w:p w14:paraId="233F9ABB">
      <w:pPr>
        <w:rPr>
          <w:rFonts w:hint="eastAsia" w:ascii="宋体" w:hAnsi="宋体" w:eastAsia="宋体" w:cs="宋体"/>
          <w:color w:val="auto"/>
          <w:sz w:val="28"/>
          <w:szCs w:val="28"/>
          <w:highlight w:val="none"/>
        </w:rPr>
      </w:pPr>
    </w:p>
    <w:p w14:paraId="35454C22">
      <w:pPr>
        <w:rPr>
          <w:rFonts w:hint="eastAsia" w:ascii="宋体" w:hAnsi="宋体" w:eastAsia="宋体" w:cs="宋体"/>
          <w:color w:val="auto"/>
          <w:sz w:val="28"/>
          <w:szCs w:val="28"/>
          <w:highlight w:val="none"/>
        </w:rPr>
      </w:pPr>
    </w:p>
    <w:p w14:paraId="4D2E3981">
      <w:pPr>
        <w:rPr>
          <w:rFonts w:hint="eastAsia" w:ascii="宋体" w:hAnsi="宋体" w:eastAsia="宋体" w:cs="宋体"/>
          <w:color w:val="auto"/>
          <w:sz w:val="28"/>
          <w:szCs w:val="28"/>
          <w:highlight w:val="none"/>
        </w:rPr>
      </w:pPr>
    </w:p>
    <w:p w14:paraId="73F32BF3">
      <w:pPr>
        <w:rPr>
          <w:rFonts w:hint="eastAsia" w:ascii="宋体" w:hAnsi="宋体" w:eastAsia="宋体" w:cs="宋体"/>
          <w:color w:val="auto"/>
          <w:sz w:val="28"/>
          <w:szCs w:val="28"/>
          <w:highlight w:val="none"/>
        </w:rPr>
      </w:pPr>
    </w:p>
    <w:p w14:paraId="35F8CCBA">
      <w:pPr>
        <w:rPr>
          <w:rFonts w:hint="eastAsia" w:ascii="宋体" w:hAnsi="宋体" w:eastAsia="宋体" w:cs="宋体"/>
          <w:color w:val="auto"/>
          <w:sz w:val="28"/>
          <w:szCs w:val="28"/>
          <w:highlight w:val="none"/>
        </w:rPr>
      </w:pPr>
    </w:p>
    <w:p w14:paraId="0E46FEF9">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（盖单位章）</w:t>
      </w:r>
    </w:p>
    <w:p w14:paraId="0BB2E5C6">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418EDC68">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3EE721CD">
      <w:pPr>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27813B3E">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36"/>
          <w:szCs w:val="36"/>
          <w:highlight w:val="none"/>
        </w:rPr>
        <w:t>目   录</w:t>
      </w:r>
    </w:p>
    <w:p w14:paraId="46103C2D">
      <w:pPr>
        <w:spacing w:line="40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p>
    <w:p w14:paraId="53E3F8C1">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（1）投标人资格声明书（格式见附件）；</w:t>
      </w:r>
    </w:p>
    <w:p w14:paraId="4B1210D8">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（2）授权书（格式见附件）；   </w:t>
      </w:r>
    </w:p>
    <w:p w14:paraId="54FFAC6F">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（3）投标人为企业（包括合伙企业）的，应提供有效的“营业执照”；</w:t>
      </w:r>
    </w:p>
    <w:p w14:paraId="096592C4">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投标人为事业单位的，应提供有效的“事业单位法人证书”；</w:t>
      </w:r>
    </w:p>
    <w:p w14:paraId="7D430076">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投标人是非企业机构的，应提供有效的“执业许可证”、“登记证书”等证明文件；</w:t>
      </w:r>
    </w:p>
    <w:p w14:paraId="2DCC985D">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投标人是个体工商户的，应提供有效的“个体工商户营业执照”；</w:t>
      </w:r>
    </w:p>
    <w:p w14:paraId="728F1C38">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投标人是自然人的，应提供有效的自然人身份证明；</w:t>
      </w:r>
    </w:p>
    <w:p w14:paraId="41AD8CDF">
      <w:pPr>
        <w:spacing w:line="50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4）中小企业声明函，残疾人福利性企业（格式见附件）；</w:t>
      </w:r>
    </w:p>
    <w:p w14:paraId="1DFEB576">
      <w:pPr>
        <w:spacing w:line="50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（5）省级以上监狱管理局、戒毒管理局（含新疆生产建设兵团）出具的属于监狱企业的证明（如是）；</w:t>
      </w:r>
    </w:p>
    <w:p w14:paraId="4A0B57B4">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）诚信投标承诺书（格式见附件）；</w:t>
      </w:r>
    </w:p>
    <w:p w14:paraId="0937B25D">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）招标文件中要求的资信评审和资信评分的支持资料；</w:t>
      </w:r>
    </w:p>
    <w:p w14:paraId="02CC602E">
      <w:pPr>
        <w:spacing w:line="5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）投标人认为需要提供的其他资信证明材料</w:t>
      </w:r>
      <w:r>
        <w:rPr>
          <w:rFonts w:hint="eastAsia" w:ascii="宋体" w:hAnsi="宋体" w:eastAsia="宋体" w:cs="宋体"/>
          <w:color w:val="auto"/>
          <w:szCs w:val="21"/>
          <w:highlight w:val="none"/>
          <w:lang w:eastAsia="zh-CN"/>
        </w:rPr>
        <w:t>。</w:t>
      </w:r>
    </w:p>
    <w:p w14:paraId="0C783EFF">
      <w:pPr>
        <w:spacing w:line="500" w:lineRule="exact"/>
        <w:jc w:val="left"/>
        <w:rPr>
          <w:rFonts w:ascii="宋体" w:hAnsi="宋体" w:eastAsia="宋体" w:cs="宋体"/>
          <w:color w:val="auto"/>
          <w:szCs w:val="21"/>
          <w:highlight w:val="none"/>
        </w:rPr>
      </w:pPr>
    </w:p>
    <w:p w14:paraId="6A5322A7">
      <w:pPr>
        <w:spacing w:line="360" w:lineRule="auto"/>
        <w:ind w:firstLine="420" w:firstLineChars="200"/>
        <w:rPr>
          <w:rFonts w:ascii="宋体" w:hAnsi="宋体" w:eastAsia="宋体" w:cs="宋体"/>
          <w:color w:val="auto"/>
          <w:szCs w:val="21"/>
          <w:highlight w:val="none"/>
        </w:rPr>
      </w:pPr>
    </w:p>
    <w:p w14:paraId="2A8E332C">
      <w:pPr>
        <w:rPr>
          <w:rFonts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4CC218C0">
      <w:pPr>
        <w:spacing w:line="360" w:lineRule="auto"/>
        <w:jc w:val="center"/>
        <w:outlineLvl w:val="1"/>
        <w:rPr>
          <w:rFonts w:asciiTheme="minorEastAsia" w:hAnsiTheme="minorEastAsia" w:eastAsiaTheme="minorEastAsia"/>
          <w:b/>
          <w:color w:val="auto"/>
          <w:sz w:val="24"/>
          <w:highlight w:val="none"/>
        </w:rPr>
      </w:pPr>
      <w:bookmarkStart w:id="214" w:name="_Toc31772"/>
      <w:r>
        <w:rPr>
          <w:rFonts w:hint="eastAsia" w:asciiTheme="minorEastAsia" w:hAnsiTheme="minorEastAsia" w:eastAsiaTheme="minorEastAsia"/>
          <w:b/>
          <w:color w:val="auto"/>
          <w:sz w:val="24"/>
          <w:highlight w:val="none"/>
        </w:rPr>
        <w:t>（1）投标人资格声明书</w:t>
      </w:r>
      <w:bookmarkEnd w:id="214"/>
      <w:r>
        <w:rPr>
          <w:rFonts w:hint="eastAsia" w:asciiTheme="minorEastAsia" w:hAnsiTheme="minorEastAsia" w:eastAsiaTheme="minorEastAsia"/>
          <w:b/>
          <w:color w:val="auto"/>
          <w:sz w:val="24"/>
          <w:highlight w:val="none"/>
        </w:rPr>
        <w:t xml:space="preserve"> </w:t>
      </w:r>
    </w:p>
    <w:p w14:paraId="0590997A">
      <w:pPr>
        <w:pStyle w:val="3"/>
        <w:spacing w:line="360" w:lineRule="auto"/>
        <w:rPr>
          <w:rFonts w:asciiTheme="minorEastAsia" w:hAnsiTheme="minorEastAsia" w:cstheme="minorEastAsia"/>
          <w:color w:val="auto"/>
          <w:sz w:val="24"/>
          <w:szCs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5E46CBB9">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在参与本次项目投标中，我单位承诺：</w:t>
      </w:r>
    </w:p>
    <w:p w14:paraId="69DE34B1">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（一）具有良好的商业信誉和健全的财务会计制度；</w:t>
      </w:r>
    </w:p>
    <w:p w14:paraId="357CA3A5">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（二）具有履行合同所必需的设备和专业技术能力；</w:t>
      </w:r>
    </w:p>
    <w:p w14:paraId="5C6C6D0B">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（三）有依法缴纳税收和社会保障资金的良好记录；</w:t>
      </w:r>
    </w:p>
    <w:p w14:paraId="51040BCB">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0F8F3E2">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（五）我单位不属于政府采购法律、行政法规规定的公益一类事业单位、或使用事业编制且由财政拨款保障的群团组织（仅适用于政府购买服务项目）； </w:t>
      </w:r>
    </w:p>
    <w:p w14:paraId="7A707987">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（六）我单位不存在为采购项目提供整体设计、规范编制或者项目管理、监理、检测等服务后，再参加该采购项目的其他采购活动的情形（单一来源采购项目除外）；</w:t>
      </w:r>
    </w:p>
    <w:p w14:paraId="583E7CAD">
      <w:pPr>
        <w:widowControl/>
        <w:spacing w:line="360" w:lineRule="auto"/>
        <w:ind w:firstLine="480" w:firstLineChars="200"/>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（七）与我单位存在单位负责人为同一人或者存在直接控股、管理关系的其他法人单位信息如下（如有，不论其是否参加同一合同项下的政府采购活动均须填写）：</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38888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22CD3AC">
            <w:pPr>
              <w:keepNext w:val="0"/>
              <w:keepLines w:val="0"/>
              <w:widowControl/>
              <w:suppressLineNumbers w:val="0"/>
              <w:spacing w:before="0" w:beforeLines="50" w:beforeAutospacing="0" w:after="10" w:afterAutospacing="0"/>
              <w:ind w:left="0" w:right="0"/>
              <w:jc w:val="center"/>
              <w:rPr>
                <w:rFonts w:hint="default"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序号</w:t>
            </w:r>
          </w:p>
        </w:tc>
        <w:tc>
          <w:tcPr>
            <w:tcW w:w="2841" w:type="dxa"/>
          </w:tcPr>
          <w:p w14:paraId="361380AE">
            <w:pPr>
              <w:pStyle w:val="2"/>
              <w:keepNext w:val="0"/>
              <w:keepLines w:val="0"/>
              <w:suppressLineNumbers w:val="0"/>
              <w:spacing w:before="0" w:beforeLines="50" w:beforeAutospacing="0" w:after="10" w:afterAutospacing="0"/>
              <w:ind w:left="0" w:right="0"/>
              <w:jc w:val="center"/>
              <w:rPr>
                <w:rFonts w:hint="default" w:asciiTheme="minorEastAsia" w:hAnsiTheme="minorEastAsia" w:eastAsiaTheme="minorEastAsia" w:cstheme="minorEastAsia"/>
                <w:color w:val="auto"/>
                <w:kern w:val="0"/>
                <w:sz w:val="24"/>
                <w:highlight w:val="none"/>
                <w:lang w:val="en-US"/>
              </w:rPr>
            </w:pPr>
            <w:r>
              <w:rPr>
                <w:rFonts w:hint="eastAsia" w:asciiTheme="minorEastAsia" w:hAnsiTheme="minorEastAsia" w:eastAsiaTheme="minorEastAsia" w:cstheme="minorEastAsia"/>
                <w:color w:val="auto"/>
                <w:kern w:val="0"/>
                <w:sz w:val="24"/>
                <w:highlight w:val="none"/>
                <w:lang w:val="en-US"/>
              </w:rPr>
              <w:t>单位名称</w:t>
            </w:r>
          </w:p>
        </w:tc>
        <w:tc>
          <w:tcPr>
            <w:tcW w:w="2841" w:type="dxa"/>
          </w:tcPr>
          <w:p w14:paraId="0AE9FD32">
            <w:pPr>
              <w:pStyle w:val="2"/>
              <w:keepNext w:val="0"/>
              <w:keepLines w:val="0"/>
              <w:suppressLineNumbers w:val="0"/>
              <w:spacing w:before="0" w:beforeLines="50" w:beforeAutospacing="0" w:after="10" w:afterAutospacing="0"/>
              <w:ind w:left="0" w:right="0"/>
              <w:jc w:val="center"/>
              <w:rPr>
                <w:rFonts w:hint="default" w:asciiTheme="minorEastAsia" w:hAnsiTheme="minorEastAsia" w:eastAsiaTheme="minorEastAsia" w:cstheme="minorEastAsia"/>
                <w:color w:val="auto"/>
                <w:kern w:val="0"/>
                <w:sz w:val="24"/>
                <w:highlight w:val="none"/>
                <w:lang w:val="en-US"/>
              </w:rPr>
            </w:pPr>
            <w:r>
              <w:rPr>
                <w:rFonts w:hint="eastAsia" w:asciiTheme="minorEastAsia" w:hAnsiTheme="minorEastAsia" w:eastAsiaTheme="minorEastAsia" w:cstheme="minorEastAsia"/>
                <w:color w:val="auto"/>
                <w:kern w:val="0"/>
                <w:sz w:val="24"/>
                <w:highlight w:val="none"/>
                <w:lang w:val="en-US"/>
              </w:rPr>
              <w:t>相互关系</w:t>
            </w:r>
          </w:p>
        </w:tc>
      </w:tr>
      <w:tr w14:paraId="2E1DE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0E55E09">
            <w:pPr>
              <w:pStyle w:val="2"/>
              <w:keepNext w:val="0"/>
              <w:keepLines w:val="0"/>
              <w:suppressLineNumbers w:val="0"/>
              <w:spacing w:before="0" w:beforeLines="50" w:beforeAutospacing="0" w:after="10" w:afterAutospacing="0"/>
              <w:ind w:left="0" w:right="0"/>
              <w:jc w:val="center"/>
              <w:rPr>
                <w:rFonts w:hint="default" w:asciiTheme="minorEastAsia" w:hAnsiTheme="minorEastAsia" w:eastAsiaTheme="minorEastAsia" w:cstheme="minorEastAsia"/>
                <w:color w:val="auto"/>
                <w:kern w:val="0"/>
                <w:sz w:val="24"/>
                <w:highlight w:val="none"/>
                <w:lang w:val="en-US"/>
              </w:rPr>
            </w:pPr>
            <w:r>
              <w:rPr>
                <w:rFonts w:hint="eastAsia" w:asciiTheme="minorEastAsia" w:hAnsiTheme="minorEastAsia" w:eastAsiaTheme="minorEastAsia" w:cstheme="minorEastAsia"/>
                <w:color w:val="auto"/>
                <w:kern w:val="0"/>
                <w:sz w:val="24"/>
                <w:highlight w:val="none"/>
                <w:lang w:val="en-US"/>
              </w:rPr>
              <w:t>1</w:t>
            </w:r>
          </w:p>
        </w:tc>
        <w:tc>
          <w:tcPr>
            <w:tcW w:w="2841" w:type="dxa"/>
          </w:tcPr>
          <w:p w14:paraId="20BA6B67">
            <w:pPr>
              <w:pStyle w:val="2"/>
              <w:keepNext w:val="0"/>
              <w:keepLines w:val="0"/>
              <w:suppressLineNumbers w:val="0"/>
              <w:spacing w:before="0" w:beforeLines="50" w:beforeAutospacing="0" w:after="10" w:afterAutospacing="0"/>
              <w:ind w:left="0" w:right="0"/>
              <w:jc w:val="center"/>
              <w:rPr>
                <w:rFonts w:hint="default" w:asciiTheme="minorEastAsia" w:hAnsiTheme="minorEastAsia" w:eastAsiaTheme="minorEastAsia" w:cstheme="minorEastAsia"/>
                <w:color w:val="auto"/>
                <w:kern w:val="0"/>
                <w:sz w:val="24"/>
                <w:highlight w:val="none"/>
                <w:lang w:val="en-US"/>
              </w:rPr>
            </w:pPr>
          </w:p>
        </w:tc>
        <w:tc>
          <w:tcPr>
            <w:tcW w:w="2841" w:type="dxa"/>
          </w:tcPr>
          <w:p w14:paraId="398BA4DC">
            <w:pPr>
              <w:pStyle w:val="2"/>
              <w:keepNext w:val="0"/>
              <w:keepLines w:val="0"/>
              <w:suppressLineNumbers w:val="0"/>
              <w:spacing w:before="0" w:beforeLines="50" w:beforeAutospacing="0" w:after="10" w:afterAutospacing="0"/>
              <w:ind w:left="0" w:right="0"/>
              <w:jc w:val="center"/>
              <w:rPr>
                <w:rFonts w:hint="default" w:asciiTheme="minorEastAsia" w:hAnsiTheme="minorEastAsia" w:eastAsiaTheme="minorEastAsia" w:cstheme="minorEastAsia"/>
                <w:color w:val="auto"/>
                <w:kern w:val="0"/>
                <w:sz w:val="24"/>
                <w:highlight w:val="none"/>
                <w:lang w:val="en-US"/>
              </w:rPr>
            </w:pPr>
          </w:p>
        </w:tc>
      </w:tr>
      <w:tr w14:paraId="59101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6989C92">
            <w:pPr>
              <w:pStyle w:val="2"/>
              <w:keepNext w:val="0"/>
              <w:keepLines w:val="0"/>
              <w:suppressLineNumbers w:val="0"/>
              <w:spacing w:before="0" w:beforeLines="50" w:beforeAutospacing="0" w:after="10" w:afterAutospacing="0"/>
              <w:ind w:left="0" w:right="0"/>
              <w:jc w:val="center"/>
              <w:rPr>
                <w:rFonts w:hint="default" w:asciiTheme="minorEastAsia" w:hAnsiTheme="minorEastAsia" w:eastAsiaTheme="minorEastAsia" w:cstheme="minorEastAsia"/>
                <w:color w:val="auto"/>
                <w:kern w:val="0"/>
                <w:sz w:val="24"/>
                <w:highlight w:val="none"/>
                <w:lang w:val="en-US"/>
              </w:rPr>
            </w:pPr>
            <w:r>
              <w:rPr>
                <w:rFonts w:hint="eastAsia" w:asciiTheme="minorEastAsia" w:hAnsiTheme="minorEastAsia" w:eastAsiaTheme="minorEastAsia" w:cstheme="minorEastAsia"/>
                <w:color w:val="auto"/>
                <w:kern w:val="0"/>
                <w:sz w:val="24"/>
                <w:highlight w:val="none"/>
                <w:lang w:val="en-US"/>
              </w:rPr>
              <w:t>2</w:t>
            </w:r>
          </w:p>
        </w:tc>
        <w:tc>
          <w:tcPr>
            <w:tcW w:w="2841" w:type="dxa"/>
          </w:tcPr>
          <w:p w14:paraId="71B281D9">
            <w:pPr>
              <w:pStyle w:val="2"/>
              <w:keepNext w:val="0"/>
              <w:keepLines w:val="0"/>
              <w:suppressLineNumbers w:val="0"/>
              <w:spacing w:before="0" w:beforeLines="50" w:beforeAutospacing="0" w:after="10" w:afterAutospacing="0"/>
              <w:ind w:left="0" w:right="0"/>
              <w:jc w:val="center"/>
              <w:rPr>
                <w:rFonts w:hint="default" w:asciiTheme="minorEastAsia" w:hAnsiTheme="minorEastAsia" w:eastAsiaTheme="minorEastAsia" w:cstheme="minorEastAsia"/>
                <w:color w:val="auto"/>
                <w:kern w:val="0"/>
                <w:sz w:val="24"/>
                <w:highlight w:val="none"/>
                <w:lang w:val="en-US"/>
              </w:rPr>
            </w:pPr>
          </w:p>
        </w:tc>
        <w:tc>
          <w:tcPr>
            <w:tcW w:w="2841" w:type="dxa"/>
          </w:tcPr>
          <w:p w14:paraId="2DEF4B57">
            <w:pPr>
              <w:pStyle w:val="2"/>
              <w:keepNext w:val="0"/>
              <w:keepLines w:val="0"/>
              <w:suppressLineNumbers w:val="0"/>
              <w:spacing w:before="0" w:beforeLines="50" w:beforeAutospacing="0" w:after="10" w:afterAutospacing="0"/>
              <w:ind w:left="0" w:right="0"/>
              <w:jc w:val="center"/>
              <w:rPr>
                <w:rFonts w:hint="default" w:asciiTheme="minorEastAsia" w:hAnsiTheme="minorEastAsia" w:eastAsiaTheme="minorEastAsia" w:cstheme="minorEastAsia"/>
                <w:color w:val="auto"/>
                <w:kern w:val="0"/>
                <w:sz w:val="24"/>
                <w:highlight w:val="none"/>
                <w:lang w:val="en-US"/>
              </w:rPr>
            </w:pPr>
          </w:p>
        </w:tc>
      </w:tr>
    </w:tbl>
    <w:p w14:paraId="2BCA2D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7E32876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31DD054">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6EA184D7">
      <w:pPr>
        <w:spacing w:line="360" w:lineRule="auto"/>
        <w:ind w:firstLine="420" w:firstLineChars="200"/>
        <w:rPr>
          <w:rFonts w:ascii="宋体" w:hAnsi="宋体" w:eastAsia="宋体" w:cs="宋体"/>
          <w:color w:val="auto"/>
          <w:szCs w:val="21"/>
          <w:highlight w:val="none"/>
        </w:rPr>
      </w:pPr>
    </w:p>
    <w:p w14:paraId="6DB4AD41">
      <w:pPr>
        <w:spacing w:line="360" w:lineRule="auto"/>
        <w:ind w:firstLine="420" w:firstLineChars="200"/>
        <w:rPr>
          <w:rFonts w:ascii="宋体" w:hAnsi="宋体" w:eastAsia="宋体" w:cs="宋体"/>
          <w:color w:val="auto"/>
          <w:szCs w:val="21"/>
          <w:highlight w:val="none"/>
        </w:rPr>
      </w:pPr>
    </w:p>
    <w:p w14:paraId="71FF9C60">
      <w:pPr>
        <w:rPr>
          <w:rFonts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2DDAFF28">
      <w:pPr>
        <w:spacing w:line="360" w:lineRule="auto"/>
        <w:jc w:val="center"/>
        <w:outlineLvl w:val="1"/>
        <w:rPr>
          <w:rFonts w:asciiTheme="minorEastAsia" w:hAnsiTheme="minorEastAsia" w:eastAsiaTheme="minorEastAsia"/>
          <w:b/>
          <w:bCs/>
          <w:color w:val="auto"/>
          <w:sz w:val="24"/>
          <w:highlight w:val="none"/>
        </w:rPr>
      </w:pPr>
      <w:bookmarkStart w:id="215" w:name="_Toc19138"/>
      <w:r>
        <w:rPr>
          <w:rFonts w:hint="eastAsia" w:ascii="宋体" w:hAnsi="宋体" w:eastAsia="宋体" w:cs="宋体"/>
          <w:b/>
          <w:bCs/>
          <w:color w:val="auto"/>
          <w:szCs w:val="21"/>
          <w:highlight w:val="none"/>
        </w:rPr>
        <w:t>（2）</w:t>
      </w:r>
      <w:r>
        <w:rPr>
          <w:rFonts w:hint="eastAsia" w:asciiTheme="minorEastAsia" w:hAnsiTheme="minorEastAsia" w:eastAsiaTheme="minorEastAsia"/>
          <w:b/>
          <w:bCs/>
          <w:color w:val="auto"/>
          <w:sz w:val="24"/>
          <w:highlight w:val="none"/>
        </w:rPr>
        <w:t>授权书</w:t>
      </w:r>
      <w:bookmarkEnd w:id="215"/>
    </w:p>
    <w:p w14:paraId="07436948">
      <w:pPr>
        <w:pStyle w:val="18"/>
        <w:snapToGrid w:val="0"/>
        <w:spacing w:line="360" w:lineRule="auto"/>
        <w:ind w:firstLine="480" w:firstLineChars="200"/>
        <w:jc w:val="left"/>
        <w:rPr>
          <w:rFonts w:hAnsi="宋体" w:eastAsia="宋体"/>
          <w:color w:val="auto"/>
          <w:sz w:val="24"/>
          <w:szCs w:val="28"/>
          <w:highlight w:val="none"/>
        </w:rPr>
      </w:pPr>
    </w:p>
    <w:p w14:paraId="6E5B4B9E">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53BB8E50">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711CDADD">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eastAsia="宋体"/>
          <w:color w:val="auto"/>
          <w:sz w:val="24"/>
          <w:highlight w:val="none"/>
        </w:rPr>
        <w:t>身份证明扫描件：</w:t>
      </w:r>
    </w:p>
    <w:p w14:paraId="0387CEFE">
      <w:pPr>
        <w:spacing w:line="360" w:lineRule="auto"/>
        <w:ind w:firstLine="435"/>
        <w:rPr>
          <w:rFonts w:asciiTheme="minorEastAsia" w:hAnsiTheme="minorEastAsia" w:eastAsiaTheme="minorEastAsia"/>
          <w:color w:val="auto"/>
          <w:sz w:val="24"/>
          <w:highlight w:val="none"/>
        </w:rPr>
      </w:pPr>
    </w:p>
    <w:p w14:paraId="7C6FC093">
      <w:pPr>
        <w:spacing w:line="360" w:lineRule="auto"/>
        <w:ind w:firstLine="435"/>
        <w:rPr>
          <w:rFonts w:asciiTheme="minorEastAsia" w:hAnsiTheme="minorEastAsia" w:eastAsiaTheme="minorEastAsia"/>
          <w:color w:val="auto"/>
          <w:sz w:val="24"/>
          <w:highlight w:val="none"/>
        </w:rPr>
      </w:pPr>
    </w:p>
    <w:p w14:paraId="7FB1FC63">
      <w:pPr>
        <w:spacing w:line="360" w:lineRule="auto"/>
        <w:ind w:firstLine="435"/>
        <w:rPr>
          <w:rFonts w:asciiTheme="minorEastAsia" w:hAnsiTheme="minorEastAsia" w:eastAsiaTheme="minorEastAsia"/>
          <w:color w:val="auto"/>
          <w:sz w:val="24"/>
          <w:highlight w:val="none"/>
        </w:rPr>
      </w:pPr>
    </w:p>
    <w:p w14:paraId="6B97005F">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7F42AA73">
      <w:pPr>
        <w:spacing w:line="360" w:lineRule="auto"/>
        <w:ind w:firstLine="435"/>
        <w:rPr>
          <w:rFonts w:hAnsi="宋体" w:eastAsia="宋体"/>
          <w:color w:val="auto"/>
          <w:sz w:val="24"/>
          <w:szCs w:val="28"/>
          <w:highlight w:val="none"/>
          <w:lang w:val="zh-CN"/>
        </w:rPr>
      </w:pPr>
    </w:p>
    <w:p w14:paraId="14A158E6">
      <w:pPr>
        <w:spacing w:line="360" w:lineRule="auto"/>
        <w:ind w:firstLine="435"/>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14:paraId="31C85EBE">
      <w:pPr>
        <w:spacing w:line="360" w:lineRule="auto"/>
        <w:rPr>
          <w:rFonts w:ascii="宋体" w:hAnsi="宋体" w:eastAsia="宋体"/>
          <w:color w:val="auto"/>
          <w:sz w:val="24"/>
          <w:szCs w:val="28"/>
          <w:highlight w:val="none"/>
        </w:rPr>
      </w:pPr>
    </w:p>
    <w:p w14:paraId="1F39069B">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3064826">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34BF5F31">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08BFE72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1.本项目只允许有唯一的投标人授权代表，提供身份证明扫描件；</w:t>
      </w:r>
    </w:p>
    <w:p w14:paraId="7D42A5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2.法定代表人参加投标的无需提供授权书，提供身份证明扫描件。</w:t>
      </w:r>
    </w:p>
    <w:p w14:paraId="45EBAA6D">
      <w:pPr>
        <w:spacing w:line="360" w:lineRule="auto"/>
        <w:ind w:firstLine="420" w:firstLineChars="200"/>
        <w:rPr>
          <w:rFonts w:ascii="宋体" w:hAnsi="宋体" w:eastAsia="宋体" w:cs="宋体"/>
          <w:color w:val="auto"/>
          <w:szCs w:val="21"/>
          <w:highlight w:val="none"/>
        </w:rPr>
      </w:pPr>
    </w:p>
    <w:p w14:paraId="3D052E28">
      <w:pPr>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4A293264">
      <w:pPr>
        <w:spacing w:line="360" w:lineRule="auto"/>
        <w:jc w:val="center"/>
        <w:outlineLvl w:val="1"/>
        <w:rPr>
          <w:rFonts w:asciiTheme="minorEastAsia" w:hAnsiTheme="minorEastAsia" w:eastAsiaTheme="minorEastAsia"/>
          <w:b/>
          <w:color w:val="auto"/>
          <w:sz w:val="24"/>
          <w:highlight w:val="none"/>
        </w:rPr>
      </w:pPr>
      <w:bookmarkStart w:id="216" w:name="_Toc13454"/>
      <w:r>
        <w:rPr>
          <w:rFonts w:hint="eastAsia" w:asciiTheme="minorEastAsia" w:hAnsiTheme="minorEastAsia" w:eastAsiaTheme="minorEastAsia"/>
          <w:b/>
          <w:color w:val="auto"/>
          <w:sz w:val="24"/>
          <w:highlight w:val="none"/>
        </w:rPr>
        <w:t>（3）诚信投标承诺书</w:t>
      </w:r>
      <w:bookmarkEnd w:id="216"/>
    </w:p>
    <w:p w14:paraId="44E8F84E">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本人以企业法定代表人的身份郑重承诺：</w:t>
      </w:r>
    </w:p>
    <w:p w14:paraId="51240D56">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一、将遵循公开、公正和诚实信用的原则自愿参加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项目的投标，所提供的一切材料都是真实、有效、合法的；</w:t>
      </w:r>
    </w:p>
    <w:p w14:paraId="50384275">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0B51EF23">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三、不出借、转让资质证书，不让他人挂靠投标，不以他人名义投标或者以其他方式弄虚作假，骗取中标；</w:t>
      </w:r>
    </w:p>
    <w:p w14:paraId="7AF5C6CA">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四、不与其他投标人相互串通投标报价，不排挤其他投标人的公平竞争、损害招标人的合法权益；</w:t>
      </w:r>
    </w:p>
    <w:p w14:paraId="25D9BB14">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五、不与招标人、招标代理机构或其他投标人串通投标，损害国家利益、社会公共利益或者他人的合法权益；</w:t>
      </w:r>
    </w:p>
    <w:p w14:paraId="11ABF926">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w:t>
      </w:r>
      <w:r>
        <w:rPr>
          <w:rFonts w:hint="eastAsia" w:ascii="宋体" w:hAnsi="宋体" w:eastAsia="宋体" w:cs="宋体"/>
          <w:color w:val="auto"/>
          <w:szCs w:val="21"/>
          <w:highlight w:val="none"/>
          <w:lang w:val="en-US" w:eastAsia="zh-CN"/>
        </w:rPr>
        <w:t>我公司没有下列情形：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若招标文件对投标人所属分公司、办事处等分支机构有上述1-7项信誉要求，在此一并承诺我公司所属分公司、办事处等分支机构没有上述1-7项情形）</w:t>
      </w:r>
    </w:p>
    <w:p w14:paraId="65F51BD5">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、严格遵守开标现场纪律，服从监管人员管理；</w:t>
      </w:r>
    </w:p>
    <w:p w14:paraId="5AD48CBF">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、保证中标后不转包，若有分包征得招标人同意；</w:t>
      </w:r>
    </w:p>
    <w:p w14:paraId="3D62CB9B">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、保证中标之后，按照投标文件要求提供相关后续服务；</w:t>
      </w:r>
    </w:p>
    <w:p w14:paraId="3AC42A8C">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十、保证企业及所属相关人员在本次投标中无行贿等犯罪行为；</w:t>
      </w:r>
    </w:p>
    <w:p w14:paraId="3C367CE1">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75CD948C">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以上内容我已仔细阅读，本公司若有违反承诺内容的行为，自愿接受取消投标或者中标资格、</w:t>
      </w:r>
      <w:r>
        <w:rPr>
          <w:rFonts w:hint="eastAsia" w:ascii="宋体" w:hAnsi="宋体" w:eastAsia="宋体" w:cs="宋体"/>
          <w:color w:val="auto"/>
          <w:szCs w:val="21"/>
          <w:highlight w:val="none"/>
          <w:lang w:val="en-US" w:eastAsia="zh-CN"/>
        </w:rPr>
        <w:t>中标无效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记入不良行为记录等有关处理，愿意承担法律责任，给招标人造成损失的，依法承担赔偿责任。</w:t>
      </w:r>
    </w:p>
    <w:p w14:paraId="34F1E4CB">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53339CB2">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开户银行：                      基本账户：</w:t>
      </w:r>
    </w:p>
    <w:p w14:paraId="09C55432">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投标单位（签章）：              法定代表人（签章）：</w:t>
      </w:r>
    </w:p>
    <w:p w14:paraId="6358178A">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0AACC666">
      <w:pPr>
        <w:widowControl/>
        <w:ind w:firstLine="3780" w:firstLineChars="18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p>
    <w:p w14:paraId="445A0653">
      <w:pPr>
        <w:widowControl/>
        <w:ind w:firstLine="3780" w:firstLineChars="1800"/>
        <w:jc w:val="left"/>
        <w:rPr>
          <w:rFonts w:hint="eastAsia" w:ascii="宋体" w:hAnsi="宋体" w:eastAsia="宋体" w:cs="宋体"/>
          <w:color w:val="auto"/>
          <w:szCs w:val="21"/>
          <w:highlight w:val="none"/>
          <w:u w:val="single"/>
        </w:rPr>
      </w:pPr>
    </w:p>
    <w:p w14:paraId="551866FF">
      <w:pPr>
        <w:widowControl/>
        <w:ind w:firstLine="3780" w:firstLineChars="1800"/>
        <w:jc w:val="left"/>
        <w:rPr>
          <w:rFonts w:hint="eastAsia" w:ascii="宋体" w:hAnsi="宋体" w:eastAsia="宋体" w:cs="宋体"/>
          <w:color w:val="auto"/>
          <w:szCs w:val="21"/>
          <w:highlight w:val="none"/>
          <w:u w:val="single"/>
          <w:lang w:eastAsia="zh-CN"/>
        </w:rPr>
      </w:pPr>
    </w:p>
    <w:p w14:paraId="7B4657B7">
      <w:pPr>
        <w:rPr>
          <w:rFonts w:hint="eastAsia" w:ascii="宋体" w:hAnsi="宋体" w:eastAsia="宋体" w:cs="宋体"/>
          <w:b/>
          <w:bCs w:val="0"/>
          <w:color w:val="auto"/>
          <w:kern w:val="2"/>
          <w:sz w:val="24"/>
          <w:szCs w:val="24"/>
          <w:highlight w:val="none"/>
          <w:lang w:val="en-US" w:eastAsia="zh-CN" w:bidi="ar"/>
        </w:rPr>
      </w:pPr>
      <w:r>
        <w:rPr>
          <w:rFonts w:hint="eastAsia" w:ascii="宋体" w:hAnsi="宋体" w:eastAsia="宋体" w:cs="宋体"/>
          <w:b/>
          <w:bCs w:val="0"/>
          <w:color w:val="auto"/>
          <w:kern w:val="2"/>
          <w:sz w:val="24"/>
          <w:szCs w:val="24"/>
          <w:highlight w:val="none"/>
          <w:lang w:val="en-US" w:eastAsia="zh-CN" w:bidi="ar"/>
        </w:rPr>
        <w:br w:type="page"/>
      </w:r>
    </w:p>
    <w:p w14:paraId="5FC92253">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bookmarkStart w:id="217" w:name="_Toc21472"/>
      <w:r>
        <w:rPr>
          <w:rFonts w:hint="eastAsia" w:ascii="宋体" w:hAnsi="宋体" w:eastAsia="宋体" w:cs="宋体"/>
          <w:b/>
          <w:bCs w:val="0"/>
          <w:color w:val="auto"/>
          <w:kern w:val="2"/>
          <w:sz w:val="24"/>
          <w:szCs w:val="24"/>
          <w:highlight w:val="none"/>
          <w:lang w:val="en-US" w:eastAsia="zh-CN" w:bidi="ar"/>
        </w:rPr>
        <w:t>（4）中小企业声明函</w:t>
      </w:r>
      <w:bookmarkEnd w:id="217"/>
    </w:p>
    <w:p w14:paraId="57F5FF5C">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本公司（联合体）郑重声明，根据《政府采购促进中小企业发展管理办法》（财库﹝2020﹞46号）的规定，本公司（联合体）参加（</w:t>
      </w:r>
      <w:r>
        <w:rPr>
          <w:rFonts w:hint="eastAsia" w:ascii="宋体" w:hAnsi="宋体" w:eastAsia="宋体" w:cs="宋体"/>
          <w:color w:val="auto"/>
          <w:kern w:val="2"/>
          <w:sz w:val="24"/>
          <w:szCs w:val="24"/>
          <w:highlight w:val="none"/>
          <w:u w:val="single"/>
          <w:lang w:val="en-US" w:eastAsia="zh-CN" w:bidi="ar"/>
        </w:rPr>
        <w:t>单位名称</w:t>
      </w:r>
      <w:r>
        <w:rPr>
          <w:rFonts w:hint="eastAsia" w:ascii="宋体" w:hAnsi="宋体" w:eastAsia="宋体" w:cs="宋体"/>
          <w:color w:val="auto"/>
          <w:kern w:val="2"/>
          <w:sz w:val="24"/>
          <w:szCs w:val="24"/>
          <w:highlight w:val="none"/>
          <w:lang w:val="en-US" w:eastAsia="zh-CN" w:bidi="ar"/>
        </w:rPr>
        <w:t>）的（</w:t>
      </w:r>
      <w:r>
        <w:rPr>
          <w:rFonts w:hint="eastAsia" w:ascii="宋体" w:hAnsi="宋体" w:eastAsia="宋体" w:cs="宋体"/>
          <w:color w:val="auto"/>
          <w:kern w:val="2"/>
          <w:sz w:val="24"/>
          <w:szCs w:val="24"/>
          <w:highlight w:val="none"/>
          <w:u w:val="single"/>
          <w:lang w:val="en-US" w:eastAsia="zh-CN" w:bidi="ar"/>
        </w:rPr>
        <w:t>项目名称</w:t>
      </w:r>
      <w:r>
        <w:rPr>
          <w:rFonts w:hint="eastAsia" w:ascii="宋体" w:hAnsi="宋体" w:eastAsia="宋体" w:cs="宋体"/>
          <w:color w:val="auto"/>
          <w:kern w:val="2"/>
          <w:sz w:val="24"/>
          <w:szCs w:val="24"/>
          <w:highlight w:val="none"/>
          <w:lang w:val="en-US" w:eastAsia="zh-CN" w:bidi="ar"/>
        </w:rPr>
        <w:t>）采购活动，服务全部由符合政策要求的中小企业承接。相关企业（含联合体中的中小企业、签订分包意向协议的中小企业）的具体情况如下：</w:t>
      </w:r>
      <w:r>
        <w:rPr>
          <w:rFonts w:hint="eastAsia" w:ascii="宋体" w:hAnsi="宋体" w:eastAsia="宋体" w:cs="@仿宋_GB2312"/>
          <w:color w:val="auto"/>
          <w:kern w:val="2"/>
          <w:sz w:val="24"/>
          <w:szCs w:val="24"/>
          <w:highlight w:val="none"/>
          <w:lang w:val="en-US" w:eastAsia="zh-CN" w:bidi="ar"/>
        </w:rPr>
        <w:t xml:space="preserve"> </w:t>
      </w:r>
    </w:p>
    <w:p w14:paraId="1A8DFCC1">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（标的名称）</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，属于</w:t>
      </w:r>
      <w:r>
        <w:rPr>
          <w:rFonts w:hint="eastAsia" w:ascii="宋体" w:hAnsi="宋体" w:eastAsia="宋体" w:cs="宋体"/>
          <w:color w:val="auto"/>
          <w:kern w:val="2"/>
          <w:sz w:val="24"/>
          <w:szCs w:val="24"/>
          <w:highlight w:val="none"/>
          <w:u w:val="single"/>
          <w:lang w:val="en-US" w:eastAsia="zh-CN" w:bidi="ar"/>
        </w:rPr>
        <w:t>（采购文件中明确的所属行业）</w:t>
      </w:r>
      <w:r>
        <w:rPr>
          <w:rFonts w:hint="eastAsia" w:ascii="宋体" w:hAnsi="宋体" w:eastAsia="宋体" w:cs="宋体"/>
          <w:color w:val="auto"/>
          <w:kern w:val="2"/>
          <w:sz w:val="24"/>
          <w:szCs w:val="24"/>
          <w:highlight w:val="none"/>
          <w:lang w:val="en-US" w:eastAsia="zh-CN" w:bidi="ar"/>
        </w:rPr>
        <w:t>行业；承接企业为</w:t>
      </w:r>
      <w:r>
        <w:rPr>
          <w:rFonts w:hint="eastAsia" w:ascii="宋体" w:hAnsi="宋体" w:eastAsia="宋体" w:cs="宋体"/>
          <w:color w:val="auto"/>
          <w:kern w:val="2"/>
          <w:sz w:val="24"/>
          <w:szCs w:val="24"/>
          <w:highlight w:val="none"/>
          <w:u w:val="single"/>
          <w:lang w:val="en-US" w:eastAsia="zh-CN" w:bidi="ar"/>
        </w:rPr>
        <w:t>（企业名称）</w:t>
      </w:r>
      <w:r>
        <w:rPr>
          <w:rFonts w:hint="eastAsia" w:ascii="宋体" w:hAnsi="宋体" w:eastAsia="宋体" w:cs="宋体"/>
          <w:color w:val="auto"/>
          <w:kern w:val="2"/>
          <w:sz w:val="24"/>
          <w:szCs w:val="24"/>
          <w:highlight w:val="none"/>
          <w:lang w:val="en-US" w:eastAsia="zh-CN" w:bidi="ar"/>
        </w:rPr>
        <w:t>，从业人员</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人，营业收入为</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万元，资产总额为</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万元，属于</w:t>
      </w:r>
      <w:r>
        <w:rPr>
          <w:rFonts w:hint="eastAsia" w:ascii="宋体" w:hAnsi="宋体" w:eastAsia="宋体" w:cs="宋体"/>
          <w:color w:val="auto"/>
          <w:kern w:val="2"/>
          <w:sz w:val="24"/>
          <w:szCs w:val="24"/>
          <w:highlight w:val="none"/>
          <w:u w:val="single"/>
          <w:lang w:val="en-US" w:eastAsia="zh-CN" w:bidi="ar"/>
        </w:rPr>
        <w:t>（中型企业、小型企业、微型企业）</w:t>
      </w: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仿宋_GB2312"/>
          <w:color w:val="auto"/>
          <w:kern w:val="2"/>
          <w:sz w:val="24"/>
          <w:szCs w:val="24"/>
          <w:highlight w:val="none"/>
          <w:lang w:val="en-US" w:eastAsia="zh-CN" w:bidi="ar"/>
        </w:rPr>
        <w:t xml:space="preserve"> </w:t>
      </w:r>
    </w:p>
    <w:p w14:paraId="67A7FFA5">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（标的名称）</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，属于</w:t>
      </w:r>
      <w:r>
        <w:rPr>
          <w:rFonts w:hint="eastAsia" w:ascii="宋体" w:hAnsi="宋体" w:eastAsia="宋体" w:cs="宋体"/>
          <w:color w:val="auto"/>
          <w:kern w:val="2"/>
          <w:sz w:val="24"/>
          <w:szCs w:val="24"/>
          <w:highlight w:val="none"/>
          <w:u w:val="single"/>
          <w:lang w:val="en-US" w:eastAsia="zh-CN" w:bidi="ar"/>
        </w:rPr>
        <w:t>（采购文件中明确的所属行业）</w:t>
      </w:r>
      <w:r>
        <w:rPr>
          <w:rFonts w:hint="eastAsia" w:ascii="宋体" w:hAnsi="宋体" w:eastAsia="宋体" w:cs="宋体"/>
          <w:color w:val="auto"/>
          <w:kern w:val="2"/>
          <w:sz w:val="24"/>
          <w:szCs w:val="24"/>
          <w:highlight w:val="none"/>
          <w:lang w:val="en-US" w:eastAsia="zh-CN" w:bidi="ar"/>
        </w:rPr>
        <w:t>行业；承接企业为</w:t>
      </w:r>
      <w:r>
        <w:rPr>
          <w:rFonts w:hint="eastAsia" w:ascii="宋体" w:hAnsi="宋体" w:eastAsia="宋体" w:cs="宋体"/>
          <w:color w:val="auto"/>
          <w:kern w:val="2"/>
          <w:sz w:val="24"/>
          <w:szCs w:val="24"/>
          <w:highlight w:val="none"/>
          <w:u w:val="single"/>
          <w:lang w:val="en-US" w:eastAsia="zh-CN" w:bidi="ar"/>
        </w:rPr>
        <w:t>（企业名称）</w:t>
      </w:r>
      <w:r>
        <w:rPr>
          <w:rFonts w:hint="eastAsia" w:ascii="宋体" w:hAnsi="宋体" w:eastAsia="宋体" w:cs="宋体"/>
          <w:color w:val="auto"/>
          <w:kern w:val="2"/>
          <w:sz w:val="24"/>
          <w:szCs w:val="24"/>
          <w:highlight w:val="none"/>
          <w:lang w:val="en-US" w:eastAsia="zh-CN" w:bidi="ar"/>
        </w:rPr>
        <w:t>，从业人员</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人，营业收入为</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万元，资产总额为</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万元，属于</w:t>
      </w:r>
      <w:r>
        <w:rPr>
          <w:rFonts w:hint="eastAsia" w:ascii="宋体" w:hAnsi="宋体" w:eastAsia="宋体" w:cs="宋体"/>
          <w:color w:val="auto"/>
          <w:kern w:val="2"/>
          <w:sz w:val="24"/>
          <w:szCs w:val="24"/>
          <w:highlight w:val="none"/>
          <w:u w:val="single"/>
          <w:lang w:val="en-US" w:eastAsia="zh-CN" w:bidi="ar"/>
        </w:rPr>
        <w:t>（中型企业、小型企业、微型企业）</w:t>
      </w: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仿宋_GB2312"/>
          <w:color w:val="auto"/>
          <w:kern w:val="2"/>
          <w:sz w:val="24"/>
          <w:szCs w:val="24"/>
          <w:highlight w:val="none"/>
          <w:lang w:val="en-US" w:eastAsia="zh-CN" w:bidi="ar"/>
        </w:rPr>
        <w:t xml:space="preserve"> </w:t>
      </w:r>
    </w:p>
    <w:p w14:paraId="24C65A01">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p w14:paraId="6639DD86">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以上企业，不属于大企业的分支机构，不存在控股股东为大企业的情形，也不存在与大企业的负责人为同一人的情形。</w:t>
      </w:r>
    </w:p>
    <w:p w14:paraId="03C5F0BD">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本企业对上述声明内容的真实性负责。如有虚假，将依法承担相应责任。</w:t>
      </w:r>
      <w:r>
        <w:rPr>
          <w:rFonts w:hint="eastAsia" w:ascii="宋体" w:hAnsi="宋体" w:eastAsia="宋体" w:cs="@仿宋_GB2312"/>
          <w:color w:val="auto"/>
          <w:kern w:val="2"/>
          <w:sz w:val="24"/>
          <w:szCs w:val="24"/>
          <w:highlight w:val="none"/>
          <w:lang w:val="en-US" w:eastAsia="zh-CN" w:bidi="ar"/>
        </w:rPr>
        <w:t xml:space="preserve"> </w:t>
      </w:r>
    </w:p>
    <w:p w14:paraId="0E3DED68">
      <w:pPr>
        <w:keepNext w:val="0"/>
        <w:keepLines w:val="0"/>
        <w:widowControl w:val="0"/>
        <w:suppressLineNumbers w:val="0"/>
        <w:spacing w:before="0" w:beforeAutospacing="0" w:after="0" w:afterAutospacing="0" w:line="360" w:lineRule="auto"/>
        <w:ind w:left="0" w:right="0" w:firstLine="4228" w:firstLineChars="1762"/>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投标人电子签章：</w:t>
      </w:r>
      <w:r>
        <w:rPr>
          <w:rFonts w:hint="eastAsia" w:ascii="宋体" w:hAnsi="宋体" w:eastAsia="宋体" w:cs="@仿宋_GB2312"/>
          <w:color w:val="auto"/>
          <w:kern w:val="2"/>
          <w:sz w:val="24"/>
          <w:szCs w:val="24"/>
          <w:highlight w:val="none"/>
          <w:u w:val="single"/>
          <w:lang w:val="en-US" w:eastAsia="zh-CN" w:bidi="ar"/>
        </w:rPr>
        <w:t xml:space="preserve">             </w:t>
      </w:r>
    </w:p>
    <w:p w14:paraId="2E908417">
      <w:pPr>
        <w:keepNext w:val="0"/>
        <w:keepLines w:val="0"/>
        <w:widowControl w:val="0"/>
        <w:suppressLineNumbers w:val="0"/>
        <w:tabs>
          <w:tab w:val="left" w:pos="4620"/>
        </w:tabs>
        <w:spacing w:before="0" w:beforeAutospacing="0" w:after="0" w:afterAutospacing="0" w:line="360" w:lineRule="auto"/>
        <w:ind w:left="0" w:right="0" w:firstLine="4252" w:firstLineChars="1772"/>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期：</w:t>
      </w:r>
      <w:r>
        <w:rPr>
          <w:rFonts w:hint="eastAsia" w:ascii="宋体" w:hAnsi="宋体" w:eastAsia="宋体" w:cs="@仿宋_GB2312"/>
          <w:color w:val="auto"/>
          <w:kern w:val="2"/>
          <w:sz w:val="24"/>
          <w:szCs w:val="24"/>
          <w:highlight w:val="none"/>
          <w:u w:val="single"/>
          <w:lang w:val="en-US" w:eastAsia="zh-CN" w:bidi="ar"/>
        </w:rPr>
        <w:t xml:space="preserve">             </w:t>
      </w:r>
    </w:p>
    <w:p w14:paraId="0C45D833">
      <w:pPr>
        <w:keepNext w:val="0"/>
        <w:keepLines w:val="0"/>
        <w:widowControl w:val="0"/>
        <w:suppressLineNumbers w:val="0"/>
        <w:tabs>
          <w:tab w:val="left" w:pos="4620"/>
        </w:tabs>
        <w:spacing w:before="0" w:beforeAutospacing="0" w:after="0" w:afterAutospacing="0" w:line="360" w:lineRule="auto"/>
        <w:ind w:left="0" w:right="0"/>
        <w:jc w:val="left"/>
        <w:rPr>
          <w:rFonts w:hint="eastAsia" w:ascii="宋体" w:hAnsi="宋体" w:eastAsia="宋体" w:cs="@仿宋_GB2312"/>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注：</w:t>
      </w:r>
    </w:p>
    <w:p w14:paraId="4B702C22">
      <w:pPr>
        <w:keepNext w:val="0"/>
        <w:keepLines w:val="0"/>
        <w:widowControl w:val="0"/>
        <w:suppressLineNumbers w:val="0"/>
        <w:tabs>
          <w:tab w:val="left" w:pos="4620"/>
        </w:tabs>
        <w:spacing w:before="0" w:beforeAutospacing="0" w:after="0" w:afterAutospacing="0" w:line="360" w:lineRule="auto"/>
        <w:ind w:left="0" w:right="0"/>
        <w:jc w:val="both"/>
        <w:rPr>
          <w:rFonts w:hint="eastAsia" w:ascii="宋体" w:hAnsi="宋体" w:eastAsia="宋体" w:cs="@仿宋_GB2312"/>
          <w:color w:val="auto"/>
          <w:kern w:val="2"/>
          <w:sz w:val="21"/>
          <w:szCs w:val="21"/>
          <w:highlight w:val="none"/>
        </w:rPr>
      </w:pPr>
      <w:r>
        <w:rPr>
          <w:rFonts w:hint="eastAsia" w:ascii="宋体" w:hAnsi="宋体" w:eastAsia="宋体" w:cs="@仿宋_GB2312"/>
          <w:color w:val="auto"/>
          <w:kern w:val="2"/>
          <w:sz w:val="21"/>
          <w:szCs w:val="21"/>
          <w:highlight w:val="none"/>
          <w:lang w:val="en-US" w:eastAsia="zh-CN" w:bidi="ar"/>
        </w:rPr>
        <w:t>1.从业人员、营业收入、资产总额填报上一年数据，无上一年数据的新成立企业可不填报。</w:t>
      </w:r>
    </w:p>
    <w:p w14:paraId="6F231AD2">
      <w:pPr>
        <w:keepNext w:val="0"/>
        <w:keepLines w:val="0"/>
        <w:widowControl w:val="0"/>
        <w:suppressLineNumbers w:val="0"/>
        <w:tabs>
          <w:tab w:val="left" w:pos="4620"/>
        </w:tabs>
        <w:spacing w:before="0" w:beforeAutospacing="0" w:after="0" w:afterAutospacing="0" w:line="360" w:lineRule="auto"/>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2．投标人应根据《政府采购促进中小企业发展管理办法》（财库﹝2020﹞46号）和《关于印发中小企业划型标准规定的通知》(工信部联企业〔2011〕300号)相关规定，如实填写中小企业声明函。如有虚假，将依法承担相应责任。投标人自行登录工业和信息化部官网进行中小企业规模类型自测（查询网址https://www.miit.gov.cn/）。</w:t>
      </w:r>
    </w:p>
    <w:p w14:paraId="5233FE56">
      <w:pPr>
        <w:keepNext w:val="0"/>
        <w:keepLines w:val="0"/>
        <w:widowControl w:val="0"/>
        <w:suppressLineNumbers w:val="0"/>
        <w:tabs>
          <w:tab w:val="left" w:pos="4620"/>
        </w:tabs>
        <w:spacing w:before="0" w:beforeAutospacing="0" w:after="0" w:afterAutospacing="0" w:line="360" w:lineRule="auto"/>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3.上述“</w:t>
      </w:r>
      <w:r>
        <w:rPr>
          <w:rFonts w:hint="eastAsia" w:ascii="宋体" w:hAnsi="宋体" w:eastAsia="宋体" w:cs="宋体"/>
          <w:b/>
          <w:bCs/>
          <w:color w:val="auto"/>
          <w:kern w:val="2"/>
          <w:sz w:val="21"/>
          <w:szCs w:val="21"/>
          <w:highlight w:val="none"/>
          <w:u w:val="single"/>
          <w:lang w:val="en-US" w:eastAsia="zh-CN" w:bidi="ar"/>
        </w:rPr>
        <w:t>标的名称</w:t>
      </w:r>
      <w:r>
        <w:rPr>
          <w:rFonts w:hint="eastAsia" w:ascii="宋体" w:hAnsi="宋体" w:eastAsia="宋体" w:cs="宋体"/>
          <w:b/>
          <w:bCs/>
          <w:color w:val="auto"/>
          <w:kern w:val="2"/>
          <w:sz w:val="21"/>
          <w:szCs w:val="21"/>
          <w:highlight w:val="none"/>
          <w:lang w:val="en-US" w:eastAsia="zh-CN" w:bidi="ar"/>
        </w:rPr>
        <w:t>”，详见第三章采购需求前附表中明确的“标的名称”。</w:t>
      </w:r>
    </w:p>
    <w:p w14:paraId="7F158C0B">
      <w:pPr>
        <w:keepNext w:val="0"/>
        <w:keepLines w:val="0"/>
        <w:widowControl w:val="0"/>
        <w:suppressLineNumbers w:val="0"/>
        <w:tabs>
          <w:tab w:val="left" w:pos="4620"/>
        </w:tabs>
        <w:spacing w:before="0" w:beforeAutospacing="0" w:after="0" w:afterAutospacing="0" w:line="360" w:lineRule="auto"/>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4.上述“</w:t>
      </w:r>
      <w:r>
        <w:rPr>
          <w:rFonts w:hint="eastAsia" w:ascii="宋体" w:hAnsi="宋体" w:eastAsia="宋体" w:cs="宋体"/>
          <w:b/>
          <w:bCs/>
          <w:color w:val="auto"/>
          <w:kern w:val="2"/>
          <w:sz w:val="21"/>
          <w:szCs w:val="21"/>
          <w:highlight w:val="none"/>
          <w:u w:val="single"/>
          <w:lang w:val="en-US" w:eastAsia="zh-CN" w:bidi="ar"/>
        </w:rPr>
        <w:t>采购文件中明确的所属行业</w:t>
      </w:r>
      <w:r>
        <w:rPr>
          <w:rFonts w:hint="eastAsia" w:ascii="宋体" w:hAnsi="宋体" w:eastAsia="宋体" w:cs="宋体"/>
          <w:b/>
          <w:bCs/>
          <w:color w:val="auto"/>
          <w:kern w:val="2"/>
          <w:sz w:val="21"/>
          <w:szCs w:val="21"/>
          <w:highlight w:val="none"/>
          <w:lang w:val="en-US" w:eastAsia="zh-CN" w:bidi="ar"/>
        </w:rPr>
        <w:t>”，详见第三章采购需求前附表中明确的“所属行业”。</w:t>
      </w:r>
    </w:p>
    <w:p w14:paraId="52F49139">
      <w:pPr>
        <w:keepNext w:val="0"/>
        <w:keepLines w:val="0"/>
        <w:widowControl w:val="0"/>
        <w:suppressLineNumbers w:val="0"/>
        <w:tabs>
          <w:tab w:val="left" w:pos="4620"/>
        </w:tabs>
        <w:spacing w:before="0" w:beforeAutospacing="0" w:after="0" w:afterAutospacing="0" w:line="360" w:lineRule="auto"/>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5．填写示例：</w:t>
      </w:r>
      <w:r>
        <w:rPr>
          <w:rFonts w:hint="eastAsia" w:ascii="宋体" w:hAnsi="宋体" w:eastAsia="宋体" w:cs="宋体"/>
          <w:b/>
          <w:bCs/>
          <w:color w:val="auto"/>
          <w:kern w:val="2"/>
          <w:sz w:val="21"/>
          <w:szCs w:val="21"/>
          <w:highlight w:val="none"/>
          <w:u w:val="single"/>
          <w:lang w:val="en-US" w:eastAsia="zh-CN" w:bidi="ar"/>
        </w:rPr>
        <w:t>某标的名称</w:t>
      </w:r>
      <w:r>
        <w:rPr>
          <w:rFonts w:hint="eastAsia" w:ascii="宋体" w:hAnsi="宋体" w:eastAsia="宋体" w:cs="宋体"/>
          <w:b/>
          <w:bCs/>
          <w:color w:val="auto"/>
          <w:kern w:val="2"/>
          <w:sz w:val="21"/>
          <w:szCs w:val="21"/>
          <w:highlight w:val="none"/>
          <w:lang w:val="en-US" w:eastAsia="zh-CN" w:bidi="ar"/>
        </w:rPr>
        <w:t>（</w:t>
      </w:r>
      <w:r>
        <w:rPr>
          <w:rFonts w:hint="eastAsia" w:ascii="宋体" w:hAnsi="宋体" w:eastAsia="宋体" w:cs="宋体"/>
          <w:b/>
          <w:bCs/>
          <w:color w:val="auto"/>
          <w:kern w:val="2"/>
          <w:sz w:val="21"/>
          <w:szCs w:val="21"/>
          <w:highlight w:val="none"/>
          <w:u w:val="single"/>
          <w:lang w:val="en-US" w:eastAsia="zh-CN" w:bidi="ar"/>
        </w:rPr>
        <w:t>填写第三章采购需求前附表中明确的“标的名称”</w:t>
      </w:r>
      <w:r>
        <w:rPr>
          <w:rFonts w:hint="eastAsia" w:ascii="宋体" w:hAnsi="宋体" w:eastAsia="宋体" w:cs="宋体"/>
          <w:b/>
          <w:bCs/>
          <w:color w:val="auto"/>
          <w:kern w:val="2"/>
          <w:sz w:val="21"/>
          <w:szCs w:val="21"/>
          <w:highlight w:val="none"/>
          <w:lang w:val="en-US" w:eastAsia="zh-CN" w:bidi="ar"/>
        </w:rPr>
        <w:t>），属于</w:t>
      </w:r>
      <w:r>
        <w:rPr>
          <w:rFonts w:hint="eastAsia" w:ascii="宋体" w:hAnsi="宋体" w:eastAsia="宋体" w:cs="宋体"/>
          <w:b/>
          <w:bCs/>
          <w:color w:val="auto"/>
          <w:kern w:val="2"/>
          <w:sz w:val="21"/>
          <w:szCs w:val="21"/>
          <w:highlight w:val="none"/>
          <w:u w:val="single"/>
          <w:lang w:val="en-US" w:eastAsia="zh-CN" w:bidi="ar"/>
        </w:rPr>
        <w:t>（填写第三章采购需求前附表中明确的“所属行业”，如软件和信息技术服务业）</w:t>
      </w:r>
      <w:r>
        <w:rPr>
          <w:rFonts w:hint="eastAsia" w:ascii="宋体" w:hAnsi="宋体" w:eastAsia="宋体" w:cs="宋体"/>
          <w:b/>
          <w:bCs/>
          <w:color w:val="auto"/>
          <w:kern w:val="2"/>
          <w:sz w:val="21"/>
          <w:szCs w:val="21"/>
          <w:highlight w:val="none"/>
          <w:lang w:val="en-US" w:eastAsia="zh-CN" w:bidi="ar"/>
        </w:rPr>
        <w:t>行业；承接企业为</w:t>
      </w:r>
      <w:r>
        <w:rPr>
          <w:rFonts w:hint="eastAsia" w:ascii="宋体" w:hAnsi="宋体" w:eastAsia="宋体" w:cs="宋体"/>
          <w:b/>
          <w:bCs/>
          <w:color w:val="auto"/>
          <w:kern w:val="2"/>
          <w:sz w:val="21"/>
          <w:szCs w:val="21"/>
          <w:highlight w:val="none"/>
          <w:u w:val="single"/>
          <w:lang w:val="en-US" w:eastAsia="zh-CN" w:bidi="ar"/>
        </w:rPr>
        <w:t>某企业</w:t>
      </w:r>
      <w:r>
        <w:rPr>
          <w:rFonts w:hint="eastAsia" w:ascii="宋体" w:hAnsi="宋体" w:eastAsia="宋体" w:cs="宋体"/>
          <w:b/>
          <w:bCs/>
          <w:color w:val="auto"/>
          <w:kern w:val="2"/>
          <w:sz w:val="21"/>
          <w:szCs w:val="21"/>
          <w:highlight w:val="none"/>
          <w:lang w:val="en-US" w:eastAsia="zh-CN" w:bidi="ar"/>
        </w:rPr>
        <w:t>，从业人员</w:t>
      </w:r>
      <w:r>
        <w:rPr>
          <w:rFonts w:hint="eastAsia" w:ascii="宋体" w:hAnsi="宋体" w:eastAsia="宋体" w:cs="宋体"/>
          <w:b/>
          <w:bCs/>
          <w:color w:val="auto"/>
          <w:kern w:val="2"/>
          <w:sz w:val="21"/>
          <w:szCs w:val="21"/>
          <w:highlight w:val="none"/>
          <w:u w:val="single"/>
          <w:lang w:val="en-US" w:eastAsia="zh-CN" w:bidi="ar"/>
        </w:rPr>
        <w:t>100</w:t>
      </w:r>
      <w:r>
        <w:rPr>
          <w:rFonts w:hint="eastAsia" w:ascii="宋体" w:hAnsi="宋体" w:eastAsia="宋体" w:cs="宋体"/>
          <w:b/>
          <w:bCs/>
          <w:color w:val="auto"/>
          <w:kern w:val="2"/>
          <w:sz w:val="21"/>
          <w:szCs w:val="21"/>
          <w:highlight w:val="none"/>
          <w:lang w:val="en-US" w:eastAsia="zh-CN" w:bidi="ar"/>
        </w:rPr>
        <w:t>人，营业收入为</w:t>
      </w:r>
      <w:r>
        <w:rPr>
          <w:rFonts w:hint="eastAsia" w:ascii="宋体" w:hAnsi="宋体" w:eastAsia="宋体" w:cs="宋体"/>
          <w:b/>
          <w:bCs/>
          <w:color w:val="auto"/>
          <w:kern w:val="2"/>
          <w:sz w:val="21"/>
          <w:szCs w:val="21"/>
          <w:highlight w:val="none"/>
          <w:u w:val="single"/>
          <w:lang w:val="en-US" w:eastAsia="zh-CN" w:bidi="ar"/>
        </w:rPr>
        <w:t>10000</w:t>
      </w:r>
      <w:r>
        <w:rPr>
          <w:rFonts w:hint="eastAsia" w:ascii="宋体" w:hAnsi="宋体" w:eastAsia="宋体" w:cs="宋体"/>
          <w:b/>
          <w:bCs/>
          <w:color w:val="auto"/>
          <w:kern w:val="2"/>
          <w:sz w:val="21"/>
          <w:szCs w:val="21"/>
          <w:highlight w:val="none"/>
          <w:lang w:val="en-US" w:eastAsia="zh-CN" w:bidi="ar"/>
        </w:rPr>
        <w:t>万元，资产总额为</w:t>
      </w:r>
      <w:r>
        <w:rPr>
          <w:rFonts w:hint="eastAsia" w:ascii="宋体" w:hAnsi="宋体" w:eastAsia="宋体" w:cs="宋体"/>
          <w:b/>
          <w:bCs/>
          <w:color w:val="auto"/>
          <w:kern w:val="2"/>
          <w:sz w:val="21"/>
          <w:szCs w:val="21"/>
          <w:highlight w:val="none"/>
          <w:u w:val="single"/>
          <w:lang w:val="en-US" w:eastAsia="zh-CN" w:bidi="ar"/>
        </w:rPr>
        <w:t>5000</w:t>
      </w:r>
      <w:r>
        <w:rPr>
          <w:rFonts w:hint="eastAsia" w:ascii="宋体" w:hAnsi="宋体" w:eastAsia="宋体" w:cs="宋体"/>
          <w:b/>
          <w:bCs/>
          <w:color w:val="auto"/>
          <w:kern w:val="2"/>
          <w:sz w:val="21"/>
          <w:szCs w:val="21"/>
          <w:highlight w:val="none"/>
          <w:lang w:val="en-US" w:eastAsia="zh-CN" w:bidi="ar"/>
        </w:rPr>
        <w:t>万元，属于中</w:t>
      </w:r>
      <w:r>
        <w:rPr>
          <w:rFonts w:hint="eastAsia" w:ascii="宋体" w:hAnsi="宋体" w:eastAsia="宋体" w:cs="宋体"/>
          <w:b/>
          <w:bCs/>
          <w:color w:val="auto"/>
          <w:kern w:val="2"/>
          <w:sz w:val="21"/>
          <w:szCs w:val="21"/>
          <w:highlight w:val="none"/>
          <w:u w:val="single"/>
          <w:lang w:val="en-US" w:eastAsia="zh-CN" w:bidi="ar"/>
        </w:rPr>
        <w:t>型</w:t>
      </w:r>
      <w:r>
        <w:rPr>
          <w:rFonts w:hint="eastAsia" w:ascii="宋体" w:hAnsi="宋体" w:eastAsia="宋体" w:cs="宋体"/>
          <w:b/>
          <w:bCs/>
          <w:color w:val="auto"/>
          <w:kern w:val="2"/>
          <w:sz w:val="21"/>
          <w:szCs w:val="21"/>
          <w:highlight w:val="none"/>
          <w:lang w:val="en-US" w:eastAsia="zh-CN" w:bidi="ar"/>
        </w:rPr>
        <w:t>企业[投标人自行登录工业和信息化部官网进行中小企业规模类型自测（查询网址https://www.miit.gov.cn/）]。</w:t>
      </w:r>
    </w:p>
    <w:p w14:paraId="2242009F">
      <w:pPr>
        <w:pStyle w:val="25"/>
        <w:keepNext w:val="0"/>
        <w:keepLines w:val="0"/>
        <w:widowControl w:val="0"/>
        <w:suppressLineNumbers w:val="0"/>
        <w:spacing w:before="0" w:beforeAutospacing="1" w:after="120" w:afterAutospacing="0"/>
        <w:ind w:left="0" w:right="0"/>
        <w:jc w:val="both"/>
        <w:rPr>
          <w:rFonts w:hint="eastAsia" w:ascii="宋体" w:hAnsi="宋体" w:eastAsia="宋体" w:cs="@微软简标宋"/>
          <w:b/>
          <w:bCs/>
          <w:color w:val="auto"/>
          <w:kern w:val="2"/>
          <w:sz w:val="21"/>
          <w:szCs w:val="21"/>
          <w:highlight w:val="none"/>
        </w:rPr>
      </w:pPr>
      <w:r>
        <w:rPr>
          <w:rFonts w:hint="eastAsia" w:ascii="宋体" w:hAnsi="宋体" w:eastAsia="宋体" w:cs="@微软简标宋"/>
          <w:b/>
          <w:bCs/>
          <w:color w:val="auto"/>
          <w:kern w:val="2"/>
          <w:sz w:val="21"/>
          <w:szCs w:val="21"/>
          <w:highlight w:val="none"/>
          <w:lang w:val="en-US" w:eastAsia="zh-CN" w:bidi="ar"/>
        </w:rPr>
        <w:t xml:space="preserve"> </w:t>
      </w:r>
    </w:p>
    <w:p w14:paraId="4C168929">
      <w:pPr>
        <w:keepNext w:val="0"/>
        <w:keepLines w:val="0"/>
        <w:widowControl w:val="0"/>
        <w:suppressLineNumbers w:val="0"/>
        <w:spacing w:before="0" w:beforeAutospacing="0" w:after="0" w:afterAutospacing="0"/>
        <w:ind w:left="0" w:right="0"/>
        <w:jc w:val="both"/>
        <w:rPr>
          <w:rFonts w:hint="eastAsia" w:ascii="宋体" w:hAnsi="宋体" w:eastAsia="宋体" w:cs="@仿宋_GB2312"/>
          <w:b/>
          <w:bCs w:val="0"/>
          <w:color w:val="auto"/>
          <w:kern w:val="2"/>
          <w:sz w:val="24"/>
          <w:szCs w:val="24"/>
          <w:highlight w:val="none"/>
        </w:rPr>
      </w:pPr>
      <w:r>
        <w:rPr>
          <w:rFonts w:hint="eastAsia" w:ascii="宋体" w:hAnsi="宋体" w:eastAsia="宋体" w:cs="@仿宋_GB2312"/>
          <w:b/>
          <w:bCs w:val="0"/>
          <w:color w:val="auto"/>
          <w:kern w:val="2"/>
          <w:sz w:val="24"/>
          <w:szCs w:val="24"/>
          <w:highlight w:val="none"/>
          <w:lang w:val="en-US" w:eastAsia="zh-CN" w:bidi="ar"/>
        </w:rPr>
        <w:t xml:space="preserve"> </w:t>
      </w:r>
    </w:p>
    <w:p w14:paraId="3C944C09">
      <w:pPr>
        <w:keepNext w:val="0"/>
        <w:keepLines w:val="0"/>
        <w:widowControl w:val="0"/>
        <w:suppressLineNumbers w:val="0"/>
        <w:spacing w:before="0" w:beforeAutospacing="0" w:after="0" w:afterAutospacing="0"/>
        <w:ind w:left="0" w:right="0"/>
        <w:jc w:val="both"/>
        <w:rPr>
          <w:rFonts w:hint="eastAsia" w:ascii="宋体" w:hAnsi="宋体" w:eastAsia="宋体" w:cs="@仿宋_GB2312"/>
          <w:b/>
          <w:bCs w:val="0"/>
          <w:color w:val="auto"/>
          <w:kern w:val="2"/>
          <w:sz w:val="24"/>
          <w:szCs w:val="24"/>
          <w:highlight w:val="none"/>
        </w:rPr>
      </w:pPr>
      <w:r>
        <w:rPr>
          <w:rFonts w:hint="eastAsia" w:ascii="宋体" w:hAnsi="宋体" w:eastAsia="宋体" w:cs="@仿宋_GB2312"/>
          <w:b/>
          <w:bCs w:val="0"/>
          <w:color w:val="auto"/>
          <w:kern w:val="2"/>
          <w:sz w:val="24"/>
          <w:szCs w:val="24"/>
          <w:highlight w:val="none"/>
          <w:lang w:val="en-US" w:eastAsia="zh-CN" w:bidi="ar"/>
        </w:rPr>
        <w:t xml:space="preserve"> </w:t>
      </w:r>
    </w:p>
    <w:p w14:paraId="056C4DCD">
      <w:pPr>
        <w:keepNext w:val="0"/>
        <w:keepLines w:val="0"/>
        <w:widowControl w:val="0"/>
        <w:suppressLineNumbers w:val="0"/>
        <w:spacing w:before="0" w:beforeAutospacing="0" w:after="0" w:afterAutospacing="0"/>
        <w:ind w:left="0" w:right="0"/>
        <w:jc w:val="both"/>
        <w:rPr>
          <w:rFonts w:hint="eastAsia" w:ascii="宋体" w:hAnsi="宋体" w:eastAsia="宋体" w:cs="@仿宋_GB2312"/>
          <w:b/>
          <w:bCs w:val="0"/>
          <w:color w:val="auto"/>
          <w:kern w:val="2"/>
          <w:sz w:val="24"/>
          <w:szCs w:val="24"/>
          <w:highlight w:val="none"/>
        </w:rPr>
      </w:pPr>
      <w:r>
        <w:rPr>
          <w:rFonts w:hint="eastAsia" w:ascii="宋体" w:hAnsi="宋体" w:eastAsia="宋体" w:cs="@仿宋_GB2312"/>
          <w:b/>
          <w:bCs w:val="0"/>
          <w:color w:val="auto"/>
          <w:kern w:val="2"/>
          <w:sz w:val="24"/>
          <w:szCs w:val="24"/>
          <w:highlight w:val="none"/>
          <w:lang w:val="en-US" w:eastAsia="zh-CN" w:bidi="ar"/>
        </w:rPr>
        <w:t xml:space="preserve"> </w:t>
      </w:r>
    </w:p>
    <w:p w14:paraId="270EAE1D">
      <w:pPr>
        <w:keepNext w:val="0"/>
        <w:keepLines w:val="0"/>
        <w:widowControl w:val="0"/>
        <w:suppressLineNumbers w:val="0"/>
        <w:spacing w:before="0" w:beforeAutospacing="0" w:after="0" w:afterAutospacing="0"/>
        <w:ind w:left="0" w:right="0" w:firstLine="1928" w:firstLineChars="800"/>
        <w:jc w:val="both"/>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（5）残疾人福利性单位声明函</w:t>
      </w:r>
    </w:p>
    <w:p w14:paraId="5DC53D49">
      <w:pPr>
        <w:pStyle w:val="25"/>
        <w:keepNext w:val="0"/>
        <w:keepLines w:val="0"/>
        <w:widowControl w:val="0"/>
        <w:suppressLineNumbers w:val="0"/>
        <w:spacing w:before="0" w:beforeAutospacing="1" w:after="120" w:afterAutospacing="0"/>
        <w:ind w:left="0" w:right="0"/>
        <w:jc w:val="center"/>
        <w:rPr>
          <w:rFonts w:hint="eastAsia" w:ascii="宋体" w:hAnsi="宋体" w:eastAsia="宋体" w:cs="@微软简标宋"/>
          <w:i/>
          <w:iCs w:val="0"/>
          <w:color w:val="auto"/>
          <w:kern w:val="2"/>
          <w:sz w:val="24"/>
          <w:szCs w:val="24"/>
          <w:highlight w:val="none"/>
        </w:rPr>
      </w:pPr>
      <w:r>
        <w:rPr>
          <w:rFonts w:hint="eastAsia" w:ascii="宋体" w:hAnsi="宋体" w:eastAsia="宋体" w:cs="宋体"/>
          <w:i/>
          <w:iCs w:val="0"/>
          <w:color w:val="auto"/>
          <w:kern w:val="2"/>
          <w:sz w:val="24"/>
          <w:szCs w:val="24"/>
          <w:highlight w:val="none"/>
          <w:lang w:val="en-US" w:eastAsia="zh-CN" w:bidi="ar"/>
        </w:rPr>
        <w:t>（非残疾人福利性单位投标，请删去“残疾人福利性单位声明函”）</w:t>
      </w:r>
    </w:p>
    <w:p w14:paraId="09C854A9">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spacing w:val="6"/>
          <w:kern w:val="2"/>
          <w:sz w:val="24"/>
          <w:szCs w:val="24"/>
          <w:highlight w:val="none"/>
        </w:rPr>
      </w:pPr>
      <w:r>
        <w:rPr>
          <w:rFonts w:hint="eastAsia" w:ascii="宋体" w:hAnsi="宋体" w:eastAsia="宋体" w:cs="宋体"/>
          <w:color w:val="auto"/>
          <w:spacing w:val="6"/>
          <w:kern w:val="2"/>
          <w:sz w:val="24"/>
          <w:szCs w:val="24"/>
          <w:highlight w:val="none"/>
          <w:lang w:val="en-US" w:eastAsia="zh-CN" w:bidi="ar"/>
        </w:rPr>
        <w:t>本单位</w:t>
      </w:r>
      <w:r>
        <w:rPr>
          <w:rFonts w:hint="eastAsia" w:ascii="宋体" w:hAnsi="宋体" w:eastAsia="宋体" w:cs="宋体"/>
          <w:color w:val="auto"/>
          <w:kern w:val="2"/>
          <w:sz w:val="24"/>
          <w:szCs w:val="24"/>
          <w:highlight w:val="none"/>
          <w:lang w:val="en-US" w:eastAsia="zh-CN" w:bidi="ar"/>
        </w:rPr>
        <w:t>郑重</w:t>
      </w:r>
      <w:r>
        <w:rPr>
          <w:rFonts w:hint="eastAsia" w:ascii="宋体" w:hAnsi="宋体" w:eastAsia="宋体" w:cs="宋体"/>
          <w:color w:val="auto"/>
          <w:spacing w:val="6"/>
          <w:kern w:val="2"/>
          <w:sz w:val="24"/>
          <w:szCs w:val="24"/>
          <w:highlight w:val="none"/>
          <w:lang w:val="en-US" w:eastAsia="zh-CN" w:bidi="ar"/>
        </w:rPr>
        <w:t>声明，根据《财政部</w:t>
      </w:r>
      <w:r>
        <w:rPr>
          <w:rFonts w:hint="eastAsia" w:ascii="宋体" w:hAnsi="宋体" w:eastAsia="宋体" w:cs="@仿宋_GB2312"/>
          <w:color w:val="auto"/>
          <w:spacing w:val="6"/>
          <w:kern w:val="2"/>
          <w:sz w:val="24"/>
          <w:szCs w:val="24"/>
          <w:highlight w:val="non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民政部</w:t>
      </w:r>
      <w:r>
        <w:rPr>
          <w:rFonts w:hint="eastAsia" w:ascii="宋体" w:hAnsi="宋体" w:eastAsia="宋体" w:cs="@仿宋_GB2312"/>
          <w:color w:val="auto"/>
          <w:spacing w:val="6"/>
          <w:kern w:val="2"/>
          <w:sz w:val="24"/>
          <w:szCs w:val="24"/>
          <w:highlight w:val="non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中国残疾人联合会关于促进残疾人就业政府采购政策的通知》（财库</w:t>
      </w:r>
      <w:r>
        <w:rPr>
          <w:rFonts w:hint="eastAsia" w:ascii="宋体" w:hAnsi="宋体" w:eastAsia="宋体" w:cs="宋体"/>
          <w:color w:val="auto"/>
          <w:kern w:val="2"/>
          <w:sz w:val="24"/>
          <w:szCs w:val="24"/>
          <w:highlight w:val="none"/>
          <w:lang w:val="en-US" w:eastAsia="zh-CN" w:bidi="ar"/>
        </w:rPr>
        <w:t>〔2017〕141</w:t>
      </w:r>
      <w:r>
        <w:rPr>
          <w:rFonts w:hint="eastAsia" w:ascii="宋体" w:hAnsi="宋体" w:eastAsia="宋体" w:cs="宋体"/>
          <w:color w:val="auto"/>
          <w:spacing w:val="6"/>
          <w:kern w:val="2"/>
          <w:sz w:val="24"/>
          <w:szCs w:val="24"/>
          <w:highlight w:val="none"/>
          <w:lang w:val="en-US" w:eastAsia="zh-CN" w:bidi="ar"/>
        </w:rPr>
        <w:t>号）的规定，本单位为</w:t>
      </w:r>
      <w:r>
        <w:rPr>
          <w:rFonts w:hint="eastAsia" w:ascii="宋体" w:hAnsi="宋体" w:eastAsia="宋体" w:cs="宋体"/>
          <w:bCs/>
          <w:color w:val="auto"/>
          <w:kern w:val="2"/>
          <w:sz w:val="24"/>
          <w:szCs w:val="24"/>
          <w:highlight w:val="none"/>
          <w:lang w:val="en-US" w:eastAsia="zh-CN" w:bidi="ar"/>
        </w:rPr>
        <w:t>符合</w:t>
      </w:r>
      <w:r>
        <w:rPr>
          <w:rFonts w:hint="eastAsia" w:ascii="宋体" w:hAnsi="宋体" w:eastAsia="宋体" w:cs="宋体"/>
          <w:color w:val="auto"/>
          <w:spacing w:val="6"/>
          <w:kern w:val="2"/>
          <w:sz w:val="24"/>
          <w:szCs w:val="24"/>
          <w:highlight w:val="none"/>
          <w:lang w:val="en-US" w:eastAsia="zh-CN" w:bidi="ar"/>
        </w:rPr>
        <w:t>条件的残疾人福利性单位，且本单位参加</w:t>
      </w:r>
      <w:r>
        <w:rPr>
          <w:rFonts w:hint="eastAsia" w:ascii="宋体" w:hAnsi="宋体" w:eastAsia="宋体" w:cs="@仿宋_GB2312"/>
          <w:color w:val="auto"/>
          <w:spacing w:val="6"/>
          <w:kern w:val="2"/>
          <w:sz w:val="24"/>
          <w:szCs w:val="24"/>
          <w:highlight w:val="none"/>
          <w:u w:val="singl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单位的</w:t>
      </w:r>
      <w:r>
        <w:rPr>
          <w:rFonts w:hint="eastAsia" w:ascii="宋体" w:hAnsi="宋体" w:eastAsia="宋体" w:cs="@仿宋_GB2312"/>
          <w:color w:val="auto"/>
          <w:spacing w:val="6"/>
          <w:kern w:val="2"/>
          <w:sz w:val="24"/>
          <w:szCs w:val="24"/>
          <w:highlight w:val="none"/>
          <w:u w:val="singl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项目采购活动提供本单位制造的货物（由本单位承担工程/提供服务），或者提供其他残疾人福利性单位制造的货物（不包括使用非残疾人福利性单位注册商标的货物）。</w:t>
      </w:r>
    </w:p>
    <w:p w14:paraId="3F407FE2">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spacing w:val="6"/>
          <w:kern w:val="2"/>
          <w:sz w:val="24"/>
          <w:szCs w:val="24"/>
          <w:highlight w:val="none"/>
        </w:rPr>
      </w:pPr>
      <w:r>
        <w:rPr>
          <w:rFonts w:hint="eastAsia" w:ascii="宋体" w:hAnsi="宋体" w:eastAsia="宋体" w:cs="宋体"/>
          <w:color w:val="auto"/>
          <w:spacing w:val="6"/>
          <w:kern w:val="2"/>
          <w:sz w:val="24"/>
          <w:szCs w:val="24"/>
          <w:highlight w:val="none"/>
          <w:lang w:val="en-US" w:eastAsia="zh-CN" w:bidi="ar"/>
        </w:rPr>
        <w:t>本单位对上述声明的真实性负责。如有虚假，将依法承担相应责任。</w:t>
      </w:r>
    </w:p>
    <w:p w14:paraId="1F8C6C06">
      <w:pPr>
        <w:keepNext w:val="0"/>
        <w:keepLines w:val="0"/>
        <w:widowControl w:val="0"/>
        <w:suppressLineNumbers w:val="0"/>
        <w:spacing w:before="0" w:beforeAutospacing="0" w:after="0" w:afterAutospacing="0" w:line="360" w:lineRule="auto"/>
        <w:ind w:left="0" w:right="0" w:firstLine="4228" w:firstLineChars="1762"/>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1E9FAC55">
      <w:pPr>
        <w:keepNext w:val="0"/>
        <w:keepLines w:val="0"/>
        <w:widowControl w:val="0"/>
        <w:suppressLineNumbers w:val="0"/>
        <w:spacing w:before="0" w:beforeAutospacing="0" w:after="0" w:afterAutospacing="0" w:line="360" w:lineRule="auto"/>
        <w:ind w:left="0" w:right="0" w:firstLine="4228" w:firstLineChars="1762"/>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5C47CC91">
      <w:pPr>
        <w:keepNext w:val="0"/>
        <w:keepLines w:val="0"/>
        <w:widowControl w:val="0"/>
        <w:suppressLineNumbers w:val="0"/>
        <w:spacing w:before="0" w:beforeAutospacing="0" w:after="0" w:afterAutospacing="0" w:line="360" w:lineRule="auto"/>
        <w:ind w:left="0" w:right="0" w:firstLine="4228" w:firstLineChars="1762"/>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投标人电子签章：</w:t>
      </w:r>
      <w:r>
        <w:rPr>
          <w:rFonts w:hint="eastAsia" w:ascii="宋体" w:hAnsi="宋体" w:eastAsia="宋体" w:cs="@仿宋_GB2312"/>
          <w:color w:val="auto"/>
          <w:kern w:val="2"/>
          <w:sz w:val="24"/>
          <w:szCs w:val="24"/>
          <w:highlight w:val="none"/>
          <w:u w:val="single"/>
          <w:lang w:val="en-US" w:eastAsia="zh-CN" w:bidi="ar"/>
        </w:rPr>
        <w:t xml:space="preserve">             </w:t>
      </w:r>
    </w:p>
    <w:p w14:paraId="16808E9B">
      <w:pPr>
        <w:keepNext w:val="0"/>
        <w:keepLines w:val="0"/>
        <w:widowControl w:val="0"/>
        <w:suppressLineNumbers w:val="0"/>
        <w:spacing w:before="0" w:beforeAutospacing="0" w:after="0" w:afterAutospacing="0" w:line="360" w:lineRule="auto"/>
        <w:ind w:left="0" w:right="0" w:firstLine="4228" w:firstLineChars="1762"/>
        <w:jc w:val="both"/>
        <w:rPr>
          <w:color w:val="auto"/>
          <w:highlight w:val="none"/>
        </w:rPr>
      </w:pP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期：</w:t>
      </w:r>
      <w:r>
        <w:rPr>
          <w:rFonts w:hint="eastAsia" w:ascii="宋体" w:hAnsi="宋体" w:eastAsia="宋体" w:cs="@仿宋_GB2312"/>
          <w:color w:val="auto"/>
          <w:kern w:val="2"/>
          <w:sz w:val="24"/>
          <w:szCs w:val="24"/>
          <w:highlight w:val="none"/>
          <w:u w:val="single"/>
          <w:lang w:val="en-US" w:eastAsia="zh-CN" w:bidi="ar"/>
        </w:rPr>
        <w:t xml:space="preserve">             </w:t>
      </w:r>
    </w:p>
    <w:p w14:paraId="1E959479">
      <w:pPr>
        <w:widowControl/>
        <w:ind w:firstLine="3780" w:firstLineChars="1800"/>
        <w:jc w:val="left"/>
        <w:rPr>
          <w:rFonts w:hint="eastAsia" w:ascii="宋体" w:hAnsi="宋体" w:eastAsia="宋体" w:cs="宋体"/>
          <w:color w:val="auto"/>
          <w:szCs w:val="21"/>
          <w:highlight w:val="none"/>
          <w:u w:val="single"/>
          <w:lang w:eastAsia="zh-CN"/>
        </w:rPr>
      </w:pPr>
    </w:p>
    <w:p w14:paraId="69659283">
      <w:pPr>
        <w:widowControl/>
        <w:ind w:firstLine="3780" w:firstLineChars="1800"/>
        <w:jc w:val="left"/>
        <w:rPr>
          <w:rFonts w:hint="eastAsia" w:ascii="宋体" w:hAnsi="宋体" w:eastAsia="宋体" w:cs="宋体"/>
          <w:color w:val="auto"/>
          <w:szCs w:val="21"/>
          <w:highlight w:val="none"/>
          <w:u w:val="single"/>
          <w:lang w:eastAsia="zh-CN"/>
        </w:rPr>
      </w:pPr>
    </w:p>
    <w:p w14:paraId="563F4A0C">
      <w:pPr>
        <w:widowControl/>
        <w:jc w:val="left"/>
        <w:rPr>
          <w:rFonts w:hint="eastAsia" w:eastAsia="宋体" w:asciiTheme="minorEastAsia" w:hAnsiTheme="minorEastAsia"/>
          <w:b/>
          <w:color w:val="auto"/>
          <w:sz w:val="28"/>
          <w:highlight w:val="none"/>
          <w:lang w:eastAsia="zh-CN"/>
        </w:rPr>
      </w:pPr>
    </w:p>
    <w:p w14:paraId="7B72BBC1">
      <w:pPr>
        <w:rPr>
          <w:rFonts w:asciiTheme="minorEastAsia" w:hAnsiTheme="minorEastAsia" w:eastAsiaTheme="minorEastAsia"/>
          <w:b/>
          <w:color w:val="auto"/>
          <w:sz w:val="24"/>
          <w:highlight w:val="none"/>
        </w:rPr>
      </w:pPr>
      <w:bookmarkStart w:id="218" w:name="_Toc28960"/>
      <w:bookmarkStart w:id="219" w:name="_Toc17986"/>
    </w:p>
    <w:p w14:paraId="31FC06DF">
      <w:pPr>
        <w:pageBreakBefore/>
        <w:wordWrap w:val="0"/>
        <w:spacing w:before="100" w:beforeAutospacing="1" w:after="100" w:afterAutospacing="1"/>
        <w:jc w:val="center"/>
        <w:rPr>
          <w:rFonts w:hint="eastAsia" w:ascii="宋体" w:hAnsi="宋体" w:eastAsia="宋体" w:cs="宋体"/>
          <w:b/>
          <w:color w:val="auto"/>
          <w:sz w:val="28"/>
          <w:szCs w:val="28"/>
          <w:highlight w:val="none"/>
          <w:bdr w:val="single" w:color="000000" w:sz="4" w:space="0"/>
        </w:rPr>
      </w:pPr>
      <w:r>
        <w:rPr>
          <w:rFonts w:hint="eastAsia" w:ascii="宋体" w:hAnsi="宋体" w:eastAsia="宋体" w:cs="宋体"/>
          <w:b/>
          <w:color w:val="auto"/>
          <w:sz w:val="28"/>
          <w:szCs w:val="28"/>
          <w:highlight w:val="none"/>
        </w:rPr>
        <w:t>二、技术标格式文件</w:t>
      </w:r>
    </w:p>
    <w:p w14:paraId="73E183B3">
      <w:pPr>
        <w:jc w:val="center"/>
        <w:rPr>
          <w:rFonts w:hint="eastAsia" w:ascii="宋体" w:hAnsi="宋体" w:eastAsia="宋体" w:cs="宋体"/>
          <w:b/>
          <w:color w:val="auto"/>
          <w:sz w:val="44"/>
          <w:szCs w:val="44"/>
          <w:highlight w:val="none"/>
        </w:rPr>
      </w:pPr>
      <w:bookmarkStart w:id="220" w:name="_Toc449028953"/>
      <w:bookmarkStart w:id="221" w:name="_Toc387149626"/>
    </w:p>
    <w:p w14:paraId="184A929D">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技术标</w:t>
      </w:r>
      <w:bookmarkEnd w:id="220"/>
      <w:bookmarkEnd w:id="221"/>
    </w:p>
    <w:p w14:paraId="67776F97">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（投标文件二）</w:t>
      </w:r>
    </w:p>
    <w:p w14:paraId="6A651974">
      <w:pPr>
        <w:jc w:val="center"/>
        <w:rPr>
          <w:rFonts w:hint="eastAsia" w:ascii="宋体" w:hAnsi="宋体" w:eastAsia="宋体" w:cs="宋体"/>
          <w:color w:val="auto"/>
          <w:sz w:val="44"/>
          <w:szCs w:val="44"/>
          <w:highlight w:val="none"/>
        </w:rPr>
      </w:pPr>
    </w:p>
    <w:p w14:paraId="07227EFC">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项目</w:t>
      </w:r>
    </w:p>
    <w:p w14:paraId="30535CCA">
      <w:pPr>
        <w:jc w:val="center"/>
        <w:rPr>
          <w:rFonts w:hint="eastAsia" w:ascii="宋体" w:hAnsi="宋体" w:eastAsia="宋体" w:cs="宋体"/>
          <w:color w:val="auto"/>
          <w:sz w:val="44"/>
          <w:szCs w:val="44"/>
          <w:highlight w:val="none"/>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rPr>
        <w:t xml:space="preserve">      </w:t>
      </w:r>
    </w:p>
    <w:p w14:paraId="1142F10A">
      <w:pPr>
        <w:rPr>
          <w:rFonts w:hint="eastAsia" w:ascii="宋体" w:hAnsi="宋体" w:eastAsia="宋体" w:cs="宋体"/>
          <w:color w:val="auto"/>
          <w:sz w:val="28"/>
          <w:szCs w:val="28"/>
          <w:highlight w:val="none"/>
        </w:rPr>
      </w:pPr>
    </w:p>
    <w:p w14:paraId="7D6C73C0">
      <w:pPr>
        <w:rPr>
          <w:rFonts w:hint="eastAsia" w:ascii="宋体" w:hAnsi="宋体" w:eastAsia="宋体" w:cs="宋体"/>
          <w:color w:val="auto"/>
          <w:sz w:val="28"/>
          <w:szCs w:val="28"/>
          <w:highlight w:val="none"/>
        </w:rPr>
      </w:pPr>
    </w:p>
    <w:p w14:paraId="64A4AA31">
      <w:pPr>
        <w:tabs>
          <w:tab w:val="left" w:pos="2579"/>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ab/>
      </w:r>
    </w:p>
    <w:p w14:paraId="1A920635">
      <w:pPr>
        <w:rPr>
          <w:rFonts w:hint="eastAsia" w:ascii="宋体" w:hAnsi="宋体" w:eastAsia="宋体" w:cs="宋体"/>
          <w:color w:val="auto"/>
          <w:sz w:val="28"/>
          <w:szCs w:val="28"/>
          <w:highlight w:val="none"/>
        </w:rPr>
      </w:pPr>
    </w:p>
    <w:p w14:paraId="579C3EC9">
      <w:pPr>
        <w:rPr>
          <w:rFonts w:hint="eastAsia" w:ascii="宋体" w:hAnsi="宋体" w:eastAsia="宋体" w:cs="宋体"/>
          <w:color w:val="auto"/>
          <w:sz w:val="28"/>
          <w:szCs w:val="28"/>
          <w:highlight w:val="none"/>
        </w:rPr>
      </w:pPr>
    </w:p>
    <w:p w14:paraId="58CE2418">
      <w:pPr>
        <w:rPr>
          <w:rFonts w:hint="eastAsia" w:ascii="宋体" w:hAnsi="宋体" w:eastAsia="宋体" w:cs="宋体"/>
          <w:color w:val="auto"/>
          <w:sz w:val="28"/>
          <w:szCs w:val="28"/>
          <w:highlight w:val="none"/>
        </w:rPr>
      </w:pPr>
    </w:p>
    <w:p w14:paraId="14C195D2">
      <w:pPr>
        <w:rPr>
          <w:rFonts w:hint="eastAsia" w:ascii="宋体" w:hAnsi="宋体" w:eastAsia="宋体" w:cs="宋体"/>
          <w:color w:val="auto"/>
          <w:sz w:val="28"/>
          <w:szCs w:val="28"/>
          <w:highlight w:val="none"/>
        </w:rPr>
      </w:pPr>
    </w:p>
    <w:p w14:paraId="1252CB5E">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（盖单位章）</w:t>
      </w:r>
    </w:p>
    <w:p w14:paraId="272F778E">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3BE216CD">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3A52C8ED">
      <w:pPr>
        <w:rPr>
          <w:rFonts w:hint="eastAsia" w:ascii="宋体" w:hAnsi="宋体" w:eastAsia="宋体" w:cs="宋体"/>
          <w:b/>
          <w:color w:val="auto"/>
          <w:sz w:val="24"/>
          <w:highlight w:val="none"/>
        </w:rPr>
      </w:pPr>
    </w:p>
    <w:p w14:paraId="3137C622">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63BC92A6">
      <w:pPr>
        <w:pageBreakBefore/>
        <w:spacing w:line="40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目   录</w:t>
      </w:r>
    </w:p>
    <w:p w14:paraId="0B97E0CD">
      <w:pPr>
        <w:spacing w:line="400" w:lineRule="exact"/>
        <w:rPr>
          <w:rFonts w:ascii="宋体"/>
          <w:color w:val="auto"/>
          <w:szCs w:val="21"/>
          <w:highlight w:val="none"/>
        </w:rPr>
      </w:pPr>
    </w:p>
    <w:p w14:paraId="510481C8">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（1）投标响应表（格式见附件）；</w:t>
      </w:r>
    </w:p>
    <w:p w14:paraId="35589B51">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（2）诚信履约承诺函（格式见附件）；</w:t>
      </w:r>
    </w:p>
    <w:p w14:paraId="3BE660D5">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（3）招标文件中要求的技术标评审及技术标评分的支持资料；</w:t>
      </w:r>
    </w:p>
    <w:p w14:paraId="15736226">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（4）投标人认为需要提供的其他技术证明材料（如有）。</w:t>
      </w:r>
    </w:p>
    <w:p w14:paraId="6018F8D4">
      <w:pPr>
        <w:spacing w:line="500" w:lineRule="exact"/>
        <w:rPr>
          <w:rFonts w:ascii="宋体" w:hAnsi="宋体" w:eastAsia="宋体" w:cs="宋体"/>
          <w:b/>
          <w:color w:val="auto"/>
          <w:sz w:val="24"/>
          <w:szCs w:val="24"/>
          <w:highlight w:val="none"/>
        </w:rPr>
      </w:pPr>
    </w:p>
    <w:p w14:paraId="36D998BC">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bookmarkStart w:id="222" w:name="_Toc1533"/>
      <w:r>
        <w:rPr>
          <w:rFonts w:hint="eastAsia" w:asciiTheme="minorEastAsia" w:hAnsiTheme="minorEastAsia" w:eastAsiaTheme="minorEastAsia"/>
          <w:b/>
          <w:color w:val="auto"/>
          <w:sz w:val="24"/>
          <w:highlight w:val="none"/>
        </w:rPr>
        <w:t>（1）投标响应表</w:t>
      </w:r>
      <w:bookmarkEnd w:id="222"/>
    </w:p>
    <w:p w14:paraId="1C2C94C8">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032"/>
        <w:gridCol w:w="2649"/>
        <w:gridCol w:w="2730"/>
        <w:gridCol w:w="859"/>
      </w:tblGrid>
      <w:tr w14:paraId="7F61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4F87F425">
            <w:pPr>
              <w:pStyle w:val="18"/>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7793B78B">
            <w:pPr>
              <w:pStyle w:val="18"/>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5A013E99">
            <w:pPr>
              <w:pStyle w:val="18"/>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1510" w:type="pct"/>
            <w:vAlign w:val="center"/>
          </w:tcPr>
          <w:p w14:paraId="6512A8D2">
            <w:pPr>
              <w:pStyle w:val="18"/>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475" w:type="pct"/>
            <w:vAlign w:val="center"/>
          </w:tcPr>
          <w:p w14:paraId="3A200F1A">
            <w:pPr>
              <w:pStyle w:val="18"/>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04284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4A70F4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default" w:asciiTheme="minorEastAsia" w:hAnsiTheme="minorEastAsia" w:eastAsiaTheme="minorEastAsia"/>
                <w:color w:val="auto"/>
                <w:sz w:val="24"/>
                <w:szCs w:val="20"/>
                <w:highlight w:val="none"/>
              </w:rPr>
              <w:t>1</w:t>
            </w:r>
          </w:p>
        </w:tc>
        <w:tc>
          <w:tcPr>
            <w:tcW w:w="1124" w:type="pct"/>
            <w:vAlign w:val="center"/>
          </w:tcPr>
          <w:p w14:paraId="2E8D696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Theme="minorEastAsia" w:hAnsiTheme="minorEastAsia" w:eastAsiaTheme="minorEastAsia"/>
                <w:color w:val="auto"/>
                <w:sz w:val="24"/>
                <w:szCs w:val="20"/>
                <w:highlight w:val="none"/>
              </w:rPr>
              <w:t>付款方式</w:t>
            </w:r>
          </w:p>
        </w:tc>
        <w:tc>
          <w:tcPr>
            <w:tcW w:w="1465" w:type="pct"/>
            <w:vAlign w:val="center"/>
          </w:tcPr>
          <w:p w14:paraId="56C12ECE">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1510" w:type="pct"/>
            <w:vAlign w:val="center"/>
          </w:tcPr>
          <w:p w14:paraId="439B2BD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475" w:type="pct"/>
            <w:vAlign w:val="center"/>
          </w:tcPr>
          <w:p w14:paraId="497F0993">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r w14:paraId="0FE46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A663BEE">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2</w:t>
            </w:r>
          </w:p>
        </w:tc>
        <w:tc>
          <w:tcPr>
            <w:tcW w:w="1124" w:type="pct"/>
            <w:vAlign w:val="center"/>
          </w:tcPr>
          <w:p w14:paraId="46A32D3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服务地点</w:t>
            </w:r>
          </w:p>
        </w:tc>
        <w:tc>
          <w:tcPr>
            <w:tcW w:w="1465" w:type="pct"/>
            <w:vAlign w:val="center"/>
          </w:tcPr>
          <w:p w14:paraId="41B3C06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1510" w:type="pct"/>
            <w:vAlign w:val="center"/>
          </w:tcPr>
          <w:p w14:paraId="2815D39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475" w:type="pct"/>
            <w:vAlign w:val="center"/>
          </w:tcPr>
          <w:p w14:paraId="23C91C42">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r w14:paraId="2E07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B41C5B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3</w:t>
            </w:r>
          </w:p>
        </w:tc>
        <w:tc>
          <w:tcPr>
            <w:tcW w:w="1124" w:type="pct"/>
            <w:vAlign w:val="center"/>
          </w:tcPr>
          <w:p w14:paraId="4A22584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服务期限</w:t>
            </w:r>
          </w:p>
        </w:tc>
        <w:tc>
          <w:tcPr>
            <w:tcW w:w="1465" w:type="pct"/>
            <w:vAlign w:val="center"/>
          </w:tcPr>
          <w:p w14:paraId="118F5E3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1510" w:type="pct"/>
            <w:vAlign w:val="center"/>
          </w:tcPr>
          <w:p w14:paraId="18A78FEE">
            <w:pPr>
              <w:pStyle w:val="59"/>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0"/>
                <w:highlight w:val="none"/>
              </w:rPr>
            </w:pPr>
          </w:p>
        </w:tc>
        <w:tc>
          <w:tcPr>
            <w:tcW w:w="475" w:type="pct"/>
            <w:vAlign w:val="center"/>
          </w:tcPr>
          <w:p w14:paraId="7AF05F18">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r w14:paraId="15CBB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56FAF5A">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4</w:t>
            </w:r>
          </w:p>
        </w:tc>
        <w:tc>
          <w:tcPr>
            <w:tcW w:w="1124" w:type="pct"/>
            <w:vAlign w:val="center"/>
          </w:tcPr>
          <w:p w14:paraId="0536F76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lang w:val="en-US"/>
              </w:rPr>
            </w:pPr>
            <w:r>
              <w:rPr>
                <w:rFonts w:hint="eastAsia" w:ascii="宋体" w:hAnsi="宋体" w:eastAsia="宋体" w:cs="宋体"/>
                <w:color w:val="auto"/>
                <w:sz w:val="24"/>
                <w:szCs w:val="20"/>
                <w:highlight w:val="none"/>
              </w:rPr>
              <w:t>“采购需求”所列的所有内容</w:t>
            </w:r>
          </w:p>
        </w:tc>
        <w:tc>
          <w:tcPr>
            <w:tcW w:w="1465" w:type="pct"/>
            <w:vAlign w:val="center"/>
          </w:tcPr>
          <w:p w14:paraId="25E5519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lang w:val="en-US"/>
              </w:rPr>
            </w:pPr>
          </w:p>
        </w:tc>
        <w:tc>
          <w:tcPr>
            <w:tcW w:w="1510" w:type="pct"/>
            <w:vAlign w:val="center"/>
          </w:tcPr>
          <w:p w14:paraId="0AE48449">
            <w:pPr>
              <w:pStyle w:val="59"/>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0"/>
                <w:highlight w:val="none"/>
                <w:lang w:val="en-US"/>
              </w:rPr>
            </w:pPr>
          </w:p>
        </w:tc>
        <w:tc>
          <w:tcPr>
            <w:tcW w:w="475" w:type="pct"/>
            <w:vAlign w:val="center"/>
          </w:tcPr>
          <w:p w14:paraId="172609E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lang w:val="en-US"/>
              </w:rPr>
            </w:pPr>
          </w:p>
        </w:tc>
      </w:tr>
      <w:tr w14:paraId="00703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388F32B">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w:t>
            </w:r>
          </w:p>
        </w:tc>
        <w:tc>
          <w:tcPr>
            <w:tcW w:w="1124" w:type="pct"/>
            <w:vAlign w:val="center"/>
          </w:tcPr>
          <w:p w14:paraId="1A0E10D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65" w:type="pct"/>
            <w:vAlign w:val="center"/>
          </w:tcPr>
          <w:p w14:paraId="38151A7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1510" w:type="pct"/>
            <w:vAlign w:val="center"/>
          </w:tcPr>
          <w:p w14:paraId="209B220E">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475" w:type="pct"/>
            <w:vAlign w:val="center"/>
          </w:tcPr>
          <w:p w14:paraId="19ABD26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bl>
    <w:p w14:paraId="1AE25B76">
      <w:pPr>
        <w:spacing w:line="360" w:lineRule="auto"/>
        <w:ind w:firstLine="4800" w:firstLineChars="2000"/>
        <w:rPr>
          <w:rFonts w:hint="eastAsia" w:ascii="宋体" w:hAnsi="宋体" w:eastAsia="宋体"/>
          <w:color w:val="auto"/>
          <w:sz w:val="24"/>
          <w:highlight w:val="none"/>
        </w:rPr>
      </w:pPr>
    </w:p>
    <w:p w14:paraId="55C6EBB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2E5934B0">
      <w:pPr>
        <w:tabs>
          <w:tab w:val="left" w:pos="630"/>
        </w:tabs>
        <w:spacing w:line="360" w:lineRule="auto"/>
        <w:ind w:firstLine="4800" w:firstLineChars="2000"/>
        <w:rPr>
          <w:rFonts w:eastAsia="宋体"/>
          <w:b/>
          <w:color w:val="auto"/>
          <w:sz w:val="28"/>
          <w:szCs w:val="28"/>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0C02119F">
      <w:pPr>
        <w:ind w:firstLine="480" w:firstLineChars="200"/>
        <w:rPr>
          <w:rFonts w:ascii="宋体"/>
          <w:color w:val="auto"/>
          <w:sz w:val="24"/>
          <w:highlight w:val="none"/>
        </w:rPr>
      </w:pPr>
    </w:p>
    <w:p w14:paraId="1F0A7801">
      <w:pPr>
        <w:rPr>
          <w:rFonts w:asciiTheme="minorEastAsia" w:hAnsiTheme="minorEastAsia" w:eastAsiaTheme="minorEastAsia"/>
          <w:b/>
          <w:color w:val="auto"/>
          <w:sz w:val="24"/>
          <w:highlight w:val="none"/>
        </w:rPr>
      </w:pPr>
      <w:bookmarkStart w:id="223" w:name="_Toc26536"/>
      <w:bookmarkStart w:id="224" w:name="_Toc23860"/>
      <w:bookmarkStart w:id="225" w:name="_Hlk11701496"/>
      <w:r>
        <w:rPr>
          <w:rFonts w:hint="eastAsia" w:asciiTheme="minorEastAsia" w:hAnsiTheme="minorEastAsia" w:eastAsiaTheme="minorEastAsia"/>
          <w:b/>
          <w:color w:val="auto"/>
          <w:sz w:val="24"/>
          <w:highlight w:val="none"/>
        </w:rPr>
        <w:br w:type="page"/>
      </w:r>
    </w:p>
    <w:p w14:paraId="2D7C3542">
      <w:pPr>
        <w:spacing w:line="360" w:lineRule="auto"/>
        <w:jc w:val="center"/>
        <w:outlineLvl w:val="1"/>
        <w:rPr>
          <w:rFonts w:asciiTheme="minorEastAsia" w:hAnsiTheme="minorEastAsia" w:eastAsiaTheme="minorEastAsia"/>
          <w:b/>
          <w:color w:val="auto"/>
          <w:sz w:val="24"/>
          <w:highlight w:val="none"/>
        </w:rPr>
      </w:pPr>
      <w:bookmarkStart w:id="226" w:name="_Toc3287"/>
      <w:r>
        <w:rPr>
          <w:rFonts w:hint="eastAsia" w:asciiTheme="minorEastAsia" w:hAnsiTheme="minorEastAsia" w:eastAsiaTheme="minorEastAsia"/>
          <w:b/>
          <w:color w:val="auto"/>
          <w:sz w:val="24"/>
          <w:highlight w:val="none"/>
        </w:rPr>
        <w:t>(2)诚信履约承诺函</w:t>
      </w:r>
      <w:bookmarkEnd w:id="223"/>
      <w:bookmarkEnd w:id="224"/>
      <w:bookmarkEnd w:id="226"/>
    </w:p>
    <w:p w14:paraId="2ABF4A34">
      <w:pPr>
        <w:spacing w:line="360" w:lineRule="auto"/>
        <w:rPr>
          <w:rFonts w:asciiTheme="minorEastAsia" w:hAnsiTheme="minorEastAsia" w:eastAsiaTheme="minorEastAsia"/>
          <w:b/>
          <w:bCs/>
          <w:color w:val="auto"/>
          <w:sz w:val="24"/>
          <w:highlight w:val="none"/>
        </w:rPr>
      </w:pPr>
    </w:p>
    <w:p w14:paraId="1FFBCA0F">
      <w:pPr>
        <w:spacing w:line="360" w:lineRule="auto"/>
        <w:rPr>
          <w:rFonts w:asciiTheme="minorEastAsia" w:hAnsiTheme="minorEastAsia" w:eastAsiaTheme="minorEastAsia"/>
          <w:b/>
          <w:bCs/>
          <w:color w:val="auto"/>
          <w:sz w:val="24"/>
          <w:highlight w:val="none"/>
          <w:u w:val="single"/>
        </w:rPr>
      </w:pPr>
      <w:r>
        <w:rPr>
          <w:rFonts w:hint="eastAsia" w:asciiTheme="minorEastAsia" w:hAnsiTheme="minorEastAsia" w:eastAsiaTheme="minorEastAsia"/>
          <w:b/>
          <w:bCs/>
          <w:color w:val="auto"/>
          <w:sz w:val="24"/>
          <w:highlight w:val="none"/>
        </w:rPr>
        <w:t>致：采购人</w:t>
      </w:r>
    </w:p>
    <w:p w14:paraId="490B203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175CF3D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65ABDD8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60A029B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69296B0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3999A137">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07C2E2A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49937C1">
      <w:pPr>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本承诺声明：</w:t>
      </w:r>
      <w:r>
        <w:rPr>
          <w:rFonts w:hint="eastAsia" w:ascii="宋体" w:hAnsi="宋体" w:eastAsia="宋体"/>
          <w:bCs/>
          <w:color w:val="auto"/>
          <w:sz w:val="24"/>
          <w:szCs w:val="24"/>
          <w:highlight w:val="none"/>
          <w:u w:val="single"/>
        </w:rPr>
        <w:t xml:space="preserve">                   （投标人名称）</w:t>
      </w:r>
      <w:r>
        <w:rPr>
          <w:rFonts w:hint="eastAsia" w:ascii="宋体" w:hAnsi="宋体" w:eastAsia="宋体"/>
          <w:bCs/>
          <w:color w:val="auto"/>
          <w:sz w:val="24"/>
          <w:szCs w:val="24"/>
          <w:highlight w:val="none"/>
        </w:rPr>
        <w:t>对本招标文件的相关要求完全响应。若有幸中标将严格按照以上承诺进行供货和服务。</w:t>
      </w:r>
    </w:p>
    <w:p w14:paraId="4B5816C2">
      <w:pPr>
        <w:spacing w:line="360" w:lineRule="auto"/>
        <w:rPr>
          <w:rFonts w:asciiTheme="minorEastAsia" w:hAnsiTheme="minorEastAsia" w:eastAsiaTheme="minorEastAsia"/>
          <w:bCs/>
          <w:color w:val="auto"/>
          <w:sz w:val="24"/>
          <w:highlight w:val="none"/>
        </w:rPr>
      </w:pPr>
    </w:p>
    <w:p w14:paraId="7D737EBF">
      <w:pPr>
        <w:spacing w:line="360" w:lineRule="auto"/>
        <w:rPr>
          <w:rFonts w:asciiTheme="minorEastAsia" w:hAnsiTheme="minorEastAsia" w:eastAsiaTheme="minorEastAsia"/>
          <w:bCs/>
          <w:color w:val="auto"/>
          <w:sz w:val="24"/>
          <w:highlight w:val="none"/>
        </w:rPr>
      </w:pPr>
    </w:p>
    <w:p w14:paraId="13F96DAB">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250E7127">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1F836D24">
      <w:pPr>
        <w:widowControl/>
        <w:jc w:val="left"/>
        <w:rPr>
          <w:rFonts w:ascii="宋体" w:hAnsi="宋体"/>
          <w:color w:val="auto"/>
          <w:szCs w:val="21"/>
          <w:highlight w:val="none"/>
        </w:rPr>
      </w:pPr>
      <w:r>
        <w:rPr>
          <w:rFonts w:ascii="宋体" w:hAnsi="宋体" w:eastAsia="宋体" w:cs="Arial"/>
          <w:color w:val="auto"/>
          <w:sz w:val="24"/>
          <w:highlight w:val="none"/>
        </w:rPr>
        <w:br w:type="page"/>
      </w:r>
      <w:bookmarkEnd w:id="225"/>
    </w:p>
    <w:p w14:paraId="4DA5BC4F">
      <w:pPr>
        <w:jc w:val="center"/>
        <w:rPr>
          <w:rFonts w:hint="eastAsia" w:ascii="宋体" w:hAnsi="宋体" w:eastAsia="宋体" w:cs="宋体"/>
          <w:color w:val="auto"/>
          <w:sz w:val="24"/>
          <w:highlight w:val="none"/>
        </w:rPr>
      </w:pPr>
      <w:r>
        <w:rPr>
          <w:rFonts w:hint="eastAsia" w:ascii="宋体" w:hAnsi="宋体" w:eastAsia="宋体" w:cs="宋体"/>
          <w:b/>
          <w:color w:val="auto"/>
          <w:sz w:val="28"/>
          <w:szCs w:val="28"/>
          <w:highlight w:val="none"/>
        </w:rPr>
        <w:t>三、商务标格式文件</w:t>
      </w:r>
    </w:p>
    <w:p w14:paraId="3C2CF2BE">
      <w:pPr>
        <w:jc w:val="center"/>
        <w:rPr>
          <w:rFonts w:hint="eastAsia" w:ascii="宋体" w:hAnsi="宋体" w:eastAsia="宋体" w:cs="宋体"/>
          <w:color w:val="auto"/>
          <w:sz w:val="20"/>
          <w:highlight w:val="none"/>
        </w:rPr>
      </w:pPr>
    </w:p>
    <w:p w14:paraId="073F2507">
      <w:pPr>
        <w:rPr>
          <w:rFonts w:hint="eastAsia" w:ascii="宋体" w:hAnsi="宋体" w:eastAsia="宋体" w:cs="宋体"/>
          <w:color w:val="auto"/>
          <w:sz w:val="20"/>
          <w:highlight w:val="none"/>
        </w:rPr>
      </w:pPr>
    </w:p>
    <w:p w14:paraId="6A1946F3">
      <w:pPr>
        <w:pStyle w:val="30"/>
        <w:rPr>
          <w:rFonts w:hint="eastAsia" w:ascii="宋体" w:hAnsi="宋体" w:eastAsia="宋体" w:cs="宋体"/>
          <w:color w:val="auto"/>
          <w:highlight w:val="none"/>
        </w:rPr>
      </w:pPr>
    </w:p>
    <w:p w14:paraId="750B7BEF">
      <w:pPr>
        <w:jc w:val="center"/>
        <w:rPr>
          <w:rFonts w:hint="eastAsia" w:ascii="宋体" w:hAnsi="宋体" w:eastAsia="宋体" w:cs="宋体"/>
          <w:b/>
          <w:color w:val="auto"/>
          <w:sz w:val="44"/>
          <w:szCs w:val="44"/>
          <w:highlight w:val="none"/>
        </w:rPr>
      </w:pPr>
      <w:bookmarkStart w:id="227" w:name="_Toc449028954"/>
      <w:r>
        <w:rPr>
          <w:rFonts w:hint="eastAsia" w:ascii="宋体" w:hAnsi="宋体" w:eastAsia="宋体" w:cs="宋体"/>
          <w:b/>
          <w:color w:val="auto"/>
          <w:sz w:val="44"/>
          <w:szCs w:val="44"/>
          <w:highlight w:val="none"/>
        </w:rPr>
        <w:t>商务标</w:t>
      </w:r>
      <w:bookmarkEnd w:id="227"/>
    </w:p>
    <w:p w14:paraId="6212432F">
      <w:pPr>
        <w:jc w:val="center"/>
        <w:rPr>
          <w:rFonts w:hint="eastAsia" w:ascii="宋体" w:hAnsi="宋体" w:eastAsia="宋体" w:cs="宋体"/>
          <w:color w:val="auto"/>
          <w:sz w:val="36"/>
          <w:szCs w:val="36"/>
          <w:highlight w:val="none"/>
        </w:rPr>
      </w:pPr>
      <w:r>
        <w:rPr>
          <w:rFonts w:hint="eastAsia" w:ascii="宋体" w:hAnsi="宋体" w:eastAsia="宋体" w:cs="宋体"/>
          <w:color w:val="auto"/>
          <w:sz w:val="44"/>
          <w:szCs w:val="44"/>
          <w:highlight w:val="none"/>
        </w:rPr>
        <w:t>（</w:t>
      </w:r>
      <w:r>
        <w:rPr>
          <w:rFonts w:hint="eastAsia" w:ascii="宋体" w:hAnsi="宋体" w:eastAsia="宋体" w:cs="宋体"/>
          <w:color w:val="auto"/>
          <w:sz w:val="36"/>
          <w:szCs w:val="36"/>
          <w:highlight w:val="none"/>
        </w:rPr>
        <w:t>投标文件三）</w:t>
      </w:r>
    </w:p>
    <w:p w14:paraId="383ABC9A">
      <w:pPr>
        <w:jc w:val="center"/>
        <w:rPr>
          <w:rFonts w:hint="eastAsia" w:ascii="宋体" w:hAnsi="宋体" w:eastAsia="宋体" w:cs="宋体"/>
          <w:color w:val="auto"/>
          <w:sz w:val="36"/>
          <w:szCs w:val="36"/>
          <w:highlight w:val="none"/>
        </w:rPr>
      </w:pPr>
    </w:p>
    <w:p w14:paraId="74E7FEE4">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项目</w:t>
      </w:r>
    </w:p>
    <w:p w14:paraId="7C23DAB6">
      <w:pPr>
        <w:jc w:val="center"/>
        <w:rPr>
          <w:rFonts w:hint="eastAsia" w:ascii="宋体" w:hAnsi="宋体" w:eastAsia="宋体" w:cs="宋体"/>
          <w:color w:val="auto"/>
          <w:sz w:val="44"/>
          <w:szCs w:val="44"/>
          <w:highlight w:val="none"/>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rPr>
        <w:t xml:space="preserve">  </w:t>
      </w:r>
    </w:p>
    <w:p w14:paraId="4EC75724">
      <w:pPr>
        <w:rPr>
          <w:rFonts w:hint="eastAsia" w:ascii="宋体" w:hAnsi="宋体" w:eastAsia="宋体" w:cs="宋体"/>
          <w:color w:val="auto"/>
          <w:sz w:val="28"/>
          <w:szCs w:val="28"/>
          <w:highlight w:val="none"/>
        </w:rPr>
      </w:pPr>
    </w:p>
    <w:p w14:paraId="1BC4D8A0">
      <w:pPr>
        <w:rPr>
          <w:rFonts w:hint="eastAsia" w:ascii="宋体" w:hAnsi="宋体" w:eastAsia="宋体" w:cs="宋体"/>
          <w:color w:val="auto"/>
          <w:sz w:val="28"/>
          <w:szCs w:val="28"/>
          <w:highlight w:val="none"/>
        </w:rPr>
      </w:pPr>
    </w:p>
    <w:p w14:paraId="2A4EF782">
      <w:pPr>
        <w:rPr>
          <w:rFonts w:hint="eastAsia" w:ascii="宋体" w:hAnsi="宋体" w:eastAsia="宋体" w:cs="宋体"/>
          <w:color w:val="auto"/>
          <w:sz w:val="28"/>
          <w:szCs w:val="28"/>
          <w:highlight w:val="none"/>
        </w:rPr>
      </w:pPr>
    </w:p>
    <w:p w14:paraId="16319DAF">
      <w:pPr>
        <w:rPr>
          <w:rFonts w:hint="eastAsia" w:ascii="宋体" w:hAnsi="宋体" w:eastAsia="宋体" w:cs="宋体"/>
          <w:color w:val="auto"/>
          <w:sz w:val="28"/>
          <w:szCs w:val="28"/>
          <w:highlight w:val="none"/>
        </w:rPr>
      </w:pPr>
    </w:p>
    <w:p w14:paraId="6EA7EF75">
      <w:pPr>
        <w:rPr>
          <w:rFonts w:hint="eastAsia" w:ascii="宋体" w:hAnsi="宋体" w:eastAsia="宋体" w:cs="宋体"/>
          <w:color w:val="auto"/>
          <w:sz w:val="28"/>
          <w:szCs w:val="28"/>
          <w:highlight w:val="none"/>
        </w:rPr>
      </w:pPr>
    </w:p>
    <w:p w14:paraId="37FDFF7E">
      <w:pPr>
        <w:rPr>
          <w:rFonts w:hint="eastAsia" w:ascii="宋体" w:hAnsi="宋体" w:eastAsia="宋体" w:cs="宋体"/>
          <w:color w:val="auto"/>
          <w:sz w:val="28"/>
          <w:szCs w:val="28"/>
          <w:highlight w:val="none"/>
        </w:rPr>
      </w:pPr>
    </w:p>
    <w:p w14:paraId="65165223">
      <w:pPr>
        <w:rPr>
          <w:rFonts w:hint="eastAsia" w:ascii="宋体" w:hAnsi="宋体" w:eastAsia="宋体" w:cs="宋体"/>
          <w:color w:val="auto"/>
          <w:sz w:val="28"/>
          <w:szCs w:val="28"/>
          <w:highlight w:val="none"/>
        </w:rPr>
      </w:pPr>
    </w:p>
    <w:p w14:paraId="3BEA0941">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550ADF53">
      <w:pPr>
        <w:ind w:firstLine="700" w:firstLineChars="2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5231E61D">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276F5F14">
      <w:pPr>
        <w:spacing w:line="720" w:lineRule="auto"/>
        <w:jc w:val="center"/>
        <w:rPr>
          <w:rFonts w:hint="eastAsia" w:ascii="宋体" w:hAnsi="宋体" w:eastAsia="宋体" w:cs="宋体"/>
          <w:b/>
          <w:color w:val="auto"/>
          <w:sz w:val="36"/>
          <w:szCs w:val="36"/>
          <w:highlight w:val="none"/>
        </w:rPr>
      </w:pPr>
    </w:p>
    <w:p w14:paraId="0B1CBB34">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34DE0F2B">
      <w:pPr>
        <w:spacing w:line="400" w:lineRule="exact"/>
        <w:ind w:firstLine="3379" w:firstLineChars="935"/>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目   录</w:t>
      </w:r>
    </w:p>
    <w:p w14:paraId="32E506E5">
      <w:pPr>
        <w:spacing w:line="400" w:lineRule="exact"/>
        <w:ind w:firstLine="4130" w:firstLineChars="935"/>
        <w:rPr>
          <w:rFonts w:hint="eastAsia" w:ascii="宋体" w:hAnsi="宋体" w:eastAsia="宋体" w:cs="宋体"/>
          <w:b/>
          <w:color w:val="auto"/>
          <w:sz w:val="44"/>
          <w:szCs w:val="44"/>
          <w:highlight w:val="none"/>
        </w:rPr>
      </w:pPr>
    </w:p>
    <w:p w14:paraId="0E0132BC">
      <w:pPr>
        <w:spacing w:line="440" w:lineRule="exact"/>
        <w:ind w:left="420"/>
        <w:jc w:val="left"/>
        <w:rPr>
          <w:rFonts w:ascii="宋体" w:hAnsi="宋体" w:eastAsia="宋体"/>
          <w:color w:val="auto"/>
          <w:szCs w:val="21"/>
          <w:highlight w:val="none"/>
        </w:rPr>
      </w:pPr>
      <w:bookmarkStart w:id="228" w:name="_Hlk111065821"/>
      <w:r>
        <w:rPr>
          <w:rFonts w:hint="eastAsia" w:ascii="宋体" w:hAnsi="宋体" w:eastAsia="宋体"/>
          <w:color w:val="auto"/>
          <w:szCs w:val="21"/>
          <w:highlight w:val="none"/>
        </w:rPr>
        <w:t>（1）开标一览表（格式见附件）；</w:t>
      </w:r>
    </w:p>
    <w:p w14:paraId="32DF3A78">
      <w:pPr>
        <w:spacing w:line="440" w:lineRule="exact"/>
        <w:ind w:left="420"/>
        <w:jc w:val="left"/>
        <w:rPr>
          <w:rFonts w:ascii="宋体" w:hAnsi="宋体" w:eastAsia="宋体"/>
          <w:color w:val="auto"/>
          <w:szCs w:val="21"/>
          <w:highlight w:val="none"/>
        </w:rPr>
      </w:pPr>
      <w:r>
        <w:rPr>
          <w:rFonts w:hint="eastAsia" w:ascii="宋体" w:hAnsi="宋体" w:eastAsia="宋体"/>
          <w:color w:val="auto"/>
          <w:szCs w:val="21"/>
          <w:highlight w:val="none"/>
        </w:rPr>
        <w:t>（2）投标函（格式见附件）；</w:t>
      </w:r>
    </w:p>
    <w:bookmarkEnd w:id="228"/>
    <w:p w14:paraId="2AEEA03E">
      <w:pPr>
        <w:spacing w:line="500" w:lineRule="exact"/>
        <w:ind w:firstLine="424" w:firstLineChars="202"/>
        <w:jc w:val="left"/>
        <w:rPr>
          <w:rFonts w:ascii="宋体" w:hAnsi="宋体" w:eastAsia="宋体"/>
          <w:color w:val="auto"/>
          <w:szCs w:val="21"/>
          <w:highlight w:val="none"/>
        </w:rPr>
      </w:pPr>
      <w:r>
        <w:rPr>
          <w:rFonts w:hint="eastAsia" w:ascii="宋体" w:hAnsi="宋体" w:eastAsia="宋体"/>
          <w:color w:val="auto"/>
          <w:szCs w:val="21"/>
          <w:highlight w:val="none"/>
        </w:rPr>
        <w:t>（3）投标分项报价表</w:t>
      </w:r>
      <w:r>
        <w:rPr>
          <w:rFonts w:hint="eastAsia" w:ascii="宋体" w:hAnsi="宋体" w:eastAsia="宋体" w:cs="宋体"/>
          <w:color w:val="auto"/>
          <w:szCs w:val="21"/>
          <w:highlight w:val="none"/>
        </w:rPr>
        <w:t>（格式见附件）；</w:t>
      </w:r>
    </w:p>
    <w:p w14:paraId="6AA4320D">
      <w:pPr>
        <w:tabs>
          <w:tab w:val="left" w:pos="14"/>
        </w:tabs>
        <w:spacing w:line="44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（4）投标人认为需要提供的其他材料。</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lang w:val="en-US" w:eastAsia="zh-CN"/>
        </w:rPr>
        <w:t>如有</w:t>
      </w:r>
      <w:r>
        <w:rPr>
          <w:rFonts w:hint="eastAsia" w:ascii="宋体" w:hAnsi="宋体" w:eastAsia="宋体"/>
          <w:color w:val="auto"/>
          <w:szCs w:val="21"/>
          <w:highlight w:val="none"/>
          <w:lang w:eastAsia="zh-CN"/>
        </w:rPr>
        <w:t>）</w:t>
      </w:r>
    </w:p>
    <w:p w14:paraId="445A261A">
      <w:pPr>
        <w:rPr>
          <w:rFonts w:ascii="宋体" w:hAnsi="宋体" w:eastAsia="宋体"/>
          <w:color w:val="auto"/>
          <w:szCs w:val="21"/>
          <w:highlight w:val="none"/>
        </w:rPr>
      </w:pPr>
      <w:r>
        <w:rPr>
          <w:rFonts w:hint="eastAsia" w:ascii="宋体" w:hAnsi="宋体" w:eastAsia="宋体"/>
          <w:color w:val="auto"/>
          <w:szCs w:val="21"/>
          <w:highlight w:val="none"/>
        </w:rPr>
        <w:br w:type="page"/>
      </w:r>
    </w:p>
    <w:p w14:paraId="0F13E673">
      <w:pPr>
        <w:spacing w:line="360" w:lineRule="auto"/>
        <w:jc w:val="center"/>
        <w:outlineLvl w:val="1"/>
        <w:rPr>
          <w:rFonts w:asciiTheme="minorEastAsia" w:hAnsiTheme="minorEastAsia" w:eastAsiaTheme="minorEastAsia"/>
          <w:b/>
          <w:color w:val="auto"/>
          <w:sz w:val="24"/>
          <w:highlight w:val="none"/>
        </w:rPr>
      </w:pPr>
      <w:bookmarkStart w:id="229" w:name="_Toc30819"/>
      <w:r>
        <w:rPr>
          <w:rFonts w:hint="eastAsia" w:asciiTheme="minorEastAsia" w:hAnsiTheme="minorEastAsia" w:eastAsiaTheme="minorEastAsia"/>
          <w:b/>
          <w:color w:val="auto"/>
          <w:sz w:val="24"/>
          <w:highlight w:val="none"/>
        </w:rPr>
        <w:t>（1）开标一览表</w:t>
      </w:r>
      <w:bookmarkEnd w:id="218"/>
      <w:bookmarkEnd w:id="219"/>
      <w:bookmarkEnd w:id="229"/>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3"/>
        <w:gridCol w:w="6593"/>
      </w:tblGrid>
      <w:tr w14:paraId="1AD84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352" w:type="pct"/>
            <w:tcBorders>
              <w:top w:val="single" w:color="auto" w:sz="4" w:space="0"/>
              <w:bottom w:val="single" w:color="auto" w:sz="4" w:space="0"/>
              <w:right w:val="single" w:color="auto" w:sz="4" w:space="0"/>
            </w:tcBorders>
            <w:vAlign w:val="center"/>
          </w:tcPr>
          <w:p w14:paraId="2148436E">
            <w:pPr>
              <w:keepNext w:val="0"/>
              <w:keepLines w:val="0"/>
              <w:widowControl/>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21F7475D">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Cs/>
                <w:color w:val="auto"/>
                <w:sz w:val="24"/>
                <w:szCs w:val="20"/>
                <w:highlight w:val="none"/>
                <w:u w:val="single"/>
              </w:rPr>
            </w:pPr>
          </w:p>
        </w:tc>
      </w:tr>
      <w:tr w14:paraId="02B0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5D655700">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投标人全称</w:t>
            </w:r>
          </w:p>
        </w:tc>
        <w:tc>
          <w:tcPr>
            <w:tcW w:w="3648" w:type="pct"/>
            <w:tcBorders>
              <w:top w:val="nil"/>
            </w:tcBorders>
            <w:vAlign w:val="center"/>
          </w:tcPr>
          <w:p w14:paraId="5131787B">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0"/>
                <w:highlight w:val="none"/>
              </w:rPr>
            </w:pPr>
          </w:p>
        </w:tc>
      </w:tr>
      <w:tr w14:paraId="060D8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02C64F00">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投标范围</w:t>
            </w:r>
          </w:p>
        </w:tc>
        <w:tc>
          <w:tcPr>
            <w:tcW w:w="3648" w:type="pct"/>
            <w:tcBorders>
              <w:top w:val="nil"/>
            </w:tcBorders>
            <w:vAlign w:val="center"/>
          </w:tcPr>
          <w:p w14:paraId="2D92C9B1">
            <w:pPr>
              <w:keepNext w:val="0"/>
              <w:keepLines w:val="0"/>
              <w:widowControl/>
              <w:suppressLineNumbers w:val="0"/>
              <w:spacing w:before="0" w:beforeAutospacing="0" w:after="0" w:afterAutospacing="0" w:line="360" w:lineRule="auto"/>
              <w:ind w:left="0" w:right="0"/>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8"/>
                <w:highlight w:val="none"/>
              </w:rPr>
              <w:t>全部</w:t>
            </w:r>
          </w:p>
        </w:tc>
      </w:tr>
      <w:tr w14:paraId="141D8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9" w:hRule="atLeast"/>
          <w:jc w:val="center"/>
        </w:trPr>
        <w:tc>
          <w:tcPr>
            <w:tcW w:w="1352" w:type="pct"/>
            <w:tcBorders>
              <w:top w:val="nil"/>
            </w:tcBorders>
            <w:vAlign w:val="center"/>
          </w:tcPr>
          <w:p w14:paraId="3F5880B6">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投标报价</w:t>
            </w:r>
          </w:p>
        </w:tc>
        <w:tc>
          <w:tcPr>
            <w:tcW w:w="3648" w:type="pct"/>
            <w:tcBorders>
              <w:top w:val="nil"/>
            </w:tcBorders>
            <w:vAlign w:val="center"/>
          </w:tcPr>
          <w:p w14:paraId="5859288E">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077C3613">
            <w:pPr>
              <w:keepNext w:val="0"/>
              <w:keepLines w:val="0"/>
              <w:suppressLineNumbers w:val="0"/>
              <w:spacing w:before="0" w:beforeAutospacing="0" w:after="0" w:afterAutospacing="0" w:line="360" w:lineRule="auto"/>
              <w:ind w:left="0" w:right="-670"/>
              <w:rPr>
                <w:rFonts w:hint="default" w:eastAsia="宋体" w:asciiTheme="minorEastAsia" w:hAnsiTheme="minorEastAsia"/>
                <w:color w:val="auto"/>
                <w:sz w:val="24"/>
                <w:szCs w:val="20"/>
                <w:highlight w:val="none"/>
                <w:lang w:val="en-US" w:eastAsia="zh-CN"/>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元/年</w:t>
            </w:r>
          </w:p>
        </w:tc>
      </w:tr>
      <w:tr w14:paraId="10C85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7FF50482">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其他</w:t>
            </w:r>
          </w:p>
        </w:tc>
        <w:tc>
          <w:tcPr>
            <w:tcW w:w="3648" w:type="pct"/>
            <w:tcBorders>
              <w:top w:val="nil"/>
            </w:tcBorders>
            <w:vAlign w:val="center"/>
          </w:tcPr>
          <w:p w14:paraId="02D4D040">
            <w:pPr>
              <w:keepNext w:val="0"/>
              <w:keepLines w:val="0"/>
              <w:suppressLineNumbers w:val="0"/>
              <w:spacing w:before="0" w:beforeAutospacing="0" w:after="0" w:afterAutospacing="0" w:line="360" w:lineRule="auto"/>
              <w:ind w:left="0" w:right="0"/>
              <w:jc w:val="left"/>
              <w:rPr>
                <w:rFonts w:hint="default" w:asciiTheme="minorEastAsia" w:hAnsiTheme="minorEastAsia" w:eastAsiaTheme="minorEastAsia"/>
                <w:color w:val="auto"/>
                <w:sz w:val="24"/>
                <w:szCs w:val="28"/>
                <w:highlight w:val="none"/>
              </w:rPr>
            </w:pPr>
          </w:p>
        </w:tc>
      </w:tr>
    </w:tbl>
    <w:p w14:paraId="221E7E7B">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AA0B63D">
      <w:pPr>
        <w:tabs>
          <w:tab w:val="left" w:pos="630"/>
        </w:tabs>
        <w:spacing w:line="360" w:lineRule="auto"/>
        <w:ind w:firstLine="4800" w:firstLineChars="2000"/>
        <w:rPr>
          <w:rFonts w:asciiTheme="minorEastAsia" w:hAnsiTheme="minorEastAsia" w:eastAsiaTheme="minorEastAsia"/>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143AF9A9">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注：</w:t>
      </w:r>
    </w:p>
    <w:p w14:paraId="0D14E95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4A825A9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hint="eastAsia" w:ascii="宋体" w:hAnsi="宋体" w:eastAsia="宋体"/>
          <w:b/>
          <w:bCs/>
          <w:color w:val="auto"/>
          <w:sz w:val="24"/>
          <w:highlight w:val="none"/>
        </w:rPr>
        <w:t>此表</w:t>
      </w:r>
      <w:r>
        <w:rPr>
          <w:rFonts w:ascii="宋体" w:hAnsi="宋体" w:eastAsia="宋体"/>
          <w:color w:val="auto"/>
          <w:sz w:val="24"/>
          <w:highlight w:val="none"/>
        </w:rPr>
        <w:t>作为评审及定标依据。任何有选择或有条件的投标报价，或者表中某一包别填写多个报价，均为无效报价。</w:t>
      </w:r>
    </w:p>
    <w:p w14:paraId="708D111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3.表中大写金额与小写金额不一致的，以大写金额为准。</w:t>
      </w:r>
      <w:r>
        <w:rPr>
          <w:rFonts w:asciiTheme="minorEastAsia" w:hAnsiTheme="minorEastAsia" w:eastAsiaTheme="minorEastAsia"/>
          <w:color w:val="auto"/>
          <w:sz w:val="24"/>
          <w:highlight w:val="none"/>
        </w:rPr>
        <w:br w:type="page"/>
      </w:r>
    </w:p>
    <w:p w14:paraId="76B19BAE">
      <w:pPr>
        <w:spacing w:line="360" w:lineRule="auto"/>
        <w:jc w:val="center"/>
        <w:outlineLvl w:val="1"/>
        <w:rPr>
          <w:rFonts w:asciiTheme="minorEastAsia" w:hAnsiTheme="minorEastAsia" w:eastAsiaTheme="minorEastAsia"/>
          <w:b/>
          <w:color w:val="auto"/>
          <w:sz w:val="24"/>
          <w:highlight w:val="none"/>
        </w:rPr>
      </w:pPr>
      <w:bookmarkStart w:id="230" w:name="_Toc6441"/>
      <w:bookmarkStart w:id="231" w:name="_Toc28259"/>
      <w:bookmarkStart w:id="232" w:name="_Toc6120"/>
      <w:r>
        <w:rPr>
          <w:rFonts w:hint="eastAsia" w:asciiTheme="minorEastAsia" w:hAnsiTheme="minorEastAsia" w:eastAsiaTheme="minorEastAsia"/>
          <w:b/>
          <w:color w:val="auto"/>
          <w:sz w:val="24"/>
          <w:highlight w:val="none"/>
        </w:rPr>
        <w:t>（2）投标函</w:t>
      </w:r>
      <w:bookmarkEnd w:id="230"/>
      <w:bookmarkEnd w:id="231"/>
      <w:bookmarkEnd w:id="232"/>
    </w:p>
    <w:p w14:paraId="6E4B3B8A">
      <w:pPr>
        <w:pStyle w:val="3"/>
        <w:spacing w:line="360" w:lineRule="auto"/>
        <w:rPr>
          <w:rFonts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5B20798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7D8BC62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26835A2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2.我方已详细审核全部招标文件，包括招标文件附件及更正公告（如有），我方正式认可并遵守本次招标文件，并对招标文件各项条款、规定及要求均无异议。</w:t>
      </w:r>
    </w:p>
    <w:p w14:paraId="4D04D62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3.我方同意从招标文件规定的开标日期起遵循本招标文件，并在招标文件规定的投标有效期之前均具有约束力。</w:t>
      </w:r>
    </w:p>
    <w:p w14:paraId="338E9F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4.我方声明投标文件所提供的一切资料均真实无误、及时、有效，企业</w:t>
      </w:r>
      <w:r>
        <w:rPr>
          <w:rFonts w:hint="eastAsia" w:asciiTheme="minorEastAsia" w:hAnsiTheme="minorEastAsia" w:eastAsiaTheme="minorEastAsia"/>
          <w:color w:val="auto"/>
          <w:sz w:val="24"/>
          <w:highlight w:val="none"/>
          <w:lang w:eastAsia="zh-CN"/>
        </w:rPr>
        <w:t>运行</w:t>
      </w:r>
      <w:r>
        <w:rPr>
          <w:rFonts w:hint="eastAsia" w:asciiTheme="minorEastAsia" w:hAnsiTheme="minorEastAsia" w:eastAsiaTheme="minorEastAsia"/>
          <w:color w:val="auto"/>
          <w:sz w:val="24"/>
          <w:highlight w:val="none"/>
        </w:rPr>
        <w:t>正常。由于我方提供资料不实而造成的责任和后果由我方承担。我方同意按照贵方提出的要求，提供与投标有关的任何证据、数据或资料。</w:t>
      </w:r>
    </w:p>
    <w:p w14:paraId="31903412">
      <w:pPr>
        <w:spacing w:line="360" w:lineRule="auto"/>
        <w:ind w:firstLine="4800" w:firstLineChars="2000"/>
        <w:rPr>
          <w:rFonts w:ascii="宋体" w:hAnsi="宋体" w:eastAsia="宋体"/>
          <w:color w:val="auto"/>
          <w:sz w:val="24"/>
          <w:highlight w:val="none"/>
        </w:rPr>
      </w:pPr>
    </w:p>
    <w:p w14:paraId="413175C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39FBF8F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324D2DAC">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019CCCC4">
      <w:pPr>
        <w:spacing w:line="360" w:lineRule="auto"/>
        <w:jc w:val="center"/>
        <w:outlineLvl w:val="1"/>
        <w:rPr>
          <w:rFonts w:asciiTheme="minorEastAsia" w:hAnsiTheme="minorEastAsia" w:eastAsiaTheme="minorEastAsia"/>
          <w:b/>
          <w:color w:val="auto"/>
          <w:sz w:val="24"/>
          <w:highlight w:val="none"/>
        </w:rPr>
      </w:pPr>
      <w:bookmarkStart w:id="233" w:name="_Toc31027"/>
      <w:bookmarkStart w:id="234" w:name="_Toc32226"/>
      <w:r>
        <w:rPr>
          <w:rFonts w:hint="eastAsia" w:asciiTheme="minorEastAsia" w:hAnsiTheme="minorEastAsia" w:eastAsiaTheme="minorEastAsia"/>
          <w:b/>
          <w:color w:val="auto"/>
          <w:sz w:val="24"/>
          <w:highlight w:val="none"/>
        </w:rPr>
        <w:t>（3）投标分项报价表</w:t>
      </w:r>
      <w:bookmarkEnd w:id="233"/>
      <w:bookmarkEnd w:id="234"/>
    </w:p>
    <w:p w14:paraId="1CA33C61">
      <w:pPr>
        <w:keepNext w:val="0"/>
        <w:keepLines w:val="0"/>
        <w:pageBreakBefore w:val="0"/>
        <w:kinsoku/>
        <w:wordWrap/>
        <w:overflowPunct/>
        <w:topLinePunct w:val="0"/>
        <w:autoSpaceDE/>
        <w:autoSpaceDN/>
        <w:bidi w:val="0"/>
        <w:spacing w:line="440" w:lineRule="exact"/>
        <w:ind w:firstLine="435"/>
        <w:jc w:val="center"/>
        <w:textAlignment w:val="auto"/>
        <w:rPr>
          <w:rFonts w:hint="eastAsia" w:ascii="宋体" w:hAnsi="宋体" w:eastAsia="宋体" w:cs="宋体"/>
          <w:b/>
          <w:color w:val="auto"/>
          <w:sz w:val="24"/>
          <w:highlight w:val="none"/>
        </w:rPr>
      </w:pPr>
      <w:r>
        <w:rPr>
          <w:rFonts w:hint="eastAsia" w:ascii="宋体" w:hAnsi="宋体" w:eastAsia="宋体" w:cs="宋体"/>
          <w:i/>
          <w:color w:val="auto"/>
          <w:sz w:val="24"/>
          <w:highlight w:val="none"/>
        </w:rPr>
        <w:t>（仅供参考，投标人可自行制作格式）</w:t>
      </w:r>
    </w:p>
    <w:tbl>
      <w:tblPr>
        <w:tblStyle w:val="31"/>
        <w:tblW w:w="10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355"/>
        <w:gridCol w:w="780"/>
        <w:gridCol w:w="1305"/>
        <w:gridCol w:w="2025"/>
        <w:gridCol w:w="3190"/>
      </w:tblGrid>
      <w:tr w14:paraId="400EB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91" w:type="dxa"/>
            <w:noWrap w:val="0"/>
            <w:vAlign w:val="center"/>
          </w:tcPr>
          <w:p w14:paraId="05C0ED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2355" w:type="dxa"/>
            <w:noWrap w:val="0"/>
            <w:vAlign w:val="center"/>
          </w:tcPr>
          <w:p w14:paraId="7DDBA2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名称</w:t>
            </w:r>
          </w:p>
        </w:tc>
        <w:tc>
          <w:tcPr>
            <w:tcW w:w="780" w:type="dxa"/>
            <w:noWrap w:val="0"/>
            <w:vAlign w:val="center"/>
          </w:tcPr>
          <w:p w14:paraId="4DEF2F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tc>
        <w:tc>
          <w:tcPr>
            <w:tcW w:w="1305" w:type="dxa"/>
            <w:noWrap w:val="0"/>
            <w:vAlign w:val="center"/>
          </w:tcPr>
          <w:p w14:paraId="6F68D2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单价</w:t>
            </w:r>
          </w:p>
          <w:p w14:paraId="6CF13E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（元/月）</w:t>
            </w:r>
          </w:p>
        </w:tc>
        <w:tc>
          <w:tcPr>
            <w:tcW w:w="2025" w:type="dxa"/>
            <w:noWrap w:val="0"/>
            <w:vAlign w:val="center"/>
          </w:tcPr>
          <w:p w14:paraId="5AA21A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合价（12个月）</w:t>
            </w:r>
          </w:p>
          <w:p w14:paraId="4B60A5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（元）</w:t>
            </w:r>
          </w:p>
        </w:tc>
        <w:tc>
          <w:tcPr>
            <w:tcW w:w="3190" w:type="dxa"/>
            <w:noWrap w:val="0"/>
            <w:vAlign w:val="center"/>
          </w:tcPr>
          <w:p w14:paraId="570AB7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tc>
      </w:tr>
      <w:tr w14:paraId="1C8B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91" w:type="dxa"/>
            <w:noWrap w:val="0"/>
            <w:vAlign w:val="center"/>
          </w:tcPr>
          <w:p w14:paraId="1AA96D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355" w:type="dxa"/>
            <w:noWrap w:val="0"/>
            <w:vAlign w:val="center"/>
          </w:tcPr>
          <w:p w14:paraId="7C6B4F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p>
        </w:tc>
        <w:tc>
          <w:tcPr>
            <w:tcW w:w="780" w:type="dxa"/>
            <w:noWrap w:val="0"/>
            <w:vAlign w:val="center"/>
          </w:tcPr>
          <w:p w14:paraId="34EA73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lang w:val="en-US" w:eastAsia="zh-CN"/>
              </w:rPr>
            </w:pPr>
          </w:p>
        </w:tc>
        <w:tc>
          <w:tcPr>
            <w:tcW w:w="1305" w:type="dxa"/>
            <w:noWrap w:val="0"/>
            <w:vAlign w:val="center"/>
          </w:tcPr>
          <w:p w14:paraId="026EE9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p>
        </w:tc>
        <w:tc>
          <w:tcPr>
            <w:tcW w:w="2025" w:type="dxa"/>
            <w:noWrap w:val="0"/>
            <w:vAlign w:val="center"/>
          </w:tcPr>
          <w:p w14:paraId="037D3C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p>
        </w:tc>
        <w:tc>
          <w:tcPr>
            <w:tcW w:w="3190" w:type="dxa"/>
            <w:noWrap w:val="0"/>
            <w:vAlign w:val="center"/>
          </w:tcPr>
          <w:p w14:paraId="15629A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p>
        </w:tc>
      </w:tr>
      <w:tr w14:paraId="6FA1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91" w:type="dxa"/>
            <w:noWrap w:val="0"/>
            <w:vAlign w:val="center"/>
          </w:tcPr>
          <w:p w14:paraId="59A2ED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2355" w:type="dxa"/>
            <w:noWrap w:val="0"/>
            <w:vAlign w:val="center"/>
          </w:tcPr>
          <w:p w14:paraId="14F814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lang w:val="en-US" w:eastAsia="zh-CN"/>
              </w:rPr>
            </w:pPr>
          </w:p>
        </w:tc>
        <w:tc>
          <w:tcPr>
            <w:tcW w:w="780" w:type="dxa"/>
            <w:noWrap w:val="0"/>
            <w:vAlign w:val="center"/>
          </w:tcPr>
          <w:p w14:paraId="5AD577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lang w:val="en-US" w:eastAsia="zh-CN"/>
              </w:rPr>
            </w:pPr>
          </w:p>
        </w:tc>
        <w:tc>
          <w:tcPr>
            <w:tcW w:w="1305" w:type="dxa"/>
            <w:noWrap w:val="0"/>
            <w:vAlign w:val="center"/>
          </w:tcPr>
          <w:p w14:paraId="7F780E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p>
        </w:tc>
        <w:tc>
          <w:tcPr>
            <w:tcW w:w="2025" w:type="dxa"/>
            <w:noWrap w:val="0"/>
            <w:vAlign w:val="center"/>
          </w:tcPr>
          <w:p w14:paraId="59BABE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p>
        </w:tc>
        <w:tc>
          <w:tcPr>
            <w:tcW w:w="3190" w:type="dxa"/>
            <w:noWrap w:val="0"/>
            <w:vAlign w:val="center"/>
          </w:tcPr>
          <w:p w14:paraId="7DE89D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p>
        </w:tc>
      </w:tr>
      <w:tr w14:paraId="5BCC5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91" w:type="dxa"/>
            <w:noWrap w:val="0"/>
            <w:vAlign w:val="center"/>
          </w:tcPr>
          <w:p w14:paraId="67E1E5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2355" w:type="dxa"/>
            <w:noWrap w:val="0"/>
            <w:vAlign w:val="center"/>
          </w:tcPr>
          <w:p w14:paraId="54DFFE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lang w:val="en-US" w:eastAsia="zh-CN"/>
              </w:rPr>
            </w:pPr>
          </w:p>
        </w:tc>
        <w:tc>
          <w:tcPr>
            <w:tcW w:w="780" w:type="dxa"/>
            <w:noWrap w:val="0"/>
            <w:vAlign w:val="center"/>
          </w:tcPr>
          <w:p w14:paraId="75B67A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p>
        </w:tc>
        <w:tc>
          <w:tcPr>
            <w:tcW w:w="1305" w:type="dxa"/>
            <w:noWrap w:val="0"/>
            <w:vAlign w:val="center"/>
          </w:tcPr>
          <w:p w14:paraId="483028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p>
        </w:tc>
        <w:tc>
          <w:tcPr>
            <w:tcW w:w="2025" w:type="dxa"/>
            <w:noWrap w:val="0"/>
            <w:vAlign w:val="center"/>
          </w:tcPr>
          <w:p w14:paraId="30F5D0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p>
        </w:tc>
        <w:tc>
          <w:tcPr>
            <w:tcW w:w="3190" w:type="dxa"/>
            <w:noWrap w:val="0"/>
            <w:vAlign w:val="center"/>
          </w:tcPr>
          <w:p w14:paraId="4D4B00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p>
        </w:tc>
      </w:tr>
      <w:tr w14:paraId="52FAF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91" w:type="dxa"/>
            <w:noWrap w:val="0"/>
            <w:vAlign w:val="center"/>
          </w:tcPr>
          <w:p w14:paraId="24FC32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2355" w:type="dxa"/>
            <w:noWrap w:val="0"/>
            <w:vAlign w:val="center"/>
          </w:tcPr>
          <w:p w14:paraId="35EB39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lang w:val="en-US" w:eastAsia="zh-CN"/>
              </w:rPr>
            </w:pPr>
          </w:p>
        </w:tc>
        <w:tc>
          <w:tcPr>
            <w:tcW w:w="780" w:type="dxa"/>
            <w:noWrap w:val="0"/>
            <w:vAlign w:val="center"/>
          </w:tcPr>
          <w:p w14:paraId="115CD4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p>
        </w:tc>
        <w:tc>
          <w:tcPr>
            <w:tcW w:w="1305" w:type="dxa"/>
            <w:noWrap w:val="0"/>
            <w:vAlign w:val="center"/>
          </w:tcPr>
          <w:p w14:paraId="26EB26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p>
        </w:tc>
        <w:tc>
          <w:tcPr>
            <w:tcW w:w="2025" w:type="dxa"/>
            <w:noWrap w:val="0"/>
            <w:vAlign w:val="center"/>
          </w:tcPr>
          <w:p w14:paraId="5435B0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p>
        </w:tc>
        <w:tc>
          <w:tcPr>
            <w:tcW w:w="3190" w:type="dxa"/>
            <w:noWrap w:val="0"/>
            <w:vAlign w:val="center"/>
          </w:tcPr>
          <w:p w14:paraId="335AD4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p>
        </w:tc>
      </w:tr>
      <w:tr w14:paraId="5062A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231" w:type="dxa"/>
            <w:gridSpan w:val="4"/>
            <w:noWrap w:val="0"/>
            <w:vAlign w:val="center"/>
          </w:tcPr>
          <w:p w14:paraId="4CB919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投标报价：合计（1</w:t>
            </w:r>
            <w:r>
              <w:rPr>
                <w:rFonts w:hint="eastAsia" w:ascii="宋体" w:hAnsi="宋体" w:eastAsia="宋体" w:cs="宋体"/>
                <w:color w:val="auto"/>
                <w:szCs w:val="21"/>
                <w:highlight w:val="none"/>
                <w:lang w:val="en-US" w:eastAsia="zh-CN"/>
              </w:rPr>
              <w:t>至...项</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lang w:val="en-US" w:eastAsia="zh-CN"/>
              </w:rPr>
              <w:t>/年</w:t>
            </w:r>
            <w:r>
              <w:rPr>
                <w:rFonts w:hint="eastAsia" w:ascii="宋体" w:hAnsi="宋体" w:eastAsia="宋体" w:cs="宋体"/>
                <w:color w:val="auto"/>
                <w:szCs w:val="21"/>
                <w:highlight w:val="none"/>
              </w:rPr>
              <w:t>）</w:t>
            </w:r>
          </w:p>
        </w:tc>
        <w:tc>
          <w:tcPr>
            <w:tcW w:w="5215" w:type="dxa"/>
            <w:gridSpan w:val="2"/>
            <w:noWrap w:val="0"/>
            <w:vAlign w:val="center"/>
          </w:tcPr>
          <w:p w14:paraId="44E48B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p>
        </w:tc>
      </w:tr>
    </w:tbl>
    <w:p w14:paraId="5393C78B">
      <w:pPr>
        <w:keepNext w:val="0"/>
        <w:keepLines w:val="0"/>
        <w:pageBreakBefore w:val="0"/>
        <w:kinsoku/>
        <w:wordWrap/>
        <w:overflowPunct/>
        <w:topLinePunct w:val="0"/>
        <w:autoSpaceDE/>
        <w:autoSpaceDN/>
        <w:bidi w:val="0"/>
        <w:spacing w:line="440" w:lineRule="exact"/>
        <w:ind w:firstLine="4800" w:firstLineChars="2000"/>
        <w:textAlignment w:val="auto"/>
        <w:rPr>
          <w:rFonts w:hint="eastAsia" w:ascii="宋体" w:hAnsi="宋体" w:eastAsia="宋体" w:cs="宋体"/>
          <w:color w:val="auto"/>
          <w:sz w:val="24"/>
          <w:highlight w:val="none"/>
        </w:rPr>
      </w:pPr>
    </w:p>
    <w:p w14:paraId="2AAE9794">
      <w:pPr>
        <w:keepNext w:val="0"/>
        <w:keepLines w:val="0"/>
        <w:pageBreakBefore w:val="0"/>
        <w:kinsoku/>
        <w:wordWrap/>
        <w:overflowPunct/>
        <w:topLinePunct w:val="0"/>
        <w:autoSpaceDE/>
        <w:autoSpaceDN/>
        <w:bidi w:val="0"/>
        <w:spacing w:line="440" w:lineRule="exact"/>
        <w:ind w:firstLine="4800" w:firstLineChars="20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72028E69">
      <w:pPr>
        <w:keepNext w:val="0"/>
        <w:keepLines w:val="0"/>
        <w:pageBreakBefore w:val="0"/>
        <w:tabs>
          <w:tab w:val="left" w:pos="630"/>
        </w:tabs>
        <w:kinsoku/>
        <w:wordWrap/>
        <w:overflowPunct/>
        <w:topLinePunct w:val="0"/>
        <w:autoSpaceDE/>
        <w:autoSpaceDN/>
        <w:bidi w:val="0"/>
        <w:spacing w:line="440" w:lineRule="exact"/>
        <w:ind w:firstLine="4800" w:firstLineChars="2000"/>
        <w:textAlignment w:val="auto"/>
        <w:rPr>
          <w:rFonts w:hint="eastAsia" w:ascii="宋体" w:hAnsi="宋体" w:eastAsia="宋体" w:cs="宋体"/>
          <w:b/>
          <w:bCs/>
          <w:color w:val="auto"/>
          <w:sz w:val="24"/>
          <w:szCs w:val="28"/>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7C348881">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bCs/>
          <w:color w:val="auto"/>
          <w:sz w:val="24"/>
          <w:szCs w:val="28"/>
          <w:highlight w:val="none"/>
          <w:lang w:eastAsia="zh-CN"/>
        </w:rPr>
      </w:pPr>
    </w:p>
    <w:p w14:paraId="3D02C314">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4"/>
          <w:highlight w:val="none"/>
          <w:lang w:eastAsia="zh-CN"/>
        </w:rPr>
      </w:pPr>
      <w:r>
        <w:rPr>
          <w:rFonts w:hint="eastAsia" w:ascii="宋体" w:hAnsi="宋体" w:eastAsia="宋体" w:cs="宋体"/>
          <w:b/>
          <w:bCs/>
          <w:color w:val="auto"/>
          <w:sz w:val="24"/>
          <w:szCs w:val="28"/>
          <w:highlight w:val="none"/>
          <w:lang w:eastAsia="zh-CN"/>
        </w:rPr>
        <w:t>注：</w:t>
      </w:r>
      <w:r>
        <w:rPr>
          <w:rFonts w:hint="eastAsia" w:ascii="宋体" w:hAnsi="宋体" w:eastAsia="宋体" w:cs="宋体"/>
          <w:color w:val="auto"/>
          <w:sz w:val="24"/>
          <w:highlight w:val="none"/>
        </w:rPr>
        <w:t>所列服务为对应本项目需求的全部服务内容。如有漏项或缺项，投标人承担全部责任</w:t>
      </w:r>
      <w:r>
        <w:rPr>
          <w:rFonts w:hint="eastAsia" w:ascii="宋体" w:hAnsi="宋体" w:eastAsia="宋体" w:cs="宋体"/>
          <w:color w:val="auto"/>
          <w:sz w:val="24"/>
          <w:highlight w:val="none"/>
          <w:lang w:eastAsia="zh-CN"/>
        </w:rPr>
        <w:t>。</w:t>
      </w:r>
    </w:p>
    <w:p w14:paraId="5164CFEF">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p>
    <w:p w14:paraId="28711C23">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BFC0C25">
      <w:pPr>
        <w:spacing w:line="360" w:lineRule="auto"/>
        <w:jc w:val="center"/>
        <w:outlineLvl w:val="1"/>
        <w:rPr>
          <w:rFonts w:asciiTheme="minorEastAsia" w:hAnsiTheme="minorEastAsia" w:eastAsiaTheme="minorEastAsia"/>
          <w:b/>
          <w:color w:val="auto"/>
          <w:sz w:val="24"/>
          <w:highlight w:val="none"/>
        </w:rPr>
      </w:pPr>
      <w:bookmarkStart w:id="235" w:name="_Toc6776"/>
      <w:bookmarkStart w:id="236" w:name="_Toc2683"/>
      <w:r>
        <w:rPr>
          <w:rFonts w:hint="eastAsia" w:asciiTheme="minorEastAsia" w:hAnsiTheme="minorEastAsia" w:eastAsiaTheme="minorEastAsia"/>
          <w:b/>
          <w:color w:val="auto"/>
          <w:sz w:val="24"/>
          <w:highlight w:val="none"/>
        </w:rPr>
        <w:t>（4）其他相关证明材料</w:t>
      </w:r>
      <w:bookmarkEnd w:id="235"/>
      <w:bookmarkEnd w:id="236"/>
    </w:p>
    <w:p w14:paraId="417D2EB6">
      <w:pPr>
        <w:spacing w:line="360" w:lineRule="auto"/>
        <w:ind w:firstLine="435"/>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如有</w:t>
      </w:r>
      <w:r>
        <w:rPr>
          <w:rFonts w:asciiTheme="minorEastAsia" w:hAnsiTheme="minorEastAsia" w:eastAsiaTheme="minorEastAsia"/>
          <w:color w:val="auto"/>
          <w:sz w:val="24"/>
          <w:highlight w:val="none"/>
        </w:rPr>
        <w:t>。</w:t>
      </w:r>
    </w:p>
    <w:p w14:paraId="5916E753">
      <w:pPr>
        <w:widowControl/>
        <w:jc w:val="left"/>
        <w:rPr>
          <w:rFonts w:asciiTheme="minorEastAsia" w:hAnsiTheme="minorEastAsia" w:eastAsiaTheme="minorEastAsia"/>
          <w:color w:val="auto"/>
          <w:sz w:val="24"/>
          <w:highlight w:val="none"/>
        </w:rPr>
      </w:pPr>
    </w:p>
    <w:p w14:paraId="36F39A74">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E2FA298">
      <w:pPr>
        <w:widowControl/>
        <w:jc w:val="left"/>
        <w:rPr>
          <w:rFonts w:asciiTheme="minorEastAsia" w:hAnsiTheme="minorEastAsia" w:eastAsiaTheme="minorEastAsia"/>
          <w:color w:val="auto"/>
          <w:sz w:val="24"/>
          <w:highlight w:val="none"/>
        </w:rPr>
      </w:pPr>
    </w:p>
    <w:p w14:paraId="321A0511">
      <w:pPr>
        <w:spacing w:line="360" w:lineRule="auto"/>
        <w:jc w:val="center"/>
        <w:outlineLvl w:val="0"/>
        <w:rPr>
          <w:rFonts w:ascii="宋体" w:hAnsi="宋体" w:eastAsia="宋体"/>
          <w:b/>
          <w:bCs/>
          <w:color w:val="auto"/>
          <w:sz w:val="28"/>
          <w:highlight w:val="none"/>
        </w:rPr>
      </w:pPr>
      <w:bookmarkStart w:id="237" w:name="_Toc13530"/>
      <w:bookmarkStart w:id="238" w:name="_Toc6435"/>
      <w:r>
        <w:rPr>
          <w:rFonts w:hint="eastAsia" w:asciiTheme="minorEastAsia" w:hAnsiTheme="minorEastAsia" w:eastAsiaTheme="minorEastAsia"/>
          <w:b/>
          <w:color w:val="auto"/>
          <w:sz w:val="28"/>
          <w:highlight w:val="none"/>
        </w:rPr>
        <w:t>第七章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237"/>
      <w:bookmarkEnd w:id="238"/>
    </w:p>
    <w:p w14:paraId="20FA5BB9">
      <w:pPr>
        <w:spacing w:line="360" w:lineRule="auto"/>
        <w:jc w:val="center"/>
        <w:outlineLvl w:val="1"/>
        <w:rPr>
          <w:rFonts w:ascii="仿宋" w:hAnsi="仿宋" w:eastAsia="仿宋" w:cs="仿宋"/>
          <w:b/>
          <w:bCs/>
          <w:color w:val="auto"/>
          <w:sz w:val="32"/>
          <w:szCs w:val="44"/>
          <w:highlight w:val="none"/>
        </w:rPr>
      </w:pPr>
      <w:bookmarkStart w:id="239" w:name="_Toc24885"/>
      <w:bookmarkStart w:id="240" w:name="_Toc6955"/>
      <w:bookmarkStart w:id="241" w:name="_Toc27159"/>
      <w:r>
        <w:rPr>
          <w:rFonts w:hint="eastAsia" w:ascii="仿宋" w:hAnsi="仿宋" w:eastAsia="仿宋" w:cs="仿宋"/>
          <w:b/>
          <w:bCs/>
          <w:color w:val="auto"/>
          <w:sz w:val="32"/>
          <w:szCs w:val="44"/>
          <w:highlight w:val="none"/>
        </w:rPr>
        <w:t>询问函范本</w:t>
      </w:r>
      <w:bookmarkEnd w:id="239"/>
      <w:bookmarkEnd w:id="240"/>
      <w:bookmarkEnd w:id="241"/>
    </w:p>
    <w:p w14:paraId="36F10BCE">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145865E4">
      <w:pPr>
        <w:adjustRightInd w:val="0"/>
        <w:snapToGrid w:val="0"/>
        <w:spacing w:line="360" w:lineRule="auto"/>
        <w:rPr>
          <w:rFonts w:cs="仿宋" w:asciiTheme="minorEastAsia" w:hAnsiTheme="minorEastAsia" w:eastAsiaTheme="minorEastAsia"/>
          <w:b/>
          <w:bCs/>
          <w:color w:val="auto"/>
          <w:sz w:val="24"/>
          <w:szCs w:val="24"/>
          <w:highlight w:val="none"/>
          <w:u w:val="single"/>
        </w:rPr>
      </w:pPr>
      <w:r>
        <w:rPr>
          <w:rFonts w:hint="eastAsia" w:cs="仿宋" w:asciiTheme="minorEastAsia" w:hAnsiTheme="minorEastAsia" w:eastAsiaTheme="minorEastAsia"/>
          <w:b/>
          <w:bCs/>
          <w:color w:val="auto"/>
          <w:sz w:val="24"/>
          <w:szCs w:val="24"/>
          <w:highlight w:val="none"/>
        </w:rPr>
        <w:t>致：采购人</w:t>
      </w:r>
    </w:p>
    <w:p w14:paraId="12FECD0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color w:val="auto"/>
          <w:sz w:val="24"/>
          <w:szCs w:val="24"/>
          <w:highlight w:val="none"/>
        </w:rPr>
        <w:t>（</w:t>
      </w:r>
      <w:r>
        <w:rPr>
          <w:rFonts w:hint="eastAsia" w:cs="仿宋" w:asciiTheme="minorEastAsia" w:hAnsiTheme="minorEastAsia" w:eastAsiaTheme="minorEastAsia"/>
          <w:i/>
          <w:iCs/>
          <w:color w:val="auto"/>
          <w:sz w:val="24"/>
          <w:szCs w:val="24"/>
          <w:highlight w:val="none"/>
        </w:rPr>
        <w:t>项目名称、编号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532E8B3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bookmarkStart w:id="242" w:name="_Toc13899"/>
      <w:r>
        <w:rPr>
          <w:rFonts w:hint="eastAsia" w:cs="仿宋" w:asciiTheme="minorEastAsia" w:hAnsiTheme="minorEastAsia" w:eastAsiaTheme="minorEastAsia"/>
          <w:color w:val="auto"/>
          <w:sz w:val="24"/>
          <w:szCs w:val="24"/>
          <w:highlight w:val="none"/>
        </w:rPr>
        <w:t>一、(事项一)</w:t>
      </w:r>
      <w:bookmarkEnd w:id="242"/>
    </w:p>
    <w:p w14:paraId="6361B468">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1A16430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3F9AEE2A">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533911DA">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bookmarkStart w:id="243" w:name="_Toc3352"/>
      <w:r>
        <w:rPr>
          <w:rFonts w:hint="eastAsia" w:cs="仿宋" w:asciiTheme="minorEastAsia" w:hAnsiTheme="minorEastAsia" w:eastAsiaTheme="minorEastAsia"/>
          <w:color w:val="auto"/>
          <w:sz w:val="24"/>
          <w:szCs w:val="24"/>
          <w:highlight w:val="none"/>
        </w:rPr>
        <w:t>二、(事项二)</w:t>
      </w:r>
      <w:bookmarkEnd w:id="243"/>
    </w:p>
    <w:p w14:paraId="7F719511">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578C1BC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21798A87">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36978864">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41090D2B">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33D8A366">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7CA62AD7">
      <w:pPr>
        <w:jc w:val="center"/>
        <w:outlineLvl w:val="1"/>
        <w:rPr>
          <w:rFonts w:ascii="仿宋" w:hAnsi="仿宋" w:eastAsia="仿宋" w:cs="仿宋"/>
          <w:b/>
          <w:bCs/>
          <w:color w:val="auto"/>
          <w:sz w:val="32"/>
          <w:szCs w:val="44"/>
          <w:highlight w:val="none"/>
        </w:rPr>
      </w:pPr>
      <w:bookmarkStart w:id="244" w:name="_Toc857"/>
      <w:bookmarkStart w:id="245" w:name="_Toc1575"/>
      <w:bookmarkStart w:id="246" w:name="_Toc7637"/>
      <w:r>
        <w:rPr>
          <w:rFonts w:hint="eastAsia" w:ascii="仿宋" w:hAnsi="仿宋" w:eastAsia="仿宋" w:cs="仿宋"/>
          <w:b/>
          <w:bCs/>
          <w:color w:val="auto"/>
          <w:sz w:val="32"/>
          <w:szCs w:val="44"/>
          <w:highlight w:val="none"/>
        </w:rPr>
        <w:t>质疑函范本</w:t>
      </w:r>
      <w:bookmarkEnd w:id="244"/>
      <w:bookmarkEnd w:id="245"/>
      <w:bookmarkEnd w:id="246"/>
    </w:p>
    <w:p w14:paraId="6ADED4D8">
      <w:pPr>
        <w:adjustRightInd w:val="0"/>
        <w:snapToGrid w:val="0"/>
        <w:spacing w:beforeLines="100" w:line="360" w:lineRule="auto"/>
        <w:rPr>
          <w:rFonts w:cs="仿宋" w:asciiTheme="minorEastAsia" w:hAnsiTheme="minorEastAsia" w:eastAsiaTheme="minorEastAsia"/>
          <w:b/>
          <w:bCs/>
          <w:color w:val="auto"/>
          <w:sz w:val="24"/>
          <w:szCs w:val="24"/>
          <w:highlight w:val="none"/>
        </w:rPr>
      </w:pPr>
      <w:bookmarkStart w:id="247" w:name="_Toc21381"/>
      <w:r>
        <w:rPr>
          <w:rFonts w:hint="eastAsia" w:cs="仿宋" w:asciiTheme="minorEastAsia" w:hAnsiTheme="minorEastAsia" w:eastAsiaTheme="minorEastAsia"/>
          <w:b/>
          <w:bCs/>
          <w:color w:val="auto"/>
          <w:sz w:val="24"/>
          <w:szCs w:val="24"/>
          <w:highlight w:val="none"/>
        </w:rPr>
        <w:t>一、质疑供应商基本信息</w:t>
      </w:r>
      <w:bookmarkEnd w:id="247"/>
    </w:p>
    <w:p w14:paraId="50D4F3A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51490D4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0120776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7414EE6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7FB5824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07D19A82">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A660FAC">
      <w:pPr>
        <w:adjustRightInd w:val="0"/>
        <w:snapToGrid w:val="0"/>
        <w:spacing w:line="360" w:lineRule="auto"/>
        <w:rPr>
          <w:rFonts w:cs="仿宋" w:asciiTheme="minorEastAsia" w:hAnsiTheme="minorEastAsia" w:eastAsiaTheme="minorEastAsia"/>
          <w:b/>
          <w:bCs/>
          <w:color w:val="auto"/>
          <w:sz w:val="24"/>
          <w:szCs w:val="24"/>
          <w:highlight w:val="none"/>
        </w:rPr>
      </w:pPr>
      <w:bookmarkStart w:id="248" w:name="_Toc28415"/>
      <w:r>
        <w:rPr>
          <w:rFonts w:hint="eastAsia" w:cs="仿宋" w:asciiTheme="minorEastAsia" w:hAnsiTheme="minorEastAsia" w:eastAsiaTheme="minorEastAsia"/>
          <w:b/>
          <w:bCs/>
          <w:color w:val="auto"/>
          <w:sz w:val="24"/>
          <w:szCs w:val="24"/>
          <w:highlight w:val="none"/>
        </w:rPr>
        <w:t>二、质疑项目基本情况</w:t>
      </w:r>
      <w:bookmarkEnd w:id="248"/>
    </w:p>
    <w:p w14:paraId="208EC69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6191E59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277123D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2A3977B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BAE164F">
      <w:pPr>
        <w:adjustRightInd w:val="0"/>
        <w:snapToGrid w:val="0"/>
        <w:spacing w:line="360" w:lineRule="auto"/>
        <w:rPr>
          <w:rFonts w:cs="仿宋" w:asciiTheme="minorEastAsia" w:hAnsiTheme="minorEastAsia" w:eastAsiaTheme="minorEastAsia"/>
          <w:b/>
          <w:bCs/>
          <w:color w:val="auto"/>
          <w:sz w:val="24"/>
          <w:szCs w:val="24"/>
          <w:highlight w:val="none"/>
        </w:rPr>
      </w:pPr>
      <w:bookmarkStart w:id="249" w:name="_Toc19014"/>
      <w:r>
        <w:rPr>
          <w:rFonts w:hint="eastAsia" w:cs="仿宋" w:asciiTheme="minorEastAsia" w:hAnsiTheme="minorEastAsia" w:eastAsiaTheme="minorEastAsia"/>
          <w:b/>
          <w:bCs/>
          <w:color w:val="auto"/>
          <w:sz w:val="24"/>
          <w:szCs w:val="24"/>
          <w:highlight w:val="none"/>
        </w:rPr>
        <w:t>三、质疑事项具体内容</w:t>
      </w:r>
      <w:bookmarkEnd w:id="249"/>
    </w:p>
    <w:p w14:paraId="4482F58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1810D0F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57EF476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24A6B24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16CF6D3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49C0DD3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5BFD1EA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07018979">
      <w:pPr>
        <w:adjustRightInd w:val="0"/>
        <w:snapToGrid w:val="0"/>
        <w:spacing w:line="360" w:lineRule="auto"/>
        <w:rPr>
          <w:rFonts w:cs="仿宋" w:asciiTheme="minorEastAsia" w:hAnsiTheme="minorEastAsia" w:eastAsiaTheme="minorEastAsia"/>
          <w:b/>
          <w:bCs/>
          <w:color w:val="auto"/>
          <w:sz w:val="24"/>
          <w:szCs w:val="24"/>
          <w:highlight w:val="none"/>
        </w:rPr>
      </w:pPr>
      <w:bookmarkStart w:id="250" w:name="_Toc17919"/>
      <w:r>
        <w:rPr>
          <w:rFonts w:hint="eastAsia" w:cs="仿宋" w:asciiTheme="minorEastAsia" w:hAnsiTheme="minorEastAsia" w:eastAsiaTheme="minorEastAsia"/>
          <w:b/>
          <w:bCs/>
          <w:color w:val="auto"/>
          <w:sz w:val="24"/>
          <w:szCs w:val="24"/>
          <w:highlight w:val="none"/>
        </w:rPr>
        <w:t>四、与质疑事项相关的质疑请求</w:t>
      </w:r>
      <w:bookmarkEnd w:id="250"/>
    </w:p>
    <w:p w14:paraId="7A940A1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388C406C">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79EF4E8A">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487A748D">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4752F2D9">
      <w:pPr>
        <w:outlineLvl w:val="0"/>
        <w:rPr>
          <w:rFonts w:asciiTheme="minorEastAsia" w:hAnsiTheme="minorEastAsia" w:eastAsiaTheme="minorEastAsia"/>
          <w:b/>
          <w:color w:val="auto"/>
          <w:sz w:val="28"/>
          <w:szCs w:val="32"/>
          <w:highlight w:val="none"/>
        </w:rPr>
      </w:pPr>
      <w:bookmarkStart w:id="251" w:name="_Toc17997"/>
      <w:bookmarkStart w:id="252" w:name="_Toc22239"/>
      <w:bookmarkStart w:id="253" w:name="_Toc9754"/>
      <w:r>
        <w:rPr>
          <w:rFonts w:hint="eastAsia" w:asciiTheme="minorEastAsia" w:hAnsiTheme="minorEastAsia" w:eastAsiaTheme="minorEastAsia"/>
          <w:b/>
          <w:color w:val="auto"/>
          <w:sz w:val="28"/>
          <w:szCs w:val="32"/>
          <w:highlight w:val="none"/>
        </w:rPr>
        <w:t>质疑函制作说明：</w:t>
      </w:r>
      <w:bookmarkEnd w:id="251"/>
      <w:bookmarkEnd w:id="252"/>
      <w:bookmarkEnd w:id="253"/>
    </w:p>
    <w:p w14:paraId="3CFF754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9AE5D8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0F127F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21F1473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47B14C2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76ADE8C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48649F19">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br w:type="page"/>
      </w:r>
    </w:p>
    <w:p w14:paraId="3D56C3C3">
      <w:pPr>
        <w:rPr>
          <w:rFonts w:ascii="宋体" w:hAnsi="宋体" w:eastAsia="宋体" w:cs="宋体"/>
          <w:color w:val="auto"/>
          <w:sz w:val="28"/>
          <w:szCs w:val="28"/>
          <w:highlight w:val="none"/>
        </w:rPr>
      </w:pPr>
      <w:r>
        <w:rPr>
          <w:rFonts w:hint="eastAsia" w:ascii="宋体" w:hAnsi="宋体" w:eastAsia="宋体" w:cs="宋体"/>
          <w:b/>
          <w:color w:val="auto"/>
          <w:sz w:val="28"/>
          <w:szCs w:val="28"/>
          <w:highlight w:val="none"/>
          <w:lang w:bidi="ar"/>
        </w:rPr>
        <w:t>附件</w:t>
      </w:r>
      <w:r>
        <w:rPr>
          <w:rFonts w:ascii="Times New Roman" w:hAnsi="Times New Roman" w:eastAsia="宋体" w:cs="Times New Roman"/>
          <w:b/>
          <w:color w:val="auto"/>
          <w:sz w:val="28"/>
          <w:szCs w:val="28"/>
          <w:highlight w:val="none"/>
          <w:lang w:bidi="ar"/>
        </w:rPr>
        <w:t>1</w:t>
      </w:r>
    </w:p>
    <w:p w14:paraId="4A4CD2A0">
      <w:pPr>
        <w:jc w:val="center"/>
        <w:rPr>
          <w:rFonts w:hint="eastAsia" w:ascii="宋体" w:hAnsi="宋体" w:eastAsia="宋体" w:cs="宋体"/>
          <w:b/>
          <w:color w:val="auto"/>
          <w:sz w:val="28"/>
          <w:szCs w:val="28"/>
          <w:highlight w:val="none"/>
          <w:lang w:bidi="ar"/>
        </w:rPr>
      </w:pPr>
      <w:r>
        <w:rPr>
          <w:rFonts w:hint="eastAsia" w:ascii="宋体" w:hAnsi="宋体" w:eastAsia="宋体" w:cs="宋体"/>
          <w:b/>
          <w:color w:val="auto"/>
          <w:sz w:val="28"/>
          <w:szCs w:val="28"/>
          <w:highlight w:val="none"/>
          <w:lang w:bidi="ar"/>
        </w:rPr>
        <w:t>关于联合惩戒失信行为加强信用查询管理的通知</w:t>
      </w:r>
    </w:p>
    <w:p w14:paraId="6757D863">
      <w:pPr>
        <w:adjustRightInd w:val="0"/>
        <w:snapToGrid w:val="0"/>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一、失信行为联合惩戒的范围和查询渠道</w:t>
      </w:r>
    </w:p>
    <w:p w14:paraId="37E37776">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在我市公共资源交易活动中对存在下列失信行为的投标人、法定代表人及其项目经理（建造师）实施联合惩戒，禁止参与我市公共资源交易活动。</w:t>
      </w:r>
    </w:p>
    <w:p w14:paraId="6AF6B9A3">
      <w:pPr>
        <w:adjustRightInd w:val="0"/>
        <w:snapToGrid w:val="0"/>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（一）工程建设项目</w:t>
      </w:r>
    </w:p>
    <w:p w14:paraId="2E0A9CC7">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1、“信用中国”网站（www.creditchina.gov.cn）查询</w:t>
      </w:r>
      <w:bookmarkStart w:id="254" w:name="OLE_LINK91"/>
      <w:bookmarkStart w:id="255" w:name="OLE_LINK93"/>
      <w:bookmarkStart w:id="256" w:name="OLE_LINK103"/>
      <w:bookmarkStart w:id="257" w:name="OLE_LINK92"/>
      <w:r>
        <w:rPr>
          <w:rFonts w:hint="eastAsia" w:ascii="宋体" w:hAnsi="宋体" w:eastAsia="宋体" w:cs="宋体"/>
          <w:color w:val="auto"/>
          <w:sz w:val="24"/>
          <w:szCs w:val="24"/>
          <w:highlight w:val="none"/>
        </w:rPr>
        <w:t>投标人、法定代表人及其项目经理(建造师)</w:t>
      </w:r>
      <w:bookmarkEnd w:id="254"/>
      <w:bookmarkEnd w:id="255"/>
      <w:bookmarkEnd w:id="256"/>
      <w:bookmarkEnd w:id="257"/>
      <w:r>
        <w:rPr>
          <w:rFonts w:hint="eastAsia" w:ascii="宋体" w:hAnsi="宋体" w:eastAsia="宋体" w:cs="宋体"/>
          <w:color w:val="auto"/>
          <w:sz w:val="24"/>
          <w:szCs w:val="24"/>
          <w:highlight w:val="none"/>
        </w:rPr>
        <w:t>以下失信行为：</w:t>
      </w:r>
    </w:p>
    <w:p w14:paraId="62D6F9D9">
      <w:pPr>
        <w:adjustRightInd w:val="0"/>
        <w:snapToGrid w:val="0"/>
        <w:spacing w:line="560" w:lineRule="exact"/>
        <w:ind w:firstLine="480" w:firstLineChars="200"/>
        <w:rPr>
          <w:rFonts w:hint="eastAsia" w:ascii="宋体" w:hAnsi="宋体" w:eastAsia="宋体" w:cs="宋体"/>
          <w:color w:val="auto"/>
          <w:sz w:val="24"/>
          <w:szCs w:val="24"/>
          <w:highlight w:val="none"/>
        </w:rPr>
      </w:pPr>
      <w:bookmarkStart w:id="258" w:name="OLE_LINK87"/>
      <w:bookmarkStart w:id="259" w:name="OLE_LINK86"/>
      <w:bookmarkStart w:id="260" w:name="OLE_LINK3"/>
      <w:bookmarkStart w:id="261" w:name="OLE_LINK94"/>
      <w:bookmarkStart w:id="262" w:name="OLE_LINK119"/>
      <w:r>
        <w:rPr>
          <w:rFonts w:hint="eastAsia" w:ascii="宋体" w:hAnsi="宋体" w:eastAsia="宋体" w:cs="宋体"/>
          <w:color w:val="auto"/>
          <w:sz w:val="24"/>
          <w:szCs w:val="24"/>
          <w:highlight w:val="none"/>
        </w:rPr>
        <w:t>①被列入“失信被执行人”的;</w:t>
      </w:r>
    </w:p>
    <w:p w14:paraId="7F64EA18">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②被列入</w:t>
      </w:r>
      <w:bookmarkStart w:id="263" w:name="OLE_LINK116"/>
      <w:bookmarkStart w:id="264" w:name="OLE_LINK115"/>
      <w:bookmarkStart w:id="265" w:name="OLE_LINK118"/>
      <w:bookmarkStart w:id="266" w:name="OLE_LINK117"/>
      <w:r>
        <w:rPr>
          <w:rFonts w:hint="eastAsia" w:ascii="宋体" w:hAnsi="宋体" w:eastAsia="宋体" w:cs="宋体"/>
          <w:color w:val="auto"/>
          <w:sz w:val="24"/>
          <w:szCs w:val="24"/>
          <w:highlight w:val="none"/>
        </w:rPr>
        <w:t>“重大税收违法失信主体”</w:t>
      </w:r>
      <w:bookmarkEnd w:id="263"/>
      <w:bookmarkEnd w:id="264"/>
      <w:bookmarkEnd w:id="265"/>
      <w:bookmarkEnd w:id="266"/>
      <w:r>
        <w:rPr>
          <w:rFonts w:hint="eastAsia" w:ascii="宋体" w:hAnsi="宋体" w:eastAsia="宋体" w:cs="宋体"/>
          <w:color w:val="auto"/>
          <w:sz w:val="24"/>
          <w:szCs w:val="24"/>
          <w:highlight w:val="none"/>
        </w:rPr>
        <w:t>的；</w:t>
      </w:r>
    </w:p>
    <w:p w14:paraId="5D9C7F62">
      <w:pPr>
        <w:adjustRightInd w:val="0"/>
        <w:snapToGrid w:val="0"/>
        <w:spacing w:line="560" w:lineRule="exact"/>
        <w:ind w:firstLine="480" w:firstLineChars="200"/>
        <w:rPr>
          <w:rFonts w:hint="eastAsia" w:ascii="宋体" w:hAnsi="宋体" w:eastAsia="宋体" w:cs="宋体"/>
          <w:color w:val="auto"/>
          <w:sz w:val="24"/>
          <w:szCs w:val="24"/>
          <w:highlight w:val="none"/>
        </w:rPr>
      </w:pPr>
      <w:bookmarkStart w:id="267" w:name="OLE_LINK1"/>
      <w:bookmarkStart w:id="268" w:name="OLE_LINK2"/>
      <w:r>
        <w:rPr>
          <w:rFonts w:hint="eastAsia" w:ascii="宋体" w:hAnsi="宋体" w:eastAsia="宋体" w:cs="宋体"/>
          <w:color w:val="auto"/>
          <w:sz w:val="24"/>
          <w:szCs w:val="24"/>
          <w:highlight w:val="none"/>
        </w:rPr>
        <w:t>③被列入“拖欠</w:t>
      </w:r>
      <w:bookmarkStart w:id="269" w:name="OLE_LINK85"/>
      <w:bookmarkStart w:id="270" w:name="OLE_LINK84"/>
      <w:r>
        <w:rPr>
          <w:rFonts w:hint="eastAsia" w:ascii="宋体" w:hAnsi="宋体" w:eastAsia="宋体" w:cs="宋体"/>
          <w:color w:val="auto"/>
          <w:sz w:val="24"/>
          <w:szCs w:val="24"/>
          <w:highlight w:val="none"/>
        </w:rPr>
        <w:t>农民工工资失信联合惩戒对象</w:t>
      </w:r>
      <w:bookmarkEnd w:id="269"/>
      <w:bookmarkEnd w:id="270"/>
      <w:r>
        <w:rPr>
          <w:rFonts w:hint="eastAsia" w:ascii="宋体" w:hAnsi="宋体" w:eastAsia="宋体" w:cs="宋体"/>
          <w:color w:val="auto"/>
          <w:sz w:val="24"/>
          <w:szCs w:val="24"/>
          <w:highlight w:val="none"/>
        </w:rPr>
        <w:t>名单”的；</w:t>
      </w:r>
      <w:bookmarkEnd w:id="267"/>
      <w:bookmarkEnd w:id="268"/>
    </w:p>
    <w:p w14:paraId="31FA8D94">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④被列入 “严重失信主体名单”的；</w:t>
      </w:r>
    </w:p>
    <w:p w14:paraId="303E7C33">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⑤在“信用中国”网站上披露的仍在公示期的严重失信行为(具体行为类别及判定依据见附件2)的。</w:t>
      </w:r>
    </w:p>
    <w:bookmarkEnd w:id="258"/>
    <w:bookmarkEnd w:id="259"/>
    <w:bookmarkEnd w:id="260"/>
    <w:bookmarkEnd w:id="261"/>
    <w:bookmarkEnd w:id="262"/>
    <w:p w14:paraId="0A18C71D">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bookmarkStart w:id="271" w:name="OLE_LINK130"/>
      <w:r>
        <w:rPr>
          <w:rFonts w:hint="eastAsia" w:ascii="宋体" w:hAnsi="宋体" w:eastAsia="宋体" w:cs="宋体"/>
          <w:color w:val="auto"/>
          <w:sz w:val="24"/>
          <w:szCs w:val="24"/>
          <w:highlight w:val="none"/>
        </w:rPr>
        <w:t>国家企业信用信息公示系统网站</w:t>
      </w:r>
      <w:bookmarkEnd w:id="271"/>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"http://www.gsxt.gov.cn）查询" </w:instrText>
      </w:r>
      <w:r>
        <w:rPr>
          <w:rFonts w:hint="eastAsia" w:ascii="宋体" w:hAnsi="宋体" w:eastAsia="宋体" w:cs="宋体"/>
          <w:color w:val="auto"/>
          <w:sz w:val="24"/>
          <w:szCs w:val="24"/>
          <w:highlight w:val="none"/>
        </w:rPr>
        <w:fldChar w:fldCharType="separate"/>
      </w:r>
      <w:bookmarkStart w:id="272" w:name="OLE_LINK90"/>
      <w:bookmarkStart w:id="273" w:name="OLE_LINK89"/>
      <w:r>
        <w:rPr>
          <w:rStyle w:val="41"/>
          <w:rFonts w:hint="eastAsia" w:ascii="宋体" w:hAnsi="宋体" w:eastAsia="宋体" w:cs="宋体"/>
          <w:color w:val="auto"/>
          <w:sz w:val="24"/>
          <w:szCs w:val="24"/>
          <w:highlight w:val="none"/>
        </w:rPr>
        <w:t>www.gsxt.gov.cn</w:t>
      </w:r>
      <w:bookmarkEnd w:id="272"/>
      <w:bookmarkEnd w:id="273"/>
      <w:r>
        <w:rPr>
          <w:rStyle w:val="41"/>
          <w:rFonts w:hint="eastAsia" w:ascii="宋体" w:hAnsi="宋体" w:eastAsia="宋体" w:cs="宋体"/>
          <w:color w:val="auto"/>
          <w:sz w:val="24"/>
          <w:szCs w:val="24"/>
          <w:highlight w:val="none"/>
        </w:rPr>
        <w:t>）</w:t>
      </w:r>
      <w:r>
        <w:rPr>
          <w:rStyle w:val="41"/>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查询投标人以下失信行为：</w:t>
      </w:r>
    </w:p>
    <w:p w14:paraId="6AA83C20">
      <w:pPr>
        <w:adjustRightInd w:val="0"/>
        <w:snapToGrid w:val="0"/>
        <w:spacing w:line="560" w:lineRule="exact"/>
        <w:ind w:firstLine="480" w:firstLineChars="200"/>
        <w:rPr>
          <w:rFonts w:hint="eastAsia" w:ascii="宋体" w:hAnsi="宋体" w:eastAsia="宋体" w:cs="宋体"/>
          <w:color w:val="auto"/>
          <w:sz w:val="24"/>
          <w:szCs w:val="24"/>
          <w:highlight w:val="none"/>
        </w:rPr>
      </w:pPr>
      <w:bookmarkStart w:id="274" w:name="OLE_LINK120"/>
      <w:bookmarkStart w:id="275" w:name="OLE_LINK121"/>
      <w:bookmarkStart w:id="276" w:name="OLE_LINK122"/>
      <w:r>
        <w:rPr>
          <w:rFonts w:hint="eastAsia" w:ascii="宋体" w:hAnsi="宋体" w:eastAsia="宋体" w:cs="宋体"/>
          <w:color w:val="auto"/>
          <w:sz w:val="24"/>
          <w:szCs w:val="24"/>
          <w:highlight w:val="none"/>
        </w:rPr>
        <w:t>①被列入“经营异常名录”或者“严重违法失信名单”的。</w:t>
      </w:r>
      <w:bookmarkEnd w:id="274"/>
      <w:bookmarkEnd w:id="275"/>
      <w:bookmarkEnd w:id="276"/>
    </w:p>
    <w:p w14:paraId="4C46FE03">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3、由</w:t>
      </w:r>
      <w:r>
        <w:rPr>
          <w:rFonts w:hint="eastAsia" w:ascii="宋体" w:hAnsi="宋体" w:eastAsia="宋体" w:cs="宋体"/>
          <w:color w:val="auto"/>
          <w:kern w:val="0"/>
          <w:sz w:val="24"/>
          <w:szCs w:val="24"/>
          <w:highlight w:val="none"/>
        </w:rPr>
        <w:t>投标人、法定代表人及其项目经理(建造师)</w:t>
      </w:r>
      <w:r>
        <w:rPr>
          <w:rFonts w:hint="eastAsia" w:ascii="宋体" w:hAnsi="宋体" w:eastAsia="宋体" w:cs="宋体"/>
          <w:color w:val="auto"/>
          <w:sz w:val="24"/>
          <w:szCs w:val="24"/>
          <w:highlight w:val="none"/>
        </w:rPr>
        <w:t>进行承诺，不进行现场网上信用查询的失信行为：</w:t>
      </w:r>
    </w:p>
    <w:p w14:paraId="2D2A6347">
      <w:pPr>
        <w:adjustRightInd w:val="0"/>
        <w:snapToGrid w:val="0"/>
        <w:spacing w:line="560" w:lineRule="exact"/>
        <w:ind w:firstLine="480" w:firstLineChars="200"/>
        <w:rPr>
          <w:rFonts w:hint="eastAsia" w:ascii="宋体" w:hAnsi="宋体" w:eastAsia="宋体" w:cs="宋体"/>
          <w:color w:val="auto"/>
          <w:sz w:val="24"/>
          <w:szCs w:val="24"/>
          <w:highlight w:val="none"/>
        </w:rPr>
      </w:pPr>
      <w:bookmarkStart w:id="277" w:name="OLE_LINK124"/>
      <w:bookmarkStart w:id="278" w:name="OLE_LINK123"/>
      <w:r>
        <w:rPr>
          <w:rFonts w:hint="eastAsia" w:ascii="宋体" w:hAnsi="宋体" w:eastAsia="宋体" w:cs="宋体"/>
          <w:color w:val="auto"/>
          <w:sz w:val="24"/>
          <w:szCs w:val="24"/>
          <w:highlight w:val="none"/>
        </w:rPr>
        <w:t>①前三年有行贿犯罪行为的单位和个人；</w:t>
      </w:r>
    </w:p>
    <w:p w14:paraId="71C89ECC">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②被滁州市县两级公管部门取消在一定期限内的投标资格且在取消期限内的；</w:t>
      </w:r>
    </w:p>
    <w:p w14:paraId="29E346ED">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③被滁州市县两级各行业主管部门取消在一定期限内的投标资格且在取消期限内的；</w:t>
      </w:r>
    </w:p>
    <w:p w14:paraId="4C30ED10">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④因拖欠农民工工资被</w:t>
      </w:r>
      <w:bookmarkStart w:id="279" w:name="OLE_LINK107"/>
      <w:bookmarkStart w:id="280" w:name="OLE_LINK108"/>
      <w:r>
        <w:rPr>
          <w:rFonts w:hint="eastAsia" w:ascii="宋体" w:hAnsi="宋体" w:eastAsia="宋体" w:cs="宋体"/>
          <w:color w:val="auto"/>
          <w:sz w:val="24"/>
          <w:szCs w:val="24"/>
          <w:highlight w:val="none"/>
        </w:rPr>
        <w:t>县级及以上有关行政主管部门限制投标资格且在限制期限内的</w:t>
      </w:r>
      <w:bookmarkEnd w:id="279"/>
      <w:bookmarkEnd w:id="280"/>
      <w:r>
        <w:rPr>
          <w:rFonts w:hint="eastAsia" w:ascii="宋体" w:hAnsi="宋体" w:eastAsia="宋体" w:cs="宋体"/>
          <w:color w:val="auto"/>
          <w:sz w:val="24"/>
          <w:szCs w:val="24"/>
          <w:highlight w:val="none"/>
        </w:rPr>
        <w:t>；</w:t>
      </w:r>
    </w:p>
    <w:p w14:paraId="7939A1D4">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277"/>
    <w:bookmarkEnd w:id="278"/>
    <w:p w14:paraId="1625B699">
      <w:pPr>
        <w:adjustRightInd w:val="0"/>
        <w:snapToGrid w:val="0"/>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（二）政府采购项目</w:t>
      </w:r>
    </w:p>
    <w:p w14:paraId="1096700B">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1、“信用中国”网站（</w:t>
      </w:r>
      <w:r>
        <w:rPr>
          <w:rStyle w:val="41"/>
          <w:rFonts w:hint="eastAsia" w:ascii="宋体" w:hAnsi="宋体" w:eastAsia="宋体" w:cs="宋体"/>
          <w:color w:val="auto"/>
          <w:sz w:val="24"/>
          <w:szCs w:val="24"/>
          <w:highlight w:val="none"/>
        </w:rPr>
        <w:t>www.creditchina.gov.cn</w:t>
      </w:r>
      <w:r>
        <w:rPr>
          <w:rFonts w:hint="eastAsia" w:ascii="宋体" w:hAnsi="宋体" w:eastAsia="宋体" w:cs="宋体"/>
          <w:color w:val="auto"/>
          <w:sz w:val="24"/>
          <w:szCs w:val="24"/>
          <w:highlight w:val="none"/>
        </w:rPr>
        <w:t>）查询供应商、法定代表人及其项目负责人以下失信行为：</w:t>
      </w:r>
    </w:p>
    <w:p w14:paraId="36F20AD6">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①被列入“失信被执行人”的;</w:t>
      </w:r>
    </w:p>
    <w:p w14:paraId="585C95AE">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②被列入“重大税收违法失信主体”的；</w:t>
      </w:r>
    </w:p>
    <w:p w14:paraId="40116FAD">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③被列入 “严重失信主体名单”的；</w:t>
      </w:r>
    </w:p>
    <w:p w14:paraId="51AF6E4F">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④在“信用中国”网站上披露的仍在公示期的严重失信行为(具体行为类别及判定依据见附件2)的。</w:t>
      </w:r>
    </w:p>
    <w:p w14:paraId="3A143F71">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2、国家企业信用信息公示系统网站（</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"http://www.gsxt.gov.cn）查询"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www.gsxt.gov.cn）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查询供应商以下失信行为：</w:t>
      </w:r>
    </w:p>
    <w:p w14:paraId="0DD1FF87">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w:t>
      </w:r>
      <w:bookmarkStart w:id="281" w:name="OLE_LINK100"/>
      <w:bookmarkStart w:id="282" w:name="OLE_LINK101"/>
      <w:bookmarkStart w:id="283" w:name="OLE_LINK102"/>
      <w:r>
        <w:rPr>
          <w:rFonts w:hint="eastAsia" w:ascii="宋体" w:hAnsi="宋体" w:eastAsia="宋体" w:cs="宋体"/>
          <w:color w:val="auto"/>
          <w:sz w:val="24"/>
          <w:szCs w:val="24"/>
          <w:highlight w:val="none"/>
        </w:rPr>
        <w:t>被列入“经营异常名录”或者“严重违法失信名单”的</w:t>
      </w:r>
      <w:bookmarkEnd w:id="281"/>
      <w:bookmarkEnd w:id="282"/>
      <w:bookmarkEnd w:id="283"/>
      <w:r>
        <w:rPr>
          <w:rFonts w:hint="eastAsia" w:ascii="宋体" w:hAnsi="宋体" w:eastAsia="宋体" w:cs="宋体"/>
          <w:color w:val="auto"/>
          <w:sz w:val="24"/>
          <w:szCs w:val="24"/>
          <w:highlight w:val="none"/>
        </w:rPr>
        <w:t>。</w:t>
      </w:r>
    </w:p>
    <w:p w14:paraId="18920F33">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3、中国政府采购网站（</w:t>
      </w:r>
      <w:bookmarkStart w:id="284" w:name="OLE_LINK96"/>
      <w:bookmarkStart w:id="285" w:name="OLE_LINK95"/>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"http://www.ccgp.gov.cn"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www.ccgp.gov.cn</w:t>
      </w:r>
      <w:r>
        <w:rPr>
          <w:rFonts w:hint="eastAsia" w:ascii="宋体" w:hAnsi="宋体" w:eastAsia="宋体" w:cs="宋体"/>
          <w:color w:val="auto"/>
          <w:sz w:val="24"/>
          <w:szCs w:val="24"/>
          <w:highlight w:val="none"/>
        </w:rPr>
        <w:fldChar w:fldCharType="end"/>
      </w:r>
      <w:bookmarkEnd w:id="284"/>
      <w:bookmarkEnd w:id="285"/>
      <w:r>
        <w:rPr>
          <w:rFonts w:hint="eastAsia" w:ascii="宋体" w:hAnsi="宋体" w:eastAsia="宋体" w:cs="宋体"/>
          <w:color w:val="auto"/>
          <w:sz w:val="24"/>
          <w:szCs w:val="24"/>
          <w:highlight w:val="none"/>
        </w:rPr>
        <w:t>）查询以下失信行为：</w:t>
      </w:r>
    </w:p>
    <w:p w14:paraId="3229E976">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w:t>
      </w:r>
      <w:bookmarkStart w:id="286" w:name="OLE_LINK105"/>
      <w:bookmarkStart w:id="287" w:name="OLE_LINK104"/>
      <w:bookmarkStart w:id="288" w:name="OLE_LINK106"/>
      <w:r>
        <w:rPr>
          <w:rFonts w:hint="eastAsia" w:ascii="宋体" w:hAnsi="宋体" w:eastAsia="宋体" w:cs="宋体"/>
          <w:color w:val="auto"/>
          <w:sz w:val="24"/>
          <w:szCs w:val="24"/>
          <w:highlight w:val="none"/>
        </w:rPr>
        <w:t>被列入“政府采购严重违法失信行为信息记录”的</w:t>
      </w:r>
      <w:bookmarkEnd w:id="286"/>
      <w:bookmarkEnd w:id="287"/>
      <w:bookmarkEnd w:id="288"/>
      <w:r>
        <w:rPr>
          <w:rFonts w:hint="eastAsia" w:ascii="宋体" w:hAnsi="宋体" w:eastAsia="宋体" w:cs="宋体"/>
          <w:color w:val="auto"/>
          <w:sz w:val="24"/>
          <w:szCs w:val="24"/>
          <w:highlight w:val="none"/>
        </w:rPr>
        <w:t>。</w:t>
      </w:r>
    </w:p>
    <w:p w14:paraId="10D58608">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4、由竞争主体进行承诺，不进行现场网上信用查询的失信行为：</w:t>
      </w:r>
    </w:p>
    <w:p w14:paraId="44686221">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①前三年有行贿犯罪行为的单位和个人。</w:t>
      </w:r>
    </w:p>
    <w:p w14:paraId="1C3D5676">
      <w:pPr>
        <w:adjustRightInd w:val="0"/>
        <w:snapToGrid w:val="0"/>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二、在开评标活动中的查询程序</w:t>
      </w:r>
    </w:p>
    <w:p w14:paraId="6AA71CFB">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1E9B6329">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05D185AE">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3、项目单位及其委托的代理机构应当做好信用查询结果截图和记录留存。</w:t>
      </w:r>
    </w:p>
    <w:p w14:paraId="0D823FB8">
      <w:pPr>
        <w:adjustRightInd w:val="0"/>
        <w:snapToGrid w:val="0"/>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三、相关要求</w:t>
      </w:r>
    </w:p>
    <w:p w14:paraId="4CAB201D">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761839FA">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42A83DC1">
      <w:pPr>
        <w:wordWrap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"https://credit.ah.gov.cn/xinyong-fuwu/xvbahv/index.html"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https://credit.ah.gov.cn/xinyong-fuwu/xvbahv/index.html</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5C41E6D0">
      <w:pPr>
        <w:adjustRightInd w:val="0"/>
        <w:snapToGrid w:val="0"/>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2、“信用中国”查询的严重失信行为判定依据为各行业主管部门下发的联合惩戒文件中规定的行为（按附件2执行）。</w:t>
      </w:r>
    </w:p>
    <w:p w14:paraId="20063E09">
      <w:pPr>
        <w:spacing w:line="440" w:lineRule="exac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3、资格预审的项目以递交资格预审申请文件截止时间查询为准；资格后审的项目以递交投标文件截止时间查询为准。</w:t>
      </w:r>
      <w:r>
        <w:rPr>
          <w:rFonts w:hint="eastAsia" w:ascii="宋体" w:hAnsi="宋体" w:eastAsia="宋体" w:cs="宋体"/>
          <w:b/>
          <w:color w:val="auto"/>
          <w:sz w:val="24"/>
          <w:szCs w:val="24"/>
          <w:highlight w:val="none"/>
          <w:lang w:bidi="ar"/>
        </w:rPr>
        <w:t xml:space="preserve"> </w:t>
      </w:r>
    </w:p>
    <w:p w14:paraId="7411057A">
      <w:pPr>
        <w:pStyle w:val="30"/>
        <w:ind w:firstLine="420"/>
        <w:rPr>
          <w:color w:val="auto"/>
          <w:highlight w:val="none"/>
        </w:rPr>
      </w:pPr>
      <w:r>
        <w:rPr>
          <w:rFonts w:hint="eastAsia"/>
          <w:color w:val="auto"/>
          <w:highlight w:val="none"/>
        </w:rPr>
        <w:t xml:space="preserve"> </w:t>
      </w:r>
    </w:p>
    <w:p w14:paraId="5FA0575F">
      <w:pPr>
        <w:spacing w:line="44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br w:type="page"/>
      </w:r>
      <w:r>
        <w:rPr>
          <w:rFonts w:hint="eastAsia" w:ascii="宋体" w:hAnsi="宋体" w:eastAsia="宋体" w:cs="宋体"/>
          <w:b/>
          <w:color w:val="auto"/>
          <w:sz w:val="24"/>
          <w:szCs w:val="24"/>
          <w:highlight w:val="none"/>
          <w:lang w:bidi="ar"/>
        </w:rPr>
        <w:t>附件</w:t>
      </w:r>
      <w:r>
        <w:rPr>
          <w:rFonts w:ascii="Times New Roman" w:hAnsi="Times New Roman" w:eastAsia="宋体" w:cs="Times New Roman"/>
          <w:b/>
          <w:color w:val="auto"/>
          <w:sz w:val="24"/>
          <w:szCs w:val="24"/>
          <w:highlight w:val="none"/>
          <w:lang w:bidi="ar"/>
        </w:rPr>
        <w:t>2</w:t>
      </w:r>
    </w:p>
    <w:p w14:paraId="4A4835D1">
      <w:pPr>
        <w:adjustRightInd w:val="0"/>
        <w:snapToGrid w:val="0"/>
        <w:spacing w:line="560" w:lineRule="exact"/>
        <w:ind w:firstLine="645"/>
        <w:jc w:val="center"/>
        <w:rPr>
          <w:rFonts w:hint="eastAsia" w:ascii="宋体" w:hAnsi="宋体" w:eastAsia="宋体" w:cs="宋体"/>
          <w:b/>
          <w:color w:val="auto"/>
          <w:sz w:val="24"/>
          <w:szCs w:val="24"/>
          <w:highlight w:val="none"/>
          <w:lang w:eastAsia="zh-CN" w:bidi="ar"/>
        </w:rPr>
      </w:pPr>
      <w:r>
        <w:rPr>
          <w:rFonts w:hint="eastAsia" w:ascii="宋体" w:hAnsi="宋体" w:eastAsia="宋体" w:cs="宋体"/>
          <w:b/>
          <w:color w:val="auto"/>
          <w:sz w:val="24"/>
          <w:szCs w:val="24"/>
          <w:highlight w:val="none"/>
          <w:lang w:eastAsia="zh-CN" w:bidi="ar"/>
        </w:rPr>
        <w:t>“信用中国”查询的严重失信行为类别及判定依据</w:t>
      </w:r>
    </w:p>
    <w:p w14:paraId="20DB517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“信用中国”查询的严重失信行为判定依据为各行业主管部门下发的联合惩戒文件中规定的行为。下面将部分类别的严重失信行为列举如下：</w:t>
      </w:r>
    </w:p>
    <w:p w14:paraId="6FDBC490">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一、安全生产领域严重失信行为：</w:t>
      </w:r>
    </w:p>
    <w:p w14:paraId="6EF8B78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（一）下列发生生产安全事故的生产经营单位及其有关人员应当列入严重失信主体名单：</w:t>
      </w:r>
    </w:p>
    <w:p w14:paraId="1AA3A3D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1、发生特别重大、重大生产安全事故的生产经营单位及其主要负责人，以及经调查认定对该事故发生负有责任，应当列入名单的其他单位和人员；</w:t>
      </w:r>
    </w:p>
    <w:p w14:paraId="60A6061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2、12个月内累计发生2起以上较大生产安全事故的生产经营单位及其主要负责人；</w:t>
      </w:r>
    </w:p>
    <w:p w14:paraId="5E384FF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3、发生生产安全事故，情节特别严重、影响特别恶劣，依照《中华人民共和国安全生产法》第一百一十四条的规定被处以罚款数额2倍以上5倍以下罚款的生产经营单位及其主要负责人；</w:t>
      </w:r>
    </w:p>
    <w:p w14:paraId="7EAA27F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4、瞒报、谎报生产安全事故的生产经营单位及其有关责任人员；</w:t>
      </w:r>
    </w:p>
    <w:p w14:paraId="0A55CA2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5、发生生产安全事故后，不立即组织抢救或者在事故调查处理期间擅离职守或者逃匿的生产经营单位主要负责人。</w:t>
      </w:r>
    </w:p>
    <w:p w14:paraId="02E534C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（二）下列未发生生产安全事故，但因安全生产违法行为，受到行政处罚的生产经营单位或者机构及其有关人员，应当列入严重失信主体名单：</w:t>
      </w:r>
    </w:p>
    <w:p w14:paraId="7EB5FA7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1、未依法取得安全生产相关许可或者许可被暂扣、吊销期间从事相关生产经营活动的生产经营单位及其主要负责人；</w:t>
      </w:r>
    </w:p>
    <w:p w14:paraId="5902A12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2、承担安全评价、认证、检测、检验职责的机构及其直接责任人员租借资质、挂靠、出具虚假报告或者证书的；</w:t>
      </w:r>
    </w:p>
    <w:p w14:paraId="1472866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3、在应急管理部门作出行政处罚后，有执行能力拒不执行或者逃避执行的生产经营单位及其主要负责人；</w:t>
      </w:r>
    </w:p>
    <w:p w14:paraId="0D5A34F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4、其他违反安全生产法律法规受到行政处罚，且性质恶劣、情节严重的。</w:t>
      </w:r>
    </w:p>
    <w:p w14:paraId="0B745B41">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依据：《安全生产严重失信主体名单管理办法》（2023年8月8日应急管理部令第11号）</w:t>
      </w:r>
    </w:p>
    <w:p w14:paraId="1AD67102">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二、环境保护领域严重失信行为：</w:t>
      </w:r>
    </w:p>
    <w:p w14:paraId="767543C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（一）因为环境违法构成</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"https://baike.sogou.com/m/fullLemma?lid=10403954&amp;g_ut=3"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环境犯罪</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的；</w:t>
      </w:r>
    </w:p>
    <w:p w14:paraId="782AF2D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"https://baike.sogou.com/m/fullLemma?lid=76033123&amp;g_ut=3"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建设项目环境影响评价</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文件未按规定通过审批，擅自开工建设的；</w:t>
      </w:r>
    </w:p>
    <w:p w14:paraId="2A4F504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（三）建设项目环保设施未建成、环保措施未落实、未通过</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"https://baike.sogou.com/m/fullLemma?lid=6470550&amp;g_ut=3"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竣工环保验收</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或者验收不合格，主体工程正式投入生产或者使用的；</w:t>
      </w:r>
    </w:p>
    <w:p w14:paraId="4DF3F1A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（四）建设项目性质、规模、地点、采用的生产工艺或者防治污染、防止生态破坏的措施发生重大变动，未重新报批环境影响评价文件，擅自投入生产或者使用的；</w:t>
      </w:r>
    </w:p>
    <w:p w14:paraId="3A82FD2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（五）主要污染物排放总量超过控制指标的；</w:t>
      </w:r>
    </w:p>
    <w:p w14:paraId="65E1C5B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（六）私设暗管或者利用</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"https://baike.sogou.com/m/fullLemma?lid=41657319&amp;g_ut=3"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渗井</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、渗坑、裂隙、溶洞等排放、倾倒、处置水污染物，或者通过私设旁路排放</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"https://baike.sogou.com/m/fullLemma?lid=7758328&amp;g_ut=3"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大气污染物</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的；</w:t>
      </w:r>
    </w:p>
    <w:p w14:paraId="7E5E454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（七）非法排放、倾倒、处置危险废物，或者向无</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"https://baike.sogou.com/m/fullLemma?lid=5923292&amp;g_ut=3"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经营许可证</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或者超出经营许可范围的单位或个人提供或者委托其收集、贮存、利用、处置危险废物的；</w:t>
      </w:r>
    </w:p>
    <w:p w14:paraId="51F241B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"https://baike.sogou.com/m/fullLemma?lid=167759803&amp;g_ut=3"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环境违法行为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造成集中式生活饮用水水源取水中断的；</w:t>
      </w:r>
    </w:p>
    <w:p w14:paraId="7A9465B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（九）环境违法行为对生活饮用水水源保护区、自然保护区、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"https://baike.sogou.com/m/fullLemma?lid=155199213&amp;g_ut=3"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国家重点生态功能区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、风景名胜区、居住功能区、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"https://baike.sogou.com/m/fullLemma?lid=7757164&amp;g_ut=3"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基本农田保护区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等环境敏感区造成重大不利影响的；</w:t>
      </w:r>
    </w:p>
    <w:p w14:paraId="1FB6498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（十）违法从事自然资源开发、交通基础设施建设，以及其他开发建设活动，造成严重生态破坏的；</w:t>
      </w:r>
    </w:p>
    <w:p w14:paraId="7B7F32A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（十一）发生较大及以上突发环境事件的；</w:t>
      </w:r>
    </w:p>
    <w:p w14:paraId="340EE15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（十二）被环保部门挂牌督办，整改逾期未完成的；</w:t>
      </w:r>
    </w:p>
    <w:p w14:paraId="07AAAEB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（十三）以暴力、威胁等方式拒绝、阻挠环保部门工作人员现场检查的；</w:t>
      </w:r>
    </w:p>
    <w:p w14:paraId="1C6867F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（十四）违反重污染天气应急预案有关规定，对重污染天气响应不力的。</w:t>
      </w:r>
    </w:p>
    <w:p w14:paraId="436F0073">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依据：《</w:t>
      </w:r>
      <w:bookmarkStart w:id="289" w:name="OLE_LINK10"/>
      <w:bookmarkStart w:id="290" w:name="OLE_LINK9"/>
      <w:bookmarkStart w:id="291" w:name="OLE_LINK8"/>
      <w:r>
        <w:rPr>
          <w:rFonts w:hint="eastAsia" w:ascii="宋体" w:hAnsi="宋体" w:eastAsia="宋体" w:cs="宋体"/>
          <w:b/>
          <w:color w:val="auto"/>
          <w:sz w:val="24"/>
          <w:szCs w:val="24"/>
          <w:highlight w:val="none"/>
        </w:rPr>
        <w:t>关于对环境保护领域失信生产经营单位及其有关人员开展联合惩戒的合作备忘录</w:t>
      </w:r>
      <w:bookmarkEnd w:id="289"/>
      <w:bookmarkEnd w:id="290"/>
      <w:bookmarkEnd w:id="291"/>
      <w:r>
        <w:rPr>
          <w:rFonts w:hint="eastAsia" w:ascii="宋体" w:hAnsi="宋体" w:eastAsia="宋体" w:cs="宋体"/>
          <w:b/>
          <w:color w:val="auto"/>
          <w:sz w:val="24"/>
          <w:szCs w:val="24"/>
          <w:highlight w:val="none"/>
        </w:rPr>
        <w:t>》、《</w:t>
      </w:r>
      <w:bookmarkStart w:id="292" w:name="OLE_LINK12"/>
      <w:bookmarkStart w:id="293" w:name="OLE_LINK11"/>
      <w:r>
        <w:rPr>
          <w:rFonts w:hint="eastAsia" w:ascii="宋体" w:hAnsi="宋体" w:eastAsia="宋体" w:cs="宋体"/>
          <w:b/>
          <w:color w:val="auto"/>
          <w:sz w:val="24"/>
          <w:szCs w:val="24"/>
          <w:highlight w:val="none"/>
        </w:rPr>
        <w:t>企业环境信用评价办法（试行）</w:t>
      </w:r>
      <w:bookmarkEnd w:id="292"/>
      <w:bookmarkEnd w:id="293"/>
      <w:r>
        <w:rPr>
          <w:rFonts w:hint="eastAsia" w:ascii="宋体" w:hAnsi="宋体" w:eastAsia="宋体" w:cs="宋体"/>
          <w:b/>
          <w:color w:val="auto"/>
          <w:sz w:val="24"/>
          <w:szCs w:val="24"/>
          <w:highlight w:val="none"/>
        </w:rPr>
        <w:t>》（环发〔2013〕150号）</w:t>
      </w:r>
    </w:p>
    <w:p w14:paraId="25A3D19A">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w:t>
      </w:r>
      <w:r>
        <w:rPr>
          <w:rFonts w:hint="eastAsia" w:ascii="宋体" w:hAnsi="宋体" w:eastAsia="宋体" w:cs="宋体"/>
          <w:b/>
          <w:bCs/>
          <w:color w:val="auto"/>
          <w:sz w:val="24"/>
          <w:szCs w:val="24"/>
          <w:highlight w:val="none"/>
        </w:rPr>
        <w:t>公共资源交易领域严重失信行为</w:t>
      </w:r>
    </w:p>
    <w:p w14:paraId="18BDAED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（一）违反法律规定，必须进行招标的项目而不招标的，将必须进行招标的项目化整为零或者以其他任何方式规避招标的； </w:t>
      </w:r>
    </w:p>
    <w:p w14:paraId="297DA23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（二）招标代理机构违反法律规定，泄露应当保密的与招标投标活动有关的情况和资料的，或者与招标人、投标人串通损害 国家利益、社会公共利益或者他人合法权益的；</w:t>
      </w:r>
    </w:p>
    <w:p w14:paraId="075FD2D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（三）招标人以不合理的条件限制或者排斥潜在投标人的，对潜在投标人实行歧视待遇的，强制要求投标人组成联合体共同 投标的，或者限制投标人之间竞争的；</w:t>
      </w:r>
    </w:p>
    <w:p w14:paraId="16422BB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（四）依法必须进行招标的项目的招标人向他人透露已获取招标文件的潜在投标人的名称、数量或者可能影响公平竞争的有 关招标投标的其他情况的，或者泄露标底的；</w:t>
      </w:r>
    </w:p>
    <w:p w14:paraId="6162897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（五）投标人相互串通投标或者与招标人串通投标的，投标人以向招标人或者评标委员会成员行贿的手段谋取中标的； </w:t>
      </w:r>
    </w:p>
    <w:p w14:paraId="5BA0EAE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（六）投标人以他人名义投标或者以其他方式弄虚作假，骗取中标的；</w:t>
      </w:r>
    </w:p>
    <w:p w14:paraId="3944917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（七）依法必须进行招标的项目，招标人违反法律规定，与投标人就投标价格、投标方案等实质性内容进行谈判的；</w:t>
      </w:r>
    </w:p>
    <w:p w14:paraId="24898C0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558E83A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（九）招标人在评标委员会依法推荐的中标候选人以外确定中标人的，依法必须进行招标的项目在所有投标被评标委员会否 决后自行确定中标人的； </w:t>
      </w:r>
    </w:p>
    <w:p w14:paraId="57EDEE3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（十）中标人将中标项目转让给他人的，将中标项目肢解后分别转让给他人的，违反法律规定将中标项目的部分主体、关键 性工作分包给他人的，或者分包人再次分包的； </w:t>
      </w:r>
    </w:p>
    <w:p w14:paraId="0468F98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（十一）招标人与中标人不按照招标文件和中标人的投标文件订立合同的，或者招标人、中标人订立背离合同实质性内容的 协议的； </w:t>
      </w:r>
    </w:p>
    <w:p w14:paraId="0FD7D89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（十二）中标人不按照与招标人订立的合同履行义务，情节严重的； </w:t>
      </w:r>
    </w:p>
    <w:p w14:paraId="02CDD27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2E95355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08237B3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（十五）采购人对应当实行集中采购的政府采购项目，不委托集中采购机构实行集中采购的； </w:t>
      </w:r>
    </w:p>
    <w:p w14:paraId="7DC1850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（十六）采购人、采购代理机构违反法律规定隐匿、销毁应当保存的采购文件或者伪造、变造采购文件的； </w:t>
      </w:r>
    </w:p>
    <w:p w14:paraId="3CC5C09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21844C9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（十八）疫苗生产企业向县级疾病预防控制机构以外的单位或者个人销售第二类疫苗的； </w:t>
      </w:r>
    </w:p>
    <w:p w14:paraId="388FE80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（十九）存在其他违反公共资源交易法律法规行为的。</w:t>
      </w:r>
    </w:p>
    <w:p w14:paraId="31A6F4B0">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依据：《</w:t>
      </w:r>
      <w:bookmarkStart w:id="294" w:name="OLE_LINK13"/>
      <w:bookmarkStart w:id="295" w:name="OLE_LINK14"/>
      <w:r>
        <w:rPr>
          <w:rFonts w:hint="eastAsia" w:ascii="宋体" w:hAnsi="宋体" w:eastAsia="宋体" w:cs="宋体"/>
          <w:b/>
          <w:color w:val="auto"/>
          <w:sz w:val="24"/>
          <w:szCs w:val="24"/>
          <w:highlight w:val="none"/>
        </w:rPr>
        <w:t>关于对公共资源交易领域严重失信主体开展联合惩戒的备忘录</w:t>
      </w:r>
      <w:bookmarkEnd w:id="294"/>
      <w:bookmarkEnd w:id="295"/>
      <w:r>
        <w:rPr>
          <w:rFonts w:hint="eastAsia" w:ascii="宋体" w:hAnsi="宋体" w:eastAsia="宋体" w:cs="宋体"/>
          <w:b/>
          <w:color w:val="auto"/>
          <w:sz w:val="24"/>
          <w:szCs w:val="24"/>
          <w:highlight w:val="none"/>
        </w:rPr>
        <w:t>》（发改法规〔2018〕457号）</w:t>
      </w:r>
    </w:p>
    <w:p w14:paraId="4E874779">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四、</w:t>
      </w:r>
      <w:r>
        <w:rPr>
          <w:rFonts w:hint="eastAsia" w:ascii="宋体" w:hAnsi="宋体" w:eastAsia="宋体" w:cs="宋体"/>
          <w:b/>
          <w:bCs/>
          <w:color w:val="auto"/>
          <w:sz w:val="24"/>
          <w:szCs w:val="24"/>
          <w:highlight w:val="none"/>
        </w:rPr>
        <w:t>社会保险领域严重失信行为</w:t>
      </w:r>
    </w:p>
    <w:p w14:paraId="75E623B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（一）用人单位未按相关规定参加社会保险且拒不整改的； </w:t>
      </w:r>
    </w:p>
    <w:p w14:paraId="17FB6C7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（二）用人单位未如实申报社会保险缴费基数且拒不整改的； </w:t>
      </w:r>
    </w:p>
    <w:p w14:paraId="6761A81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（三）应缴纳社会保险费却拒不缴纳的； </w:t>
      </w:r>
    </w:p>
    <w:p w14:paraId="6E7A50F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（四）隐匿、转移、侵占、挪用社会保险费款、基金或者违规投资</w:t>
      </w:r>
      <w:r>
        <w:rPr>
          <w:rFonts w:hint="eastAsia" w:ascii="宋体" w:hAnsi="宋体" w:eastAsia="宋体" w:cs="宋体"/>
          <w:color w:val="auto"/>
          <w:sz w:val="24"/>
          <w:szCs w:val="24"/>
          <w:highlight w:val="none"/>
          <w:lang w:eastAsia="zh-CN"/>
        </w:rPr>
        <w:t>运行</w:t>
      </w:r>
      <w:r>
        <w:rPr>
          <w:rFonts w:hint="eastAsia" w:ascii="宋体" w:hAnsi="宋体" w:eastAsia="宋体" w:cs="宋体"/>
          <w:color w:val="auto"/>
          <w:sz w:val="24"/>
          <w:szCs w:val="24"/>
          <w:highlight w:val="none"/>
        </w:rPr>
        <w:t>的；</w:t>
      </w:r>
    </w:p>
    <w:p w14:paraId="7DAE803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（五）以欺诈、伪造证明材料或者其他手段参加、申报社会保险和骗取社会保险基金支出或社会保险待遇的； </w:t>
      </w:r>
    </w:p>
    <w:p w14:paraId="34E8620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（六）非法获取、出售或变相交易社会保险个人权益数据的； </w:t>
      </w:r>
    </w:p>
    <w:p w14:paraId="420F4F4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（七）社会保险服务机构违反服务协议或相关规定的； </w:t>
      </w:r>
    </w:p>
    <w:p w14:paraId="634779B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（八）拒绝协助社会保险行政部门、经办机构对事故和问题进 行调查核实的；拒绝接受或协助税务部门对社会保险实施监督检查， 不如实提供与社会保险相关各项资料的； </w:t>
      </w:r>
    </w:p>
    <w:p w14:paraId="58E7D32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（九）其他违反法律法规规定的。</w:t>
      </w:r>
    </w:p>
    <w:p w14:paraId="1394ECF2">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依据：《</w:t>
      </w:r>
      <w:bookmarkStart w:id="296" w:name="OLE_LINK15"/>
      <w:bookmarkStart w:id="297" w:name="OLE_LINK16"/>
      <w:r>
        <w:rPr>
          <w:rFonts w:hint="eastAsia" w:ascii="宋体" w:hAnsi="宋体" w:eastAsia="宋体" w:cs="宋体"/>
          <w:b/>
          <w:color w:val="auto"/>
          <w:sz w:val="24"/>
          <w:szCs w:val="24"/>
          <w:highlight w:val="none"/>
        </w:rPr>
        <w:t>关于对社会保险领域严重失信企业及其有关人员实施联合惩戒的合作备忘录</w:t>
      </w:r>
      <w:bookmarkEnd w:id="296"/>
      <w:bookmarkEnd w:id="297"/>
      <w:r>
        <w:rPr>
          <w:rFonts w:hint="eastAsia" w:ascii="宋体" w:hAnsi="宋体" w:eastAsia="宋体" w:cs="宋体"/>
          <w:b/>
          <w:color w:val="auto"/>
          <w:sz w:val="24"/>
          <w:szCs w:val="24"/>
          <w:highlight w:val="none"/>
        </w:rPr>
        <w:t>》（发改财金〔2018〕1704号）</w:t>
      </w:r>
    </w:p>
    <w:p w14:paraId="422BCA09">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五、建筑市场领域</w:t>
      </w:r>
      <w:r>
        <w:rPr>
          <w:rFonts w:hint="eastAsia" w:ascii="宋体" w:hAnsi="宋体" w:eastAsia="宋体" w:cs="宋体"/>
          <w:b/>
          <w:bCs/>
          <w:color w:val="auto"/>
          <w:sz w:val="24"/>
          <w:szCs w:val="24"/>
          <w:highlight w:val="none"/>
        </w:rPr>
        <w:t>严重失信行为</w:t>
      </w:r>
    </w:p>
    <w:p w14:paraId="7512F45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（一）利用虚假材料、以欺骗手段取得企业资质的；</w:t>
      </w:r>
    </w:p>
    <w:p w14:paraId="6E96259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（二）发生转包、出借资质，受到行政处罚的；</w:t>
      </w:r>
    </w:p>
    <w:p w14:paraId="533FD7E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（三）发生重大及以上工程质量安全事故，或1年内累计发生2次及以上较大工程质量安全事故，或发生性质恶劣、危害性严重、社会影响大的较大工程质量安全事故，受到行政处罚的；</w:t>
      </w:r>
    </w:p>
    <w:p w14:paraId="00C6F0C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（四）经法院判决或仲裁机构裁决，认定为拖欠工程款,且拒不履行生效法律文书确定的义务的。</w:t>
      </w:r>
    </w:p>
    <w:p w14:paraId="33BA187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各级住房城乡建设主管部门应当参照建筑市场主体“黑名单”，对被人力资源社会保障行政部门列入拖欠农民工工资“黑名单”的建筑市场各方主体加强监管。</w:t>
      </w:r>
    </w:p>
    <w:p w14:paraId="16192062">
      <w:pPr>
        <w:keepNext w:val="0"/>
        <w:keepLines w:val="0"/>
        <w:pageBreakBefore w:val="0"/>
        <w:widowControl w:val="0"/>
        <w:kinsoku/>
        <w:wordWrap/>
        <w:overflowPunct/>
        <w:topLinePunct w:val="0"/>
        <w:autoSpaceDE/>
        <w:autoSpaceDN/>
        <w:bidi w:val="0"/>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依据：《</w:t>
      </w:r>
      <w:bookmarkStart w:id="298" w:name="OLE_LINK17"/>
      <w:bookmarkStart w:id="299" w:name="OLE_LINK18"/>
      <w:r>
        <w:rPr>
          <w:rFonts w:hint="eastAsia" w:ascii="宋体" w:hAnsi="宋体" w:eastAsia="宋体" w:cs="宋体"/>
          <w:b/>
          <w:color w:val="auto"/>
          <w:sz w:val="24"/>
          <w:szCs w:val="24"/>
          <w:highlight w:val="none"/>
        </w:rPr>
        <w:t>建筑市场信用管理暂行办法</w:t>
      </w:r>
      <w:bookmarkEnd w:id="298"/>
      <w:bookmarkEnd w:id="299"/>
      <w:r>
        <w:rPr>
          <w:rFonts w:hint="eastAsia" w:ascii="宋体" w:hAnsi="宋体" w:eastAsia="宋体" w:cs="宋体"/>
          <w:b/>
          <w:color w:val="auto"/>
          <w:sz w:val="24"/>
          <w:szCs w:val="24"/>
          <w:highlight w:val="none"/>
        </w:rPr>
        <w:t>》（建市〔2017〕241号）</w:t>
      </w:r>
    </w:p>
    <w:p w14:paraId="7CC3C97B">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w:t>
      </w:r>
      <w:bookmarkStart w:id="300" w:name="OLE_LINK19"/>
      <w:bookmarkStart w:id="301" w:name="OLE_LINK20"/>
      <w:r>
        <w:rPr>
          <w:rFonts w:hint="eastAsia" w:ascii="宋体" w:hAnsi="宋体" w:eastAsia="宋体" w:cs="宋体"/>
          <w:b/>
          <w:color w:val="auto"/>
          <w:sz w:val="24"/>
          <w:szCs w:val="24"/>
          <w:highlight w:val="none"/>
        </w:rPr>
        <w:t>政府采购严重失信行为</w:t>
      </w:r>
      <w:bookmarkEnd w:id="300"/>
      <w:bookmarkEnd w:id="301"/>
    </w:p>
    <w:p w14:paraId="26CEBE4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供应商、采购代理机构在三年内受到财政部门作出下列情形之一的行政处罚，列入政府采购严重违法失信行为记录名单。</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（一）三万元以上罚款；</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（二）在一至三年内禁止参加政府采购活动（处罚期限届满的除外）；</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（三）在一至三年内禁止代理政府采购业务（处罚期限届满的除外）；</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（四）撤销政府采购代理机构资格（仅针对《政府采购法》第78条修改前作出的处罚决定）。</w:t>
      </w:r>
    </w:p>
    <w:p w14:paraId="117DC37D">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依据：《关于报送政府采购严重违法失信行为信息记录的通知》（财办库〔2014〕526号）</w:t>
      </w:r>
    </w:p>
    <w:p w14:paraId="309C6B85">
      <w:pPr>
        <w:spacing w:line="360" w:lineRule="auto"/>
        <w:ind w:firstLine="435"/>
        <w:rPr>
          <w:rFonts w:hint="eastAsia" w:ascii="仿宋_GB2312" w:hAnsi="宋体" w:eastAsia="仿宋_GB2312" w:cs="Times New Roman"/>
          <w:b/>
          <w:color w:val="auto"/>
          <w:sz w:val="32"/>
          <w:szCs w:val="32"/>
          <w:highlight w:val="none"/>
        </w:rPr>
      </w:pPr>
      <w:r>
        <w:rPr>
          <w:rFonts w:hint="eastAsia" w:ascii="宋体" w:hAnsi="宋体" w:eastAsia="宋体" w:cs="宋体"/>
          <w:b/>
          <w:color w:val="auto"/>
          <w:sz w:val="24"/>
          <w:szCs w:val="24"/>
          <w:highlight w:val="none"/>
        </w:rPr>
        <w:t>未列出的其他类别严重失信行为，由招标人（代理机构）根据各类别行业主管部门下发的联合惩戒文件进行判断。</w:t>
      </w:r>
    </w:p>
    <w:sectPr>
      <w:headerReference r:id="rId6" w:type="default"/>
      <w:footerReference r:id="rId7" w:type="default"/>
      <w:pgSz w:w="11906" w:h="16838"/>
      <w:pgMar w:top="1440" w:right="1286"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auto"/>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ESI仿宋-GB2312">
    <w:altName w:val="仿宋"/>
    <w:panose1 w:val="02000500000000000000"/>
    <w:charset w:val="86"/>
    <w:family w:val="auto"/>
    <w:pitch w:val="default"/>
    <w:sig w:usb0="00000000" w:usb1="00000000" w:usb2="00000010"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0D680">
    <w:pPr>
      <w:pStyle w:val="20"/>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25828">
    <w:pPr>
      <w:pStyle w:val="20"/>
      <w:jc w:val="center"/>
      <w:rPr>
        <w:rFonts w:asciiTheme="minorEastAsia" w:hAnsiTheme="minorEastAsia" w:eastAsiaTheme="minorEastAsia"/>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7F27E">
    <w:pPr>
      <w:pStyle w:val="2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29D49E">
                          <w:pPr>
                            <w:pStyle w:val="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429D49E">
                    <w:pPr>
                      <w:pStyle w:val="20"/>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6FA94">
    <w:pPr>
      <w:pStyle w:val="21"/>
      <w:pBdr>
        <w:bottom w:val="none" w:color="auto" w:sz="0" w:space="1"/>
      </w:pBdr>
      <w:jc w:val="left"/>
      <w:rPr>
        <w:rFonts w:asciiTheme="minorEastAsia" w:hAnsiTheme="minorEastAsia" w:eastAsiaTheme="minor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0B5EA">
    <w:pPr>
      <w:pStyle w:val="21"/>
      <w:jc w:val="left"/>
    </w:pPr>
    <w:r>
      <w:rPr>
        <w:rFonts w:hint="eastAsia" w:asciiTheme="minorEastAsia" w:hAnsiTheme="minorEastAsia" w:eastAsiaTheme="minorEastAsia"/>
      </w:rPr>
      <w:t>安徽省政府采购项目公开招标文件示范文本（服务类）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01D4FE"/>
    <w:multiLevelType w:val="singleLevel"/>
    <w:tmpl w:val="AF01D4FE"/>
    <w:lvl w:ilvl="0" w:tentative="0">
      <w:start w:val="4"/>
      <w:numFmt w:val="decimal"/>
      <w:lvlText w:val="%1."/>
      <w:lvlJc w:val="left"/>
      <w:pPr>
        <w:tabs>
          <w:tab w:val="left" w:pos="312"/>
        </w:tabs>
      </w:pPr>
    </w:lvl>
  </w:abstractNum>
  <w:abstractNum w:abstractNumId="1">
    <w:nsid w:val="E0E41B8D"/>
    <w:multiLevelType w:val="singleLevel"/>
    <w:tmpl w:val="E0E41B8D"/>
    <w:lvl w:ilvl="0" w:tentative="0">
      <w:start w:val="5"/>
      <w:numFmt w:val="chineseCounting"/>
      <w:suff w:val="nothing"/>
      <w:lvlText w:val="（%1）"/>
      <w:lvlJc w:val="left"/>
      <w:rPr>
        <w:rFonts w:hint="eastAsia"/>
      </w:rPr>
    </w:lvl>
  </w:abstractNum>
  <w:abstractNum w:abstractNumId="2">
    <w:nsid w:val="2323379E"/>
    <w:multiLevelType w:val="multilevel"/>
    <w:tmpl w:val="2323379E"/>
    <w:lvl w:ilvl="0" w:tentative="0">
      <w:start w:val="1"/>
      <w:numFmt w:val="chineseCountingThousand"/>
      <w:pStyle w:val="27"/>
      <w:lvlText w:val="%1、"/>
      <w:lvlJc w:val="left"/>
      <w:pPr>
        <w:ind w:left="42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Y2YxMTcxYWY0NzdhNzczZWE3YWVlZTNkZmNiZjQifQ=="/>
  </w:docVars>
  <w:rsids>
    <w:rsidRoot w:val="00172A27"/>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3F70"/>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3E54"/>
    <w:rsid w:val="00224C4A"/>
    <w:rsid w:val="002338E2"/>
    <w:rsid w:val="0023407E"/>
    <w:rsid w:val="00240B40"/>
    <w:rsid w:val="002440D8"/>
    <w:rsid w:val="00244182"/>
    <w:rsid w:val="00246810"/>
    <w:rsid w:val="00260860"/>
    <w:rsid w:val="00260B94"/>
    <w:rsid w:val="00264F2E"/>
    <w:rsid w:val="00271245"/>
    <w:rsid w:val="00272E6E"/>
    <w:rsid w:val="00274A9E"/>
    <w:rsid w:val="00276292"/>
    <w:rsid w:val="00276BA1"/>
    <w:rsid w:val="00277094"/>
    <w:rsid w:val="00286BB6"/>
    <w:rsid w:val="00294959"/>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21B2"/>
    <w:rsid w:val="003D6C7C"/>
    <w:rsid w:val="003D6EFB"/>
    <w:rsid w:val="003D7E52"/>
    <w:rsid w:val="003E25C6"/>
    <w:rsid w:val="003E6BEB"/>
    <w:rsid w:val="003F145B"/>
    <w:rsid w:val="003F2122"/>
    <w:rsid w:val="003F326A"/>
    <w:rsid w:val="004011AA"/>
    <w:rsid w:val="0040202C"/>
    <w:rsid w:val="00406508"/>
    <w:rsid w:val="0041456E"/>
    <w:rsid w:val="004149CA"/>
    <w:rsid w:val="00414F7E"/>
    <w:rsid w:val="004164F8"/>
    <w:rsid w:val="00417FD0"/>
    <w:rsid w:val="00420B7F"/>
    <w:rsid w:val="004234BA"/>
    <w:rsid w:val="0042488B"/>
    <w:rsid w:val="00435CE8"/>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0DF5"/>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77718"/>
    <w:rsid w:val="00582075"/>
    <w:rsid w:val="00584A63"/>
    <w:rsid w:val="00585EB3"/>
    <w:rsid w:val="00591688"/>
    <w:rsid w:val="00592509"/>
    <w:rsid w:val="00594986"/>
    <w:rsid w:val="00597B15"/>
    <w:rsid w:val="005A044C"/>
    <w:rsid w:val="005B5C95"/>
    <w:rsid w:val="005B6313"/>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3E26"/>
    <w:rsid w:val="00734E5D"/>
    <w:rsid w:val="00735AF1"/>
    <w:rsid w:val="00736013"/>
    <w:rsid w:val="00737661"/>
    <w:rsid w:val="00755D75"/>
    <w:rsid w:val="00756245"/>
    <w:rsid w:val="0076130F"/>
    <w:rsid w:val="00761662"/>
    <w:rsid w:val="00764043"/>
    <w:rsid w:val="00766F94"/>
    <w:rsid w:val="007757CF"/>
    <w:rsid w:val="00776977"/>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6AFF"/>
    <w:rsid w:val="00847B0F"/>
    <w:rsid w:val="00852994"/>
    <w:rsid w:val="00873D89"/>
    <w:rsid w:val="00876659"/>
    <w:rsid w:val="00876677"/>
    <w:rsid w:val="0087734C"/>
    <w:rsid w:val="00882141"/>
    <w:rsid w:val="00887E3B"/>
    <w:rsid w:val="008922A8"/>
    <w:rsid w:val="008953F8"/>
    <w:rsid w:val="00895728"/>
    <w:rsid w:val="00895BD5"/>
    <w:rsid w:val="0089742B"/>
    <w:rsid w:val="008A16C4"/>
    <w:rsid w:val="008A4883"/>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77B14"/>
    <w:rsid w:val="00980D0D"/>
    <w:rsid w:val="00985C4B"/>
    <w:rsid w:val="00995BF9"/>
    <w:rsid w:val="00997C3C"/>
    <w:rsid w:val="009A0CAF"/>
    <w:rsid w:val="009A1474"/>
    <w:rsid w:val="009A2207"/>
    <w:rsid w:val="009A5147"/>
    <w:rsid w:val="009A74C4"/>
    <w:rsid w:val="009B02D2"/>
    <w:rsid w:val="009B4966"/>
    <w:rsid w:val="009B6C42"/>
    <w:rsid w:val="009C4EAC"/>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87C1F"/>
    <w:rsid w:val="00A9176A"/>
    <w:rsid w:val="00A91CA2"/>
    <w:rsid w:val="00A92FB8"/>
    <w:rsid w:val="00A948F1"/>
    <w:rsid w:val="00AA1D7D"/>
    <w:rsid w:val="00AA7525"/>
    <w:rsid w:val="00AB0EA9"/>
    <w:rsid w:val="00AB139D"/>
    <w:rsid w:val="00AB2C46"/>
    <w:rsid w:val="00AB3904"/>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10A04"/>
    <w:rsid w:val="00B1406E"/>
    <w:rsid w:val="00B22838"/>
    <w:rsid w:val="00B27D52"/>
    <w:rsid w:val="00B32BC1"/>
    <w:rsid w:val="00B33E95"/>
    <w:rsid w:val="00B34EE1"/>
    <w:rsid w:val="00B35B5E"/>
    <w:rsid w:val="00B361F2"/>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1E6B"/>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E6920"/>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0994"/>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6633"/>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4260"/>
    <w:rsid w:val="00E772DB"/>
    <w:rsid w:val="00E84814"/>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C7B2B"/>
    <w:rsid w:val="00ED15FA"/>
    <w:rsid w:val="00ED1E00"/>
    <w:rsid w:val="00ED3BD8"/>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0F3B4F"/>
    <w:rsid w:val="01102F32"/>
    <w:rsid w:val="011D4A64"/>
    <w:rsid w:val="012F5F9F"/>
    <w:rsid w:val="013C58A6"/>
    <w:rsid w:val="014C4DA3"/>
    <w:rsid w:val="01715074"/>
    <w:rsid w:val="018502B5"/>
    <w:rsid w:val="01932740"/>
    <w:rsid w:val="01B5564B"/>
    <w:rsid w:val="01DF5B93"/>
    <w:rsid w:val="01E50D53"/>
    <w:rsid w:val="02021905"/>
    <w:rsid w:val="02074C5B"/>
    <w:rsid w:val="0214602E"/>
    <w:rsid w:val="02355837"/>
    <w:rsid w:val="0248052C"/>
    <w:rsid w:val="02634A54"/>
    <w:rsid w:val="026E4052"/>
    <w:rsid w:val="026E6F9B"/>
    <w:rsid w:val="02816CCE"/>
    <w:rsid w:val="029F0F02"/>
    <w:rsid w:val="02B26E88"/>
    <w:rsid w:val="02B726F0"/>
    <w:rsid w:val="02B73990"/>
    <w:rsid w:val="02E463C3"/>
    <w:rsid w:val="02FF3972"/>
    <w:rsid w:val="02FF5E45"/>
    <w:rsid w:val="030B2A3C"/>
    <w:rsid w:val="03100052"/>
    <w:rsid w:val="03125B78"/>
    <w:rsid w:val="032558AB"/>
    <w:rsid w:val="032579EB"/>
    <w:rsid w:val="032B1647"/>
    <w:rsid w:val="03367AB9"/>
    <w:rsid w:val="0337738D"/>
    <w:rsid w:val="03486B27"/>
    <w:rsid w:val="035166A0"/>
    <w:rsid w:val="03522419"/>
    <w:rsid w:val="035E0DBD"/>
    <w:rsid w:val="035F033E"/>
    <w:rsid w:val="038A570F"/>
    <w:rsid w:val="03CF3A69"/>
    <w:rsid w:val="03E05C76"/>
    <w:rsid w:val="03E77005"/>
    <w:rsid w:val="04096F7B"/>
    <w:rsid w:val="040A094E"/>
    <w:rsid w:val="040A2CF3"/>
    <w:rsid w:val="040A684F"/>
    <w:rsid w:val="041476CE"/>
    <w:rsid w:val="04192E67"/>
    <w:rsid w:val="04447FB3"/>
    <w:rsid w:val="0449381C"/>
    <w:rsid w:val="04506958"/>
    <w:rsid w:val="04642123"/>
    <w:rsid w:val="04662AF8"/>
    <w:rsid w:val="04706FFA"/>
    <w:rsid w:val="04830DD3"/>
    <w:rsid w:val="04977050"/>
    <w:rsid w:val="04A96068"/>
    <w:rsid w:val="04B40AA7"/>
    <w:rsid w:val="04D071EB"/>
    <w:rsid w:val="04DB510E"/>
    <w:rsid w:val="04E36C96"/>
    <w:rsid w:val="05045994"/>
    <w:rsid w:val="05087233"/>
    <w:rsid w:val="050F1CF0"/>
    <w:rsid w:val="05241B93"/>
    <w:rsid w:val="052A244B"/>
    <w:rsid w:val="05360CCD"/>
    <w:rsid w:val="054162A1"/>
    <w:rsid w:val="05490FE9"/>
    <w:rsid w:val="05571F68"/>
    <w:rsid w:val="056800F4"/>
    <w:rsid w:val="056F201D"/>
    <w:rsid w:val="057228FE"/>
    <w:rsid w:val="05792ED8"/>
    <w:rsid w:val="05B664D4"/>
    <w:rsid w:val="05C06CFC"/>
    <w:rsid w:val="05E27A84"/>
    <w:rsid w:val="05F32383"/>
    <w:rsid w:val="06304C93"/>
    <w:rsid w:val="063A78C0"/>
    <w:rsid w:val="065714D5"/>
    <w:rsid w:val="06604E4C"/>
    <w:rsid w:val="06620BC5"/>
    <w:rsid w:val="068A2439"/>
    <w:rsid w:val="069915C7"/>
    <w:rsid w:val="06AC6EC4"/>
    <w:rsid w:val="06C54CB0"/>
    <w:rsid w:val="06EC048E"/>
    <w:rsid w:val="06FE67EB"/>
    <w:rsid w:val="07076C01"/>
    <w:rsid w:val="071C12AC"/>
    <w:rsid w:val="072B0FB7"/>
    <w:rsid w:val="074E07B0"/>
    <w:rsid w:val="074E231E"/>
    <w:rsid w:val="076E3C75"/>
    <w:rsid w:val="078968DF"/>
    <w:rsid w:val="078D7EC3"/>
    <w:rsid w:val="07972AF0"/>
    <w:rsid w:val="07A934B3"/>
    <w:rsid w:val="07B54D24"/>
    <w:rsid w:val="07CA4C73"/>
    <w:rsid w:val="07CB3B73"/>
    <w:rsid w:val="07EA1E82"/>
    <w:rsid w:val="07EA2AB5"/>
    <w:rsid w:val="07EC6998"/>
    <w:rsid w:val="08002443"/>
    <w:rsid w:val="08017F69"/>
    <w:rsid w:val="080A3F49"/>
    <w:rsid w:val="08183C31"/>
    <w:rsid w:val="082D6FB0"/>
    <w:rsid w:val="0834033F"/>
    <w:rsid w:val="08365E65"/>
    <w:rsid w:val="0848170D"/>
    <w:rsid w:val="08481AF0"/>
    <w:rsid w:val="084A7B62"/>
    <w:rsid w:val="086329D2"/>
    <w:rsid w:val="08752E31"/>
    <w:rsid w:val="089C002C"/>
    <w:rsid w:val="089F1C5C"/>
    <w:rsid w:val="08B15E54"/>
    <w:rsid w:val="08B337F4"/>
    <w:rsid w:val="08BD20E2"/>
    <w:rsid w:val="08C55F20"/>
    <w:rsid w:val="08DF64FD"/>
    <w:rsid w:val="09053386"/>
    <w:rsid w:val="09102B5A"/>
    <w:rsid w:val="09104908"/>
    <w:rsid w:val="091F64A7"/>
    <w:rsid w:val="094E71DE"/>
    <w:rsid w:val="09500798"/>
    <w:rsid w:val="09551211"/>
    <w:rsid w:val="09656CA2"/>
    <w:rsid w:val="0980799C"/>
    <w:rsid w:val="098552F6"/>
    <w:rsid w:val="098826F0"/>
    <w:rsid w:val="098A6B88"/>
    <w:rsid w:val="099D3A04"/>
    <w:rsid w:val="09BC3961"/>
    <w:rsid w:val="09BD2026"/>
    <w:rsid w:val="09E3201C"/>
    <w:rsid w:val="0A026946"/>
    <w:rsid w:val="0A030034"/>
    <w:rsid w:val="0A0F6376"/>
    <w:rsid w:val="0A161087"/>
    <w:rsid w:val="0A1B2CDB"/>
    <w:rsid w:val="0A353CEA"/>
    <w:rsid w:val="0A3F5921"/>
    <w:rsid w:val="0A430D0D"/>
    <w:rsid w:val="0A4763AE"/>
    <w:rsid w:val="0A6A18DB"/>
    <w:rsid w:val="0A6C649F"/>
    <w:rsid w:val="0A71587A"/>
    <w:rsid w:val="0AD57BB7"/>
    <w:rsid w:val="0AEF3828"/>
    <w:rsid w:val="0B083213"/>
    <w:rsid w:val="0B0E131B"/>
    <w:rsid w:val="0B1539A9"/>
    <w:rsid w:val="0B1A49D7"/>
    <w:rsid w:val="0B1F7084"/>
    <w:rsid w:val="0B224DC6"/>
    <w:rsid w:val="0B6F49AF"/>
    <w:rsid w:val="0B96019A"/>
    <w:rsid w:val="0B9C1F49"/>
    <w:rsid w:val="0BBB665B"/>
    <w:rsid w:val="0BC02ADB"/>
    <w:rsid w:val="0BC87582"/>
    <w:rsid w:val="0BCD0A44"/>
    <w:rsid w:val="0BFF2A12"/>
    <w:rsid w:val="0C1B4058"/>
    <w:rsid w:val="0C1D0E18"/>
    <w:rsid w:val="0C2110D0"/>
    <w:rsid w:val="0C272694"/>
    <w:rsid w:val="0C4B07B3"/>
    <w:rsid w:val="0C9F66CF"/>
    <w:rsid w:val="0CB7664E"/>
    <w:rsid w:val="0CD143AE"/>
    <w:rsid w:val="0D15073F"/>
    <w:rsid w:val="0D444B80"/>
    <w:rsid w:val="0D611BD6"/>
    <w:rsid w:val="0D6F4BBB"/>
    <w:rsid w:val="0D814026"/>
    <w:rsid w:val="0D857E41"/>
    <w:rsid w:val="0D9C2C0E"/>
    <w:rsid w:val="0DA4444E"/>
    <w:rsid w:val="0DD95C10"/>
    <w:rsid w:val="0DFC36AD"/>
    <w:rsid w:val="0E033B6C"/>
    <w:rsid w:val="0E060087"/>
    <w:rsid w:val="0E0F4284"/>
    <w:rsid w:val="0E1053AA"/>
    <w:rsid w:val="0E56100F"/>
    <w:rsid w:val="0E6361CE"/>
    <w:rsid w:val="0E644B12"/>
    <w:rsid w:val="0E680D42"/>
    <w:rsid w:val="0E770F85"/>
    <w:rsid w:val="0E816EC5"/>
    <w:rsid w:val="0E9A4882"/>
    <w:rsid w:val="0EAA425E"/>
    <w:rsid w:val="0EBB519A"/>
    <w:rsid w:val="0EDA56AA"/>
    <w:rsid w:val="0EEA6FC1"/>
    <w:rsid w:val="0F2904D1"/>
    <w:rsid w:val="0F2A424A"/>
    <w:rsid w:val="0F5E3AD6"/>
    <w:rsid w:val="0F670FFA"/>
    <w:rsid w:val="0F753717"/>
    <w:rsid w:val="0F76123D"/>
    <w:rsid w:val="0F954485"/>
    <w:rsid w:val="0F9C2276"/>
    <w:rsid w:val="0FBF344F"/>
    <w:rsid w:val="0FD22917"/>
    <w:rsid w:val="0FEB1C2B"/>
    <w:rsid w:val="10150EEE"/>
    <w:rsid w:val="10182B28"/>
    <w:rsid w:val="101D790A"/>
    <w:rsid w:val="102B64CB"/>
    <w:rsid w:val="10432B4B"/>
    <w:rsid w:val="10505F32"/>
    <w:rsid w:val="105A27E6"/>
    <w:rsid w:val="106602BF"/>
    <w:rsid w:val="10727C56"/>
    <w:rsid w:val="107C2883"/>
    <w:rsid w:val="10826665"/>
    <w:rsid w:val="10A81616"/>
    <w:rsid w:val="10E741A0"/>
    <w:rsid w:val="10EA1EE2"/>
    <w:rsid w:val="10F03EEC"/>
    <w:rsid w:val="10F16DCD"/>
    <w:rsid w:val="10F91159"/>
    <w:rsid w:val="11056D1C"/>
    <w:rsid w:val="11324226"/>
    <w:rsid w:val="11430C47"/>
    <w:rsid w:val="114C66F9"/>
    <w:rsid w:val="116E764C"/>
    <w:rsid w:val="119B0711"/>
    <w:rsid w:val="11A402E3"/>
    <w:rsid w:val="11D30BC8"/>
    <w:rsid w:val="11E960B5"/>
    <w:rsid w:val="11F31F18"/>
    <w:rsid w:val="120B0362"/>
    <w:rsid w:val="12197477"/>
    <w:rsid w:val="12211934"/>
    <w:rsid w:val="122D2087"/>
    <w:rsid w:val="123E4294"/>
    <w:rsid w:val="12465CFA"/>
    <w:rsid w:val="12491A36"/>
    <w:rsid w:val="12543AB7"/>
    <w:rsid w:val="12665599"/>
    <w:rsid w:val="12893054"/>
    <w:rsid w:val="128D6FC9"/>
    <w:rsid w:val="129154D7"/>
    <w:rsid w:val="129C1FAB"/>
    <w:rsid w:val="12B74046"/>
    <w:rsid w:val="12B85451"/>
    <w:rsid w:val="12D544CC"/>
    <w:rsid w:val="12E0359D"/>
    <w:rsid w:val="12E12E71"/>
    <w:rsid w:val="12E666D9"/>
    <w:rsid w:val="13070B2A"/>
    <w:rsid w:val="13176844"/>
    <w:rsid w:val="133128D5"/>
    <w:rsid w:val="133752AE"/>
    <w:rsid w:val="1339201A"/>
    <w:rsid w:val="134B1164"/>
    <w:rsid w:val="13562BE5"/>
    <w:rsid w:val="13587E2C"/>
    <w:rsid w:val="13675A6C"/>
    <w:rsid w:val="136A013D"/>
    <w:rsid w:val="13750189"/>
    <w:rsid w:val="137A6E8E"/>
    <w:rsid w:val="138562A3"/>
    <w:rsid w:val="13AA2202"/>
    <w:rsid w:val="13AC347F"/>
    <w:rsid w:val="13B27223"/>
    <w:rsid w:val="13B50586"/>
    <w:rsid w:val="13DF5603"/>
    <w:rsid w:val="140B464A"/>
    <w:rsid w:val="140D6614"/>
    <w:rsid w:val="141D437D"/>
    <w:rsid w:val="145E3CF0"/>
    <w:rsid w:val="1466407E"/>
    <w:rsid w:val="146855F8"/>
    <w:rsid w:val="14805C1B"/>
    <w:rsid w:val="14834E28"/>
    <w:rsid w:val="148E7D65"/>
    <w:rsid w:val="14957497"/>
    <w:rsid w:val="14DB04C0"/>
    <w:rsid w:val="14EC447B"/>
    <w:rsid w:val="14ED3D4F"/>
    <w:rsid w:val="14FB2910"/>
    <w:rsid w:val="15051099"/>
    <w:rsid w:val="151D4243"/>
    <w:rsid w:val="15231BF9"/>
    <w:rsid w:val="15340AF3"/>
    <w:rsid w:val="1539446C"/>
    <w:rsid w:val="154047C7"/>
    <w:rsid w:val="15424EBD"/>
    <w:rsid w:val="15724254"/>
    <w:rsid w:val="158A3C94"/>
    <w:rsid w:val="158A3D24"/>
    <w:rsid w:val="159266A5"/>
    <w:rsid w:val="15950B80"/>
    <w:rsid w:val="15AC4BCD"/>
    <w:rsid w:val="15DA1B6E"/>
    <w:rsid w:val="15F96E46"/>
    <w:rsid w:val="16104199"/>
    <w:rsid w:val="161672D6"/>
    <w:rsid w:val="16184DFC"/>
    <w:rsid w:val="1619387E"/>
    <w:rsid w:val="162D1ED0"/>
    <w:rsid w:val="163D40A6"/>
    <w:rsid w:val="164D3D9D"/>
    <w:rsid w:val="167E55A7"/>
    <w:rsid w:val="167E73DC"/>
    <w:rsid w:val="16CB4564"/>
    <w:rsid w:val="16D36F75"/>
    <w:rsid w:val="16DC407B"/>
    <w:rsid w:val="174B2975"/>
    <w:rsid w:val="174B2FAF"/>
    <w:rsid w:val="176127D3"/>
    <w:rsid w:val="17622036"/>
    <w:rsid w:val="1776002C"/>
    <w:rsid w:val="178A3AD7"/>
    <w:rsid w:val="17982698"/>
    <w:rsid w:val="179F5278"/>
    <w:rsid w:val="17AE3C6A"/>
    <w:rsid w:val="17B737AF"/>
    <w:rsid w:val="17B80644"/>
    <w:rsid w:val="17BF778E"/>
    <w:rsid w:val="17D336D0"/>
    <w:rsid w:val="17E46C81"/>
    <w:rsid w:val="17FC3D52"/>
    <w:rsid w:val="17FF44C5"/>
    <w:rsid w:val="18003D99"/>
    <w:rsid w:val="18095344"/>
    <w:rsid w:val="180970F2"/>
    <w:rsid w:val="18355904"/>
    <w:rsid w:val="186E33F9"/>
    <w:rsid w:val="18820D6D"/>
    <w:rsid w:val="18983BDA"/>
    <w:rsid w:val="18C24EA7"/>
    <w:rsid w:val="1912647A"/>
    <w:rsid w:val="19157D18"/>
    <w:rsid w:val="191C4C03"/>
    <w:rsid w:val="191C4EEE"/>
    <w:rsid w:val="19237EB1"/>
    <w:rsid w:val="19467ED2"/>
    <w:rsid w:val="194A5C14"/>
    <w:rsid w:val="196640D0"/>
    <w:rsid w:val="199944A6"/>
    <w:rsid w:val="19A90B8D"/>
    <w:rsid w:val="19B906A4"/>
    <w:rsid w:val="19BD10D5"/>
    <w:rsid w:val="19C77265"/>
    <w:rsid w:val="19C948DB"/>
    <w:rsid w:val="19CB1851"/>
    <w:rsid w:val="19D61256"/>
    <w:rsid w:val="1A0A5C1B"/>
    <w:rsid w:val="1A1264ED"/>
    <w:rsid w:val="1A147FD0"/>
    <w:rsid w:val="1A152E4E"/>
    <w:rsid w:val="1A274049"/>
    <w:rsid w:val="1A2C2418"/>
    <w:rsid w:val="1A3B68AA"/>
    <w:rsid w:val="1A3E1C1E"/>
    <w:rsid w:val="1A496EF9"/>
    <w:rsid w:val="1A642D06"/>
    <w:rsid w:val="1AB5530F"/>
    <w:rsid w:val="1ABD3333"/>
    <w:rsid w:val="1ACD710D"/>
    <w:rsid w:val="1AE6196C"/>
    <w:rsid w:val="1AED4B38"/>
    <w:rsid w:val="1AFA0F74"/>
    <w:rsid w:val="1B1F3BFD"/>
    <w:rsid w:val="1B356450"/>
    <w:rsid w:val="1B4072CF"/>
    <w:rsid w:val="1B416BA3"/>
    <w:rsid w:val="1B522B5E"/>
    <w:rsid w:val="1B5763C6"/>
    <w:rsid w:val="1BA710FC"/>
    <w:rsid w:val="1BAF6202"/>
    <w:rsid w:val="1BC17CE4"/>
    <w:rsid w:val="1BC429EE"/>
    <w:rsid w:val="1BF101B4"/>
    <w:rsid w:val="1BF12377"/>
    <w:rsid w:val="1BF6798D"/>
    <w:rsid w:val="1C067E96"/>
    <w:rsid w:val="1C0F0A4F"/>
    <w:rsid w:val="1C141836"/>
    <w:rsid w:val="1C273FEB"/>
    <w:rsid w:val="1C297D63"/>
    <w:rsid w:val="1CAA0778"/>
    <w:rsid w:val="1CB95CA3"/>
    <w:rsid w:val="1CD75A11"/>
    <w:rsid w:val="1CD864A4"/>
    <w:rsid w:val="1CEB5018"/>
    <w:rsid w:val="1CEE4B08"/>
    <w:rsid w:val="1D1F18B6"/>
    <w:rsid w:val="1D210A3A"/>
    <w:rsid w:val="1D3577F5"/>
    <w:rsid w:val="1D3764AF"/>
    <w:rsid w:val="1D385D84"/>
    <w:rsid w:val="1D525097"/>
    <w:rsid w:val="1D6D1ED1"/>
    <w:rsid w:val="1D743260"/>
    <w:rsid w:val="1D8334A3"/>
    <w:rsid w:val="1D927B8A"/>
    <w:rsid w:val="1DA33B45"/>
    <w:rsid w:val="1DBB6AE0"/>
    <w:rsid w:val="1DC046F7"/>
    <w:rsid w:val="1DC51D0D"/>
    <w:rsid w:val="1DD12460"/>
    <w:rsid w:val="1DE4439A"/>
    <w:rsid w:val="1E085F02"/>
    <w:rsid w:val="1E0F4D36"/>
    <w:rsid w:val="1E16676E"/>
    <w:rsid w:val="1E230902"/>
    <w:rsid w:val="1E5170FD"/>
    <w:rsid w:val="1E6B6A14"/>
    <w:rsid w:val="1E6C2189"/>
    <w:rsid w:val="1E8F1157"/>
    <w:rsid w:val="1E9B2A6E"/>
    <w:rsid w:val="1EA41923"/>
    <w:rsid w:val="1EC41FC5"/>
    <w:rsid w:val="1ED0096A"/>
    <w:rsid w:val="1EE6018D"/>
    <w:rsid w:val="1F1B770B"/>
    <w:rsid w:val="1F2A6360"/>
    <w:rsid w:val="1F332CA6"/>
    <w:rsid w:val="1F680BA2"/>
    <w:rsid w:val="1F721A21"/>
    <w:rsid w:val="1F737547"/>
    <w:rsid w:val="1F980D5B"/>
    <w:rsid w:val="1FA15E62"/>
    <w:rsid w:val="1FD47FE6"/>
    <w:rsid w:val="1FDC333E"/>
    <w:rsid w:val="1FF229A2"/>
    <w:rsid w:val="1FF708C8"/>
    <w:rsid w:val="20052895"/>
    <w:rsid w:val="20550D9A"/>
    <w:rsid w:val="2059673D"/>
    <w:rsid w:val="20653333"/>
    <w:rsid w:val="206F41B2"/>
    <w:rsid w:val="2088473D"/>
    <w:rsid w:val="209B4FA7"/>
    <w:rsid w:val="20AB4455"/>
    <w:rsid w:val="20AC0F62"/>
    <w:rsid w:val="20BB11A5"/>
    <w:rsid w:val="20CE0ED9"/>
    <w:rsid w:val="20FB77F4"/>
    <w:rsid w:val="21006C44"/>
    <w:rsid w:val="210107EB"/>
    <w:rsid w:val="21091F11"/>
    <w:rsid w:val="210952AE"/>
    <w:rsid w:val="21207D7A"/>
    <w:rsid w:val="213827F6"/>
    <w:rsid w:val="214D44F3"/>
    <w:rsid w:val="215018EE"/>
    <w:rsid w:val="21702AE9"/>
    <w:rsid w:val="21714B53"/>
    <w:rsid w:val="21772DE2"/>
    <w:rsid w:val="217B0422"/>
    <w:rsid w:val="218E2416"/>
    <w:rsid w:val="21A8172A"/>
    <w:rsid w:val="21D93EE2"/>
    <w:rsid w:val="21DE15EF"/>
    <w:rsid w:val="21DF2C72"/>
    <w:rsid w:val="21F14776"/>
    <w:rsid w:val="221F59DD"/>
    <w:rsid w:val="22251665"/>
    <w:rsid w:val="22274924"/>
    <w:rsid w:val="222A213F"/>
    <w:rsid w:val="224976EE"/>
    <w:rsid w:val="224C47AB"/>
    <w:rsid w:val="225A0C09"/>
    <w:rsid w:val="226915FE"/>
    <w:rsid w:val="22853819"/>
    <w:rsid w:val="229A370E"/>
    <w:rsid w:val="229D1011"/>
    <w:rsid w:val="22B67E76"/>
    <w:rsid w:val="22E14C32"/>
    <w:rsid w:val="23333275"/>
    <w:rsid w:val="23487E64"/>
    <w:rsid w:val="235A4CA6"/>
    <w:rsid w:val="23656B64"/>
    <w:rsid w:val="23671171"/>
    <w:rsid w:val="23981BEB"/>
    <w:rsid w:val="239A1546"/>
    <w:rsid w:val="239A7798"/>
    <w:rsid w:val="23B60A53"/>
    <w:rsid w:val="23BA3996"/>
    <w:rsid w:val="23ED1676"/>
    <w:rsid w:val="23F52C20"/>
    <w:rsid w:val="23F91D2C"/>
    <w:rsid w:val="23FE1AD5"/>
    <w:rsid w:val="24170DE9"/>
    <w:rsid w:val="241B1419"/>
    <w:rsid w:val="241C01AD"/>
    <w:rsid w:val="24284DA4"/>
    <w:rsid w:val="246A16BA"/>
    <w:rsid w:val="24AF1021"/>
    <w:rsid w:val="24B97929"/>
    <w:rsid w:val="24EC5DD1"/>
    <w:rsid w:val="24EF4017"/>
    <w:rsid w:val="24F17367"/>
    <w:rsid w:val="2500362B"/>
    <w:rsid w:val="250255F5"/>
    <w:rsid w:val="250655AA"/>
    <w:rsid w:val="2510510F"/>
    <w:rsid w:val="25113A8A"/>
    <w:rsid w:val="25131B32"/>
    <w:rsid w:val="2520252D"/>
    <w:rsid w:val="25284930"/>
    <w:rsid w:val="252A1332"/>
    <w:rsid w:val="252C08C4"/>
    <w:rsid w:val="252E1BAE"/>
    <w:rsid w:val="253432D4"/>
    <w:rsid w:val="253B5F7F"/>
    <w:rsid w:val="257A518B"/>
    <w:rsid w:val="257C53A7"/>
    <w:rsid w:val="258C5B68"/>
    <w:rsid w:val="259A75DB"/>
    <w:rsid w:val="25D302BF"/>
    <w:rsid w:val="25DC4098"/>
    <w:rsid w:val="25DC7BF4"/>
    <w:rsid w:val="25E02B77"/>
    <w:rsid w:val="25F211C5"/>
    <w:rsid w:val="25F3072A"/>
    <w:rsid w:val="25FC0296"/>
    <w:rsid w:val="260929B3"/>
    <w:rsid w:val="26163BC1"/>
    <w:rsid w:val="26192BF6"/>
    <w:rsid w:val="26270D94"/>
    <w:rsid w:val="26633E71"/>
    <w:rsid w:val="26681488"/>
    <w:rsid w:val="267F67D1"/>
    <w:rsid w:val="26A46896"/>
    <w:rsid w:val="26A760EA"/>
    <w:rsid w:val="26BE379D"/>
    <w:rsid w:val="26E4179F"/>
    <w:rsid w:val="26E74AA2"/>
    <w:rsid w:val="26F62F37"/>
    <w:rsid w:val="26F8591E"/>
    <w:rsid w:val="27076EF2"/>
    <w:rsid w:val="27202A8B"/>
    <w:rsid w:val="27321A96"/>
    <w:rsid w:val="273A7AA7"/>
    <w:rsid w:val="27513F47"/>
    <w:rsid w:val="27595274"/>
    <w:rsid w:val="276741D1"/>
    <w:rsid w:val="276F6846"/>
    <w:rsid w:val="27734537"/>
    <w:rsid w:val="27772E4C"/>
    <w:rsid w:val="277F117F"/>
    <w:rsid w:val="27895B59"/>
    <w:rsid w:val="27922080"/>
    <w:rsid w:val="27A26C1B"/>
    <w:rsid w:val="27BC7018"/>
    <w:rsid w:val="27D35FBF"/>
    <w:rsid w:val="27D86AE1"/>
    <w:rsid w:val="27DA63B5"/>
    <w:rsid w:val="27E95599"/>
    <w:rsid w:val="27ED4B35"/>
    <w:rsid w:val="27F51441"/>
    <w:rsid w:val="280C5191"/>
    <w:rsid w:val="282011E6"/>
    <w:rsid w:val="284D54B9"/>
    <w:rsid w:val="28553C8E"/>
    <w:rsid w:val="285F40CA"/>
    <w:rsid w:val="28643ED1"/>
    <w:rsid w:val="286640ED"/>
    <w:rsid w:val="28773C04"/>
    <w:rsid w:val="289C3BD0"/>
    <w:rsid w:val="289C43E6"/>
    <w:rsid w:val="289E73E3"/>
    <w:rsid w:val="28B539A5"/>
    <w:rsid w:val="28C01ECB"/>
    <w:rsid w:val="28DE1ED5"/>
    <w:rsid w:val="28EC3ECC"/>
    <w:rsid w:val="290F6532"/>
    <w:rsid w:val="29117FC5"/>
    <w:rsid w:val="291E43B0"/>
    <w:rsid w:val="292957C6"/>
    <w:rsid w:val="2935002E"/>
    <w:rsid w:val="293D309F"/>
    <w:rsid w:val="294127E3"/>
    <w:rsid w:val="2955005F"/>
    <w:rsid w:val="296419B8"/>
    <w:rsid w:val="298505A2"/>
    <w:rsid w:val="29883BEF"/>
    <w:rsid w:val="299407E6"/>
    <w:rsid w:val="29BF71E3"/>
    <w:rsid w:val="29CA4207"/>
    <w:rsid w:val="29F51284"/>
    <w:rsid w:val="2A110088"/>
    <w:rsid w:val="2A127B63"/>
    <w:rsid w:val="2A1473E4"/>
    <w:rsid w:val="2A1C0F07"/>
    <w:rsid w:val="2A3C5105"/>
    <w:rsid w:val="2A467FFA"/>
    <w:rsid w:val="2A4B17EC"/>
    <w:rsid w:val="2A50295E"/>
    <w:rsid w:val="2A6922B9"/>
    <w:rsid w:val="2A832B7B"/>
    <w:rsid w:val="2A946CEF"/>
    <w:rsid w:val="2AA41B43"/>
    <w:rsid w:val="2AAA4765"/>
    <w:rsid w:val="2AAD7DB1"/>
    <w:rsid w:val="2AC21606"/>
    <w:rsid w:val="2AC661D7"/>
    <w:rsid w:val="2AD67C6B"/>
    <w:rsid w:val="2AEF03B2"/>
    <w:rsid w:val="2AF63C5E"/>
    <w:rsid w:val="2AF7727E"/>
    <w:rsid w:val="2B157DC4"/>
    <w:rsid w:val="2B2D0EF2"/>
    <w:rsid w:val="2B7D3C27"/>
    <w:rsid w:val="2B7E7608"/>
    <w:rsid w:val="2B7F04E9"/>
    <w:rsid w:val="2B807316"/>
    <w:rsid w:val="2B840654"/>
    <w:rsid w:val="2BC058C2"/>
    <w:rsid w:val="2BC25ADE"/>
    <w:rsid w:val="2BDE633E"/>
    <w:rsid w:val="2C0B2688"/>
    <w:rsid w:val="2C25375B"/>
    <w:rsid w:val="2C305555"/>
    <w:rsid w:val="2C465FBF"/>
    <w:rsid w:val="2C4D23AE"/>
    <w:rsid w:val="2C680433"/>
    <w:rsid w:val="2C840FE5"/>
    <w:rsid w:val="2C902915"/>
    <w:rsid w:val="2C9A21B9"/>
    <w:rsid w:val="2CA451E4"/>
    <w:rsid w:val="2CB573F1"/>
    <w:rsid w:val="2CE20523"/>
    <w:rsid w:val="2CE657FC"/>
    <w:rsid w:val="2D04536F"/>
    <w:rsid w:val="2D0637A8"/>
    <w:rsid w:val="2D142369"/>
    <w:rsid w:val="2D430559"/>
    <w:rsid w:val="2D496D68"/>
    <w:rsid w:val="2D6E1073"/>
    <w:rsid w:val="2D7050C6"/>
    <w:rsid w:val="2D83129D"/>
    <w:rsid w:val="2D8A262B"/>
    <w:rsid w:val="2D9024DA"/>
    <w:rsid w:val="2D93624A"/>
    <w:rsid w:val="2D9C7B4C"/>
    <w:rsid w:val="2DA631BF"/>
    <w:rsid w:val="2DB17BB8"/>
    <w:rsid w:val="2DE12E03"/>
    <w:rsid w:val="2DF301D1"/>
    <w:rsid w:val="2DF52CAD"/>
    <w:rsid w:val="2DF950BB"/>
    <w:rsid w:val="2DFE26D1"/>
    <w:rsid w:val="2E2B796A"/>
    <w:rsid w:val="2E62292E"/>
    <w:rsid w:val="2E6672CB"/>
    <w:rsid w:val="2E786928"/>
    <w:rsid w:val="2E7A48DE"/>
    <w:rsid w:val="2E7D7A9A"/>
    <w:rsid w:val="2E8B665B"/>
    <w:rsid w:val="2E9372BE"/>
    <w:rsid w:val="2EA20B6C"/>
    <w:rsid w:val="2EB245ED"/>
    <w:rsid w:val="2ED753FC"/>
    <w:rsid w:val="2EDC3ED8"/>
    <w:rsid w:val="2F1E03A7"/>
    <w:rsid w:val="2F210D6D"/>
    <w:rsid w:val="2F2D046C"/>
    <w:rsid w:val="2F2D3580"/>
    <w:rsid w:val="2F364819"/>
    <w:rsid w:val="2F427853"/>
    <w:rsid w:val="2F511653"/>
    <w:rsid w:val="2F633CB9"/>
    <w:rsid w:val="2F6351B4"/>
    <w:rsid w:val="2F7E0750"/>
    <w:rsid w:val="2FBE0D5C"/>
    <w:rsid w:val="2FCF199E"/>
    <w:rsid w:val="2FDEB184"/>
    <w:rsid w:val="2FF43D8C"/>
    <w:rsid w:val="301D445D"/>
    <w:rsid w:val="302B26C5"/>
    <w:rsid w:val="30483E83"/>
    <w:rsid w:val="304E16EE"/>
    <w:rsid w:val="309B06AC"/>
    <w:rsid w:val="30A63C99"/>
    <w:rsid w:val="30A752A2"/>
    <w:rsid w:val="30AA0E97"/>
    <w:rsid w:val="30B05F05"/>
    <w:rsid w:val="30D065A7"/>
    <w:rsid w:val="30DB3CBC"/>
    <w:rsid w:val="30F003F4"/>
    <w:rsid w:val="311346E6"/>
    <w:rsid w:val="311566B0"/>
    <w:rsid w:val="312C5C7A"/>
    <w:rsid w:val="313905F0"/>
    <w:rsid w:val="313A1394"/>
    <w:rsid w:val="31440D43"/>
    <w:rsid w:val="314B61E0"/>
    <w:rsid w:val="31581414"/>
    <w:rsid w:val="315D7196"/>
    <w:rsid w:val="3176095A"/>
    <w:rsid w:val="318B03C9"/>
    <w:rsid w:val="3192385D"/>
    <w:rsid w:val="31A1652F"/>
    <w:rsid w:val="31C83722"/>
    <w:rsid w:val="31CF2E66"/>
    <w:rsid w:val="31E542D4"/>
    <w:rsid w:val="31F704FB"/>
    <w:rsid w:val="32270449"/>
    <w:rsid w:val="3240775C"/>
    <w:rsid w:val="326C4EA1"/>
    <w:rsid w:val="326F1DF0"/>
    <w:rsid w:val="32701D7C"/>
    <w:rsid w:val="327F45EE"/>
    <w:rsid w:val="32846BDA"/>
    <w:rsid w:val="328A7B8D"/>
    <w:rsid w:val="32B53CA7"/>
    <w:rsid w:val="32C61435"/>
    <w:rsid w:val="32D87995"/>
    <w:rsid w:val="32F2679F"/>
    <w:rsid w:val="33016EEC"/>
    <w:rsid w:val="33062754"/>
    <w:rsid w:val="33152997"/>
    <w:rsid w:val="331A61FF"/>
    <w:rsid w:val="331C7D8A"/>
    <w:rsid w:val="33244988"/>
    <w:rsid w:val="3342442A"/>
    <w:rsid w:val="33461C55"/>
    <w:rsid w:val="33482D6D"/>
    <w:rsid w:val="334E4CD8"/>
    <w:rsid w:val="33530283"/>
    <w:rsid w:val="33550FE6"/>
    <w:rsid w:val="33623451"/>
    <w:rsid w:val="337551E4"/>
    <w:rsid w:val="33AC5A16"/>
    <w:rsid w:val="33B638B9"/>
    <w:rsid w:val="33B73A4E"/>
    <w:rsid w:val="33BB353F"/>
    <w:rsid w:val="33F00D0E"/>
    <w:rsid w:val="33F46A50"/>
    <w:rsid w:val="33FA681C"/>
    <w:rsid w:val="33FE78CF"/>
    <w:rsid w:val="342F5CDB"/>
    <w:rsid w:val="343C0775"/>
    <w:rsid w:val="34AA76A9"/>
    <w:rsid w:val="34AF7D1F"/>
    <w:rsid w:val="34BE0057"/>
    <w:rsid w:val="34C44C99"/>
    <w:rsid w:val="34DC02AC"/>
    <w:rsid w:val="35411821"/>
    <w:rsid w:val="35633E8E"/>
    <w:rsid w:val="35634259"/>
    <w:rsid w:val="35677650"/>
    <w:rsid w:val="356C50EC"/>
    <w:rsid w:val="357A2F85"/>
    <w:rsid w:val="357D65D2"/>
    <w:rsid w:val="358F4C83"/>
    <w:rsid w:val="35B244CD"/>
    <w:rsid w:val="35C32AD5"/>
    <w:rsid w:val="35F04FF6"/>
    <w:rsid w:val="35FA0434"/>
    <w:rsid w:val="361108CD"/>
    <w:rsid w:val="361A099F"/>
    <w:rsid w:val="361A2DEE"/>
    <w:rsid w:val="36687858"/>
    <w:rsid w:val="36A53C9E"/>
    <w:rsid w:val="36AA789A"/>
    <w:rsid w:val="36D36DF1"/>
    <w:rsid w:val="36E52680"/>
    <w:rsid w:val="36EC7EB3"/>
    <w:rsid w:val="3700166C"/>
    <w:rsid w:val="37076A9B"/>
    <w:rsid w:val="371D1CBE"/>
    <w:rsid w:val="3727617F"/>
    <w:rsid w:val="372C4753"/>
    <w:rsid w:val="37384EA6"/>
    <w:rsid w:val="375969FE"/>
    <w:rsid w:val="37597BDF"/>
    <w:rsid w:val="375F2433"/>
    <w:rsid w:val="376E6B1A"/>
    <w:rsid w:val="37735EDE"/>
    <w:rsid w:val="3784633D"/>
    <w:rsid w:val="37926F3A"/>
    <w:rsid w:val="37A4078E"/>
    <w:rsid w:val="37AF373D"/>
    <w:rsid w:val="37B7226F"/>
    <w:rsid w:val="37CA2739"/>
    <w:rsid w:val="37D04BCE"/>
    <w:rsid w:val="37F7266B"/>
    <w:rsid w:val="381551E7"/>
    <w:rsid w:val="38213B8C"/>
    <w:rsid w:val="3837515E"/>
    <w:rsid w:val="38402882"/>
    <w:rsid w:val="384D672F"/>
    <w:rsid w:val="385273BC"/>
    <w:rsid w:val="38651CCB"/>
    <w:rsid w:val="38694EE9"/>
    <w:rsid w:val="387C7014"/>
    <w:rsid w:val="388A7983"/>
    <w:rsid w:val="388E2449"/>
    <w:rsid w:val="38A04AB1"/>
    <w:rsid w:val="38C20ECB"/>
    <w:rsid w:val="38C60702"/>
    <w:rsid w:val="38C70290"/>
    <w:rsid w:val="38CD4F7A"/>
    <w:rsid w:val="38DE2FBA"/>
    <w:rsid w:val="39072D82"/>
    <w:rsid w:val="391159AF"/>
    <w:rsid w:val="39333B77"/>
    <w:rsid w:val="393873DF"/>
    <w:rsid w:val="39657AA9"/>
    <w:rsid w:val="39665CFB"/>
    <w:rsid w:val="39AC56D7"/>
    <w:rsid w:val="39E66E3B"/>
    <w:rsid w:val="39F23A32"/>
    <w:rsid w:val="39F72DF7"/>
    <w:rsid w:val="3A006968"/>
    <w:rsid w:val="3A127963"/>
    <w:rsid w:val="3A2D05C6"/>
    <w:rsid w:val="3A3C2EFF"/>
    <w:rsid w:val="3A3E4582"/>
    <w:rsid w:val="3A3E4831"/>
    <w:rsid w:val="3A537871"/>
    <w:rsid w:val="3A554B9C"/>
    <w:rsid w:val="3A820212"/>
    <w:rsid w:val="3A8B4F41"/>
    <w:rsid w:val="3A9230C7"/>
    <w:rsid w:val="3AA0348E"/>
    <w:rsid w:val="3AD2116E"/>
    <w:rsid w:val="3ADF0492"/>
    <w:rsid w:val="3AED7D56"/>
    <w:rsid w:val="3AEF7F72"/>
    <w:rsid w:val="3B111C96"/>
    <w:rsid w:val="3B133C60"/>
    <w:rsid w:val="3B2714BA"/>
    <w:rsid w:val="3B365CC9"/>
    <w:rsid w:val="3B3E6803"/>
    <w:rsid w:val="3B583D69"/>
    <w:rsid w:val="3B7731EE"/>
    <w:rsid w:val="3B9551F8"/>
    <w:rsid w:val="3B9A7B88"/>
    <w:rsid w:val="3B9C1EA7"/>
    <w:rsid w:val="3BA64AD4"/>
    <w:rsid w:val="3BAC19BF"/>
    <w:rsid w:val="3BC114FF"/>
    <w:rsid w:val="3BC1546A"/>
    <w:rsid w:val="3BC3291F"/>
    <w:rsid w:val="3BCB0097"/>
    <w:rsid w:val="3C2660C6"/>
    <w:rsid w:val="3C2679C3"/>
    <w:rsid w:val="3C2B6D87"/>
    <w:rsid w:val="3C2D2A7E"/>
    <w:rsid w:val="3C4B11D8"/>
    <w:rsid w:val="3C544530"/>
    <w:rsid w:val="3C6221B7"/>
    <w:rsid w:val="3C644CAB"/>
    <w:rsid w:val="3C925059"/>
    <w:rsid w:val="3C957FAE"/>
    <w:rsid w:val="3CB20103"/>
    <w:rsid w:val="3CDD44B0"/>
    <w:rsid w:val="3D033860"/>
    <w:rsid w:val="3D14773A"/>
    <w:rsid w:val="3D2A34E3"/>
    <w:rsid w:val="3D2C7AC8"/>
    <w:rsid w:val="3D4445A5"/>
    <w:rsid w:val="3D4A5478"/>
    <w:rsid w:val="3D532A3A"/>
    <w:rsid w:val="3D6469F5"/>
    <w:rsid w:val="3D855D12"/>
    <w:rsid w:val="3D8B42FF"/>
    <w:rsid w:val="3D8C02DD"/>
    <w:rsid w:val="3D8C7CFA"/>
    <w:rsid w:val="3D9A41C5"/>
    <w:rsid w:val="3DA07301"/>
    <w:rsid w:val="3DAE7C70"/>
    <w:rsid w:val="3DC20089"/>
    <w:rsid w:val="3DCF52DF"/>
    <w:rsid w:val="3DE1714C"/>
    <w:rsid w:val="3DE9373D"/>
    <w:rsid w:val="3DF31B27"/>
    <w:rsid w:val="3DF36A6E"/>
    <w:rsid w:val="3DFB7C69"/>
    <w:rsid w:val="3DFC7110"/>
    <w:rsid w:val="3E302100"/>
    <w:rsid w:val="3E5D7C51"/>
    <w:rsid w:val="3E6D534C"/>
    <w:rsid w:val="3E860BED"/>
    <w:rsid w:val="3EA00335"/>
    <w:rsid w:val="3EE80F60"/>
    <w:rsid w:val="3EE85404"/>
    <w:rsid w:val="3F00274D"/>
    <w:rsid w:val="3F1138E1"/>
    <w:rsid w:val="3F140B26"/>
    <w:rsid w:val="3F1E0E25"/>
    <w:rsid w:val="3F453CC5"/>
    <w:rsid w:val="3F4C14EF"/>
    <w:rsid w:val="3F516B05"/>
    <w:rsid w:val="3F792F1E"/>
    <w:rsid w:val="3F7D5B4C"/>
    <w:rsid w:val="3F87243F"/>
    <w:rsid w:val="3F953563"/>
    <w:rsid w:val="3F9A2D14"/>
    <w:rsid w:val="3FAE21A9"/>
    <w:rsid w:val="3FB8011C"/>
    <w:rsid w:val="3FC7326B"/>
    <w:rsid w:val="3FDF6807"/>
    <w:rsid w:val="3FE77469"/>
    <w:rsid w:val="3FED0AD9"/>
    <w:rsid w:val="3FEF631E"/>
    <w:rsid w:val="40013E1D"/>
    <w:rsid w:val="403F2E01"/>
    <w:rsid w:val="40512B35"/>
    <w:rsid w:val="405D772B"/>
    <w:rsid w:val="406960D0"/>
    <w:rsid w:val="4079782F"/>
    <w:rsid w:val="407E7DCE"/>
    <w:rsid w:val="40824826"/>
    <w:rsid w:val="408B0085"/>
    <w:rsid w:val="408F1FDB"/>
    <w:rsid w:val="409A44DC"/>
    <w:rsid w:val="409F15FF"/>
    <w:rsid w:val="40AB0497"/>
    <w:rsid w:val="40CD48B1"/>
    <w:rsid w:val="40D21EC7"/>
    <w:rsid w:val="40DA4E83"/>
    <w:rsid w:val="40E63923"/>
    <w:rsid w:val="410A340F"/>
    <w:rsid w:val="4114603C"/>
    <w:rsid w:val="414B72EC"/>
    <w:rsid w:val="41625231"/>
    <w:rsid w:val="41742F7F"/>
    <w:rsid w:val="41782A6F"/>
    <w:rsid w:val="41885B91"/>
    <w:rsid w:val="418E2292"/>
    <w:rsid w:val="41962EF5"/>
    <w:rsid w:val="41974966"/>
    <w:rsid w:val="419C6C39"/>
    <w:rsid w:val="41B36CDD"/>
    <w:rsid w:val="41C563B6"/>
    <w:rsid w:val="41CE69E6"/>
    <w:rsid w:val="41D659E7"/>
    <w:rsid w:val="41F0527A"/>
    <w:rsid w:val="41FA16D6"/>
    <w:rsid w:val="420600B1"/>
    <w:rsid w:val="42254279"/>
    <w:rsid w:val="42341853"/>
    <w:rsid w:val="4235270E"/>
    <w:rsid w:val="424741EF"/>
    <w:rsid w:val="424830B0"/>
    <w:rsid w:val="42530DE6"/>
    <w:rsid w:val="42786A9F"/>
    <w:rsid w:val="427B20EB"/>
    <w:rsid w:val="4283791D"/>
    <w:rsid w:val="428B4A24"/>
    <w:rsid w:val="428C28BD"/>
    <w:rsid w:val="429F5DD9"/>
    <w:rsid w:val="42B15B0D"/>
    <w:rsid w:val="42B443F4"/>
    <w:rsid w:val="42B83327"/>
    <w:rsid w:val="42B850ED"/>
    <w:rsid w:val="42BC2FBE"/>
    <w:rsid w:val="42BD2703"/>
    <w:rsid w:val="42CA5F33"/>
    <w:rsid w:val="42CF2B62"/>
    <w:rsid w:val="42D716E6"/>
    <w:rsid w:val="42E51972"/>
    <w:rsid w:val="42F43FD4"/>
    <w:rsid w:val="42FC5A4F"/>
    <w:rsid w:val="42FE0D52"/>
    <w:rsid w:val="4326474D"/>
    <w:rsid w:val="4339116D"/>
    <w:rsid w:val="4348021F"/>
    <w:rsid w:val="435C3CCA"/>
    <w:rsid w:val="437454B8"/>
    <w:rsid w:val="43780DD9"/>
    <w:rsid w:val="4378EF13"/>
    <w:rsid w:val="4392593E"/>
    <w:rsid w:val="439B7F19"/>
    <w:rsid w:val="43A91E5B"/>
    <w:rsid w:val="43C31F9B"/>
    <w:rsid w:val="43CE2E1A"/>
    <w:rsid w:val="43D83C99"/>
    <w:rsid w:val="43FB7987"/>
    <w:rsid w:val="44093E52"/>
    <w:rsid w:val="441B1DD7"/>
    <w:rsid w:val="44A616A1"/>
    <w:rsid w:val="44BC3308"/>
    <w:rsid w:val="44BD4C3D"/>
    <w:rsid w:val="44C24001"/>
    <w:rsid w:val="44C668B8"/>
    <w:rsid w:val="44F0338C"/>
    <w:rsid w:val="44FC546E"/>
    <w:rsid w:val="44FF0DB1"/>
    <w:rsid w:val="4535161A"/>
    <w:rsid w:val="453F38A4"/>
    <w:rsid w:val="45451D61"/>
    <w:rsid w:val="4545710C"/>
    <w:rsid w:val="457C68A6"/>
    <w:rsid w:val="45824D6D"/>
    <w:rsid w:val="458952EB"/>
    <w:rsid w:val="45A656D1"/>
    <w:rsid w:val="45A843DC"/>
    <w:rsid w:val="45A858ED"/>
    <w:rsid w:val="45AD6A5F"/>
    <w:rsid w:val="45AF27D7"/>
    <w:rsid w:val="45BA48DB"/>
    <w:rsid w:val="45F5776D"/>
    <w:rsid w:val="4618562A"/>
    <w:rsid w:val="462C02CC"/>
    <w:rsid w:val="462C62CE"/>
    <w:rsid w:val="46342CDD"/>
    <w:rsid w:val="463A3650"/>
    <w:rsid w:val="46607F75"/>
    <w:rsid w:val="46780E1B"/>
    <w:rsid w:val="467852BF"/>
    <w:rsid w:val="467D28D5"/>
    <w:rsid w:val="467D4684"/>
    <w:rsid w:val="46996EF4"/>
    <w:rsid w:val="469F0116"/>
    <w:rsid w:val="46A05B8A"/>
    <w:rsid w:val="46B65723"/>
    <w:rsid w:val="47086643"/>
    <w:rsid w:val="47095F17"/>
    <w:rsid w:val="471A0124"/>
    <w:rsid w:val="4723113E"/>
    <w:rsid w:val="47321912"/>
    <w:rsid w:val="47443414"/>
    <w:rsid w:val="474A3CBE"/>
    <w:rsid w:val="475259B7"/>
    <w:rsid w:val="47541888"/>
    <w:rsid w:val="47573126"/>
    <w:rsid w:val="47653A95"/>
    <w:rsid w:val="476C7652"/>
    <w:rsid w:val="47887784"/>
    <w:rsid w:val="478C7274"/>
    <w:rsid w:val="479B1265"/>
    <w:rsid w:val="47CD163B"/>
    <w:rsid w:val="47EA3F9B"/>
    <w:rsid w:val="47FA1247"/>
    <w:rsid w:val="480037BE"/>
    <w:rsid w:val="480C5CBF"/>
    <w:rsid w:val="482E20D9"/>
    <w:rsid w:val="48390A7E"/>
    <w:rsid w:val="483A5ADB"/>
    <w:rsid w:val="48425B85"/>
    <w:rsid w:val="485633DE"/>
    <w:rsid w:val="48592ECE"/>
    <w:rsid w:val="48653621"/>
    <w:rsid w:val="486668C5"/>
    <w:rsid w:val="48831CF9"/>
    <w:rsid w:val="48914416"/>
    <w:rsid w:val="48AF3E79"/>
    <w:rsid w:val="48BD345D"/>
    <w:rsid w:val="48C26CC5"/>
    <w:rsid w:val="48FF50DD"/>
    <w:rsid w:val="4929464F"/>
    <w:rsid w:val="49415E3C"/>
    <w:rsid w:val="4944592C"/>
    <w:rsid w:val="494E0559"/>
    <w:rsid w:val="495C2C76"/>
    <w:rsid w:val="497118A9"/>
    <w:rsid w:val="49730B19"/>
    <w:rsid w:val="49910EF2"/>
    <w:rsid w:val="499D0E59"/>
    <w:rsid w:val="49A165B8"/>
    <w:rsid w:val="49B1408D"/>
    <w:rsid w:val="49E113CD"/>
    <w:rsid w:val="49EA0282"/>
    <w:rsid w:val="49ED1586"/>
    <w:rsid w:val="49EF4039"/>
    <w:rsid w:val="4A064990"/>
    <w:rsid w:val="4A2117CA"/>
    <w:rsid w:val="4A2B43F6"/>
    <w:rsid w:val="4A630034"/>
    <w:rsid w:val="4A783AE0"/>
    <w:rsid w:val="4A7D4FD2"/>
    <w:rsid w:val="4A8534A3"/>
    <w:rsid w:val="4A895CED"/>
    <w:rsid w:val="4A902F86"/>
    <w:rsid w:val="4A913C9A"/>
    <w:rsid w:val="4A9A1CA8"/>
    <w:rsid w:val="4AA04873"/>
    <w:rsid w:val="4AA35115"/>
    <w:rsid w:val="4AC22FAD"/>
    <w:rsid w:val="4AE22D2F"/>
    <w:rsid w:val="4B1F70AC"/>
    <w:rsid w:val="4B240F94"/>
    <w:rsid w:val="4B35552D"/>
    <w:rsid w:val="4B386AE5"/>
    <w:rsid w:val="4B386DCB"/>
    <w:rsid w:val="4B5160DF"/>
    <w:rsid w:val="4B6C4CC7"/>
    <w:rsid w:val="4B7C13AE"/>
    <w:rsid w:val="4B8169C4"/>
    <w:rsid w:val="4B865D88"/>
    <w:rsid w:val="4BA75287"/>
    <w:rsid w:val="4BCE772F"/>
    <w:rsid w:val="4BEA7E5D"/>
    <w:rsid w:val="4BED70D6"/>
    <w:rsid w:val="4C0513A3"/>
    <w:rsid w:val="4C1E4213"/>
    <w:rsid w:val="4C2865F6"/>
    <w:rsid w:val="4C2B6930"/>
    <w:rsid w:val="4C3C565C"/>
    <w:rsid w:val="4C734A4E"/>
    <w:rsid w:val="4C9067E0"/>
    <w:rsid w:val="4CBE1552"/>
    <w:rsid w:val="4CC254E6"/>
    <w:rsid w:val="4CCC79C7"/>
    <w:rsid w:val="4CD34FFD"/>
    <w:rsid w:val="4CD46FC7"/>
    <w:rsid w:val="4CE62060"/>
    <w:rsid w:val="4CF11927"/>
    <w:rsid w:val="4CF13D3C"/>
    <w:rsid w:val="4D096E63"/>
    <w:rsid w:val="4D113D78"/>
    <w:rsid w:val="4D1F0243"/>
    <w:rsid w:val="4D462800"/>
    <w:rsid w:val="4D502AF2"/>
    <w:rsid w:val="4D50664E"/>
    <w:rsid w:val="4D602609"/>
    <w:rsid w:val="4D7555C7"/>
    <w:rsid w:val="4DA30E74"/>
    <w:rsid w:val="4DA364FA"/>
    <w:rsid w:val="4DAD1CF2"/>
    <w:rsid w:val="4DB017E2"/>
    <w:rsid w:val="4DB92CEA"/>
    <w:rsid w:val="4E151645"/>
    <w:rsid w:val="4E314717"/>
    <w:rsid w:val="4E4D04CA"/>
    <w:rsid w:val="4E6C5709"/>
    <w:rsid w:val="4E7C428F"/>
    <w:rsid w:val="4E8A3DE2"/>
    <w:rsid w:val="4E99647F"/>
    <w:rsid w:val="4EA2624A"/>
    <w:rsid w:val="4EAA4484"/>
    <w:rsid w:val="4EAE6DA0"/>
    <w:rsid w:val="4EB90223"/>
    <w:rsid w:val="4ECA741E"/>
    <w:rsid w:val="4EDB63EB"/>
    <w:rsid w:val="4EF42274"/>
    <w:rsid w:val="4F4E12B3"/>
    <w:rsid w:val="4F500D19"/>
    <w:rsid w:val="4FC155E1"/>
    <w:rsid w:val="4FD037EF"/>
    <w:rsid w:val="4FF04118"/>
    <w:rsid w:val="5016514B"/>
    <w:rsid w:val="501F21A0"/>
    <w:rsid w:val="502857C7"/>
    <w:rsid w:val="50414974"/>
    <w:rsid w:val="50476D3D"/>
    <w:rsid w:val="5066262C"/>
    <w:rsid w:val="506B7C43"/>
    <w:rsid w:val="50715259"/>
    <w:rsid w:val="50BE5FC4"/>
    <w:rsid w:val="50D41344"/>
    <w:rsid w:val="50D47596"/>
    <w:rsid w:val="50D91050"/>
    <w:rsid w:val="50E13A61"/>
    <w:rsid w:val="50F17913"/>
    <w:rsid w:val="511F5B2C"/>
    <w:rsid w:val="512D76C0"/>
    <w:rsid w:val="51361FFF"/>
    <w:rsid w:val="51570ED4"/>
    <w:rsid w:val="51752B27"/>
    <w:rsid w:val="51907961"/>
    <w:rsid w:val="51AC406F"/>
    <w:rsid w:val="51B82A14"/>
    <w:rsid w:val="51C770FB"/>
    <w:rsid w:val="51CB1C78"/>
    <w:rsid w:val="51FC4FF6"/>
    <w:rsid w:val="51FD6A51"/>
    <w:rsid w:val="52100AA2"/>
    <w:rsid w:val="52271947"/>
    <w:rsid w:val="523E560F"/>
    <w:rsid w:val="52432C25"/>
    <w:rsid w:val="52662470"/>
    <w:rsid w:val="526B680A"/>
    <w:rsid w:val="52756B57"/>
    <w:rsid w:val="527903F5"/>
    <w:rsid w:val="52846D9A"/>
    <w:rsid w:val="528F19C6"/>
    <w:rsid w:val="529F5982"/>
    <w:rsid w:val="52B4142D"/>
    <w:rsid w:val="52BA1ECF"/>
    <w:rsid w:val="52CF44B9"/>
    <w:rsid w:val="52DA3991"/>
    <w:rsid w:val="52DC5058"/>
    <w:rsid w:val="52F42171"/>
    <w:rsid w:val="52F932E4"/>
    <w:rsid w:val="53150D15"/>
    <w:rsid w:val="533B7889"/>
    <w:rsid w:val="53407165"/>
    <w:rsid w:val="53456529"/>
    <w:rsid w:val="5352083E"/>
    <w:rsid w:val="535249BA"/>
    <w:rsid w:val="536E1371"/>
    <w:rsid w:val="537868FE"/>
    <w:rsid w:val="539073C2"/>
    <w:rsid w:val="539A4AC7"/>
    <w:rsid w:val="539F20DD"/>
    <w:rsid w:val="53AB6CD4"/>
    <w:rsid w:val="53AE0BF6"/>
    <w:rsid w:val="53BB4A3D"/>
    <w:rsid w:val="53D25B99"/>
    <w:rsid w:val="53D855EF"/>
    <w:rsid w:val="5415414D"/>
    <w:rsid w:val="541A5D30"/>
    <w:rsid w:val="54330A77"/>
    <w:rsid w:val="543F566E"/>
    <w:rsid w:val="546649A9"/>
    <w:rsid w:val="54921C42"/>
    <w:rsid w:val="549E4CB1"/>
    <w:rsid w:val="54A6749B"/>
    <w:rsid w:val="54B6421E"/>
    <w:rsid w:val="54D933CD"/>
    <w:rsid w:val="551408A9"/>
    <w:rsid w:val="55142657"/>
    <w:rsid w:val="552D196B"/>
    <w:rsid w:val="553E2BC7"/>
    <w:rsid w:val="553E632F"/>
    <w:rsid w:val="556829A3"/>
    <w:rsid w:val="556C5A2B"/>
    <w:rsid w:val="556E1C47"/>
    <w:rsid w:val="5579070C"/>
    <w:rsid w:val="55C0633B"/>
    <w:rsid w:val="55CF657E"/>
    <w:rsid w:val="55E0078B"/>
    <w:rsid w:val="55F068CD"/>
    <w:rsid w:val="55F304BE"/>
    <w:rsid w:val="56026953"/>
    <w:rsid w:val="560C46F5"/>
    <w:rsid w:val="56486A5C"/>
    <w:rsid w:val="566C3136"/>
    <w:rsid w:val="56724F1A"/>
    <w:rsid w:val="56831367"/>
    <w:rsid w:val="56856B95"/>
    <w:rsid w:val="568D04F2"/>
    <w:rsid w:val="56B75990"/>
    <w:rsid w:val="56C0507C"/>
    <w:rsid w:val="56D20841"/>
    <w:rsid w:val="56D402F0"/>
    <w:rsid w:val="56D7393C"/>
    <w:rsid w:val="56DA167E"/>
    <w:rsid w:val="56DB78D0"/>
    <w:rsid w:val="56E04EE6"/>
    <w:rsid w:val="57032983"/>
    <w:rsid w:val="571B16F3"/>
    <w:rsid w:val="572D5C52"/>
    <w:rsid w:val="5737262D"/>
    <w:rsid w:val="57415259"/>
    <w:rsid w:val="57454D4A"/>
    <w:rsid w:val="57541431"/>
    <w:rsid w:val="575612E0"/>
    <w:rsid w:val="577B4C0F"/>
    <w:rsid w:val="57825F9E"/>
    <w:rsid w:val="57A777B2"/>
    <w:rsid w:val="57B10186"/>
    <w:rsid w:val="57B27F05"/>
    <w:rsid w:val="57BB41F2"/>
    <w:rsid w:val="57DD4F82"/>
    <w:rsid w:val="57E25535"/>
    <w:rsid w:val="57EA3B43"/>
    <w:rsid w:val="5829466B"/>
    <w:rsid w:val="585137AF"/>
    <w:rsid w:val="585E0A21"/>
    <w:rsid w:val="586B4C84"/>
    <w:rsid w:val="588D6DD7"/>
    <w:rsid w:val="589715D5"/>
    <w:rsid w:val="58AB4D2E"/>
    <w:rsid w:val="58F24A5D"/>
    <w:rsid w:val="59242EC5"/>
    <w:rsid w:val="592D325B"/>
    <w:rsid w:val="59540CE2"/>
    <w:rsid w:val="59611BE3"/>
    <w:rsid w:val="59682F71"/>
    <w:rsid w:val="596D09B6"/>
    <w:rsid w:val="5974646C"/>
    <w:rsid w:val="597E2795"/>
    <w:rsid w:val="598504C7"/>
    <w:rsid w:val="598F6750"/>
    <w:rsid w:val="599E4BE5"/>
    <w:rsid w:val="59A57D21"/>
    <w:rsid w:val="59A87812"/>
    <w:rsid w:val="59A92DE6"/>
    <w:rsid w:val="59BD0655"/>
    <w:rsid w:val="59D1597E"/>
    <w:rsid w:val="59F40CA9"/>
    <w:rsid w:val="5A3B68D8"/>
    <w:rsid w:val="5A4E03B9"/>
    <w:rsid w:val="5A526582"/>
    <w:rsid w:val="5A5F5C77"/>
    <w:rsid w:val="5A634415"/>
    <w:rsid w:val="5A966592"/>
    <w:rsid w:val="5ADD34EB"/>
    <w:rsid w:val="5AEE74A6"/>
    <w:rsid w:val="5B0867BA"/>
    <w:rsid w:val="5B2D7FCE"/>
    <w:rsid w:val="5B32186D"/>
    <w:rsid w:val="5B3A6FD8"/>
    <w:rsid w:val="5B3D5E39"/>
    <w:rsid w:val="5B557525"/>
    <w:rsid w:val="5B5C6B06"/>
    <w:rsid w:val="5B615ECA"/>
    <w:rsid w:val="5B647768"/>
    <w:rsid w:val="5B7B3430"/>
    <w:rsid w:val="5B834092"/>
    <w:rsid w:val="5B8D3163"/>
    <w:rsid w:val="5BBA0BCF"/>
    <w:rsid w:val="5BBE39CD"/>
    <w:rsid w:val="5BC11A60"/>
    <w:rsid w:val="5BCC3570"/>
    <w:rsid w:val="5BD90156"/>
    <w:rsid w:val="5C022C25"/>
    <w:rsid w:val="5C074CC3"/>
    <w:rsid w:val="5C5123E2"/>
    <w:rsid w:val="5C553C81"/>
    <w:rsid w:val="5C645C72"/>
    <w:rsid w:val="5C6C0FCA"/>
    <w:rsid w:val="5C6D3D3E"/>
    <w:rsid w:val="5C797243"/>
    <w:rsid w:val="5C7A4D54"/>
    <w:rsid w:val="5C8221EB"/>
    <w:rsid w:val="5C8F7131"/>
    <w:rsid w:val="5CA644DC"/>
    <w:rsid w:val="5CBD35D4"/>
    <w:rsid w:val="5CD23B73"/>
    <w:rsid w:val="5CDF354A"/>
    <w:rsid w:val="5CE45005"/>
    <w:rsid w:val="5CED210B"/>
    <w:rsid w:val="5D052FE7"/>
    <w:rsid w:val="5D053A28"/>
    <w:rsid w:val="5D296EBB"/>
    <w:rsid w:val="5D49348E"/>
    <w:rsid w:val="5D603E95"/>
    <w:rsid w:val="5D6972B8"/>
    <w:rsid w:val="5D791F1C"/>
    <w:rsid w:val="5D8365CC"/>
    <w:rsid w:val="5D9E3405"/>
    <w:rsid w:val="5D9F2CDA"/>
    <w:rsid w:val="5DA87DE0"/>
    <w:rsid w:val="5DB723C2"/>
    <w:rsid w:val="5DEB76C3"/>
    <w:rsid w:val="5DF43025"/>
    <w:rsid w:val="5E1767ED"/>
    <w:rsid w:val="5E1C0561"/>
    <w:rsid w:val="5E341674"/>
    <w:rsid w:val="5E3873B6"/>
    <w:rsid w:val="5E4615E0"/>
    <w:rsid w:val="5E5147B7"/>
    <w:rsid w:val="5E6A3A96"/>
    <w:rsid w:val="5E6E2DD8"/>
    <w:rsid w:val="5E7303EE"/>
    <w:rsid w:val="5E895E64"/>
    <w:rsid w:val="5E8C3D9C"/>
    <w:rsid w:val="5E8E347A"/>
    <w:rsid w:val="5EA66A16"/>
    <w:rsid w:val="5EAC1B52"/>
    <w:rsid w:val="5EAD1CBA"/>
    <w:rsid w:val="5ECE1AC8"/>
    <w:rsid w:val="5ED03A93"/>
    <w:rsid w:val="5EE72B8A"/>
    <w:rsid w:val="5EF13A09"/>
    <w:rsid w:val="5F074FDA"/>
    <w:rsid w:val="5F0D295A"/>
    <w:rsid w:val="5F127819"/>
    <w:rsid w:val="5F166FCB"/>
    <w:rsid w:val="5F17346F"/>
    <w:rsid w:val="5F610B8F"/>
    <w:rsid w:val="5F621CF8"/>
    <w:rsid w:val="5F63752A"/>
    <w:rsid w:val="5F6B37BB"/>
    <w:rsid w:val="5F781A34"/>
    <w:rsid w:val="5F8E3006"/>
    <w:rsid w:val="5F991D3B"/>
    <w:rsid w:val="5FA12D39"/>
    <w:rsid w:val="5FA36AB1"/>
    <w:rsid w:val="5FC058B5"/>
    <w:rsid w:val="5FDE33CF"/>
    <w:rsid w:val="5FEE26C6"/>
    <w:rsid w:val="5FF105C4"/>
    <w:rsid w:val="5FF67529"/>
    <w:rsid w:val="600F2399"/>
    <w:rsid w:val="601E082E"/>
    <w:rsid w:val="602E07CE"/>
    <w:rsid w:val="604A33D1"/>
    <w:rsid w:val="604B09DF"/>
    <w:rsid w:val="60536729"/>
    <w:rsid w:val="605424A1"/>
    <w:rsid w:val="606764C3"/>
    <w:rsid w:val="60770692"/>
    <w:rsid w:val="608F34D9"/>
    <w:rsid w:val="60BD3BA3"/>
    <w:rsid w:val="60DB227B"/>
    <w:rsid w:val="60E530F9"/>
    <w:rsid w:val="60F1503F"/>
    <w:rsid w:val="61025188"/>
    <w:rsid w:val="61057D5F"/>
    <w:rsid w:val="61173D6D"/>
    <w:rsid w:val="611834CF"/>
    <w:rsid w:val="612A5FE5"/>
    <w:rsid w:val="61412E9D"/>
    <w:rsid w:val="61490B3E"/>
    <w:rsid w:val="614D4977"/>
    <w:rsid w:val="61572249"/>
    <w:rsid w:val="61736957"/>
    <w:rsid w:val="618B1EF3"/>
    <w:rsid w:val="61951BCF"/>
    <w:rsid w:val="61A62889"/>
    <w:rsid w:val="61B8631B"/>
    <w:rsid w:val="61BC3876"/>
    <w:rsid w:val="61BE4076"/>
    <w:rsid w:val="61DA69D6"/>
    <w:rsid w:val="61F950AE"/>
    <w:rsid w:val="62031A89"/>
    <w:rsid w:val="62165C60"/>
    <w:rsid w:val="622163B3"/>
    <w:rsid w:val="62854B94"/>
    <w:rsid w:val="62B114E5"/>
    <w:rsid w:val="62B74D35"/>
    <w:rsid w:val="62C51434"/>
    <w:rsid w:val="62D96C8E"/>
    <w:rsid w:val="62E53458"/>
    <w:rsid w:val="62EC076F"/>
    <w:rsid w:val="62EF64B1"/>
    <w:rsid w:val="63021D41"/>
    <w:rsid w:val="6311467A"/>
    <w:rsid w:val="631B1054"/>
    <w:rsid w:val="63316ACA"/>
    <w:rsid w:val="63475C67"/>
    <w:rsid w:val="63700648"/>
    <w:rsid w:val="638C3D00"/>
    <w:rsid w:val="639A2E85"/>
    <w:rsid w:val="63A70B3A"/>
    <w:rsid w:val="63C60FC0"/>
    <w:rsid w:val="63E1404C"/>
    <w:rsid w:val="63F672D6"/>
    <w:rsid w:val="63FE3A57"/>
    <w:rsid w:val="64203A5A"/>
    <w:rsid w:val="642841DC"/>
    <w:rsid w:val="642F3009"/>
    <w:rsid w:val="64466360"/>
    <w:rsid w:val="64757015"/>
    <w:rsid w:val="64852C29"/>
    <w:rsid w:val="649C61C5"/>
    <w:rsid w:val="649D4417"/>
    <w:rsid w:val="649E673D"/>
    <w:rsid w:val="64A81CF1"/>
    <w:rsid w:val="64AF414A"/>
    <w:rsid w:val="64BA3D7A"/>
    <w:rsid w:val="64C23E7D"/>
    <w:rsid w:val="64CE2822"/>
    <w:rsid w:val="64DB531F"/>
    <w:rsid w:val="64E831B8"/>
    <w:rsid w:val="64F179BC"/>
    <w:rsid w:val="64F47DAF"/>
    <w:rsid w:val="651D59E0"/>
    <w:rsid w:val="65222748"/>
    <w:rsid w:val="65222B6E"/>
    <w:rsid w:val="65393A14"/>
    <w:rsid w:val="656767D3"/>
    <w:rsid w:val="657B1EA6"/>
    <w:rsid w:val="65AA3045"/>
    <w:rsid w:val="65B0017A"/>
    <w:rsid w:val="65B732B6"/>
    <w:rsid w:val="65BF468B"/>
    <w:rsid w:val="65C94C55"/>
    <w:rsid w:val="65DD0843"/>
    <w:rsid w:val="65DD458E"/>
    <w:rsid w:val="65DF3A3E"/>
    <w:rsid w:val="65F067C8"/>
    <w:rsid w:val="65F555EF"/>
    <w:rsid w:val="65FA13F5"/>
    <w:rsid w:val="66527997"/>
    <w:rsid w:val="665704D3"/>
    <w:rsid w:val="66703465"/>
    <w:rsid w:val="66837F7B"/>
    <w:rsid w:val="668533B4"/>
    <w:rsid w:val="66886A01"/>
    <w:rsid w:val="668D04BB"/>
    <w:rsid w:val="66A51361"/>
    <w:rsid w:val="66B21CD0"/>
    <w:rsid w:val="66B62D4C"/>
    <w:rsid w:val="66B772E6"/>
    <w:rsid w:val="66C20165"/>
    <w:rsid w:val="66CF63DE"/>
    <w:rsid w:val="66DD6AFD"/>
    <w:rsid w:val="66E005EB"/>
    <w:rsid w:val="67010561"/>
    <w:rsid w:val="672C1A82"/>
    <w:rsid w:val="673148E2"/>
    <w:rsid w:val="67377745"/>
    <w:rsid w:val="67401089"/>
    <w:rsid w:val="6751773B"/>
    <w:rsid w:val="675445CD"/>
    <w:rsid w:val="675608AD"/>
    <w:rsid w:val="676A25AA"/>
    <w:rsid w:val="676B07FC"/>
    <w:rsid w:val="676D1753"/>
    <w:rsid w:val="67753429"/>
    <w:rsid w:val="679F074B"/>
    <w:rsid w:val="67BA52E0"/>
    <w:rsid w:val="67BD092C"/>
    <w:rsid w:val="67C065A4"/>
    <w:rsid w:val="67C21D51"/>
    <w:rsid w:val="67C33DB9"/>
    <w:rsid w:val="67D359C9"/>
    <w:rsid w:val="680C5410"/>
    <w:rsid w:val="684352D5"/>
    <w:rsid w:val="68523217"/>
    <w:rsid w:val="68550B65"/>
    <w:rsid w:val="689169E2"/>
    <w:rsid w:val="68922AAC"/>
    <w:rsid w:val="68A015B4"/>
    <w:rsid w:val="68C77CB4"/>
    <w:rsid w:val="68D9049F"/>
    <w:rsid w:val="68E02B24"/>
    <w:rsid w:val="68EC17BF"/>
    <w:rsid w:val="68FE36DD"/>
    <w:rsid w:val="6902510A"/>
    <w:rsid w:val="69164798"/>
    <w:rsid w:val="694E60FC"/>
    <w:rsid w:val="69594684"/>
    <w:rsid w:val="697B3329"/>
    <w:rsid w:val="69AE2A5F"/>
    <w:rsid w:val="69BF6BDD"/>
    <w:rsid w:val="69EF4042"/>
    <w:rsid w:val="69F61ED3"/>
    <w:rsid w:val="6A130CD7"/>
    <w:rsid w:val="6A1F767C"/>
    <w:rsid w:val="6A4D56EB"/>
    <w:rsid w:val="6A4E61B3"/>
    <w:rsid w:val="6A576E16"/>
    <w:rsid w:val="6A5C6604"/>
    <w:rsid w:val="6A5F3F1C"/>
    <w:rsid w:val="6A876FCF"/>
    <w:rsid w:val="6A9739A1"/>
    <w:rsid w:val="6ACF34E9"/>
    <w:rsid w:val="6AD13942"/>
    <w:rsid w:val="6AD541DF"/>
    <w:rsid w:val="6AEA5EDC"/>
    <w:rsid w:val="6AEC1C54"/>
    <w:rsid w:val="6AF66A39"/>
    <w:rsid w:val="6B225676"/>
    <w:rsid w:val="6B3929BF"/>
    <w:rsid w:val="6B3B79B5"/>
    <w:rsid w:val="6B596BBE"/>
    <w:rsid w:val="6B625A72"/>
    <w:rsid w:val="6B6F018F"/>
    <w:rsid w:val="6B79100E"/>
    <w:rsid w:val="6B9320D0"/>
    <w:rsid w:val="6BC524A5"/>
    <w:rsid w:val="6BD050D2"/>
    <w:rsid w:val="6BE7241B"/>
    <w:rsid w:val="6BF15DF0"/>
    <w:rsid w:val="6C023BEC"/>
    <w:rsid w:val="6C042FCD"/>
    <w:rsid w:val="6C101972"/>
    <w:rsid w:val="6C12443D"/>
    <w:rsid w:val="6C145E5A"/>
    <w:rsid w:val="6C1D408F"/>
    <w:rsid w:val="6C301F40"/>
    <w:rsid w:val="6C342BE3"/>
    <w:rsid w:val="6C410A63"/>
    <w:rsid w:val="6C507FC1"/>
    <w:rsid w:val="6C580C23"/>
    <w:rsid w:val="6C5C4BB7"/>
    <w:rsid w:val="6C5F0204"/>
    <w:rsid w:val="6C645430"/>
    <w:rsid w:val="6C675CE6"/>
    <w:rsid w:val="6C6A001C"/>
    <w:rsid w:val="6C88775B"/>
    <w:rsid w:val="6C9C1458"/>
    <w:rsid w:val="6CA1081C"/>
    <w:rsid w:val="6CAD5CE9"/>
    <w:rsid w:val="6CCF5389"/>
    <w:rsid w:val="6CEF35AF"/>
    <w:rsid w:val="6CFD6537"/>
    <w:rsid w:val="6D2A4FB7"/>
    <w:rsid w:val="6D4F4321"/>
    <w:rsid w:val="6D527D69"/>
    <w:rsid w:val="6D5D3806"/>
    <w:rsid w:val="6D616FB1"/>
    <w:rsid w:val="6D716441"/>
    <w:rsid w:val="6DC36570"/>
    <w:rsid w:val="6DE34AE4"/>
    <w:rsid w:val="6DFA4688"/>
    <w:rsid w:val="6DFF7360"/>
    <w:rsid w:val="6E064026"/>
    <w:rsid w:val="6E0F1884"/>
    <w:rsid w:val="6E1C54AA"/>
    <w:rsid w:val="6E4B4EE4"/>
    <w:rsid w:val="6E5378F4"/>
    <w:rsid w:val="6E7A5F73"/>
    <w:rsid w:val="6E810905"/>
    <w:rsid w:val="6E86730D"/>
    <w:rsid w:val="6E932428"/>
    <w:rsid w:val="6E9F3F44"/>
    <w:rsid w:val="6EA85E09"/>
    <w:rsid w:val="6EB760D5"/>
    <w:rsid w:val="6EC26971"/>
    <w:rsid w:val="6EEB1F42"/>
    <w:rsid w:val="6EF01996"/>
    <w:rsid w:val="6F152DFC"/>
    <w:rsid w:val="6F2E3798"/>
    <w:rsid w:val="6F45239A"/>
    <w:rsid w:val="6F614293"/>
    <w:rsid w:val="6F7B35A7"/>
    <w:rsid w:val="6F7C2E7B"/>
    <w:rsid w:val="6F865AA7"/>
    <w:rsid w:val="6FA473CD"/>
    <w:rsid w:val="6FD1766A"/>
    <w:rsid w:val="6FD44A65"/>
    <w:rsid w:val="6FD74228"/>
    <w:rsid w:val="6FDB2297"/>
    <w:rsid w:val="6FE55CA5"/>
    <w:rsid w:val="6FE560DA"/>
    <w:rsid w:val="6FF72778"/>
    <w:rsid w:val="6FFE1AE2"/>
    <w:rsid w:val="700C06A3"/>
    <w:rsid w:val="7015527E"/>
    <w:rsid w:val="705A140E"/>
    <w:rsid w:val="70765B1C"/>
    <w:rsid w:val="70AC59E2"/>
    <w:rsid w:val="70DA254F"/>
    <w:rsid w:val="70E17439"/>
    <w:rsid w:val="70E433CD"/>
    <w:rsid w:val="70ED1C4A"/>
    <w:rsid w:val="70F63D72"/>
    <w:rsid w:val="70FA7F8E"/>
    <w:rsid w:val="70FE5EDF"/>
    <w:rsid w:val="70FF3D63"/>
    <w:rsid w:val="71010BEA"/>
    <w:rsid w:val="711D41EA"/>
    <w:rsid w:val="712D6B22"/>
    <w:rsid w:val="712E4649"/>
    <w:rsid w:val="71431EA2"/>
    <w:rsid w:val="71436346"/>
    <w:rsid w:val="71633091"/>
    <w:rsid w:val="717C53B4"/>
    <w:rsid w:val="718D136F"/>
    <w:rsid w:val="71A52B5D"/>
    <w:rsid w:val="71B0505E"/>
    <w:rsid w:val="71B67097"/>
    <w:rsid w:val="71BC0EEE"/>
    <w:rsid w:val="71D763F6"/>
    <w:rsid w:val="71D902E1"/>
    <w:rsid w:val="722E0369"/>
    <w:rsid w:val="72326C7D"/>
    <w:rsid w:val="723E669B"/>
    <w:rsid w:val="726829F1"/>
    <w:rsid w:val="727E0B3C"/>
    <w:rsid w:val="727E6F0A"/>
    <w:rsid w:val="72A76461"/>
    <w:rsid w:val="72B945BC"/>
    <w:rsid w:val="72DA4A88"/>
    <w:rsid w:val="73081CA5"/>
    <w:rsid w:val="73131D48"/>
    <w:rsid w:val="731555FF"/>
    <w:rsid w:val="734B1A98"/>
    <w:rsid w:val="737E1B01"/>
    <w:rsid w:val="738006B8"/>
    <w:rsid w:val="73A26DE2"/>
    <w:rsid w:val="73B0235A"/>
    <w:rsid w:val="73B61051"/>
    <w:rsid w:val="73D806B8"/>
    <w:rsid w:val="740A5909"/>
    <w:rsid w:val="741915E0"/>
    <w:rsid w:val="7439758C"/>
    <w:rsid w:val="744523D5"/>
    <w:rsid w:val="744E655D"/>
    <w:rsid w:val="74545B7C"/>
    <w:rsid w:val="7487762D"/>
    <w:rsid w:val="748A6FEC"/>
    <w:rsid w:val="7496678D"/>
    <w:rsid w:val="74AE71F4"/>
    <w:rsid w:val="74AF784E"/>
    <w:rsid w:val="74BE7708"/>
    <w:rsid w:val="74BE7A92"/>
    <w:rsid w:val="74E25967"/>
    <w:rsid w:val="74EE4141"/>
    <w:rsid w:val="75271ADB"/>
    <w:rsid w:val="752D7B49"/>
    <w:rsid w:val="75385498"/>
    <w:rsid w:val="75395FF8"/>
    <w:rsid w:val="753C37D8"/>
    <w:rsid w:val="753F0BD2"/>
    <w:rsid w:val="755A5A0C"/>
    <w:rsid w:val="75AB6268"/>
    <w:rsid w:val="75CE618B"/>
    <w:rsid w:val="75E31EA6"/>
    <w:rsid w:val="75F96FD3"/>
    <w:rsid w:val="76396C1E"/>
    <w:rsid w:val="7645235B"/>
    <w:rsid w:val="764D731F"/>
    <w:rsid w:val="76593F16"/>
    <w:rsid w:val="7662726E"/>
    <w:rsid w:val="76735D63"/>
    <w:rsid w:val="7684269F"/>
    <w:rsid w:val="769962BD"/>
    <w:rsid w:val="76BC207F"/>
    <w:rsid w:val="76E47C83"/>
    <w:rsid w:val="76EB4904"/>
    <w:rsid w:val="77072E6C"/>
    <w:rsid w:val="77185B7F"/>
    <w:rsid w:val="772611CE"/>
    <w:rsid w:val="77287309"/>
    <w:rsid w:val="773109EF"/>
    <w:rsid w:val="776B2153"/>
    <w:rsid w:val="777378F5"/>
    <w:rsid w:val="777A2D3C"/>
    <w:rsid w:val="779A47E6"/>
    <w:rsid w:val="779E42D6"/>
    <w:rsid w:val="77A411C1"/>
    <w:rsid w:val="77BE03D4"/>
    <w:rsid w:val="77C67389"/>
    <w:rsid w:val="77C875A5"/>
    <w:rsid w:val="77CE623E"/>
    <w:rsid w:val="77D23F80"/>
    <w:rsid w:val="77E45A61"/>
    <w:rsid w:val="77EE267B"/>
    <w:rsid w:val="77F269E2"/>
    <w:rsid w:val="77F51A1C"/>
    <w:rsid w:val="77F75794"/>
    <w:rsid w:val="781E53EB"/>
    <w:rsid w:val="78204AE1"/>
    <w:rsid w:val="78481843"/>
    <w:rsid w:val="78537BEA"/>
    <w:rsid w:val="78542BE7"/>
    <w:rsid w:val="786D5A56"/>
    <w:rsid w:val="78731D64"/>
    <w:rsid w:val="78762B5D"/>
    <w:rsid w:val="7880578A"/>
    <w:rsid w:val="78827754"/>
    <w:rsid w:val="788405F8"/>
    <w:rsid w:val="78BD69DE"/>
    <w:rsid w:val="78C20890"/>
    <w:rsid w:val="78CD5ADC"/>
    <w:rsid w:val="78DF4BA6"/>
    <w:rsid w:val="78E5566F"/>
    <w:rsid w:val="78E661B6"/>
    <w:rsid w:val="78E71CAD"/>
    <w:rsid w:val="79074B81"/>
    <w:rsid w:val="7927654D"/>
    <w:rsid w:val="79372EBE"/>
    <w:rsid w:val="793F3897"/>
    <w:rsid w:val="79404F19"/>
    <w:rsid w:val="794C278F"/>
    <w:rsid w:val="794F0939"/>
    <w:rsid w:val="79565D8C"/>
    <w:rsid w:val="79654980"/>
    <w:rsid w:val="79A25BD4"/>
    <w:rsid w:val="79A84CD5"/>
    <w:rsid w:val="79A85401"/>
    <w:rsid w:val="79AF0FCA"/>
    <w:rsid w:val="79C97604"/>
    <w:rsid w:val="79E61F64"/>
    <w:rsid w:val="79E85CDC"/>
    <w:rsid w:val="79EF2560"/>
    <w:rsid w:val="79FA5A10"/>
    <w:rsid w:val="7A0F3269"/>
    <w:rsid w:val="7A1F0FD2"/>
    <w:rsid w:val="7A232671"/>
    <w:rsid w:val="7A4F18B8"/>
    <w:rsid w:val="7A704896"/>
    <w:rsid w:val="7A92650D"/>
    <w:rsid w:val="7AA601DA"/>
    <w:rsid w:val="7ACB02C6"/>
    <w:rsid w:val="7ACD7ECD"/>
    <w:rsid w:val="7ADB139D"/>
    <w:rsid w:val="7AF9279C"/>
    <w:rsid w:val="7AFA3A80"/>
    <w:rsid w:val="7B256ABC"/>
    <w:rsid w:val="7B454A69"/>
    <w:rsid w:val="7B51340D"/>
    <w:rsid w:val="7B5B1068"/>
    <w:rsid w:val="7B876E2F"/>
    <w:rsid w:val="7B914152"/>
    <w:rsid w:val="7B96677A"/>
    <w:rsid w:val="7B9D57BC"/>
    <w:rsid w:val="7BA172B6"/>
    <w:rsid w:val="7BA31FD8"/>
    <w:rsid w:val="7BC9569A"/>
    <w:rsid w:val="7BCC0CE6"/>
    <w:rsid w:val="7BD1454E"/>
    <w:rsid w:val="7BE349AD"/>
    <w:rsid w:val="7C1032C9"/>
    <w:rsid w:val="7C1D1542"/>
    <w:rsid w:val="7C305719"/>
    <w:rsid w:val="7C4729E4"/>
    <w:rsid w:val="7C991FAB"/>
    <w:rsid w:val="7CA103C5"/>
    <w:rsid w:val="7CA57EB5"/>
    <w:rsid w:val="7CB21D19"/>
    <w:rsid w:val="7CB41EA6"/>
    <w:rsid w:val="7CBE0F77"/>
    <w:rsid w:val="7CC51958"/>
    <w:rsid w:val="7CDF3DB1"/>
    <w:rsid w:val="7CE56503"/>
    <w:rsid w:val="7CEC40B6"/>
    <w:rsid w:val="7CF84488"/>
    <w:rsid w:val="7D0A7D18"/>
    <w:rsid w:val="7D0F532E"/>
    <w:rsid w:val="7D1943FF"/>
    <w:rsid w:val="7D1F702E"/>
    <w:rsid w:val="7D2708CA"/>
    <w:rsid w:val="7D28759A"/>
    <w:rsid w:val="7D2C4132"/>
    <w:rsid w:val="7D2F59D0"/>
    <w:rsid w:val="7D344D95"/>
    <w:rsid w:val="7D3B4375"/>
    <w:rsid w:val="7D3E79C1"/>
    <w:rsid w:val="7D4637E2"/>
    <w:rsid w:val="7D5611AF"/>
    <w:rsid w:val="7D871368"/>
    <w:rsid w:val="7D9B1948"/>
    <w:rsid w:val="7DB634F7"/>
    <w:rsid w:val="7DBD06C3"/>
    <w:rsid w:val="7E0B3D48"/>
    <w:rsid w:val="7E12157A"/>
    <w:rsid w:val="7E2766A8"/>
    <w:rsid w:val="7E2936C3"/>
    <w:rsid w:val="7E2E365C"/>
    <w:rsid w:val="7E352599"/>
    <w:rsid w:val="7E377DAE"/>
    <w:rsid w:val="7E3D4BB2"/>
    <w:rsid w:val="7E526F23"/>
    <w:rsid w:val="7E5C45A3"/>
    <w:rsid w:val="7E61605D"/>
    <w:rsid w:val="7E6411B9"/>
    <w:rsid w:val="7E685463"/>
    <w:rsid w:val="7E6B47E6"/>
    <w:rsid w:val="7EA853CE"/>
    <w:rsid w:val="7ECA3C03"/>
    <w:rsid w:val="7ECB1729"/>
    <w:rsid w:val="7EED169F"/>
    <w:rsid w:val="7EF03473"/>
    <w:rsid w:val="7EF90044"/>
    <w:rsid w:val="7F0C37F3"/>
    <w:rsid w:val="7F111831"/>
    <w:rsid w:val="7F1660D5"/>
    <w:rsid w:val="7F282E65"/>
    <w:rsid w:val="7F390D88"/>
    <w:rsid w:val="7F552A10"/>
    <w:rsid w:val="7F7E8F98"/>
    <w:rsid w:val="7F8A5140"/>
    <w:rsid w:val="7F8C19FC"/>
    <w:rsid w:val="7F8F2756"/>
    <w:rsid w:val="7F9528CA"/>
    <w:rsid w:val="7FA04963"/>
    <w:rsid w:val="7FAC155A"/>
    <w:rsid w:val="7FEC212C"/>
    <w:rsid w:val="7FEE3921"/>
    <w:rsid w:val="7FF732E9"/>
    <w:rsid w:val="7FFD45BD"/>
    <w:rsid w:val="95EF57B1"/>
    <w:rsid w:val="AFEE3667"/>
    <w:rsid w:val="B9BB36DC"/>
    <w:rsid w:val="BF68F871"/>
    <w:rsid w:val="BFF75D0F"/>
    <w:rsid w:val="D77C7624"/>
    <w:rsid w:val="DFBFDC12"/>
    <w:rsid w:val="DFD6A647"/>
    <w:rsid w:val="ECFC3713"/>
    <w:rsid w:val="EE7DC556"/>
    <w:rsid w:val="EFE60870"/>
    <w:rsid w:val="FBFFD9E8"/>
    <w:rsid w:val="FEDF750A"/>
    <w:rsid w:val="FFEF27D9"/>
    <w:rsid w:val="FFFF9EE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4">
    <w:name w:val="heading 1"/>
    <w:basedOn w:val="1"/>
    <w:next w:val="1"/>
    <w:link w:val="66"/>
    <w:qFormat/>
    <w:uiPriority w:val="9"/>
    <w:pPr>
      <w:keepNext/>
      <w:keepLines/>
      <w:spacing w:before="340" w:after="330" w:line="578" w:lineRule="auto"/>
      <w:outlineLvl w:val="0"/>
    </w:pPr>
    <w:rPr>
      <w:b/>
      <w:bCs/>
      <w:kern w:val="44"/>
      <w:sz w:val="44"/>
      <w:szCs w:val="44"/>
    </w:rPr>
  </w:style>
  <w:style w:type="paragraph" w:styleId="5">
    <w:name w:val="heading 2"/>
    <w:basedOn w:val="1"/>
    <w:next w:val="6"/>
    <w:qFormat/>
    <w:uiPriority w:val="0"/>
    <w:pPr>
      <w:keepNext/>
      <w:keepLines/>
      <w:spacing w:before="260" w:after="260" w:line="415" w:lineRule="auto"/>
      <w:outlineLvl w:val="1"/>
    </w:pPr>
    <w:rPr>
      <w:rFonts w:ascii="Arial" w:hAnsi="Arial" w:eastAsia="黑体" w:cs="Arial"/>
      <w:b/>
      <w:bCs/>
      <w:sz w:val="32"/>
      <w:szCs w:val="32"/>
    </w:rPr>
  </w:style>
  <w:style w:type="paragraph" w:styleId="8">
    <w:name w:val="heading 3"/>
    <w:basedOn w:val="1"/>
    <w:next w:val="1"/>
    <w:link w:val="68"/>
    <w:semiHidden/>
    <w:unhideWhenUsed/>
    <w:qFormat/>
    <w:uiPriority w:val="9"/>
    <w:pPr>
      <w:keepNext/>
      <w:keepLines/>
      <w:spacing w:before="260" w:after="260" w:line="416" w:lineRule="auto"/>
      <w:outlineLvl w:val="2"/>
    </w:pPr>
    <w:rPr>
      <w:b/>
      <w:bCs/>
      <w:sz w:val="32"/>
      <w:szCs w:val="32"/>
    </w:rPr>
  </w:style>
  <w:style w:type="paragraph" w:styleId="9">
    <w:name w:val="heading 4"/>
    <w:basedOn w:val="1"/>
    <w:next w:val="1"/>
    <w:link w:val="73"/>
    <w:qFormat/>
    <w:uiPriority w:val="0"/>
    <w:pPr>
      <w:keepNext/>
      <w:keepLines/>
      <w:spacing w:before="280" w:after="290" w:line="376" w:lineRule="auto"/>
      <w:outlineLvl w:val="3"/>
    </w:pPr>
    <w:rPr>
      <w:b/>
      <w:bCs/>
      <w:sz w:val="28"/>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微软简标宋" w:hAnsi="@微软简标宋" w:eastAsia="@微软简标宋" w:cs="@微软简标宋"/>
      <w:szCs w:val="24"/>
      <w:lang w:val="zh-CN"/>
    </w:rPr>
  </w:style>
  <w:style w:type="paragraph" w:styleId="3">
    <w:name w:val="Date"/>
    <w:basedOn w:val="1"/>
    <w:next w:val="1"/>
    <w:link w:val="62"/>
    <w:qFormat/>
    <w:uiPriority w:val="0"/>
    <w:rPr>
      <w:rFonts w:ascii="Arial" w:hAnsi="Arial" w:eastAsia="宋体" w:cs="Arial"/>
      <w:b/>
      <w:sz w:val="28"/>
    </w:rPr>
  </w:style>
  <w:style w:type="paragraph" w:customStyle="1" w:styleId="6">
    <w:name w:val="Í¼±íÕýÎÄ"/>
    <w:basedOn w:val="1"/>
    <w:next w:val="7"/>
    <w:qFormat/>
    <w:uiPriority w:val="0"/>
    <w:pPr>
      <w:ind w:firstLine="420" w:firstLineChars="200"/>
    </w:pPr>
    <w:rPr>
      <w:rFonts w:eastAsia="仿宋"/>
      <w:sz w:val="28"/>
    </w:r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10">
    <w:name w:val="toc 7"/>
    <w:basedOn w:val="1"/>
    <w:next w:val="1"/>
    <w:unhideWhenUsed/>
    <w:qFormat/>
    <w:uiPriority w:val="39"/>
    <w:pPr>
      <w:ind w:left="1260"/>
      <w:jc w:val="left"/>
    </w:pPr>
    <w:rPr>
      <w:rFonts w:ascii="Calibri" w:hAnsi="Calibri" w:cs="Calibri"/>
      <w:sz w:val="18"/>
      <w:szCs w:val="18"/>
    </w:rPr>
  </w:style>
  <w:style w:type="paragraph" w:styleId="11">
    <w:name w:val="table of authorities"/>
    <w:basedOn w:val="1"/>
    <w:next w:val="1"/>
    <w:unhideWhenUsed/>
    <w:qFormat/>
    <w:uiPriority w:val="99"/>
    <w:pPr>
      <w:ind w:left="420" w:leftChars="200"/>
    </w:pPr>
  </w:style>
  <w:style w:type="paragraph" w:styleId="12">
    <w:name w:val="Document Map"/>
    <w:basedOn w:val="1"/>
    <w:next w:val="1"/>
    <w:qFormat/>
    <w:uiPriority w:val="0"/>
    <w:pPr>
      <w:shd w:val="clear" w:color="auto" w:fill="000080"/>
      <w:spacing w:line="360" w:lineRule="auto"/>
      <w:ind w:firstLine="562" w:firstLineChars="200"/>
    </w:pPr>
    <w:rPr>
      <w:sz w:val="28"/>
    </w:rPr>
  </w:style>
  <w:style w:type="paragraph" w:styleId="13">
    <w:name w:val="annotation text"/>
    <w:basedOn w:val="1"/>
    <w:link w:val="65"/>
    <w:qFormat/>
    <w:uiPriority w:val="0"/>
    <w:pPr>
      <w:jc w:val="left"/>
    </w:pPr>
    <w:rPr>
      <w:rFonts w:ascii="Arial" w:hAnsi="Arial" w:eastAsia="黑体" w:cs="Arial"/>
    </w:rPr>
  </w:style>
  <w:style w:type="paragraph" w:styleId="14">
    <w:name w:val="Body Text Indent"/>
    <w:basedOn w:val="1"/>
    <w:next w:val="15"/>
    <w:unhideWhenUsed/>
    <w:qFormat/>
    <w:uiPriority w:val="0"/>
    <w:pPr>
      <w:spacing w:after="120"/>
      <w:ind w:left="420" w:leftChars="200"/>
    </w:pPr>
    <w:rPr>
      <w:rFonts w:asciiTheme="minorHAnsi" w:hAnsiTheme="minorHAnsi"/>
      <w:szCs w:val="22"/>
    </w:rPr>
  </w:style>
  <w:style w:type="paragraph" w:styleId="15">
    <w:name w:val="envelope return"/>
    <w:basedOn w:val="1"/>
    <w:next w:val="10"/>
    <w:qFormat/>
    <w:uiPriority w:val="0"/>
    <w:pPr>
      <w:snapToGrid w:val="0"/>
    </w:pPr>
    <w:rPr>
      <w:rFonts w:ascii="Arial" w:hAnsi="Arial"/>
    </w:rPr>
  </w:style>
  <w:style w:type="paragraph" w:styleId="16">
    <w:name w:val="index 4"/>
    <w:basedOn w:val="1"/>
    <w:next w:val="1"/>
    <w:qFormat/>
    <w:uiPriority w:val="0"/>
    <w:pPr>
      <w:ind w:left="600" w:leftChars="600"/>
    </w:pPr>
    <w:rPr>
      <w:rFonts w:ascii="Times New Roman" w:hAnsi="Times New Roman" w:eastAsia="宋体" w:cs="Times New Roman"/>
    </w:rPr>
  </w:style>
  <w:style w:type="paragraph" w:styleId="17">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8">
    <w:name w:val="Plain Text"/>
    <w:basedOn w:val="1"/>
    <w:link w:val="55"/>
    <w:qFormat/>
    <w:uiPriority w:val="99"/>
    <w:rPr>
      <w:rFonts w:ascii="宋体" w:hAnsi="Courier New" w:eastAsiaTheme="minorEastAsia" w:cstheme="minorBidi"/>
      <w:szCs w:val="22"/>
    </w:rPr>
  </w:style>
  <w:style w:type="paragraph" w:styleId="19">
    <w:name w:val="Balloon Text"/>
    <w:basedOn w:val="1"/>
    <w:link w:val="49"/>
    <w:semiHidden/>
    <w:unhideWhenUsed/>
    <w:qFormat/>
    <w:uiPriority w:val="99"/>
    <w:rPr>
      <w:sz w:val="18"/>
      <w:szCs w:val="18"/>
    </w:rPr>
  </w:style>
  <w:style w:type="paragraph" w:styleId="20">
    <w:name w:val="footer"/>
    <w:basedOn w:val="1"/>
    <w:link w:val="54"/>
    <w:unhideWhenUsed/>
    <w:qFormat/>
    <w:uiPriority w:val="99"/>
    <w:pPr>
      <w:tabs>
        <w:tab w:val="center" w:pos="4153"/>
        <w:tab w:val="right" w:pos="8306"/>
      </w:tabs>
      <w:snapToGrid w:val="0"/>
      <w:jc w:val="left"/>
    </w:pPr>
    <w:rPr>
      <w:sz w:val="18"/>
      <w:szCs w:val="18"/>
    </w:rPr>
  </w:style>
  <w:style w:type="paragraph" w:styleId="21">
    <w:name w:val="header"/>
    <w:basedOn w:val="1"/>
    <w:link w:val="53"/>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3">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4">
    <w:name w:val="Body Text 2"/>
    <w:basedOn w:val="1"/>
    <w:unhideWhenUsed/>
    <w:qFormat/>
    <w:uiPriority w:val="99"/>
    <w:pPr>
      <w:spacing w:after="120" w:line="480" w:lineRule="auto"/>
    </w:pPr>
  </w:style>
  <w:style w:type="paragraph" w:styleId="25">
    <w:name w:val="Normal (Web)"/>
    <w:basedOn w:val="1"/>
    <w:qFormat/>
    <w:uiPriority w:val="0"/>
    <w:pPr>
      <w:spacing w:before="100" w:beforeAutospacing="1" w:after="100" w:afterAutospacing="1"/>
      <w:jc w:val="left"/>
    </w:pPr>
    <w:rPr>
      <w:rFonts w:cs="Times New Roman"/>
      <w:kern w:val="0"/>
      <w:sz w:val="24"/>
    </w:rPr>
  </w:style>
  <w:style w:type="paragraph" w:styleId="26">
    <w:name w:val="index 1"/>
    <w:basedOn w:val="1"/>
    <w:next w:val="1"/>
    <w:qFormat/>
    <w:uiPriority w:val="0"/>
    <w:pPr>
      <w:jc w:val="center"/>
    </w:pPr>
    <w:rPr>
      <w:rFonts w:ascii="Arial" w:hAnsi="Arial" w:eastAsia="Arial" w:cs="Arial"/>
      <w:b/>
      <w:bCs/>
      <w:sz w:val="28"/>
    </w:rPr>
  </w:style>
  <w:style w:type="paragraph" w:styleId="27">
    <w:name w:val="Title"/>
    <w:basedOn w:val="1"/>
    <w:next w:val="1"/>
    <w:qFormat/>
    <w:uiPriority w:val="0"/>
    <w:pPr>
      <w:numPr>
        <w:ilvl w:val="0"/>
        <w:numId w:val="1"/>
      </w:numPr>
      <w:spacing w:line="360" w:lineRule="auto"/>
      <w:jc w:val="left"/>
      <w:outlineLvl w:val="0"/>
    </w:pPr>
    <w:rPr>
      <w:rFonts w:ascii="Cambria" w:hAnsi="Cambria" w:cs="Times New Roman"/>
      <w:b/>
      <w:bCs/>
      <w:sz w:val="28"/>
      <w:szCs w:val="32"/>
    </w:rPr>
  </w:style>
  <w:style w:type="paragraph" w:styleId="28">
    <w:name w:val="annotation subject"/>
    <w:basedOn w:val="13"/>
    <w:next w:val="13"/>
    <w:link w:val="76"/>
    <w:semiHidden/>
    <w:unhideWhenUsed/>
    <w:qFormat/>
    <w:uiPriority w:val="99"/>
    <w:rPr>
      <w:rFonts w:ascii="@仿宋_GB2312" w:hAnsi="@仿宋_GB2312" w:eastAsia="@仿宋_GB2312" w:cs="@仿宋_GB2312"/>
      <w:b/>
      <w:bCs/>
    </w:rPr>
  </w:style>
  <w:style w:type="paragraph" w:styleId="29">
    <w:name w:val="Body Text First Indent"/>
    <w:basedOn w:val="2"/>
    <w:next w:val="30"/>
    <w:unhideWhenUsed/>
    <w:qFormat/>
    <w:uiPriority w:val="99"/>
    <w:pPr>
      <w:ind w:firstLine="420" w:firstLineChars="100"/>
    </w:pPr>
  </w:style>
  <w:style w:type="paragraph" w:styleId="30">
    <w:name w:val="Body Text First Indent 2"/>
    <w:basedOn w:val="14"/>
    <w:next w:val="1"/>
    <w:qFormat/>
    <w:uiPriority w:val="0"/>
    <w:pPr>
      <w:spacing w:line="360" w:lineRule="auto"/>
      <w:ind w:firstLine="200"/>
    </w:pPr>
  </w:style>
  <w:style w:type="table" w:styleId="32">
    <w:name w:val="Table Grid"/>
    <w:basedOn w:val="31"/>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qFormat/>
    <w:uiPriority w:val="0"/>
    <w:rPr>
      <w:b/>
      <w:bCs/>
    </w:rPr>
  </w:style>
  <w:style w:type="character" w:styleId="35">
    <w:name w:val="FollowedHyperlink"/>
    <w:basedOn w:val="33"/>
    <w:semiHidden/>
    <w:unhideWhenUsed/>
    <w:qFormat/>
    <w:uiPriority w:val="99"/>
    <w:rPr>
      <w:color w:val="5C5C5C"/>
      <w:u w:val="none"/>
    </w:rPr>
  </w:style>
  <w:style w:type="character" w:styleId="36">
    <w:name w:val="Emphasis"/>
    <w:basedOn w:val="33"/>
    <w:qFormat/>
    <w:uiPriority w:val="20"/>
    <w:rPr>
      <w:b/>
      <w:bCs/>
    </w:rPr>
  </w:style>
  <w:style w:type="character" w:styleId="37">
    <w:name w:val="HTML Definition"/>
    <w:basedOn w:val="33"/>
    <w:semiHidden/>
    <w:unhideWhenUsed/>
    <w:qFormat/>
    <w:uiPriority w:val="99"/>
  </w:style>
  <w:style w:type="character" w:styleId="38">
    <w:name w:val="HTML Typewriter"/>
    <w:basedOn w:val="33"/>
    <w:semiHidden/>
    <w:unhideWhenUsed/>
    <w:qFormat/>
    <w:uiPriority w:val="99"/>
    <w:rPr>
      <w:rFonts w:hint="default" w:ascii="monospace" w:hAnsi="monospace" w:eastAsia="monospace" w:cs="monospace"/>
      <w:sz w:val="20"/>
    </w:rPr>
  </w:style>
  <w:style w:type="character" w:styleId="39">
    <w:name w:val="HTML Acronym"/>
    <w:basedOn w:val="33"/>
    <w:semiHidden/>
    <w:unhideWhenUsed/>
    <w:qFormat/>
    <w:uiPriority w:val="99"/>
    <w:rPr>
      <w:color w:val="D6D6D6"/>
    </w:rPr>
  </w:style>
  <w:style w:type="character" w:styleId="40">
    <w:name w:val="HTML Variable"/>
    <w:basedOn w:val="33"/>
    <w:semiHidden/>
    <w:unhideWhenUsed/>
    <w:qFormat/>
    <w:uiPriority w:val="99"/>
  </w:style>
  <w:style w:type="character" w:styleId="41">
    <w:name w:val="Hyperlink"/>
    <w:basedOn w:val="33"/>
    <w:unhideWhenUsed/>
    <w:qFormat/>
    <w:uiPriority w:val="99"/>
    <w:rPr>
      <w:color w:val="0000FF" w:themeColor="hyperlink"/>
      <w:u w:val="single"/>
      <w14:textFill>
        <w14:solidFill>
          <w14:schemeClr w14:val="hlink"/>
        </w14:solidFill>
      </w14:textFill>
    </w:rPr>
  </w:style>
  <w:style w:type="character" w:styleId="42">
    <w:name w:val="HTML Code"/>
    <w:basedOn w:val="33"/>
    <w:semiHidden/>
    <w:unhideWhenUsed/>
    <w:qFormat/>
    <w:uiPriority w:val="99"/>
    <w:rPr>
      <w:rFonts w:hint="default" w:ascii="monospace" w:hAnsi="monospace" w:eastAsia="monospace" w:cs="monospace"/>
      <w:sz w:val="20"/>
    </w:rPr>
  </w:style>
  <w:style w:type="character" w:styleId="43">
    <w:name w:val="annotation reference"/>
    <w:basedOn w:val="33"/>
    <w:semiHidden/>
    <w:unhideWhenUsed/>
    <w:qFormat/>
    <w:uiPriority w:val="99"/>
    <w:rPr>
      <w:sz w:val="21"/>
      <w:szCs w:val="21"/>
    </w:rPr>
  </w:style>
  <w:style w:type="character" w:styleId="44">
    <w:name w:val="HTML Cite"/>
    <w:basedOn w:val="33"/>
    <w:semiHidden/>
    <w:unhideWhenUsed/>
    <w:qFormat/>
    <w:uiPriority w:val="99"/>
  </w:style>
  <w:style w:type="character" w:styleId="45">
    <w:name w:val="HTML Keyboard"/>
    <w:basedOn w:val="33"/>
    <w:semiHidden/>
    <w:unhideWhenUsed/>
    <w:qFormat/>
    <w:uiPriority w:val="99"/>
    <w:rPr>
      <w:rFonts w:hint="default" w:ascii="monospace" w:hAnsi="monospace" w:eastAsia="monospace" w:cs="monospace"/>
      <w:sz w:val="20"/>
    </w:rPr>
  </w:style>
  <w:style w:type="character" w:styleId="46">
    <w:name w:val="HTML Sample"/>
    <w:basedOn w:val="33"/>
    <w:semiHidden/>
    <w:unhideWhenUsed/>
    <w:qFormat/>
    <w:uiPriority w:val="99"/>
    <w:rPr>
      <w:rFonts w:ascii="monospace" w:hAnsi="monospace" w:eastAsia="monospace" w:cs="monospace"/>
    </w:rPr>
  </w:style>
  <w:style w:type="paragraph" w:customStyle="1" w:styleId="47">
    <w:name w:val="正文 New"/>
    <w:qFormat/>
    <w:uiPriority w:val="0"/>
    <w:pPr>
      <w:widowControl w:val="0"/>
      <w:spacing w:line="440" w:lineRule="exact"/>
      <w:ind w:left="357" w:hanging="357"/>
      <w:jc w:val="both"/>
    </w:pPr>
    <w:rPr>
      <w:rFonts w:ascii="Times New Roman" w:hAnsi="Times New Roman" w:eastAsia="宋体" w:cs="Times New Roman"/>
      <w:color w:val="000000"/>
      <w:kern w:val="1"/>
      <w:sz w:val="21"/>
      <w:szCs w:val="22"/>
      <w:lang w:val="en-US" w:eastAsia="zh-CN" w:bidi="ar-SA"/>
    </w:rPr>
  </w:style>
  <w:style w:type="paragraph" w:customStyle="1" w:styleId="48">
    <w:name w:val="表格文字"/>
    <w:basedOn w:val="14"/>
    <w:next w:val="2"/>
    <w:qFormat/>
    <w:uiPriority w:val="0"/>
    <w:pPr>
      <w:ind w:firstLine="200"/>
    </w:pPr>
    <w:rPr>
      <w:rFonts w:ascii="Arial" w:hAnsi="Arial"/>
      <w:spacing w:val="-5"/>
      <w:kern w:val="0"/>
      <w:szCs w:val="20"/>
    </w:rPr>
  </w:style>
  <w:style w:type="character" w:customStyle="1" w:styleId="49">
    <w:name w:val="批注框文本 Char"/>
    <w:basedOn w:val="33"/>
    <w:link w:val="19"/>
    <w:semiHidden/>
    <w:qFormat/>
    <w:uiPriority w:val="99"/>
    <w:rPr>
      <w:rFonts w:ascii="@仿宋_GB2312" w:hAnsi="@仿宋_GB2312" w:eastAsia="@仿宋_GB2312" w:cs="@仿宋_GB2312"/>
      <w:sz w:val="18"/>
      <w:szCs w:val="18"/>
    </w:rPr>
  </w:style>
  <w:style w:type="paragraph" w:customStyle="1" w:styleId="50">
    <w:name w:val="正文（缩进）"/>
    <w:basedOn w:val="1"/>
    <w:qFormat/>
    <w:uiPriority w:val="0"/>
    <w:pPr>
      <w:widowControl/>
      <w:spacing w:before="156" w:after="156"/>
      <w:ind w:firstLine="480" w:firstLineChars="200"/>
      <w:jc w:val="left"/>
    </w:pPr>
    <w:rPr>
      <w:kern w:val="0"/>
      <w:sz w:val="24"/>
      <w:szCs w:val="24"/>
    </w:rPr>
  </w:style>
  <w:style w:type="paragraph" w:customStyle="1" w:styleId="51">
    <w:name w:val="xl31"/>
    <w:basedOn w:val="1"/>
    <w:qFormat/>
    <w:uiPriority w:val="0"/>
    <w:pPr>
      <w:widowControl/>
      <w:spacing w:before="100" w:beforeAutospacing="1" w:after="100" w:afterAutospacing="1"/>
      <w:jc w:val="center"/>
    </w:pPr>
    <w:rPr>
      <w:b/>
      <w:bCs/>
      <w:kern w:val="0"/>
      <w:sz w:val="28"/>
      <w:szCs w:val="28"/>
    </w:rPr>
  </w:style>
  <w:style w:type="paragraph" w:customStyle="1" w:styleId="52">
    <w:name w:val="D&amp;L"/>
    <w:basedOn w:val="21"/>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53">
    <w:name w:val="页眉 Char"/>
    <w:basedOn w:val="33"/>
    <w:link w:val="21"/>
    <w:qFormat/>
    <w:uiPriority w:val="99"/>
    <w:rPr>
      <w:rFonts w:ascii="@仿宋_GB2312" w:hAnsi="@仿宋_GB2312" w:eastAsia="@仿宋_GB2312" w:cs="@仿宋_GB2312"/>
      <w:sz w:val="18"/>
      <w:szCs w:val="18"/>
    </w:rPr>
  </w:style>
  <w:style w:type="character" w:customStyle="1" w:styleId="54">
    <w:name w:val="页脚 Char"/>
    <w:basedOn w:val="33"/>
    <w:link w:val="20"/>
    <w:qFormat/>
    <w:uiPriority w:val="99"/>
    <w:rPr>
      <w:rFonts w:ascii="@仿宋_GB2312" w:hAnsi="@仿宋_GB2312" w:eastAsia="@仿宋_GB2312" w:cs="@仿宋_GB2312"/>
      <w:sz w:val="18"/>
      <w:szCs w:val="18"/>
    </w:rPr>
  </w:style>
  <w:style w:type="character" w:customStyle="1" w:styleId="55">
    <w:name w:val="纯文本 Char"/>
    <w:link w:val="18"/>
    <w:qFormat/>
    <w:uiPriority w:val="0"/>
    <w:rPr>
      <w:rFonts w:ascii="宋体" w:hAnsi="Courier New"/>
    </w:rPr>
  </w:style>
  <w:style w:type="character" w:customStyle="1" w:styleId="56">
    <w:name w:val="纯文本 字符1"/>
    <w:basedOn w:val="33"/>
    <w:semiHidden/>
    <w:qFormat/>
    <w:uiPriority w:val="99"/>
    <w:rPr>
      <w:rFonts w:hAnsi="Courier New" w:cs="Courier New" w:asciiTheme="minorEastAsia"/>
      <w:szCs w:val="20"/>
    </w:rPr>
  </w:style>
  <w:style w:type="character" w:customStyle="1" w:styleId="57">
    <w:name w:val="未处理的提及1"/>
    <w:basedOn w:val="33"/>
    <w:semiHidden/>
    <w:unhideWhenUsed/>
    <w:qFormat/>
    <w:uiPriority w:val="99"/>
    <w:rPr>
      <w:color w:val="605E5C"/>
      <w:shd w:val="clear" w:color="auto" w:fill="E1DFDD"/>
    </w:rPr>
  </w:style>
  <w:style w:type="paragraph" w:styleId="58">
    <w:name w:val="List Paragraph"/>
    <w:basedOn w:val="1"/>
    <w:qFormat/>
    <w:uiPriority w:val="34"/>
    <w:pPr>
      <w:ind w:firstLine="420" w:firstLineChars="200"/>
    </w:pPr>
  </w:style>
  <w:style w:type="paragraph" w:customStyle="1" w:styleId="59">
    <w:name w:val="Char Char Char Char Char Char Char1 Char"/>
    <w:basedOn w:val="1"/>
    <w:qFormat/>
    <w:uiPriority w:val="0"/>
    <w:rPr>
      <w:rFonts w:ascii="Arial" w:hAnsi="Arial" w:eastAsia="宋体" w:cs="Arial"/>
      <w:sz w:val="24"/>
    </w:rPr>
  </w:style>
  <w:style w:type="table" w:customStyle="1" w:styleId="60">
    <w:name w:val="网格表 1 浅色1"/>
    <w:basedOn w:val="31"/>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61">
    <w:name w:val="日期 字符"/>
    <w:basedOn w:val="33"/>
    <w:semiHidden/>
    <w:qFormat/>
    <w:uiPriority w:val="99"/>
    <w:rPr>
      <w:rFonts w:ascii="@仿宋_GB2312" w:hAnsi="@仿宋_GB2312" w:eastAsia="@仿宋_GB2312" w:cs="@仿宋_GB2312"/>
      <w:szCs w:val="20"/>
    </w:rPr>
  </w:style>
  <w:style w:type="character" w:customStyle="1" w:styleId="62">
    <w:name w:val="日期 Char"/>
    <w:link w:val="3"/>
    <w:qFormat/>
    <w:uiPriority w:val="0"/>
    <w:rPr>
      <w:rFonts w:ascii="Arial" w:hAnsi="Arial" w:eastAsia="宋体" w:cs="Arial"/>
      <w:b/>
      <w:sz w:val="28"/>
      <w:szCs w:val="20"/>
    </w:rPr>
  </w:style>
  <w:style w:type="character" w:customStyle="1" w:styleId="63">
    <w:name w:val="纯文本 Char1"/>
    <w:qFormat/>
    <w:locked/>
    <w:uiPriority w:val="99"/>
    <w:rPr>
      <w:rFonts w:ascii="Arial" w:hAnsi="Arial" w:eastAsia="Arial"/>
      <w:kern w:val="2"/>
      <w:sz w:val="21"/>
      <w:lang w:val="en-US" w:eastAsia="zh-CN" w:bidi="ar-SA"/>
    </w:rPr>
  </w:style>
  <w:style w:type="character" w:customStyle="1" w:styleId="64">
    <w:name w:val="批注文字 Char"/>
    <w:basedOn w:val="33"/>
    <w:semiHidden/>
    <w:qFormat/>
    <w:uiPriority w:val="99"/>
    <w:rPr>
      <w:rFonts w:ascii="@仿宋_GB2312" w:hAnsi="@仿宋_GB2312" w:eastAsia="@仿宋_GB2312" w:cs="@仿宋_GB2312"/>
      <w:szCs w:val="20"/>
    </w:rPr>
  </w:style>
  <w:style w:type="character" w:customStyle="1" w:styleId="65">
    <w:name w:val="批注文字 Char1"/>
    <w:link w:val="13"/>
    <w:qFormat/>
    <w:uiPriority w:val="0"/>
    <w:rPr>
      <w:rFonts w:ascii="Arial" w:hAnsi="Arial" w:eastAsia="黑体" w:cs="Arial"/>
      <w:szCs w:val="20"/>
    </w:rPr>
  </w:style>
  <w:style w:type="character" w:customStyle="1" w:styleId="66">
    <w:name w:val="标题 1 Char"/>
    <w:basedOn w:val="33"/>
    <w:link w:val="4"/>
    <w:qFormat/>
    <w:uiPriority w:val="9"/>
    <w:rPr>
      <w:rFonts w:ascii="@仿宋_GB2312" w:hAnsi="@仿宋_GB2312" w:eastAsia="@仿宋_GB2312" w:cs="@仿宋_GB2312"/>
      <w:b/>
      <w:bCs/>
      <w:kern w:val="44"/>
      <w:sz w:val="44"/>
      <w:szCs w:val="44"/>
    </w:rPr>
  </w:style>
  <w:style w:type="paragraph" w:customStyle="1" w:styleId="67">
    <w:name w:val="TOC 标题1"/>
    <w:basedOn w:val="4"/>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8">
    <w:name w:val="标题 3 Char"/>
    <w:basedOn w:val="33"/>
    <w:link w:val="8"/>
    <w:semiHidden/>
    <w:qFormat/>
    <w:uiPriority w:val="9"/>
    <w:rPr>
      <w:rFonts w:ascii="@仿宋_GB2312" w:hAnsi="@仿宋_GB2312" w:eastAsia="@仿宋_GB2312" w:cs="@仿宋_GB2312"/>
      <w:b/>
      <w:bCs/>
      <w:sz w:val="32"/>
      <w:szCs w:val="32"/>
    </w:rPr>
  </w:style>
  <w:style w:type="character" w:customStyle="1" w:styleId="69">
    <w:name w:val="fontstyle01"/>
    <w:basedOn w:val="33"/>
    <w:qFormat/>
    <w:uiPriority w:val="0"/>
    <w:rPr>
      <w:rFonts w:hint="eastAsia" w:ascii="宋体" w:hAnsi="宋体" w:eastAsia="宋体"/>
      <w:color w:val="000000"/>
      <w:sz w:val="22"/>
      <w:szCs w:val="22"/>
    </w:rPr>
  </w:style>
  <w:style w:type="character" w:customStyle="1" w:styleId="70">
    <w:name w:val="fontstyle21"/>
    <w:basedOn w:val="33"/>
    <w:qFormat/>
    <w:uiPriority w:val="0"/>
    <w:rPr>
      <w:rFonts w:hint="default" w:ascii="TimesNewRomanPSMT" w:hAnsi="TimesNewRomanPSMT"/>
      <w:color w:val="000000"/>
      <w:sz w:val="22"/>
      <w:szCs w:val="22"/>
    </w:rPr>
  </w:style>
  <w:style w:type="character" w:customStyle="1" w:styleId="71">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72">
    <w:name w:val="标题 4 字符"/>
    <w:basedOn w:val="33"/>
    <w:semiHidden/>
    <w:qFormat/>
    <w:uiPriority w:val="9"/>
    <w:rPr>
      <w:rFonts w:asciiTheme="majorHAnsi" w:hAnsiTheme="majorHAnsi" w:eastAsiaTheme="majorEastAsia" w:cstheme="majorBidi"/>
      <w:b/>
      <w:bCs/>
      <w:sz w:val="28"/>
      <w:szCs w:val="28"/>
    </w:rPr>
  </w:style>
  <w:style w:type="character" w:customStyle="1" w:styleId="73">
    <w:name w:val="标题 4 Char1"/>
    <w:link w:val="9"/>
    <w:qFormat/>
    <w:uiPriority w:val="0"/>
    <w:rPr>
      <w:rFonts w:ascii="@仿宋_GB2312" w:hAnsi="@仿宋_GB2312" w:eastAsia="@仿宋_GB2312" w:cs="@仿宋_GB2312"/>
      <w:b/>
      <w:bCs/>
      <w:sz w:val="28"/>
      <w:szCs w:val="28"/>
    </w:rPr>
  </w:style>
  <w:style w:type="character" w:customStyle="1" w:styleId="74">
    <w:name w:val="标题 4 Char"/>
    <w:qFormat/>
    <w:uiPriority w:val="0"/>
    <w:rPr>
      <w:rFonts w:ascii="Arial" w:hAnsi="Arial" w:eastAsia="Arial"/>
      <w:b/>
      <w:bCs/>
      <w:kern w:val="2"/>
      <w:sz w:val="28"/>
      <w:szCs w:val="28"/>
      <w:lang w:val="en-US" w:eastAsia="zh-CN" w:bidi="ar-SA"/>
    </w:rPr>
  </w:style>
  <w:style w:type="table" w:customStyle="1" w:styleId="75">
    <w:name w:val="网格型1"/>
    <w:basedOn w:val="3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6">
    <w:name w:val="批注主题 Char"/>
    <w:basedOn w:val="65"/>
    <w:link w:val="28"/>
    <w:semiHidden/>
    <w:qFormat/>
    <w:uiPriority w:val="99"/>
    <w:rPr>
      <w:rFonts w:ascii="@仿宋_GB2312" w:hAnsi="@仿宋_GB2312" w:eastAsia="@仿宋_GB2312" w:cs="@仿宋_GB2312"/>
      <w:b/>
      <w:bCs/>
      <w:szCs w:val="20"/>
    </w:rPr>
  </w:style>
  <w:style w:type="table" w:customStyle="1" w:styleId="77">
    <w:name w:val="Table Normal"/>
    <w:semiHidden/>
    <w:unhideWhenUsed/>
    <w:qFormat/>
    <w:uiPriority w:val="0"/>
    <w:tblPr>
      <w:tblCellMar>
        <w:top w:w="0" w:type="dxa"/>
        <w:left w:w="0" w:type="dxa"/>
        <w:bottom w:w="0" w:type="dxa"/>
        <w:right w:w="0" w:type="dxa"/>
      </w:tblCellMar>
    </w:tblPr>
  </w:style>
  <w:style w:type="paragraph" w:customStyle="1" w:styleId="78">
    <w:name w:val="Table Text"/>
    <w:basedOn w:val="1"/>
    <w:semiHidden/>
    <w:qFormat/>
    <w:uiPriority w:val="0"/>
    <w:rPr>
      <w:rFonts w:ascii="Arial" w:hAnsi="Arial" w:eastAsia="Arial" w:cs="Arial"/>
      <w:szCs w:val="21"/>
      <w:lang w:eastAsia="en-US"/>
    </w:rPr>
  </w:style>
  <w:style w:type="paragraph" w:customStyle="1" w:styleId="79">
    <w:name w:val="正文样式"/>
    <w:basedOn w:val="30"/>
    <w:qFormat/>
    <w:uiPriority w:val="0"/>
    <w:pPr>
      <w:autoSpaceDE w:val="0"/>
      <w:autoSpaceDN w:val="0"/>
      <w:adjustRightInd w:val="0"/>
      <w:spacing w:after="0"/>
      <w:ind w:left="0" w:leftChars="0"/>
      <w:jc w:val="left"/>
    </w:pPr>
    <w:rPr>
      <w:rFonts w:cs="宋体"/>
      <w:color w:val="000000"/>
      <w:lang w:val="zh-CN"/>
    </w:rPr>
  </w:style>
  <w:style w:type="character" w:customStyle="1" w:styleId="80">
    <w:name w:val="hover"/>
    <w:basedOn w:val="33"/>
    <w:qFormat/>
    <w:uiPriority w:val="0"/>
  </w:style>
  <w:style w:type="character" w:customStyle="1" w:styleId="81">
    <w:name w:val="hover1"/>
    <w:basedOn w:val="33"/>
    <w:qFormat/>
    <w:uiPriority w:val="0"/>
    <w:rPr>
      <w:color w:val="2590EB"/>
    </w:rPr>
  </w:style>
  <w:style w:type="character" w:customStyle="1" w:styleId="82">
    <w:name w:val="hover2"/>
    <w:basedOn w:val="33"/>
    <w:qFormat/>
    <w:uiPriority w:val="0"/>
    <w:rPr>
      <w:color w:val="2590EB"/>
    </w:rPr>
  </w:style>
  <w:style w:type="character" w:customStyle="1" w:styleId="83">
    <w:name w:val="hover3"/>
    <w:basedOn w:val="33"/>
    <w:qFormat/>
    <w:uiPriority w:val="0"/>
    <w:rPr>
      <w:color w:val="2590EB"/>
      <w:shd w:val="clear" w:fill="E9F4FD"/>
    </w:rPr>
  </w:style>
  <w:style w:type="character" w:customStyle="1" w:styleId="84">
    <w:name w:val="hover4"/>
    <w:basedOn w:val="33"/>
    <w:qFormat/>
    <w:uiPriority w:val="0"/>
    <w:rPr>
      <w:color w:val="2590EB"/>
      <w:shd w:val="clear" w:fill="E9F4FD"/>
    </w:rPr>
  </w:style>
  <w:style w:type="paragraph" w:styleId="85">
    <w:name w:val="No Spacing"/>
    <w:qFormat/>
    <w:uiPriority w:val="1"/>
    <w:pPr>
      <w:widowControl w:val="0"/>
      <w:spacing w:line="360" w:lineRule="auto"/>
      <w:jc w:val="both"/>
    </w:pPr>
    <w:rPr>
      <w:rFonts w:ascii="宋体" w:hAnsi="宋体" w:eastAsia="宋体" w:cstheme="minorBidi"/>
      <w:kern w:val="2"/>
      <w:sz w:val="24"/>
      <w:szCs w:val="24"/>
      <w:lang w:val="en-US" w:eastAsia="zh-CN" w:bidi="ar-SA"/>
    </w:rPr>
  </w:style>
  <w:style w:type="paragraph" w:customStyle="1" w:styleId="86">
    <w:name w:val="text-tag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87">
    <w:name w:val="纯文本1"/>
    <w:basedOn w:val="1"/>
    <w:qFormat/>
    <w:uiPriority w:val="0"/>
    <w:rPr>
      <w:rFonts w:ascii="Arial" w:hAnsi="Arial" w:eastAsia="Arial" w:cstheme="minorBidi"/>
      <w:szCs w:val="22"/>
    </w:rPr>
  </w:style>
  <w:style w:type="character" w:customStyle="1" w:styleId="88">
    <w:name w:val="mini-outputtext1"/>
    <w:basedOn w:val="33"/>
    <w:qFormat/>
    <w:uiPriority w:val="0"/>
  </w:style>
  <w:style w:type="paragraph" w:customStyle="1" w:styleId="89">
    <w:name w:val="Normal_45"/>
    <w:qFormat/>
    <w:uiPriority w:val="0"/>
    <w:pPr>
      <w:spacing w:before="120" w:after="240"/>
      <w:jc w:val="both"/>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akoosky</Company>
  <Pages>111</Pages>
  <Words>2235</Words>
  <Characters>2613</Characters>
  <Lines>1</Lines>
  <Paragraphs>1</Paragraphs>
  <TotalTime>1</TotalTime>
  <ScaleCrop>false</ScaleCrop>
  <LinksUpToDate>false</LinksUpToDate>
  <CharactersWithSpaces>2688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2019-05-08T06:32:00Z</dcterms:created>
  <dc:creator>Anakin</dc:creator>
  <cp:lastModifiedBy>傻傻一辈子</cp:lastModifiedBy>
  <cp:lastPrinted>2025-10-27T16:34:00Z</cp:lastPrinted>
  <dcterms:modified xsi:type="dcterms:W3CDTF">2026-01-05T03:34:53Z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EAD7ADCBBA8F43619316AFC050F40175_13</vt:lpwstr>
  </property>
  <property fmtid="{D5CDD505-2E9C-101B-9397-08002B2CF9AE}" pid="4" name="KSOTemplateDocerSaveRecord">
    <vt:lpwstr>eyJoZGlkIjoiMTljMDcwYWJmYjExZWQzNTVmZDAzZTYwM2JlMzJmZDYiLCJ1c2VySWQiOiIzODU2Mzk2OTQifQ==</vt:lpwstr>
  </property>
</Properties>
</file>