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15058843"/>
      <w:bookmarkStart w:id="1" w:name="_Toc296602400"/>
      <w:bookmarkStart w:id="2" w:name="_Toc461631222"/>
      <w:bookmarkStart w:id="3" w:name="_Toc506107265"/>
      <w:bookmarkStart w:id="4" w:name="_Toc247085669"/>
      <w:bookmarkStart w:id="5" w:name="_Toc246996898"/>
      <w:bookmarkStart w:id="6" w:name="_Toc324404811"/>
      <w:bookmarkStart w:id="7" w:name="OLE_LINK4"/>
      <w:bookmarkStart w:id="8" w:name="OLE_LINK2"/>
      <w:bookmarkStart w:id="9" w:name="OLE_LINK1"/>
      <w:bookmarkStart w:id="10" w:name="OLE_LINK5"/>
      <w:bookmarkStart w:id="11" w:name="OLE_LINK3"/>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2025年口袋公园项目一期：清流路与西涧路交口东南角项目</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color w:val="auto"/>
          <w:highlight w:val="none"/>
        </w:rPr>
      </w:pPr>
      <w:r>
        <w:rPr>
          <w:rFonts w:hint="eastAsia"/>
          <w:color w:val="auto"/>
          <w:highlight w:val="none"/>
        </w:rPr>
        <w:t>项目编号：HXJY1110001054501001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32059"/>
      <w:bookmarkStart w:id="13" w:name="_Toc22225"/>
      <w:bookmarkStart w:id="14" w:name="_Toc20499"/>
      <w:bookmarkStart w:id="15" w:name="_Toc25057"/>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滁州市园林景观管理中心</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5511"/>
      <w:bookmarkStart w:id="17" w:name="_Toc179632527"/>
      <w:bookmarkStart w:id="18" w:name="_Toc152042287"/>
      <w:bookmarkStart w:id="19" w:name="_Toc144974479"/>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2025年口袋公园项目一期：清流路与西涧路交口东南角项目</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101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78803320"/>
      <w:bookmarkStart w:id="21" w:name="_Toc12261"/>
      <w:bookmarkStart w:id="22" w:name="_Toc7325"/>
      <w:bookmarkStart w:id="23" w:name="_Toc21980"/>
      <w:bookmarkStart w:id="24" w:name="_Toc179632544"/>
      <w:bookmarkStart w:id="25" w:name="_Toc152045527"/>
      <w:bookmarkStart w:id="26" w:name="_Toc35425050"/>
      <w:bookmarkStart w:id="27" w:name="_Toc506107267"/>
      <w:bookmarkStart w:id="28" w:name="_Toc152042303"/>
      <w:bookmarkStart w:id="29" w:name="_Toc324404813"/>
      <w:bookmarkStart w:id="30" w:name="_Toc35424883"/>
      <w:bookmarkStart w:id="31" w:name="_Toc247085687"/>
      <w:bookmarkStart w:id="32" w:name="_Toc246996173"/>
      <w:bookmarkStart w:id="33" w:name="_Toc246996916"/>
      <w:bookmarkStart w:id="34" w:name="_Toc144974495"/>
      <w:bookmarkStart w:id="35" w:name="_Toc15058844"/>
      <w:r>
        <w:rPr>
          <w:rFonts w:hint="eastAsia"/>
          <w:bCs/>
          <w:color w:val="auto"/>
          <w:szCs w:val="32"/>
          <w:highlight w:val="none"/>
          <w:lang w:eastAsia="zh-CN"/>
        </w:rPr>
        <w:t>2025年口袋公园项目一期：清流路与西涧路交口东南角项目</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2490"/>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2025年口袋公园项目一期：清流路与西涧路交口东南角项目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HXJY1110001054501001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E2141B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1、投标人要求：应具备与从事工程建设活动相匹配的专业技术管理人员、技术工人、资金、设备等条件，并遵守工程建设相关法律法规；</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2、项目经理要求：须具备园林绿化相关专业中级（或以上）职称或市政公用工程专业贰级（或以上）注册建造师资格。</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20万元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招标人提供的全套设计施工图纸及工程量清单中的全部内容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15</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2026年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22</w:t>
            </w:r>
            <w:r>
              <w:rPr>
                <w:rFonts w:hint="eastAsia" w:ascii="宋体" w:hAnsi="宋体" w:eastAsia="宋体" w:cs="宋体"/>
                <w:b w:val="0"/>
                <w:bCs w:val="0"/>
                <w:color w:val="auto"/>
                <w:kern w:val="0"/>
                <w:sz w:val="21"/>
                <w:szCs w:val="21"/>
                <w:highlight w:val="none"/>
                <w:lang w:val="en-US" w:eastAsia="zh-CN" w:bidi="ar"/>
              </w:rPr>
              <w:t>日8时30分(北京时间)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2026年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22</w:t>
            </w:r>
            <w:r>
              <w:rPr>
                <w:rFonts w:hint="eastAsia" w:ascii="宋体" w:hAnsi="宋体" w:eastAsia="宋体" w:cs="宋体"/>
                <w:b w:val="0"/>
                <w:bCs w:val="0"/>
                <w:color w:val="auto"/>
                <w:kern w:val="0"/>
                <w:sz w:val="21"/>
                <w:szCs w:val="21"/>
                <w:highlight w:val="none"/>
                <w:lang w:val="en-US" w:eastAsia="zh-CN" w:bidi="ar"/>
              </w:rPr>
              <w:t>日8时30分(北京时间)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网上开标，投标人登录滁州市城投工程咨询管理有限公司不见面开标系统参与网上开标（网址：http://js.etrading.cn/EpointBidOpening/bidopeninghallaction/hall/login）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本工程位于清流路与西涧路交口东南角，面积约3625平方米，项目主要建设内容为绿化环境提升，具体内容详见施工图纸及工程量清单。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20万元</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财政</w:t>
            </w:r>
            <w:r>
              <w:rPr>
                <w:rFonts w:hint="eastAsia" w:ascii="宋体" w:hAnsi="宋体" w:eastAsia="宋体" w:cs="宋体"/>
                <w:color w:val="auto"/>
                <w:kern w:val="0"/>
                <w:sz w:val="21"/>
                <w:szCs w:val="21"/>
                <w:highlight w:val="none"/>
                <w:lang w:val="en-US" w:eastAsia="zh-CN" w:bidi="ar"/>
              </w:rPr>
              <w:t>资金</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BF3627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24C977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05A96BD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32D4809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39497F3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2B85AE8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786BE6F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15</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17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滁州市园林景观管理中心</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滁州市花园西路81号林业大厦8楼</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白蕾</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0550-3010967</w:t>
            </w:r>
          </w:p>
        </w:tc>
        <w:tc>
          <w:tcPr>
            <w:tcW w:w="54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中国招标公共服务平台（http://www.cebpubservice.com/）、安徽省招标投标信息网（www.ahtba.org.cn）、滁州市城投工程咨询管理有限公司（https://www.czctgczx.com/）、滁州市重点工程建设管理处（http://zdc.chuzhou.gov.cn/）网站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18989"/>
      <w:bookmarkStart w:id="38" w:name="_Toc8980"/>
      <w:bookmarkStart w:id="39" w:name="_Toc22947"/>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152042304"/>
      <w:bookmarkStart w:id="41" w:name="_Toc324404814"/>
      <w:bookmarkStart w:id="42" w:name="_Toc179632545"/>
      <w:bookmarkStart w:id="43" w:name="_Toc35425051"/>
      <w:bookmarkStart w:id="44" w:name="_Toc15058845"/>
      <w:bookmarkStart w:id="45" w:name="_Toc247085688"/>
      <w:bookmarkStart w:id="46" w:name="_Toc152045528"/>
      <w:bookmarkStart w:id="47" w:name="_Toc506107268"/>
      <w:bookmarkStart w:id="48" w:name="_Toc144974496"/>
      <w:bookmarkStart w:id="49" w:name="_Toc35424884"/>
      <w:bookmarkStart w:id="50" w:name="_Toc246996917"/>
      <w:bookmarkStart w:id="51" w:name="_Toc246996174"/>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152045529"/>
            <w:bookmarkStart w:id="53" w:name="_Toc152042305"/>
            <w:bookmarkStart w:id="54" w:name="_Toc144974497"/>
            <w:bookmarkStart w:id="55" w:name="_Toc179632546"/>
            <w:bookmarkStart w:id="56" w:name="_Toc246996918"/>
            <w:bookmarkStart w:id="57" w:name="_Toc324404815"/>
            <w:bookmarkStart w:id="58" w:name="_Toc506107269"/>
            <w:bookmarkStart w:id="59" w:name="_Toc247085689"/>
            <w:bookmarkStart w:id="60" w:name="_Toc24699617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自合同签订之日起，不高于</w:t>
            </w:r>
            <w:r>
              <w:rPr>
                <w:rFonts w:hint="eastAsia" w:ascii="宋体" w:hAnsi="宋体" w:cs="宋体"/>
                <w:b/>
                <w:color w:val="auto"/>
                <w:sz w:val="21"/>
                <w:szCs w:val="21"/>
                <w:highlight w:val="none"/>
                <w:u w:val="single"/>
                <w:lang w:val="en-US" w:eastAsia="zh-CN"/>
              </w:rPr>
              <w:t xml:space="preserve"> 30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，因中标人原因造成的工期延误，每推迟一天，按合同价款（扣除暂估价和暂列金）万分之二处以违约金</w:t>
            </w:r>
            <w:r>
              <w:rPr>
                <w:rFonts w:hint="eastAsia" w:ascii="宋体" w:hAnsi="宋体" w:cs="宋体"/>
                <w:color w:val="auto"/>
                <w:sz w:val="21"/>
                <w:szCs w:val="21"/>
                <w:highlight w:val="none"/>
              </w:rPr>
              <w:t xml:space="preserve">。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符合国家及项目所在地验收标准，施工质量合格，绿化成活率100%。绿化工程养护期一年（从竣工验收合格之日起计算）</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19</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日17时后以澄清公告形式在滁州市城投工程咨询管理有限公司（https://www.czctgczx.com/）、滁州市重点工程建设管理处网站发布，请各位投标人注意查看有关澄清内容，如不及时查看造成后果由投标人自负。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199266.95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元），应当包括总价、各单位工程的分部分项工程费、措施项目费、其他项目费、不可竞争性费用和税金。</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 xml:space="preserve">（投标人中标后须递交与网上电子投标文件完全一致的纸质版投标文件，并按要求加盖单位章；份数：正本 1 份，副本 </w:t>
            </w:r>
            <w:r>
              <w:rPr>
                <w:rFonts w:hint="eastAsia" w:hAnsi="宋体" w:cs="宋体"/>
                <w:b/>
                <w:color w:val="auto"/>
                <w:kern w:val="0"/>
                <w:szCs w:val="21"/>
                <w:highlight w:val="none"/>
                <w:lang w:val="en-US" w:eastAsia="zh-CN"/>
              </w:rPr>
              <w:t>4</w:t>
            </w:r>
            <w:r>
              <w:rPr>
                <w:rFonts w:hint="eastAsia" w:ascii="宋体" w:hAnsi="宋体" w:cs="宋体"/>
                <w:b/>
                <w:color w:val="auto"/>
                <w:kern w:val="0"/>
                <w:szCs w:val="21"/>
                <w:highlight w:val="none"/>
              </w:rPr>
              <w:t xml:space="preserve"> 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22</w:t>
            </w:r>
            <w:bookmarkStart w:id="1080" w:name="_GoBack"/>
            <w:bookmarkEnd w:id="1080"/>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 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21100BC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是否要求提交履约担保：要求</w:t>
            </w:r>
          </w:p>
          <w:p w14:paraId="246914C0">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履约担保的形式：支持银行转账、银行电汇、银行保函、担保机构担保、保证保险使用 </w:t>
            </w:r>
          </w:p>
          <w:p w14:paraId="2F6A29A8">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履约担保的金额：中标合同价款×2%</w:t>
            </w:r>
          </w:p>
          <w:p w14:paraId="4604ED80">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收款单位：中标后另行通知 </w:t>
            </w:r>
          </w:p>
          <w:p w14:paraId="34EB6017">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开户银行：中标后另行通知 </w:t>
            </w:r>
          </w:p>
          <w:p w14:paraId="4F920712">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银行账号：中标后另行通知  </w:t>
            </w:r>
          </w:p>
          <w:p w14:paraId="7ACD34B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缴纳时限：合同签订前。</w:t>
            </w:r>
          </w:p>
          <w:p w14:paraId="0E70562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履约保证金退还时限：履约保证金有效期满7日内。</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Cs/>
                <w:color w:val="auto"/>
                <w:szCs w:val="21"/>
                <w:highlight w:val="none"/>
              </w:rPr>
              <w:t>其他相关要求：须符合招标人要求</w:t>
            </w:r>
            <w:r>
              <w:rPr>
                <w:rFonts w:hint="eastAsia" w:ascii="宋体" w:hAnsi="宋体" w:cs="宋体"/>
                <w:color w:val="auto"/>
                <w:szCs w:val="21"/>
                <w:highlight w:val="none"/>
              </w:rPr>
              <w:t>。 </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2000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人员到岗及履约要求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9ECF9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人员考核：工程开工进场后，承包人必须按招标文件要求和投标承诺配备项目经理、技术负责人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0229E5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发包人在施工进场第一个月或施工过程中发现承包人转包、挂靠等行为的，发包人立即解除合同，清退出场，承包人已完合格工程量按合同价款70%进行结算。</w:t>
            </w:r>
          </w:p>
          <w:p w14:paraId="027507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人员考勤：①项目部所有管理人员上下班实行人脸识别电子考勤，人脸识别电子考勤系统设备必须与招标人现行使用的监管平台无缝对接。②监管平台设备及人脸识别电子考勤系统设备，承包人可以租赁或购买，但租赁或购买费用由承包人在投标报价时自行考虑，含在投标报价中，招标人将不再支付任何费用。③监管平台考勤范围为本项目监理部和项目部所有管理人员，监管平台信息及数据录入（包括质量、进度、安全、施工许可办理等）均由监理单位负责。④项目经理每月在岗时间不得少于20天，施工现场其他管理人员每月在岗时间不得少于22天。未按规定在岗履责的，对项目经理处罚5000元/人•天的违约金，对施工现场其他管理人员处罚1000元/人•天的违约金。项目部关键岗位人员离岗必须向发包人项目组长履行请假手续，若被重点处和相关部门日常检查和随机抽查中发现不在岗的，又未履行请假手续的，处罚5000元/人•次的违约金。</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3）项目管理机构须按照《安徽省住房和城乡建设厅关于进一步明确建设工程施工现场关键岗位人员配备标准和岗位职责的通知》（建市〔2014〕186号）相关文件配备人员，招标阶段不作要求，中标后人员配备需满足上述文件要求，否则取消其中标资格并没收其保证金，一年内不得参与市重点处所有项目投标，情节严重的，提请建设行政主管部门和招投标监督管理部门进行处罚。</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人员变更</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D5787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项目经理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必须符合本项目招标文件和投标承诺配备的同等条件人员，并按照滁州市有关规定履行变更审批程序。</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技术负责人、项目部“五大员”等关键岗位人员变更必须经发包人批准，工期一年内（含）各岗位人员变更不得超过1次，工期一年以上的各岗位人员变更不得超过2次，须缴纳5000元/人违约金，否则不得变更。变更后的技术负责人、项目部“五大员”等关键岗位人员必须符合本项目招标文件和投标承诺配备的同等条件人员。</w:t>
            </w:r>
          </w:p>
        </w:tc>
      </w:tr>
      <w:tr w14:paraId="693F6980">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796A032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35B497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约谈制度</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5F0C3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执行《重点工程建设约谈管理规定》</w:t>
            </w:r>
          </w:p>
        </w:tc>
      </w:tr>
      <w:tr w14:paraId="71C443F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009B68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合同签订</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7A6D5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执行《市重点处合同管理办法》</w:t>
            </w:r>
          </w:p>
        </w:tc>
      </w:tr>
      <w:tr w14:paraId="1A73F5F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3F5390A">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工程进度管理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85403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一、合同工期管理。</w:t>
            </w:r>
          </w:p>
          <w:p w14:paraId="043D2E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一）由中介机构按国家规范计算定额工期。招标前项目分管领导和项目科室研究确定合同工期，合同工期对施工企业和项目组拥有共同约束力。合同工期以总监下达的开工令（开工通知书）和局主要领导签署的完工时间为起止点，对工期要求紧迫的特殊项目，由科室提出内控工期，作为科室安排月、周计划的参考。</w:t>
            </w:r>
          </w:p>
          <w:p w14:paraId="481065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二）工程有下列原因影响合同工期的，由承包人提出，经发包人批准可顺延合同工期：1、土地和房屋征收进度不符合施工要求，涉铁路、涉部队、涉供电等影响施工；2、因地震、洪涝灾害、突发重大事件等不可抗力影响施工；3、因规划设计调整或重大变更，对工期造成影响的；4、其它非承包人原因影响工期的。承包人未提出工期顺延的申请或申请未经批准的，工期不予顺延。</w:t>
            </w:r>
          </w:p>
          <w:p w14:paraId="5EF404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三）以投标人自报的承诺工期为考核标准，因中标人原因造成的工期延误，每推迟一天，按合同价款（扣除暂估价和暂列金）万分之二处以违约金；月工程量未完成的当期不得请款，当月未完成的工程量纳入下月一并完成，完不成的仍不予请款，依次类推。连续两个月工程量未完成的立即限制该企业一年内不得参与我处项目投标。</w:t>
            </w:r>
          </w:p>
          <w:p w14:paraId="495260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四）对严重拖延工期，经发包人多次督促，承包人拒不整改或整改不到位的，发包人可终止施工合同，扣除50%履约保证金作为违约处罚，另选施工队伍，承包人须无条件配合，不得以任何借口阻挠另选的施工队伍施工，不得向发包人提出任何索赔要求，五年内限制该企业参与我处重点工程投标。</w:t>
            </w:r>
          </w:p>
          <w:p w14:paraId="0B84C6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二、施工计划管理。</w:t>
            </w:r>
          </w:p>
          <w:p w14:paraId="4F4F64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在建工程实行“旬计划、日检查、现场处罚”制度，对工期有特殊要求的项目，实行“每日一计划、每日一检查、每日一处罚”。施工单位应按项目组的要求，每旬初（或每天）将施工内容、施工应开作业面、每个工作面应上施工人员和机械数量编报，经总监、项目经理和项目组签字后报项目科室和协调科。局巡查组不定期检查，检查中出现下列情形的给予施工企业2000-5000元/次违约处罚，出现两次以上的对项目组进行批评。（一）未按期报送进度计划；（二）计划作业面、施工人员和机械安排不足的；（三）未按计划开齐作业面、上足施工人员和机械。</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4E7BD203">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66CFC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扬尘管理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74135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严格执行《安徽省建筑工程施工扬尘污染防治规定》、《滁州市城市扬尘管理办法》和《滁州市建筑工程施工扬尘污染防治实施细则》《重点工程建设工地扬尘污染防治管理规定》等相关规定。对违反规定或经检查达不到规定和要求，被相关部门批评、曝光、通报的，处罚承包人10000元/次的违约金，处罚监理人3000元/次的违约金。</w:t>
            </w:r>
          </w:p>
        </w:tc>
      </w:tr>
      <w:tr w14:paraId="2A525CF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9792F5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农民工工资支付</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03099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承包人应严格遵守《政府投资工程农民工工资信访管理办法（试行）》的相关规定。</w:t>
            </w:r>
          </w:p>
          <w:p w14:paraId="68B70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凡到市重点处上访，滞留时间半个工作日（不足半个工作日以半个工作日计算），工程款支付比例在30%-40%（含）的，按每人每半个工作日200元的标准给予处罚，每增加工程款支付比例10%，每人每半个工作日处罚标准增加100元，依此类推。</w:t>
            </w:r>
          </w:p>
          <w:p w14:paraId="4660AE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凡赴市政府上访，滞留时间半个工作日（不足半个工作日以半个工作日计算），工程款支付比例在30%-40%（含）的，按每人每半个工作日400元的标准给予处罚，每增加工程款支付比例10%，每人每半个工作日处罚标准增加200元，依此类推。</w:t>
            </w:r>
          </w:p>
          <w:p w14:paraId="5F6D10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凡赴省政府上访，滞留时间半个工作日（不足半个工作日以半个工作日计算），工程款支付比例在30%-40%（含）的，按每人每半个工作日600元的标准给予处罚，每增加工程款支付比例10%，每人每半个工作日处罚标准增加300元，依此类推。</w:t>
            </w:r>
          </w:p>
        </w:tc>
      </w:tr>
      <w:tr w14:paraId="392EF00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561713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竣工验收、竣工结算</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93D67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竣工验收时间：严格按照市重点处《工程竣工验收要求》和《重点工程进度管理办法》执行（从工程交付使用到竣工验收原则上不得超过30天，特殊情况经分管领导批准的可以延长）。整体工程完工后组织竣工验收，验收合格之日作为竣工日期。</w:t>
            </w:r>
          </w:p>
          <w:p w14:paraId="32BD0F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竣工结算申请：承包人须于竣工验收合格后60日内完成竣工结算报告和完整结算资料上报，特殊情况，经分管领导批准的可以延长。凡因承包人原因，未能在规定时间内上报竣工结算的，处罚10000元/月的违约金。情节严重的，招标人有权按已有资料或按已付款报相关部门办理结算。</w:t>
            </w:r>
          </w:p>
          <w:p w14:paraId="1A9278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3、工程造价审减率超过3%时，将对施工单位进行处罚，处罚金额为审减率超出3%以上的报送金额的6%,由综合计划科在定案时明确处罚金额报工程监管科落实处罚。</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17DF5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6、项目经理部需在醒目位置公示经监理、业主审定批准的月进度计划表，否则，当月不支付当月工程进度款。</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7、本项目施工难度较大，投标人在标前应自行踏勘现场，充分考虑难度系数和不可预见因素。施工期间的协调工作由承包人自行解决，此部分费用包含在投标报价中。</w:t>
            </w:r>
          </w:p>
        </w:tc>
      </w:tr>
      <w:tr w14:paraId="5C5FDF7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7C15B4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监管平台</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B3FC7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监理单位须在监管平台录入以下（但不限于）内容：</w:t>
            </w:r>
          </w:p>
          <w:p w14:paraId="4F86D2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1、在进度管理中,每周实际完成工作量、投入人员及机械使用情况</w:t>
            </w:r>
          </w:p>
          <w:p w14:paraId="55E928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2、在安全管理中,现场存在的安全隐患等问题;</w:t>
            </w:r>
          </w:p>
          <w:p w14:paraId="302EE9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3、在质量控制要点中的关键工序、验收资料及检测资料及存在的质量问题</w:t>
            </w:r>
          </w:p>
          <w:p w14:paraId="7FBB5A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4、监理日志</w:t>
            </w:r>
          </w:p>
          <w:p w14:paraId="00FF17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5、创城、创卫管理内容</w:t>
            </w:r>
          </w:p>
        </w:tc>
      </w:tr>
      <w:tr w14:paraId="5D6DB4C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B78CFF">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文明施工要求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1A7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（1）公共环境</w:t>
            </w:r>
          </w:p>
          <w:p w14:paraId="48EDE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0768F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27663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（2）公益宣传</w:t>
            </w:r>
          </w:p>
          <w:p w14:paraId="322AE0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6E2D99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②公益广告展示面积占围挡总面积的比例不少于50%，且公益广告要与商业广告穿插展示（每3块广告中必须要有1块公益广告），且单面围挡墙体均能看到公益宣传。步行30米，达到50%面积比例。 </w:t>
            </w:r>
          </w:p>
        </w:tc>
      </w:tr>
      <w:tr w14:paraId="2A5909D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FBFF28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滁州市建筑工地围挡要求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5F71C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按关于印发《滁州市建筑工地围挡提档升级标准》的通知（建质﹝2022﹞34号文）执行。</w:t>
            </w:r>
          </w:p>
        </w:tc>
      </w:tr>
      <w:tr w14:paraId="16AD713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B6F148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取消中标资格情形</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38A11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存在以下情形的，取消中标资格，投标保证金不予退还，一年内不得参与市重点处所有项目投标，情节严重的，提请相关行政执法部门和招投标监督管理部门进行处罚：</w:t>
            </w:r>
          </w:p>
          <w:p w14:paraId="251E11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（1）拟派项目经理不能满足招标文件中投标人须知7.7.1条款的；</w:t>
            </w:r>
          </w:p>
          <w:p w14:paraId="00E803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（2）开标现场要求到场人员或参加约谈人员冒名顶替的；</w:t>
            </w:r>
          </w:p>
          <w:p w14:paraId="04380D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（3）投标文件弄虚作假的，考察结果与投标文件不符，或所报项目存在违约行为的；</w:t>
            </w:r>
          </w:p>
          <w:p w14:paraId="77FC17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（4）投标或履约保函造假；</w:t>
            </w:r>
          </w:p>
          <w:p w14:paraId="16310E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（5）工程开工首周首月人员考勤考核不合格，发包人终止合同的；</w:t>
            </w:r>
          </w:p>
          <w:p w14:paraId="10D1D3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（6）未经业主同意擅自变更项目经理或总监的；</w:t>
            </w:r>
          </w:p>
          <w:p w14:paraId="677241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（7）其他违反招标文件及合同情形的。</w:t>
            </w:r>
          </w:p>
        </w:tc>
      </w:tr>
      <w:tr w14:paraId="37F91B3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042F5A">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中标候选人考察</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4275A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招标人将保留对中标候选人的拟派项目经理和所提供的业绩等情况进行实地考察的权利，若考察发现有弄虚作假或发现工程存在质量等违约情形，将取消其中标资格，投标保证金不予退还，情节严重的提请相关部门对其进行处罚。</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35424887"/>
      <w:bookmarkStart w:id="62" w:name="_Toc35425053"/>
      <w:bookmarkStart w:id="63" w:name="_Toc5813"/>
      <w:bookmarkStart w:id="64" w:name="_Toc15058846"/>
      <w:bookmarkStart w:id="65" w:name="_Toc78803322"/>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506107270"/>
      <w:bookmarkStart w:id="67" w:name="_Toc324404816"/>
      <w:bookmarkStart w:id="68" w:name="_Toc247085690"/>
      <w:bookmarkStart w:id="69" w:name="_Toc35424888"/>
      <w:bookmarkStart w:id="70" w:name="_Toc152042306"/>
      <w:bookmarkStart w:id="71" w:name="_Toc246996176"/>
      <w:bookmarkStart w:id="72" w:name="_Toc246996919"/>
      <w:bookmarkStart w:id="73" w:name="_Toc15058847"/>
      <w:bookmarkStart w:id="74" w:name="_Toc4678"/>
      <w:bookmarkStart w:id="75" w:name="_Toc152045530"/>
      <w:bookmarkStart w:id="76" w:name="_Toc35425054"/>
      <w:bookmarkStart w:id="77" w:name="_Toc296602421"/>
      <w:bookmarkStart w:id="78" w:name="_Toc78803323"/>
      <w:bookmarkStart w:id="79" w:name="_Toc179632547"/>
      <w:bookmarkStart w:id="80" w:name="_Toc144974498"/>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246996920"/>
      <w:bookmarkStart w:id="82" w:name="_Toc246996177"/>
      <w:bookmarkStart w:id="83" w:name="_Toc35424889"/>
      <w:bookmarkStart w:id="84" w:name="_Toc152042307"/>
      <w:bookmarkStart w:id="85" w:name="_Toc247085691"/>
      <w:bookmarkStart w:id="86" w:name="_Toc144974499"/>
      <w:bookmarkStart w:id="87" w:name="_Toc78803324"/>
      <w:bookmarkStart w:id="88" w:name="_Toc15058848"/>
      <w:bookmarkStart w:id="89" w:name="_Toc296602422"/>
      <w:bookmarkStart w:id="90" w:name="_Toc35425055"/>
      <w:bookmarkStart w:id="91" w:name="_Toc152045531"/>
      <w:bookmarkStart w:id="92" w:name="_Toc324404817"/>
      <w:bookmarkStart w:id="93" w:name="_Toc7142"/>
      <w:bookmarkStart w:id="94" w:name="_Toc179632548"/>
      <w:bookmarkStart w:id="95" w:name="_Toc506107271"/>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152042308"/>
      <w:bookmarkStart w:id="97" w:name="_Toc15058849"/>
      <w:bookmarkStart w:id="98" w:name="_Toc152045532"/>
      <w:bookmarkStart w:id="99" w:name="_Toc179632549"/>
      <w:bookmarkStart w:id="100" w:name="_Toc506107272"/>
      <w:bookmarkStart w:id="101" w:name="_Toc78803325"/>
      <w:bookmarkStart w:id="102" w:name="_Toc296602423"/>
      <w:bookmarkStart w:id="103" w:name="_Toc35425056"/>
      <w:bookmarkStart w:id="104" w:name="_Toc144974500"/>
      <w:bookmarkStart w:id="105" w:name="_Toc246996178"/>
      <w:bookmarkStart w:id="106" w:name="_Toc6330"/>
      <w:bookmarkStart w:id="107" w:name="_Toc35424890"/>
      <w:bookmarkStart w:id="108" w:name="_Toc246996921"/>
      <w:bookmarkStart w:id="109" w:name="_Toc247085692"/>
      <w:bookmarkStart w:id="110" w:name="_Toc32440481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152045534"/>
      <w:bookmarkStart w:id="112" w:name="_Toc35424891"/>
      <w:bookmarkStart w:id="113" w:name="_Toc247085693"/>
      <w:bookmarkStart w:id="114" w:name="_Toc35425057"/>
      <w:bookmarkStart w:id="115" w:name="_Toc324404819"/>
      <w:bookmarkStart w:id="116" w:name="_Toc296602424"/>
      <w:bookmarkStart w:id="117" w:name="_Toc179632551"/>
      <w:bookmarkStart w:id="118" w:name="_Toc246996922"/>
      <w:bookmarkStart w:id="119" w:name="_Toc506107273"/>
      <w:bookmarkStart w:id="120" w:name="_Toc78803326"/>
      <w:bookmarkStart w:id="121" w:name="_Toc152042310"/>
      <w:bookmarkStart w:id="122" w:name="_Toc15058850"/>
      <w:bookmarkStart w:id="123" w:name="_Toc246996179"/>
      <w:bookmarkStart w:id="124" w:name="_Toc26897"/>
      <w:bookmarkStart w:id="125" w:name="_Toc144974502"/>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179632552"/>
      <w:bookmarkStart w:id="127" w:name="_Toc10179"/>
      <w:bookmarkStart w:id="128" w:name="_Toc324404820"/>
      <w:bookmarkStart w:id="129" w:name="_Toc78803327"/>
      <w:bookmarkStart w:id="130" w:name="_Toc296602425"/>
      <w:bookmarkStart w:id="131" w:name="_Toc152045535"/>
      <w:bookmarkStart w:id="132" w:name="_Toc247085694"/>
      <w:bookmarkStart w:id="133" w:name="_Toc144974503"/>
      <w:bookmarkStart w:id="134" w:name="_Toc152042311"/>
      <w:bookmarkStart w:id="135" w:name="_Toc15058851"/>
      <w:bookmarkStart w:id="136" w:name="_Toc35425058"/>
      <w:bookmarkStart w:id="137" w:name="_Toc35424892"/>
      <w:bookmarkStart w:id="138" w:name="_Toc246996180"/>
      <w:bookmarkStart w:id="139" w:name="_Toc246996923"/>
      <w:bookmarkStart w:id="140" w:name="_Toc506107274"/>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144974504"/>
      <w:bookmarkStart w:id="142" w:name="_Toc78803328"/>
      <w:bookmarkStart w:id="143" w:name="_Toc247085695"/>
      <w:bookmarkStart w:id="144" w:name="_Toc4092"/>
      <w:bookmarkStart w:id="145" w:name="_Toc179632553"/>
      <w:bookmarkStart w:id="146" w:name="_Toc15058852"/>
      <w:bookmarkStart w:id="147" w:name="_Toc324404821"/>
      <w:bookmarkStart w:id="148" w:name="_Toc152042312"/>
      <w:bookmarkStart w:id="149" w:name="_Toc246996181"/>
      <w:bookmarkStart w:id="150" w:name="_Toc296602426"/>
      <w:bookmarkStart w:id="151" w:name="_Toc246996924"/>
      <w:bookmarkStart w:id="152" w:name="_Toc35424893"/>
      <w:bookmarkStart w:id="153" w:name="_Toc35425059"/>
      <w:bookmarkStart w:id="154" w:name="_Toc506107275"/>
      <w:bookmarkStart w:id="155" w:name="_Toc152045536"/>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152045537"/>
      <w:bookmarkStart w:id="158" w:name="_Toc296602427"/>
      <w:bookmarkStart w:id="159" w:name="_Toc15058853"/>
      <w:bookmarkStart w:id="160" w:name="_Toc35425060"/>
      <w:bookmarkStart w:id="161" w:name="_Toc247085696"/>
      <w:bookmarkStart w:id="162" w:name="_Toc4119"/>
      <w:bookmarkStart w:id="163" w:name="_Toc179632554"/>
      <w:bookmarkStart w:id="164" w:name="_Toc78803329"/>
      <w:bookmarkStart w:id="165" w:name="_Toc324404822"/>
      <w:bookmarkStart w:id="166" w:name="_Toc506107276"/>
      <w:bookmarkStart w:id="167" w:name="_Toc246996182"/>
      <w:bookmarkStart w:id="168" w:name="_Toc152042313"/>
      <w:bookmarkStart w:id="169" w:name="_Toc35424894"/>
      <w:bookmarkStart w:id="170" w:name="_Toc246996925"/>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44974506"/>
      <w:bookmarkStart w:id="172" w:name="_Toc246996926"/>
      <w:bookmarkStart w:id="173" w:name="_Toc179632555"/>
      <w:bookmarkStart w:id="174" w:name="_Toc152042314"/>
      <w:bookmarkStart w:id="175" w:name="_Toc246996183"/>
      <w:bookmarkStart w:id="176" w:name="_Toc152045538"/>
      <w:bookmarkStart w:id="177" w:name="_Toc247085697"/>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506107277"/>
      <w:bookmarkStart w:id="179" w:name="_Toc13408"/>
      <w:bookmarkStart w:id="180" w:name="_Toc296602428"/>
      <w:bookmarkStart w:id="181" w:name="_Toc78803330"/>
      <w:bookmarkStart w:id="182" w:name="_Toc35424895"/>
      <w:bookmarkStart w:id="183" w:name="_Toc324404823"/>
      <w:bookmarkStart w:id="184" w:name="_Toc15058854"/>
      <w:bookmarkStart w:id="185" w:name="_Toc35425061"/>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152042315"/>
      <w:bookmarkStart w:id="187" w:name="_Toc152045539"/>
      <w:bookmarkStart w:id="188" w:name="_Toc247592876"/>
      <w:bookmarkStart w:id="189" w:name="_Toc11493"/>
      <w:bookmarkStart w:id="190" w:name="_Toc78803331"/>
      <w:bookmarkStart w:id="191" w:name="_Toc35425062"/>
      <w:bookmarkStart w:id="192" w:name="_Toc296602429"/>
      <w:bookmarkStart w:id="193" w:name="_Toc15058855"/>
      <w:bookmarkStart w:id="194" w:name="_Toc506107278"/>
      <w:bookmarkStart w:id="195" w:name="_Toc247513962"/>
      <w:bookmarkStart w:id="196" w:name="_Toc35424896"/>
      <w:bookmarkStart w:id="197" w:name="_Toc324404824"/>
      <w:bookmarkStart w:id="198" w:name="_Toc144974507"/>
      <w:bookmarkStart w:id="199" w:name="_Toc247527563"/>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296602430"/>
      <w:bookmarkStart w:id="201" w:name="_Toc144974508"/>
      <w:bookmarkStart w:id="202" w:name="_Toc152042316"/>
      <w:bookmarkStart w:id="203" w:name="_Toc324404825"/>
      <w:bookmarkStart w:id="204" w:name="_Toc22954"/>
      <w:bookmarkStart w:id="205" w:name="_Toc78803332"/>
      <w:bookmarkStart w:id="206" w:name="_Toc15058856"/>
      <w:bookmarkStart w:id="207" w:name="_Toc506107279"/>
      <w:bookmarkStart w:id="208" w:name="_Toc35425063"/>
      <w:bookmarkStart w:id="209" w:name="_Toc35424897"/>
      <w:bookmarkStart w:id="210" w:name="_Toc247592877"/>
      <w:bookmarkStart w:id="211" w:name="_Toc247513963"/>
      <w:bookmarkStart w:id="212" w:name="_Toc152045540"/>
      <w:bookmarkStart w:id="213" w:name="_Toc247527564"/>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15058857"/>
      <w:bookmarkStart w:id="215" w:name="_Toc324404826"/>
      <w:bookmarkStart w:id="216" w:name="_Toc506107280"/>
      <w:bookmarkStart w:id="217" w:name="_Toc296602431"/>
      <w:bookmarkStart w:id="218" w:name="_Toc60061444"/>
      <w:bookmarkStart w:id="219" w:name="_Toc83301699"/>
      <w:bookmarkStart w:id="220" w:name="_Toc95223347"/>
      <w:bookmarkStart w:id="221" w:name="_Toc35425065"/>
      <w:bookmarkStart w:id="222" w:name="_Toc152042318"/>
      <w:bookmarkStart w:id="223" w:name="_Toc246996930"/>
      <w:bookmarkStart w:id="224" w:name="_Toc152045542"/>
      <w:bookmarkStart w:id="225" w:name="_Toc506107281"/>
      <w:bookmarkStart w:id="226" w:name="_Toc4012"/>
      <w:bookmarkStart w:id="227" w:name="_Toc324404827"/>
      <w:bookmarkStart w:id="228" w:name="_Toc35424899"/>
      <w:bookmarkStart w:id="229" w:name="_Toc246996187"/>
      <w:bookmarkStart w:id="230" w:name="_Toc247085701"/>
      <w:bookmarkStart w:id="231" w:name="_Toc15058858"/>
      <w:bookmarkStart w:id="232" w:name="_Toc179632560"/>
      <w:bookmarkStart w:id="233" w:name="_Toc144974510"/>
      <w:bookmarkStart w:id="234" w:name="_Toc78803334"/>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83301700"/>
      <w:bookmarkStart w:id="237" w:name="_Toc95223348"/>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324404828"/>
      <w:bookmarkStart w:id="239" w:name="_Toc15058859"/>
      <w:bookmarkStart w:id="240" w:name="_Toc296602433"/>
      <w:bookmarkStart w:id="241" w:name="_Toc246996931"/>
      <w:bookmarkStart w:id="242" w:name="_Toc152045543"/>
      <w:bookmarkStart w:id="243" w:name="_Toc152042319"/>
      <w:bookmarkStart w:id="244" w:name="_Toc35424900"/>
      <w:bookmarkStart w:id="245" w:name="_Toc78803335"/>
      <w:bookmarkStart w:id="246" w:name="_Toc246996188"/>
      <w:bookmarkStart w:id="247" w:name="_Toc13213"/>
      <w:bookmarkStart w:id="248" w:name="_Toc247085702"/>
      <w:bookmarkStart w:id="249" w:name="_Toc506107282"/>
      <w:bookmarkStart w:id="250" w:name="_Toc144974511"/>
      <w:bookmarkStart w:id="251" w:name="_Toc35425066"/>
      <w:bookmarkStart w:id="252" w:name="_Toc179632561"/>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15058860"/>
      <w:bookmarkStart w:id="254" w:name="_Toc152042320"/>
      <w:bookmarkStart w:id="255" w:name="_Toc32239"/>
      <w:bookmarkStart w:id="256" w:name="_Toc506107283"/>
      <w:bookmarkStart w:id="257" w:name="_Toc144974512"/>
      <w:bookmarkStart w:id="258" w:name="_Toc35425067"/>
      <w:bookmarkStart w:id="259" w:name="_Toc324404829"/>
      <w:bookmarkStart w:id="260" w:name="_Toc179632562"/>
      <w:bookmarkStart w:id="261" w:name="_Toc35424901"/>
      <w:bookmarkStart w:id="262" w:name="_Toc246996189"/>
      <w:bookmarkStart w:id="263" w:name="_Toc152045544"/>
      <w:bookmarkStart w:id="264" w:name="_Toc246996932"/>
      <w:bookmarkStart w:id="265" w:name="_Toc247085703"/>
      <w:bookmarkStart w:id="266" w:name="_Toc78803336"/>
      <w:bookmarkStart w:id="267" w:name="_Toc296602434"/>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506107284"/>
      <w:bookmarkStart w:id="269" w:name="_Toc246996190"/>
      <w:bookmarkStart w:id="270" w:name="_Toc144974513"/>
      <w:bookmarkStart w:id="271" w:name="_Toc152042321"/>
      <w:bookmarkStart w:id="272" w:name="_Toc78803337"/>
      <w:bookmarkStart w:id="273" w:name="_Toc24633"/>
      <w:bookmarkStart w:id="274" w:name="_Toc152045545"/>
      <w:bookmarkStart w:id="275" w:name="_Toc179632563"/>
      <w:bookmarkStart w:id="276" w:name="_Toc35424902"/>
      <w:bookmarkStart w:id="277" w:name="_Toc35425068"/>
      <w:bookmarkStart w:id="278" w:name="_Toc296602435"/>
      <w:bookmarkStart w:id="279" w:name="_Toc324404830"/>
      <w:bookmarkStart w:id="280" w:name="_Toc247085704"/>
      <w:bookmarkStart w:id="281" w:name="_Toc15058861"/>
      <w:bookmarkStart w:id="282" w:name="_Toc246996933"/>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“滁州市城投工程咨询管理有限公司”（https://www.czctgczx.com/）、滁州市重点工程建设管理处等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246996191"/>
      <w:bookmarkStart w:id="284" w:name="_Toc15058863"/>
      <w:bookmarkStart w:id="285" w:name="_Toc144974514"/>
      <w:bookmarkStart w:id="286" w:name="_Toc78803339"/>
      <w:bookmarkStart w:id="287" w:name="_Toc35425070"/>
      <w:bookmarkStart w:id="288" w:name="_Toc506107285"/>
      <w:bookmarkStart w:id="289" w:name="_Toc152045546"/>
      <w:bookmarkStart w:id="290" w:name="_Toc35424904"/>
      <w:bookmarkStart w:id="291" w:name="_Toc247085705"/>
      <w:bookmarkStart w:id="292" w:name="_Toc152042322"/>
      <w:bookmarkStart w:id="293" w:name="_Toc179632564"/>
      <w:bookmarkStart w:id="294" w:name="_Toc324404832"/>
      <w:bookmarkStart w:id="295" w:name="_Toc6464"/>
      <w:bookmarkStart w:id="296" w:name="_Toc246996934"/>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246996935"/>
      <w:bookmarkStart w:id="298" w:name="_Toc324404833"/>
      <w:bookmarkStart w:id="299" w:name="_Toc152042323"/>
      <w:bookmarkStart w:id="300" w:name="_Toc157"/>
      <w:bookmarkStart w:id="301" w:name="_Toc15058864"/>
      <w:bookmarkStart w:id="302" w:name="_Toc78803340"/>
      <w:bookmarkStart w:id="303" w:name="_Toc35425071"/>
      <w:bookmarkStart w:id="304" w:name="_Toc506107286"/>
      <w:bookmarkStart w:id="305" w:name="_Toc35424905"/>
      <w:bookmarkStart w:id="306" w:name="_Toc152045547"/>
      <w:bookmarkStart w:id="307" w:name="_Toc247085706"/>
      <w:bookmarkStart w:id="308" w:name="_Toc246996192"/>
      <w:bookmarkStart w:id="309" w:name="_Toc144974515"/>
      <w:bookmarkStart w:id="310" w:name="_Toc179632565"/>
      <w:bookmarkStart w:id="311" w:name="_Toc296602437"/>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35424906"/>
      <w:bookmarkStart w:id="313" w:name="_Toc324404834"/>
      <w:bookmarkStart w:id="314" w:name="_Toc246996193"/>
      <w:bookmarkStart w:id="315" w:name="_Toc179632566"/>
      <w:bookmarkStart w:id="316" w:name="_Toc296602438"/>
      <w:bookmarkStart w:id="317" w:name="_Toc247085707"/>
      <w:bookmarkStart w:id="318" w:name="_Toc152045548"/>
      <w:bookmarkStart w:id="319" w:name="_Toc35425072"/>
      <w:bookmarkStart w:id="320" w:name="_Toc6829"/>
      <w:bookmarkStart w:id="321" w:name="_Toc15058865"/>
      <w:bookmarkStart w:id="322" w:name="_Toc506107287"/>
      <w:bookmarkStart w:id="323" w:name="_Toc78803341"/>
      <w:bookmarkStart w:id="324" w:name="_Toc144974516"/>
      <w:bookmarkStart w:id="325" w:name="_Toc246996936"/>
      <w:bookmarkStart w:id="326" w:name="_Toc152042324"/>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152045549"/>
      <w:bookmarkStart w:id="328" w:name="_Toc35424907"/>
      <w:bookmarkStart w:id="329" w:name="_Toc31735"/>
      <w:bookmarkStart w:id="330" w:name="_Toc506107288"/>
      <w:bookmarkStart w:id="331" w:name="_Toc152042325"/>
      <w:bookmarkStart w:id="332" w:name="_Toc78803342"/>
      <w:bookmarkStart w:id="333" w:name="_Toc179632567"/>
      <w:bookmarkStart w:id="334" w:name="_Toc246996194"/>
      <w:bookmarkStart w:id="335" w:name="_Toc247085708"/>
      <w:bookmarkStart w:id="336" w:name="_Toc296602439"/>
      <w:bookmarkStart w:id="337" w:name="_Toc15058866"/>
      <w:bookmarkStart w:id="338" w:name="_Toc35425073"/>
      <w:bookmarkStart w:id="339" w:name="_Toc246996937"/>
      <w:bookmarkStart w:id="340" w:name="_Toc144974517"/>
      <w:bookmarkStart w:id="341" w:name="_Toc324404835"/>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324404836"/>
      <w:bookmarkStart w:id="343" w:name="_Toc152045550"/>
      <w:bookmarkStart w:id="344" w:name="_Toc296602440"/>
      <w:bookmarkStart w:id="345" w:name="_Toc144974518"/>
      <w:bookmarkStart w:id="346" w:name="_Toc246996938"/>
      <w:bookmarkStart w:id="347" w:name="_Toc78803343"/>
      <w:bookmarkStart w:id="348" w:name="_Toc35425074"/>
      <w:bookmarkStart w:id="349" w:name="_Toc15058867"/>
      <w:bookmarkStart w:id="350" w:name="_Toc246996195"/>
      <w:bookmarkStart w:id="351" w:name="_Toc506107289"/>
      <w:bookmarkStart w:id="352" w:name="_Toc35424908"/>
      <w:bookmarkStart w:id="353" w:name="_Toc179632568"/>
      <w:bookmarkStart w:id="354" w:name="_Toc247085709"/>
      <w:bookmarkStart w:id="355" w:name="_Toc152042326"/>
      <w:bookmarkStart w:id="356" w:name="_Toc10714"/>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506107290"/>
      <w:bookmarkStart w:id="358" w:name="_Toc35425075"/>
      <w:bookmarkStart w:id="359" w:name="_Toc19037"/>
      <w:bookmarkStart w:id="360" w:name="_Toc324404837"/>
      <w:bookmarkStart w:id="361" w:name="_Toc15058868"/>
      <w:bookmarkStart w:id="362" w:name="_Toc35424909"/>
      <w:bookmarkStart w:id="363" w:name="_Toc296602442"/>
      <w:bookmarkStart w:id="364" w:name="_Toc78803344"/>
      <w:bookmarkStart w:id="365" w:name="_Toc152042329"/>
      <w:bookmarkStart w:id="366" w:name="_Toc152045553"/>
      <w:bookmarkStart w:id="367" w:name="_Toc247085711"/>
      <w:bookmarkStart w:id="368" w:name="_Toc246996197"/>
      <w:bookmarkStart w:id="369" w:name="_Toc144974521"/>
      <w:bookmarkStart w:id="370" w:name="_Toc179632571"/>
      <w:bookmarkStart w:id="371" w:name="_Toc246996940"/>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6996942"/>
      <w:bookmarkStart w:id="373" w:name="_Toc179632573"/>
      <w:bookmarkStart w:id="374" w:name="_Toc152045555"/>
      <w:bookmarkStart w:id="375" w:name="_Toc152042331"/>
      <w:bookmarkStart w:id="376" w:name="_Toc247085713"/>
      <w:bookmarkStart w:id="377" w:name="_Toc324404838"/>
      <w:bookmarkStart w:id="378" w:name="_Toc144974523"/>
      <w:bookmarkStart w:id="379" w:name="_Toc246996199"/>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19455"/>
      <w:bookmarkStart w:id="381" w:name="_Toc15058869"/>
      <w:bookmarkStart w:id="382" w:name="_Toc35424910"/>
      <w:bookmarkStart w:id="383" w:name="_Toc506107291"/>
      <w:bookmarkStart w:id="384" w:name="_Toc35425076"/>
      <w:bookmarkStart w:id="385" w:name="_Toc78803345"/>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35425077"/>
      <w:bookmarkStart w:id="388" w:name="_Toc78803346"/>
      <w:bookmarkStart w:id="389" w:name="_Toc35424911"/>
      <w:bookmarkStart w:id="390" w:name="_Toc15058870"/>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152042334"/>
      <w:bookmarkStart w:id="392" w:name="_Toc19572"/>
      <w:bookmarkStart w:id="393" w:name="_Toc15058873"/>
      <w:bookmarkStart w:id="394" w:name="_Toc35425080"/>
      <w:bookmarkStart w:id="395" w:name="_Toc246996202"/>
      <w:bookmarkStart w:id="396" w:name="_Toc247085716"/>
      <w:bookmarkStart w:id="397" w:name="_Toc35424914"/>
      <w:bookmarkStart w:id="398" w:name="_Toc324404841"/>
      <w:bookmarkStart w:id="399" w:name="_Toc296602446"/>
      <w:bookmarkStart w:id="400" w:name="_Toc144974526"/>
      <w:bookmarkStart w:id="401" w:name="_Toc78803347"/>
      <w:bookmarkStart w:id="402" w:name="_Toc246996945"/>
      <w:bookmarkStart w:id="403" w:name="_Toc179632576"/>
      <w:bookmarkStart w:id="404" w:name="_Toc152045558"/>
      <w:bookmarkStart w:id="405" w:name="_Toc506107294"/>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247085717"/>
      <w:bookmarkStart w:id="407" w:name="_Toc29639"/>
      <w:bookmarkStart w:id="408" w:name="_Toc15058874"/>
      <w:bookmarkStart w:id="409" w:name="_Toc35425081"/>
      <w:bookmarkStart w:id="410" w:name="_Toc179632577"/>
      <w:bookmarkStart w:id="411" w:name="_Toc506107295"/>
      <w:bookmarkStart w:id="412" w:name="_Toc152045559"/>
      <w:bookmarkStart w:id="413" w:name="_Toc246996946"/>
      <w:bookmarkStart w:id="414" w:name="_Toc78803348"/>
      <w:bookmarkStart w:id="415" w:name="_Toc324404842"/>
      <w:bookmarkStart w:id="416" w:name="_Toc246996203"/>
      <w:bookmarkStart w:id="417" w:name="_Toc144974527"/>
      <w:bookmarkStart w:id="418" w:name="_Toc152042335"/>
      <w:bookmarkStart w:id="419" w:name="_Toc35424915"/>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35424916"/>
      <w:bookmarkStart w:id="421" w:name="_Toc144974528"/>
      <w:bookmarkStart w:id="422" w:name="_Toc324404843"/>
      <w:bookmarkStart w:id="423" w:name="_Toc13691"/>
      <w:bookmarkStart w:id="424" w:name="_Toc246996204"/>
      <w:bookmarkStart w:id="425" w:name="_Toc15058875"/>
      <w:bookmarkStart w:id="426" w:name="_Toc246996947"/>
      <w:bookmarkStart w:id="427" w:name="_Toc179632578"/>
      <w:bookmarkStart w:id="428" w:name="_Toc506107296"/>
      <w:bookmarkStart w:id="429" w:name="_Toc152045560"/>
      <w:bookmarkStart w:id="430" w:name="_Toc35425082"/>
      <w:bookmarkStart w:id="431" w:name="_Toc152042336"/>
      <w:bookmarkStart w:id="432" w:name="_Toc296602448"/>
      <w:bookmarkStart w:id="433" w:name="_Toc247085718"/>
      <w:bookmarkStart w:id="434" w:name="_Toc78803349"/>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296602449"/>
      <w:bookmarkStart w:id="436" w:name="_Toc35424917"/>
      <w:bookmarkStart w:id="437" w:name="_Toc246996948"/>
      <w:bookmarkStart w:id="438" w:name="_Toc246996205"/>
      <w:bookmarkStart w:id="439" w:name="_Toc247085719"/>
      <w:bookmarkStart w:id="440" w:name="_Toc35425083"/>
      <w:bookmarkStart w:id="441" w:name="_Toc15058876"/>
      <w:bookmarkStart w:id="442" w:name="_Toc144974529"/>
      <w:bookmarkStart w:id="443" w:name="_Toc78803350"/>
      <w:bookmarkStart w:id="444" w:name="_Toc324404844"/>
      <w:bookmarkStart w:id="445" w:name="_Toc152045561"/>
      <w:bookmarkStart w:id="446" w:name="_Toc506107297"/>
      <w:bookmarkStart w:id="447" w:name="_Toc32451"/>
      <w:bookmarkStart w:id="448" w:name="_Toc179632579"/>
      <w:bookmarkStart w:id="449" w:name="_Toc152042337"/>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15058884"/>
      <w:bookmarkStart w:id="456" w:name="_Toc246996206"/>
      <w:bookmarkStart w:id="457" w:name="_Toc152045562"/>
      <w:bookmarkStart w:id="458" w:name="_Toc246996949"/>
      <w:bookmarkStart w:id="459" w:name="_Toc35425085"/>
      <w:bookmarkStart w:id="460" w:name="_Toc179632580"/>
      <w:bookmarkStart w:id="461" w:name="_Toc324404846"/>
      <w:bookmarkStart w:id="462" w:name="_Toc152042338"/>
      <w:bookmarkStart w:id="463" w:name="_Toc247085720"/>
      <w:bookmarkStart w:id="464" w:name="_Toc144974530"/>
      <w:bookmarkStart w:id="465" w:name="_Toc506107299"/>
      <w:bookmarkStart w:id="466" w:name="_Toc20689"/>
      <w:bookmarkStart w:id="467" w:name="_Toc78803352"/>
      <w:bookmarkStart w:id="468" w:name="_Toc35424919"/>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247085721"/>
      <w:bookmarkStart w:id="470" w:name="_Toc246996207"/>
      <w:bookmarkStart w:id="471" w:name="_Toc35425086"/>
      <w:bookmarkStart w:id="472" w:name="_Toc78803353"/>
      <w:bookmarkStart w:id="473" w:name="_Toc152042339"/>
      <w:bookmarkStart w:id="474" w:name="_Toc324404847"/>
      <w:bookmarkStart w:id="475" w:name="_Toc296602452"/>
      <w:bookmarkStart w:id="476" w:name="_Toc179632581"/>
      <w:bookmarkStart w:id="477" w:name="_Toc246996950"/>
      <w:bookmarkStart w:id="478" w:name="_Toc144974531"/>
      <w:bookmarkStart w:id="479" w:name="_Toc35424920"/>
      <w:bookmarkStart w:id="480" w:name="_Toc14249"/>
      <w:bookmarkStart w:id="481" w:name="_Toc15058885"/>
      <w:bookmarkStart w:id="482" w:name="_Toc506107300"/>
      <w:bookmarkStart w:id="483" w:name="_Toc152045563"/>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144974532"/>
      <w:bookmarkStart w:id="485" w:name="_Toc152042340"/>
      <w:bookmarkStart w:id="486" w:name="_Toc35425087"/>
      <w:bookmarkStart w:id="487" w:name="_Toc179632582"/>
      <w:bookmarkStart w:id="488" w:name="_Toc152045564"/>
      <w:bookmarkStart w:id="489" w:name="_Toc35424921"/>
      <w:bookmarkStart w:id="490" w:name="_Toc324404848"/>
      <w:bookmarkStart w:id="491" w:name="_Toc12948"/>
      <w:bookmarkStart w:id="492" w:name="_Toc246996208"/>
      <w:bookmarkStart w:id="493" w:name="_Toc247085722"/>
      <w:bookmarkStart w:id="494" w:name="_Toc15058886"/>
      <w:bookmarkStart w:id="495" w:name="_Toc296602453"/>
      <w:bookmarkStart w:id="496" w:name="_Toc506107301"/>
      <w:bookmarkStart w:id="497" w:name="_Toc246996951"/>
      <w:bookmarkStart w:id="498" w:name="_Toc78803354"/>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246996209"/>
      <w:bookmarkStart w:id="500" w:name="_Toc246996952"/>
      <w:bookmarkStart w:id="501" w:name="_Toc179632583"/>
      <w:bookmarkStart w:id="502" w:name="_Toc35425088"/>
      <w:bookmarkStart w:id="503" w:name="_Toc35424922"/>
      <w:bookmarkStart w:id="504" w:name="_Toc144974533"/>
      <w:bookmarkStart w:id="505" w:name="_Toc78803355"/>
      <w:bookmarkStart w:id="506" w:name="_Toc506107302"/>
      <w:bookmarkStart w:id="507" w:name="_Toc247085723"/>
      <w:bookmarkStart w:id="508" w:name="_Toc152042341"/>
      <w:bookmarkStart w:id="509" w:name="_Toc324404849"/>
      <w:bookmarkStart w:id="510" w:name="_Toc296602454"/>
      <w:bookmarkStart w:id="511" w:name="_Toc15058887"/>
      <w:bookmarkStart w:id="512" w:name="_Toc14892"/>
      <w:bookmarkStart w:id="513" w:name="_Toc152045565"/>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52045566"/>
      <w:bookmarkStart w:id="515" w:name="_Toc246996210"/>
      <w:bookmarkStart w:id="516" w:name="_Toc152042342"/>
      <w:bookmarkStart w:id="517" w:name="_Toc144974534"/>
      <w:bookmarkStart w:id="518" w:name="_Toc179632584"/>
      <w:bookmarkStart w:id="519" w:name="_Toc324404850"/>
      <w:bookmarkStart w:id="520" w:name="_Toc246996953"/>
      <w:bookmarkStart w:id="521" w:name="_Toc24708572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35425089"/>
      <w:bookmarkStart w:id="523" w:name="_Toc35424923"/>
      <w:bookmarkStart w:id="524" w:name="_Toc15058888"/>
      <w:bookmarkStart w:id="525" w:name="_Toc26182"/>
      <w:bookmarkStart w:id="526" w:name="_Toc506107303"/>
      <w:bookmarkStart w:id="527" w:name="_Toc78803356"/>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324404852"/>
      <w:bookmarkStart w:id="529" w:name="_Toc60061472"/>
      <w:bookmarkStart w:id="530" w:name="_Toc296602457"/>
      <w:bookmarkStart w:id="531" w:name="_Toc15058890"/>
      <w:bookmarkStart w:id="532" w:name="_Toc506107305"/>
      <w:bookmarkStart w:id="533" w:name="_Toc95223374"/>
      <w:bookmarkStart w:id="534" w:name="_Toc83301726"/>
      <w:bookmarkStart w:id="535" w:name="_Toc4204"/>
      <w:bookmarkStart w:id="536" w:name="_Toc179632586"/>
      <w:bookmarkStart w:id="537" w:name="_Toc144974536"/>
      <w:bookmarkStart w:id="538" w:name="_Toc246996955"/>
      <w:bookmarkStart w:id="539" w:name="_Toc296602458"/>
      <w:bookmarkStart w:id="540" w:name="_Toc247085726"/>
      <w:bookmarkStart w:id="541" w:name="_Toc14692"/>
      <w:bookmarkStart w:id="542" w:name="_Toc78803360"/>
      <w:bookmarkStart w:id="543" w:name="_Toc506107306"/>
      <w:bookmarkStart w:id="544" w:name="_Toc324404853"/>
      <w:bookmarkStart w:id="545" w:name="_Toc152042344"/>
      <w:bookmarkStart w:id="546" w:name="_Toc35424927"/>
      <w:bookmarkStart w:id="547" w:name="_Toc152045568"/>
      <w:bookmarkStart w:id="548" w:name="_Toc15058891"/>
      <w:bookmarkStart w:id="549" w:name="_Toc35425093"/>
      <w:bookmarkStart w:id="550" w:name="_Toc246996212"/>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179632588"/>
      <w:bookmarkStart w:id="555" w:name="_Toc152045570"/>
      <w:bookmarkStart w:id="556" w:name="_Toc35424930"/>
      <w:bookmarkStart w:id="557" w:name="_Toc35425096"/>
      <w:bookmarkStart w:id="558" w:name="_Toc11010"/>
      <w:bookmarkStart w:id="559" w:name="_Toc15058893"/>
      <w:bookmarkStart w:id="560" w:name="_Toc247085728"/>
      <w:bookmarkStart w:id="561" w:name="_Toc152042346"/>
      <w:bookmarkStart w:id="562" w:name="_Toc296602460"/>
      <w:bookmarkStart w:id="563" w:name="_Toc324404855"/>
      <w:bookmarkStart w:id="564" w:name="_Toc246996957"/>
      <w:bookmarkStart w:id="565" w:name="_Toc144974538"/>
      <w:bookmarkStart w:id="566" w:name="_Toc506107308"/>
      <w:bookmarkStart w:id="567" w:name="_Toc246996214"/>
      <w:bookmarkStart w:id="568" w:name="_Toc78803363"/>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152042345"/>
      <w:bookmarkStart w:id="573" w:name="_Toc83301730"/>
      <w:bookmarkStart w:id="574" w:name="_Toc144974537"/>
      <w:bookmarkStart w:id="575" w:name="_Toc246996956"/>
      <w:bookmarkStart w:id="576" w:name="_Toc246996213"/>
      <w:bookmarkStart w:id="577" w:name="_Toc152045569"/>
      <w:bookmarkStart w:id="578" w:name="_Toc247085727"/>
      <w:bookmarkStart w:id="579" w:name="_Toc95223378"/>
      <w:bookmarkStart w:id="580" w:name="_Toc15058892"/>
      <w:bookmarkStart w:id="581" w:name="_Toc506107307"/>
      <w:bookmarkStart w:id="582" w:name="_Toc60061476"/>
      <w:bookmarkStart w:id="583" w:name="_Toc324404854"/>
      <w:bookmarkStart w:id="584" w:name="_Toc179632587"/>
      <w:bookmarkStart w:id="585" w:name="_Toc296602459"/>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95223379"/>
      <w:bookmarkStart w:id="587" w:name="_Toc60061477"/>
      <w:bookmarkStart w:id="588" w:name="_Toc83301731"/>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除法定情形外，建设工程合同履行期间项目经理不得更换。项目经理确需变更的，应根据招标文件要求，变更后的项目经理不低于投标文件中拟派项目经理的资格条件。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44974539"/>
      <w:bookmarkStart w:id="590" w:name="_Toc179632589"/>
      <w:bookmarkStart w:id="591" w:name="_Toc95223381"/>
      <w:bookmarkStart w:id="592" w:name="_Toc152045571"/>
      <w:bookmarkStart w:id="593" w:name="_Toc83301732"/>
      <w:bookmarkStart w:id="594" w:name="_Toc152042347"/>
      <w:bookmarkStart w:id="595" w:name="_Toc60061478"/>
      <w:bookmarkStart w:id="596" w:name="_Toc35425097"/>
      <w:bookmarkStart w:id="597" w:name="_Toc25375"/>
      <w:bookmarkStart w:id="598" w:name="_Toc31686"/>
      <w:bookmarkStart w:id="599" w:name="_Toc26974"/>
      <w:bookmarkStart w:id="600" w:name="_Toc35424931"/>
      <w:bookmarkStart w:id="601" w:name="_Toc78803367"/>
      <w:bookmarkStart w:id="602" w:name="_Toc324404864"/>
      <w:bookmarkStart w:id="603" w:name="_Toc35425105"/>
      <w:bookmarkStart w:id="604" w:name="_Toc506107317"/>
      <w:bookmarkStart w:id="605" w:name="_Toc35424939"/>
      <w:bookmarkStart w:id="606" w:name="_Toc15058902"/>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83301733"/>
      <w:bookmarkStart w:id="609" w:name="_Toc152042348"/>
      <w:bookmarkStart w:id="610" w:name="_Toc152045572"/>
      <w:bookmarkStart w:id="611" w:name="_Toc95223382"/>
      <w:bookmarkStart w:id="612" w:name="_Toc179632590"/>
      <w:bookmarkStart w:id="613" w:name="_Toc60061479"/>
      <w:bookmarkStart w:id="614" w:name="_Toc144974540"/>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83301734"/>
      <w:bookmarkStart w:id="616" w:name="_Toc144974541"/>
      <w:bookmarkStart w:id="617" w:name="_Toc152042349"/>
      <w:bookmarkStart w:id="618" w:name="_Toc179632591"/>
      <w:bookmarkStart w:id="619" w:name="_Toc60061480"/>
      <w:bookmarkStart w:id="620" w:name="_Toc95223383"/>
      <w:bookmarkStart w:id="621" w:name="_Toc15204557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058895"/>
      <w:bookmarkStart w:id="623" w:name="_Toc35424932"/>
      <w:bookmarkStart w:id="624" w:name="_Toc296602462"/>
      <w:bookmarkStart w:id="625" w:name="_Toc2855"/>
      <w:bookmarkStart w:id="626" w:name="_Toc296590983"/>
      <w:bookmarkStart w:id="627" w:name="_Toc15607"/>
      <w:bookmarkStart w:id="628" w:name="_Toc152042351"/>
      <w:bookmarkStart w:id="629" w:name="_Toc324404857"/>
      <w:bookmarkStart w:id="630" w:name="_Toc247085733"/>
      <w:bookmarkStart w:id="631" w:name="_Toc144974543"/>
      <w:bookmarkStart w:id="632" w:name="_Toc246996962"/>
      <w:bookmarkStart w:id="633" w:name="_Toc246996219"/>
      <w:bookmarkStart w:id="634" w:name="_Toc506107310"/>
      <w:bookmarkStart w:id="635" w:name="_Toc152045575"/>
      <w:bookmarkStart w:id="636" w:name="_Toc78803368"/>
      <w:bookmarkStart w:id="637" w:name="_Toc179632593"/>
      <w:bookmarkStart w:id="638" w:name="_Toc35425098"/>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324404858"/>
      <w:bookmarkStart w:id="640" w:name="_Toc246996963"/>
      <w:bookmarkStart w:id="641" w:name="_Toc35424933"/>
      <w:bookmarkStart w:id="642" w:name="_Toc152042352"/>
      <w:bookmarkStart w:id="643" w:name="_Toc246996220"/>
      <w:bookmarkStart w:id="644" w:name="_Toc144974544"/>
      <w:bookmarkStart w:id="645" w:name="_Toc506107311"/>
      <w:bookmarkStart w:id="646" w:name="_Toc179632594"/>
      <w:bookmarkStart w:id="647" w:name="_Toc35425099"/>
      <w:bookmarkStart w:id="648" w:name="_Toc296602463"/>
      <w:bookmarkStart w:id="649" w:name="_Toc78803369"/>
      <w:bookmarkStart w:id="650" w:name="_Toc15058896"/>
      <w:bookmarkStart w:id="651" w:name="_Toc32177"/>
      <w:bookmarkStart w:id="652" w:name="_Toc152045576"/>
      <w:bookmarkStart w:id="653" w:name="_Toc19779"/>
      <w:bookmarkStart w:id="654" w:name="_Toc247085734"/>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35425100"/>
      <w:bookmarkStart w:id="656" w:name="_Toc15058897"/>
      <w:bookmarkStart w:id="657" w:name="_Toc506107312"/>
      <w:bookmarkStart w:id="658" w:name="_Toc13043"/>
      <w:bookmarkStart w:id="659" w:name="_Toc246996221"/>
      <w:bookmarkStart w:id="660" w:name="_Toc78803370"/>
      <w:bookmarkStart w:id="661" w:name="_Toc246996964"/>
      <w:bookmarkStart w:id="662" w:name="_Toc152042353"/>
      <w:bookmarkStart w:id="663" w:name="_Toc35424934"/>
      <w:bookmarkStart w:id="664" w:name="_Toc179632595"/>
      <w:bookmarkStart w:id="665" w:name="_Toc324404859"/>
      <w:bookmarkStart w:id="666" w:name="_Toc144974545"/>
      <w:bookmarkStart w:id="667" w:name="_Toc12564"/>
      <w:bookmarkStart w:id="668" w:name="_Toc152045577"/>
      <w:bookmarkStart w:id="669" w:name="_Toc296602464"/>
      <w:bookmarkStart w:id="670" w:name="_Toc247085735"/>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35425101"/>
      <w:bookmarkStart w:id="672" w:name="_Toc296602465"/>
      <w:bookmarkStart w:id="673" w:name="_Toc18329"/>
      <w:bookmarkStart w:id="674" w:name="_Toc35424935"/>
      <w:bookmarkStart w:id="675" w:name="_Toc246996965"/>
      <w:bookmarkStart w:id="676" w:name="_Toc506107313"/>
      <w:bookmarkStart w:id="677" w:name="_Toc152045578"/>
      <w:bookmarkStart w:id="678" w:name="_Toc78803371"/>
      <w:bookmarkStart w:id="679" w:name="_Toc246996222"/>
      <w:bookmarkStart w:id="680" w:name="_Toc152042354"/>
      <w:bookmarkStart w:id="681" w:name="_Toc32214"/>
      <w:bookmarkStart w:id="682" w:name="_Toc247085736"/>
      <w:bookmarkStart w:id="683" w:name="_Toc15058898"/>
      <w:bookmarkStart w:id="684" w:name="_Toc324404860"/>
      <w:bookmarkStart w:id="685" w:name="_Toc179632596"/>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15058899"/>
      <w:bookmarkStart w:id="689" w:name="_Toc152045579"/>
      <w:bookmarkStart w:id="690" w:name="_Toc324404861"/>
      <w:bookmarkStart w:id="691" w:name="_Toc246996966"/>
      <w:bookmarkStart w:id="692" w:name="_Toc179632597"/>
      <w:bookmarkStart w:id="693" w:name="_Toc35425102"/>
      <w:bookmarkStart w:id="694" w:name="_Toc296602466"/>
      <w:bookmarkStart w:id="695" w:name="_Toc506107314"/>
      <w:bookmarkStart w:id="696" w:name="_Toc152042356"/>
      <w:bookmarkStart w:id="697" w:name="_Toc35424936"/>
      <w:bookmarkStart w:id="698" w:name="_Toc23607"/>
      <w:bookmarkStart w:id="699" w:name="_Toc247085737"/>
      <w:bookmarkStart w:id="700" w:name="_Toc246996223"/>
      <w:bookmarkStart w:id="701" w:name="_Toc78803372"/>
      <w:bookmarkStart w:id="702" w:name="_Toc2811"/>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35425103"/>
      <w:bookmarkStart w:id="704" w:name="_Toc506107315"/>
      <w:bookmarkStart w:id="705" w:name="_Toc20669"/>
      <w:bookmarkStart w:id="706" w:name="_Toc152042357"/>
      <w:bookmarkStart w:id="707" w:name="_Toc16463"/>
      <w:bookmarkStart w:id="708" w:name="_Toc324404862"/>
      <w:bookmarkStart w:id="709" w:name="_Toc144974547"/>
      <w:bookmarkStart w:id="710" w:name="_Toc179632598"/>
      <w:bookmarkStart w:id="711" w:name="_Toc31643"/>
      <w:bookmarkStart w:id="712" w:name="_Toc152045580"/>
      <w:bookmarkStart w:id="713" w:name="_Toc247085738"/>
      <w:bookmarkStart w:id="714" w:name="_Toc35424937"/>
      <w:bookmarkStart w:id="715" w:name="_Toc15058900"/>
      <w:bookmarkStart w:id="716" w:name="_Toc78803373"/>
      <w:bookmarkStart w:id="717" w:name="_Toc246996224"/>
      <w:bookmarkStart w:id="718" w:name="_Toc246996967"/>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78803375"/>
      <w:bookmarkStart w:id="721" w:name="_Toc10676"/>
      <w:bookmarkStart w:id="722" w:name="_Toc5501"/>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1680BB4F">
      <w:pPr>
        <w:spacing w:beforeLines="50" w:afterLines="50" w:line="440" w:lineRule="exact"/>
        <w:jc w:val="center"/>
        <w:rPr>
          <w:rFonts w:ascii="宋体" w:hAnsi="宋体" w:cs="宋体"/>
          <w:b/>
          <w:bCs/>
          <w:color w:val="auto"/>
          <w:sz w:val="28"/>
          <w:szCs w:val="22"/>
          <w:highlight w:val="none"/>
        </w:rPr>
      </w:pPr>
      <w:bookmarkStart w:id="723" w:name="_Toc15058903"/>
      <w:bookmarkStart w:id="724" w:name="_Toc506107318"/>
      <w:bookmarkStart w:id="725" w:name="_Toc35425106"/>
      <w:bookmarkStart w:id="726" w:name="_Toc35424940"/>
      <w:bookmarkStart w:id="727" w:name="_Toc324404865"/>
      <w:r>
        <w:rPr>
          <w:rFonts w:hint="eastAsia" w:ascii="宋体" w:hAnsi="宋体" w:cs="宋体"/>
          <w:b/>
          <w:bCs/>
          <w:color w:val="auto"/>
          <w:sz w:val="28"/>
          <w:szCs w:val="22"/>
          <w:highlight w:val="none"/>
        </w:rPr>
        <w:t>资格审查办法前附表</w:t>
      </w:r>
      <w:bookmarkEnd w:id="723"/>
      <w:bookmarkEnd w:id="724"/>
      <w:bookmarkEnd w:id="725"/>
      <w:bookmarkEnd w:id="726"/>
      <w:bookmarkEnd w:id="727"/>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项目经理有效身份证</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如为建造师，需同时提供</w:t>
            </w:r>
            <w:r>
              <w:rPr>
                <w:rFonts w:hint="eastAsia" w:ascii="宋体" w:hAnsi="宋体" w:cs="宋体"/>
                <w:color w:val="auto"/>
                <w:szCs w:val="21"/>
                <w:highlight w:val="none"/>
              </w:rPr>
              <w:t>安全生产考核合格证书（B证）</w:t>
            </w:r>
            <w:r>
              <w:rPr>
                <w:rFonts w:hint="eastAsia" w:ascii="宋体" w:hAnsi="宋体" w:cs="宋体"/>
                <w:color w:val="auto"/>
                <w:szCs w:val="21"/>
                <w:highlight w:val="none"/>
                <w:lang w:eastAsia="zh-CN"/>
              </w:rPr>
              <w:t>）</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项目管理机构</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1093EFCF">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78803377"/>
      <w:bookmarkStart w:id="729" w:name="_Toc324404867"/>
      <w:bookmarkStart w:id="730" w:name="_Toc35425108"/>
      <w:bookmarkStart w:id="731" w:name="_Toc506107320"/>
      <w:bookmarkStart w:id="732" w:name="_Toc12549"/>
      <w:bookmarkStart w:id="733" w:name="_Toc15058909"/>
      <w:bookmarkStart w:id="734" w:name="_Toc35424942"/>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15626"/>
      <w:bookmarkStart w:id="736" w:name="_Toc35424943"/>
      <w:bookmarkStart w:id="737" w:name="_Toc78803378"/>
      <w:bookmarkStart w:id="738" w:name="_Toc15058910"/>
      <w:bookmarkStart w:id="739" w:name="_Toc506107321"/>
      <w:bookmarkStart w:id="740" w:name="_Toc324404868"/>
      <w:bookmarkStart w:id="741" w:name="_Toc35425109"/>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78803379"/>
      <w:bookmarkStart w:id="743" w:name="_Toc35425110"/>
      <w:bookmarkStart w:id="744" w:name="_Toc10330"/>
      <w:bookmarkStart w:id="745" w:name="_Toc15058911"/>
      <w:bookmarkStart w:id="746" w:name="_Toc506107322"/>
      <w:bookmarkStart w:id="747" w:name="_Toc324404869"/>
      <w:bookmarkStart w:id="748" w:name="_Toc35424944"/>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lang w:eastAsia="zh-CN"/>
        </w:rPr>
        <w:t>）</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35425111"/>
      <w:bookmarkStart w:id="751" w:name="_Toc35424945"/>
      <w:bookmarkStart w:id="752" w:name="_Toc15058912"/>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0518"/>
      <w:bookmarkStart w:id="755" w:name="_Toc1286"/>
      <w:bookmarkStart w:id="756" w:name="_Toc32602"/>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2BA436B3">
      <w:pPr>
        <w:pStyle w:val="42"/>
        <w:keepNext w:val="0"/>
        <w:keepLines w:val="0"/>
        <w:widowControl w:val="0"/>
        <w:suppressLineNumbers w:val="0"/>
        <w:autoSpaceDE w:val="0"/>
        <w:autoSpaceDN/>
        <w:spacing w:before="95" w:beforeLines="30" w:beforeAutospacing="0" w:after="95" w:afterLines="30" w:afterAutospacing="0" w:line="440" w:lineRule="exact"/>
        <w:ind w:left="420" w:leftChars="200" w:right="0" w:firstLine="602" w:firstLineChars="250"/>
        <w:jc w:val="center"/>
        <w:rPr>
          <w:rFonts w:hint="eastAsia" w:ascii="Times New Roman" w:hAnsi="Times New Roman" w:eastAsia="宋体" w:cs="Times New Roman"/>
          <w:b/>
          <w:bCs w:val="0"/>
          <w:kern w:val="2"/>
          <w:sz w:val="24"/>
          <w:szCs w:val="24"/>
          <w:highlight w:val="none"/>
        </w:rPr>
      </w:pPr>
      <w:r>
        <w:rPr>
          <w:rFonts w:hint="eastAsia" w:ascii="Times New Roman" w:hAnsi="Times New Roman" w:eastAsia="宋体" w:cs="Times New Roman"/>
          <w:b/>
          <w:color w:val="auto"/>
          <w:sz w:val="24"/>
          <w:szCs w:val="24"/>
          <w:highlight w:val="none"/>
          <w:lang w:val="en-US" w:eastAsia="zh-CN"/>
        </w:rPr>
        <w:t>（一）</w:t>
      </w:r>
      <w:bookmarkStart w:id="757" w:name="_Toc152042366"/>
      <w:bookmarkStart w:id="758" w:name="_Toc6491"/>
      <w:bookmarkStart w:id="759" w:name="_Toc35425113"/>
      <w:bookmarkStart w:id="760" w:name="_Toc246996975"/>
      <w:bookmarkStart w:id="761" w:name="_Toc324404872"/>
      <w:bookmarkStart w:id="762" w:name="_Toc78803381"/>
      <w:bookmarkStart w:id="763" w:name="_Toc179632607"/>
      <w:bookmarkStart w:id="764" w:name="_Toc15058913"/>
      <w:bookmarkStart w:id="765" w:name="_Toc246996232"/>
      <w:bookmarkStart w:id="766" w:name="_Toc35424947"/>
      <w:bookmarkStart w:id="767" w:name="_Toc506107324"/>
      <w:bookmarkStart w:id="768" w:name="_Toc144974556"/>
      <w:bookmarkStart w:id="769" w:name="_Toc247085747"/>
      <w:bookmarkStart w:id="770" w:name="_Toc152045589"/>
      <w:r>
        <w:rPr>
          <w:rFonts w:hint="eastAsia" w:ascii="宋体" w:hAnsi="宋体" w:eastAsia="宋体" w:cs="宋体"/>
          <w:b/>
          <w:bCs w:val="0"/>
          <w:kern w:val="2"/>
          <w:sz w:val="24"/>
          <w:szCs w:val="24"/>
          <w:highlight w:val="none"/>
          <w:lang w:val="en-US" w:eastAsia="zh-CN" w:bidi="ar"/>
        </w:rPr>
        <w:t>中标候选人的确定</w:t>
      </w:r>
    </w:p>
    <w:p w14:paraId="27CAC82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评标委员会对投标人依次进行资信、商务文件审查，对均满足要求的投标人进行各项评审因素打分，合计的总得分按照从高到低进行排序，总得分第一的投标人为第一中标候选人</w:t>
      </w:r>
      <w:r>
        <w:rPr>
          <w:rFonts w:hint="eastAsia" w:ascii="宋体" w:hAnsi="宋体" w:cs="宋体"/>
          <w:kern w:val="2"/>
          <w:sz w:val="21"/>
          <w:szCs w:val="21"/>
          <w:highlight w:val="none"/>
          <w:lang w:val="en-US" w:eastAsia="zh-CN" w:bidi="ar"/>
        </w:rPr>
        <w:t>，总得分第二的投标人为第二中标候选人</w:t>
      </w:r>
      <w:r>
        <w:rPr>
          <w:rFonts w:hint="eastAsia" w:ascii="宋体" w:hAnsi="宋体" w:eastAsia="宋体" w:cs="宋体"/>
          <w:kern w:val="2"/>
          <w:sz w:val="21"/>
          <w:szCs w:val="21"/>
          <w:highlight w:val="none"/>
          <w:lang w:val="en-US" w:eastAsia="zh-CN" w:bidi="ar"/>
        </w:rPr>
        <w:t>。如总得分相等，以投标报价低的优先；投标报价仍相等，由评标委员会主任委员或招标人随机抽取确定排名。</w:t>
      </w:r>
    </w:p>
    <w:p w14:paraId="663320C6">
      <w:pPr>
        <w:pStyle w:val="42"/>
        <w:keepNext w:val="0"/>
        <w:keepLines w:val="0"/>
        <w:widowControl w:val="0"/>
        <w:suppressLineNumbers w:val="0"/>
        <w:autoSpaceDE w:val="0"/>
        <w:autoSpaceDN/>
        <w:spacing w:before="95" w:beforeLines="30" w:beforeAutospacing="0" w:after="95" w:afterLines="30" w:afterAutospacing="0" w:line="440" w:lineRule="exact"/>
        <w:ind w:left="420" w:leftChars="200" w:right="0" w:firstLine="602" w:firstLineChars="250"/>
        <w:jc w:val="center"/>
        <w:rPr>
          <w:rFonts w:hint="eastAsia" w:ascii="Times New Roman" w:hAnsi="Times New Roman" w:eastAsia="宋体" w:cs="Times New Roman"/>
          <w:b/>
          <w:bCs w:val="0"/>
          <w:kern w:val="2"/>
          <w:sz w:val="24"/>
          <w:szCs w:val="24"/>
          <w:highlight w:val="none"/>
        </w:rPr>
      </w:pPr>
      <w:r>
        <w:rPr>
          <w:rFonts w:hint="eastAsia" w:ascii="Times New Roman" w:hAnsi="Times New Roman" w:eastAsia="宋体" w:cs="Times New Roman"/>
          <w:b/>
          <w:bCs w:val="0"/>
          <w:kern w:val="2"/>
          <w:sz w:val="24"/>
          <w:szCs w:val="24"/>
          <w:highlight w:val="none"/>
          <w:lang w:val="en-US" w:eastAsia="zh-CN" w:bidi="ar"/>
        </w:rPr>
        <w:t xml:space="preserve"> </w:t>
      </w:r>
    </w:p>
    <w:p w14:paraId="55F96DA9">
      <w:pPr>
        <w:pStyle w:val="42"/>
        <w:keepNext w:val="0"/>
        <w:keepLines w:val="0"/>
        <w:widowControl w:val="0"/>
        <w:suppressLineNumbers w:val="0"/>
        <w:autoSpaceDE w:val="0"/>
        <w:autoSpaceDN/>
        <w:spacing w:before="95" w:beforeLines="30" w:beforeAutospacing="0" w:after="95" w:afterLines="30" w:afterAutospacing="0" w:line="440" w:lineRule="exact"/>
        <w:ind w:left="420" w:leftChars="200" w:right="0" w:firstLine="602" w:firstLineChars="250"/>
        <w:jc w:val="center"/>
        <w:rPr>
          <w:rFonts w:hint="default" w:ascii="Times New Roman" w:hAnsi="Times New Roman"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（二）资信标评审（</w:t>
      </w:r>
      <w:r>
        <w:rPr>
          <w:rFonts w:hint="default" w:ascii="Times New Roman" w:hAnsi="Times New Roman" w:eastAsia="宋体" w:cs="Times New Roman"/>
          <w:b/>
          <w:bCs w:val="0"/>
          <w:kern w:val="2"/>
          <w:sz w:val="24"/>
          <w:szCs w:val="24"/>
          <w:highlight w:val="none"/>
          <w:lang w:val="en-US" w:eastAsia="zh-CN" w:bidi="ar"/>
        </w:rPr>
        <w:t>10</w:t>
      </w:r>
      <w:r>
        <w:rPr>
          <w:rFonts w:hint="eastAsia" w:ascii="宋体" w:hAnsi="宋体" w:eastAsia="宋体" w:cs="宋体"/>
          <w:b/>
          <w:bCs w:val="0"/>
          <w:kern w:val="2"/>
          <w:sz w:val="24"/>
          <w:szCs w:val="24"/>
          <w:highlight w:val="none"/>
          <w:lang w:val="en-US" w:eastAsia="zh-CN" w:bidi="ar"/>
        </w:rPr>
        <w:t>分）</w:t>
      </w:r>
    </w:p>
    <w:tbl>
      <w:tblPr>
        <w:tblStyle w:val="46"/>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1"/>
        <w:gridCol w:w="1804"/>
        <w:gridCol w:w="1595"/>
        <w:gridCol w:w="5711"/>
      </w:tblGrid>
      <w:tr w14:paraId="5A88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top"/>
          </w:tcPr>
          <w:p w14:paraId="3F14650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804" w:type="dxa"/>
            <w:tcBorders>
              <w:top w:val="single" w:color="auto" w:sz="4" w:space="0"/>
              <w:left w:val="nil"/>
              <w:bottom w:val="single" w:color="auto" w:sz="4" w:space="0"/>
              <w:right w:val="single" w:color="auto" w:sz="4" w:space="0"/>
            </w:tcBorders>
            <w:shd w:val="clear" w:color="auto" w:fill="auto"/>
            <w:vAlign w:val="top"/>
          </w:tcPr>
          <w:p w14:paraId="7A88BC0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评审因素</w:t>
            </w:r>
          </w:p>
        </w:tc>
        <w:tc>
          <w:tcPr>
            <w:tcW w:w="1595" w:type="dxa"/>
            <w:tcBorders>
              <w:top w:val="single" w:color="auto" w:sz="4" w:space="0"/>
              <w:left w:val="nil"/>
              <w:bottom w:val="single" w:color="auto" w:sz="4" w:space="0"/>
              <w:right w:val="single" w:color="auto" w:sz="4" w:space="0"/>
            </w:tcBorders>
            <w:shd w:val="clear" w:color="auto" w:fill="auto"/>
            <w:vAlign w:val="top"/>
          </w:tcPr>
          <w:p w14:paraId="4E6B972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分值设置</w:t>
            </w:r>
          </w:p>
        </w:tc>
        <w:tc>
          <w:tcPr>
            <w:tcW w:w="5711" w:type="dxa"/>
            <w:tcBorders>
              <w:top w:val="single" w:color="auto" w:sz="4" w:space="0"/>
              <w:left w:val="nil"/>
              <w:bottom w:val="single" w:color="auto" w:sz="4" w:space="0"/>
              <w:right w:val="single" w:color="auto" w:sz="4" w:space="0"/>
            </w:tcBorders>
            <w:shd w:val="clear" w:color="auto" w:fill="auto"/>
            <w:vAlign w:val="top"/>
          </w:tcPr>
          <w:p w14:paraId="01B389C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评审标准</w:t>
            </w:r>
          </w:p>
        </w:tc>
      </w:tr>
      <w:tr w14:paraId="1055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5B19CD8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1804" w:type="dxa"/>
            <w:tcBorders>
              <w:top w:val="single" w:color="auto" w:sz="4" w:space="0"/>
              <w:left w:val="nil"/>
              <w:bottom w:val="single" w:color="auto" w:sz="4" w:space="0"/>
              <w:right w:val="single" w:color="auto" w:sz="4" w:space="0"/>
            </w:tcBorders>
            <w:shd w:val="clear" w:color="auto" w:fill="auto"/>
            <w:vAlign w:val="center"/>
          </w:tcPr>
          <w:p w14:paraId="16A5A1E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企业业绩</w:t>
            </w:r>
          </w:p>
        </w:tc>
        <w:tc>
          <w:tcPr>
            <w:tcW w:w="1595" w:type="dxa"/>
            <w:tcBorders>
              <w:top w:val="single" w:color="auto" w:sz="4" w:space="0"/>
              <w:left w:val="nil"/>
              <w:bottom w:val="single" w:color="auto" w:sz="4" w:space="0"/>
              <w:right w:val="single" w:color="auto" w:sz="4" w:space="0"/>
            </w:tcBorders>
            <w:shd w:val="clear" w:color="auto" w:fill="auto"/>
            <w:vAlign w:val="center"/>
          </w:tcPr>
          <w:p w14:paraId="372DECC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10分</w:t>
            </w:r>
          </w:p>
        </w:tc>
        <w:tc>
          <w:tcPr>
            <w:tcW w:w="5711" w:type="dxa"/>
            <w:tcBorders>
              <w:top w:val="single" w:color="auto" w:sz="4" w:space="0"/>
              <w:left w:val="nil"/>
              <w:bottom w:val="single" w:color="auto" w:sz="4" w:space="0"/>
              <w:right w:val="single" w:color="auto" w:sz="4" w:space="0"/>
            </w:tcBorders>
            <w:shd w:val="clear" w:color="auto" w:fill="auto"/>
            <w:vAlign w:val="top"/>
          </w:tcPr>
          <w:p w14:paraId="70D92CC9">
            <w:pPr>
              <w:keepNext w:val="0"/>
              <w:keepLines w:val="0"/>
              <w:widowControl w:val="0"/>
              <w:suppressLineNumbers w:val="0"/>
              <w:autoSpaceDE w:val="0"/>
              <w:autoSpaceDN/>
              <w:adjustRightInd w:val="0"/>
              <w:snapToGrid w:val="0"/>
              <w:spacing w:before="0" w:beforeAutospacing="0" w:after="0" w:afterAutospacing="0" w:line="48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投标人自202</w:t>
            </w:r>
            <w:r>
              <w:rPr>
                <w:rFonts w:hint="eastAsia" w:ascii="宋体" w:hAnsi="宋体" w:cs="宋体"/>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年</w:t>
            </w:r>
            <w:r>
              <w:rPr>
                <w:rFonts w:hint="eastAsia" w:ascii="宋体" w:hAnsi="宋体" w:cs="宋体"/>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月1日至投标截止时间，</w:t>
            </w:r>
            <w:r>
              <w:rPr>
                <w:rFonts w:hint="eastAsia" w:ascii="宋体" w:hAnsi="宋体" w:cs="宋体"/>
                <w:kern w:val="2"/>
                <w:sz w:val="21"/>
                <w:szCs w:val="21"/>
                <w:highlight w:val="none"/>
                <w:lang w:val="en-US" w:eastAsia="zh-CN" w:bidi="ar"/>
              </w:rPr>
              <w:t>每提供一个</w:t>
            </w:r>
            <w:r>
              <w:rPr>
                <w:rFonts w:hint="eastAsia" w:ascii="宋体" w:hAnsi="宋体" w:eastAsia="宋体" w:cs="宋体"/>
                <w:kern w:val="2"/>
                <w:sz w:val="21"/>
                <w:szCs w:val="21"/>
                <w:highlight w:val="none"/>
                <w:lang w:val="en-US" w:eastAsia="zh-CN" w:bidi="ar"/>
              </w:rPr>
              <w:t>单项合同金额</w:t>
            </w:r>
            <w:r>
              <w:rPr>
                <w:rFonts w:hint="eastAsia" w:ascii="宋体" w:hAnsi="宋体" w:cs="宋体"/>
                <w:kern w:val="2"/>
                <w:sz w:val="21"/>
                <w:szCs w:val="21"/>
                <w:highlight w:val="none"/>
                <w:lang w:val="en-US" w:eastAsia="zh-CN" w:bidi="ar"/>
              </w:rPr>
              <w:t>15</w:t>
            </w:r>
            <w:r>
              <w:rPr>
                <w:rFonts w:hint="eastAsia" w:ascii="宋体" w:hAnsi="宋体" w:eastAsia="宋体" w:cs="宋体"/>
                <w:kern w:val="2"/>
                <w:sz w:val="21"/>
                <w:szCs w:val="21"/>
                <w:highlight w:val="none"/>
                <w:lang w:val="en-US" w:eastAsia="zh-CN" w:bidi="ar"/>
              </w:rPr>
              <w:t>万元及以上的园林绿化工程施工业绩</w:t>
            </w:r>
            <w:r>
              <w:rPr>
                <w:rFonts w:hint="eastAsia" w:ascii="宋体" w:hAnsi="宋体" w:cs="宋体"/>
                <w:kern w:val="2"/>
                <w:sz w:val="21"/>
                <w:szCs w:val="21"/>
                <w:highlight w:val="none"/>
                <w:lang w:val="en-US" w:eastAsia="zh-CN" w:bidi="ar"/>
              </w:rPr>
              <w:t>的</w:t>
            </w:r>
            <w:r>
              <w:rPr>
                <w:rFonts w:hint="eastAsia" w:ascii="宋体" w:hAnsi="宋体" w:eastAsia="宋体" w:cs="宋体"/>
                <w:kern w:val="2"/>
                <w:sz w:val="21"/>
                <w:szCs w:val="21"/>
                <w:highlight w:val="none"/>
                <w:lang w:val="en-US" w:eastAsia="zh-CN" w:bidi="ar"/>
              </w:rPr>
              <w:t xml:space="preserve">，得5分；本项满分10分； </w:t>
            </w:r>
          </w:p>
          <w:p w14:paraId="71EB55CD">
            <w:pPr>
              <w:keepNext w:val="0"/>
              <w:keepLines w:val="0"/>
              <w:widowControl w:val="0"/>
              <w:suppressLineNumbers w:val="0"/>
              <w:autoSpaceDE w:val="0"/>
              <w:autoSpaceDN/>
              <w:adjustRightInd w:val="0"/>
              <w:snapToGrid w:val="0"/>
              <w:spacing w:before="0" w:beforeAutospacing="0" w:after="0" w:afterAutospacing="0" w:line="480" w:lineRule="exact"/>
              <w:ind w:left="0" w:right="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注：</w:t>
            </w:r>
            <w:r>
              <w:rPr>
                <w:rFonts w:hint="eastAsia" w:ascii="宋体" w:hAnsi="宋体" w:eastAsia="宋体" w:cs="宋体"/>
                <w:kern w:val="2"/>
                <w:sz w:val="21"/>
                <w:szCs w:val="21"/>
                <w:highlight w:val="none"/>
                <w:lang w:val="en-US" w:eastAsia="zh-CN" w:bidi="ar"/>
              </w:rPr>
              <w:t>（1）评审核验电子标书中的下述文件、材料（同时提供下列资料扫描件）：①中标通知书，②施工合同，③验收通过证明材料；三者缺一不可，否则所提供的业绩不予认可。如以上证明材料无法反映出业绩相关信息，可以另外提供业主材料加盖公章，格式自拟。（①业绩有效时间及金额以合同为准。②投标人分公司业绩予以认可。）</w:t>
            </w:r>
          </w:p>
          <w:p w14:paraId="54272C00">
            <w:pPr>
              <w:keepNext w:val="0"/>
              <w:keepLines w:val="0"/>
              <w:widowControl w:val="0"/>
              <w:suppressLineNumbers w:val="0"/>
              <w:autoSpaceDE w:val="0"/>
              <w:autoSpaceDN/>
              <w:adjustRightInd w:val="0"/>
              <w:snapToGrid w:val="0"/>
              <w:spacing w:before="0" w:beforeAutospacing="0" w:after="0" w:afterAutospacing="0" w:line="480" w:lineRule="exact"/>
              <w:ind w:left="0" w:right="0"/>
              <w:jc w:val="both"/>
              <w:rPr>
                <w:rFonts w:hint="eastAsia" w:ascii="宋体" w:hAnsi="宋体" w:eastAsia="宋体" w:cs="宋体"/>
                <w:kern w:val="2"/>
                <w:sz w:val="21"/>
                <w:szCs w:val="21"/>
                <w:highlight w:val="none"/>
              </w:rPr>
            </w:pPr>
            <w:r>
              <w:rPr>
                <w:rFonts w:hint="eastAsia" w:ascii="宋体" w:hAnsi="宋体" w:eastAsia="宋体" w:cs="宋体"/>
                <w:b w:val="0"/>
                <w:bCs w:val="0"/>
                <w:kern w:val="2"/>
                <w:sz w:val="21"/>
                <w:szCs w:val="21"/>
                <w:highlight w:val="none"/>
                <w:lang w:val="en-US" w:eastAsia="zh-CN" w:bidi="ar"/>
              </w:rPr>
              <w:t>（2）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r>
    </w:tbl>
    <w:p w14:paraId="173D79BB">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4D19236">
      <w:pPr>
        <w:pStyle w:val="42"/>
        <w:keepNext w:val="0"/>
        <w:keepLines w:val="0"/>
        <w:widowControl w:val="0"/>
        <w:suppressLineNumbers w:val="0"/>
        <w:autoSpaceDE w:val="0"/>
        <w:autoSpaceDN/>
        <w:spacing w:before="95" w:beforeLines="30" w:beforeAutospacing="0" w:after="95" w:afterLines="30" w:afterAutospacing="0" w:line="440" w:lineRule="exact"/>
        <w:ind w:left="420" w:leftChars="200" w:right="0" w:firstLine="602" w:firstLineChars="250"/>
        <w:jc w:val="center"/>
        <w:rPr>
          <w:rFonts w:hint="eastAsia" w:ascii="Times New Roman" w:hAnsi="Times New Roman"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（三）商务标评审</w:t>
      </w:r>
    </w:p>
    <w:tbl>
      <w:tblPr>
        <w:tblStyle w:val="46"/>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425"/>
      </w:tblGrid>
      <w:tr w14:paraId="0458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E07DE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条款号</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056BE99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评审因素</w:t>
            </w:r>
          </w:p>
        </w:tc>
        <w:tc>
          <w:tcPr>
            <w:tcW w:w="5425" w:type="dxa"/>
            <w:tcBorders>
              <w:top w:val="single" w:color="auto" w:sz="4" w:space="0"/>
              <w:left w:val="nil"/>
              <w:bottom w:val="single" w:color="auto" w:sz="4" w:space="0"/>
              <w:right w:val="single" w:color="auto" w:sz="4" w:space="0"/>
            </w:tcBorders>
            <w:shd w:val="clear" w:color="auto" w:fill="auto"/>
            <w:vAlign w:val="center"/>
          </w:tcPr>
          <w:p w14:paraId="08D0962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评审标准</w:t>
            </w:r>
          </w:p>
        </w:tc>
      </w:tr>
      <w:tr w14:paraId="41E3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09F2D80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776" w:type="dxa"/>
            <w:vMerge w:val="restart"/>
            <w:tcBorders>
              <w:top w:val="nil"/>
              <w:left w:val="nil"/>
              <w:bottom w:val="single" w:color="auto" w:sz="4" w:space="0"/>
              <w:right w:val="single" w:color="auto" w:sz="4" w:space="0"/>
            </w:tcBorders>
            <w:shd w:val="clear" w:color="auto" w:fill="auto"/>
            <w:vAlign w:val="center"/>
          </w:tcPr>
          <w:p w14:paraId="434B896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形式评审标准</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1390D16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投标函签字盖章</w:t>
            </w:r>
          </w:p>
        </w:tc>
        <w:tc>
          <w:tcPr>
            <w:tcW w:w="5425" w:type="dxa"/>
            <w:tcBorders>
              <w:top w:val="single" w:color="auto" w:sz="4" w:space="0"/>
              <w:left w:val="nil"/>
              <w:bottom w:val="single" w:color="auto" w:sz="4" w:space="0"/>
              <w:right w:val="single" w:color="auto" w:sz="4" w:space="0"/>
            </w:tcBorders>
            <w:shd w:val="clear" w:color="auto" w:fill="auto"/>
            <w:vAlign w:val="center"/>
          </w:tcPr>
          <w:p w14:paraId="63924F7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有投标人及其法定代表人签章。</w:t>
            </w:r>
          </w:p>
        </w:tc>
      </w:tr>
      <w:tr w14:paraId="64DC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82A262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724100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41C526B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投标文件格式</w:t>
            </w:r>
          </w:p>
        </w:tc>
        <w:tc>
          <w:tcPr>
            <w:tcW w:w="5425" w:type="dxa"/>
            <w:tcBorders>
              <w:top w:val="single" w:color="auto" w:sz="4" w:space="0"/>
              <w:left w:val="nil"/>
              <w:bottom w:val="single" w:color="auto" w:sz="4" w:space="0"/>
              <w:right w:val="single" w:color="auto" w:sz="4" w:space="0"/>
            </w:tcBorders>
            <w:shd w:val="clear" w:color="auto" w:fill="auto"/>
            <w:vAlign w:val="center"/>
          </w:tcPr>
          <w:p w14:paraId="30B7344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符合第八章“投标文件格式”的要求。</w:t>
            </w:r>
          </w:p>
        </w:tc>
      </w:tr>
      <w:tr w14:paraId="57BD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F8D123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E2B949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31587DB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商务标签字盖章</w:t>
            </w:r>
          </w:p>
        </w:tc>
        <w:tc>
          <w:tcPr>
            <w:tcW w:w="5425" w:type="dxa"/>
            <w:tcBorders>
              <w:top w:val="single" w:color="auto" w:sz="4" w:space="0"/>
              <w:left w:val="nil"/>
              <w:bottom w:val="single" w:color="auto" w:sz="4" w:space="0"/>
              <w:right w:val="single" w:color="auto" w:sz="4" w:space="0"/>
            </w:tcBorders>
            <w:shd w:val="clear" w:color="auto" w:fill="auto"/>
            <w:vAlign w:val="center"/>
          </w:tcPr>
          <w:p w14:paraId="14C8BFA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按投标文件格式要求签章。</w:t>
            </w:r>
          </w:p>
        </w:tc>
      </w:tr>
      <w:tr w14:paraId="5ED4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EF3B01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6D27AD7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0F2A00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报价唯一</w:t>
            </w:r>
          </w:p>
        </w:tc>
        <w:tc>
          <w:tcPr>
            <w:tcW w:w="5425" w:type="dxa"/>
            <w:tcBorders>
              <w:top w:val="single" w:color="auto" w:sz="4" w:space="0"/>
              <w:left w:val="nil"/>
              <w:bottom w:val="single" w:color="auto" w:sz="4" w:space="0"/>
              <w:right w:val="single" w:color="auto" w:sz="4" w:space="0"/>
            </w:tcBorders>
            <w:shd w:val="clear" w:color="auto" w:fill="auto"/>
            <w:vAlign w:val="center"/>
          </w:tcPr>
          <w:p w14:paraId="0DA9BDA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只能有一个报价。</w:t>
            </w:r>
          </w:p>
        </w:tc>
      </w:tr>
      <w:tr w14:paraId="4629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3C9AB09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p>
        </w:tc>
        <w:tc>
          <w:tcPr>
            <w:tcW w:w="776" w:type="dxa"/>
            <w:vMerge w:val="restart"/>
            <w:tcBorders>
              <w:top w:val="nil"/>
              <w:left w:val="nil"/>
              <w:bottom w:val="single" w:color="auto" w:sz="4" w:space="0"/>
              <w:right w:val="single" w:color="auto" w:sz="4" w:space="0"/>
            </w:tcBorders>
            <w:shd w:val="clear" w:color="auto" w:fill="auto"/>
            <w:vAlign w:val="center"/>
          </w:tcPr>
          <w:p w14:paraId="0821C27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响应性评审标准</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5C41305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投标保证金缴纳情况</w:t>
            </w:r>
          </w:p>
        </w:tc>
        <w:tc>
          <w:tcPr>
            <w:tcW w:w="5425" w:type="dxa"/>
            <w:tcBorders>
              <w:top w:val="single" w:color="auto" w:sz="4" w:space="0"/>
              <w:left w:val="nil"/>
              <w:bottom w:val="single" w:color="auto" w:sz="4" w:space="0"/>
              <w:right w:val="single" w:color="auto" w:sz="4" w:space="0"/>
            </w:tcBorders>
            <w:shd w:val="clear" w:color="auto" w:fill="auto"/>
            <w:vAlign w:val="center"/>
          </w:tcPr>
          <w:p w14:paraId="7A73B78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14:paraId="5974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B4FAF5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7C8D26A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2882603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工期</w:t>
            </w:r>
          </w:p>
        </w:tc>
        <w:tc>
          <w:tcPr>
            <w:tcW w:w="5425" w:type="dxa"/>
            <w:tcBorders>
              <w:top w:val="single" w:color="auto" w:sz="4" w:space="0"/>
              <w:left w:val="nil"/>
              <w:bottom w:val="single" w:color="auto" w:sz="4" w:space="0"/>
              <w:right w:val="single" w:color="auto" w:sz="4" w:space="0"/>
            </w:tcBorders>
            <w:shd w:val="clear" w:color="auto" w:fill="auto"/>
            <w:vAlign w:val="center"/>
          </w:tcPr>
          <w:p w14:paraId="522F196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14:paraId="7C3C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0C55DA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FEB7D2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67D582A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工程质量</w:t>
            </w:r>
          </w:p>
        </w:tc>
        <w:tc>
          <w:tcPr>
            <w:tcW w:w="5425" w:type="dxa"/>
            <w:tcBorders>
              <w:top w:val="single" w:color="auto" w:sz="4" w:space="0"/>
              <w:left w:val="nil"/>
              <w:bottom w:val="single" w:color="auto" w:sz="4" w:space="0"/>
              <w:right w:val="single" w:color="auto" w:sz="4" w:space="0"/>
            </w:tcBorders>
            <w:shd w:val="clear" w:color="auto" w:fill="auto"/>
            <w:vAlign w:val="center"/>
          </w:tcPr>
          <w:p w14:paraId="3079E6B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14:paraId="14D4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61FA32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16AC8E9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329A11F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投标有效期</w:t>
            </w:r>
          </w:p>
        </w:tc>
        <w:tc>
          <w:tcPr>
            <w:tcW w:w="5425" w:type="dxa"/>
            <w:tcBorders>
              <w:top w:val="single" w:color="auto" w:sz="4" w:space="0"/>
              <w:left w:val="nil"/>
              <w:bottom w:val="single" w:color="auto" w:sz="4" w:space="0"/>
              <w:right w:val="single" w:color="auto" w:sz="4" w:space="0"/>
            </w:tcBorders>
            <w:shd w:val="clear" w:color="auto" w:fill="auto"/>
            <w:vAlign w:val="center"/>
          </w:tcPr>
          <w:p w14:paraId="7FDE059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14:paraId="64EB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D1C6BF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8C6942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035D426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已标价工程量清单</w:t>
            </w:r>
          </w:p>
        </w:tc>
        <w:tc>
          <w:tcPr>
            <w:tcW w:w="5425" w:type="dxa"/>
            <w:tcBorders>
              <w:top w:val="single" w:color="auto" w:sz="4" w:space="0"/>
              <w:left w:val="nil"/>
              <w:bottom w:val="single" w:color="auto" w:sz="4" w:space="0"/>
              <w:right w:val="single" w:color="auto" w:sz="4" w:space="0"/>
            </w:tcBorders>
            <w:shd w:val="clear" w:color="auto" w:fill="auto"/>
            <w:vAlign w:val="center"/>
          </w:tcPr>
          <w:p w14:paraId="1A42237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与招标人发布的招标工程量清单（含需评审材料清单）排序一致。</w:t>
            </w:r>
          </w:p>
        </w:tc>
      </w:tr>
      <w:tr w14:paraId="1F0F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0D1F2E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17CF7FF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550377C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w:t>
            </w:r>
            <w:r>
              <w:rPr>
                <w:rFonts w:hint="eastAsia" w:ascii="宋体" w:hAnsi="宋体" w:cs="宋体"/>
                <w:kern w:val="2"/>
                <w:sz w:val="21"/>
                <w:szCs w:val="21"/>
                <w:highlight w:val="none"/>
                <w:lang w:val="en-US" w:eastAsia="zh-CN" w:bidi="ar"/>
              </w:rPr>
              <w:t>报价</w:t>
            </w:r>
            <w:r>
              <w:rPr>
                <w:rFonts w:hint="eastAsia" w:ascii="宋体" w:hAnsi="宋体" w:eastAsia="宋体" w:cs="宋体"/>
                <w:kern w:val="2"/>
                <w:sz w:val="21"/>
                <w:szCs w:val="21"/>
                <w:highlight w:val="none"/>
                <w:lang w:val="en-US" w:eastAsia="zh-CN" w:bidi="ar"/>
              </w:rPr>
              <w:t>评审</w:t>
            </w:r>
          </w:p>
        </w:tc>
        <w:tc>
          <w:tcPr>
            <w:tcW w:w="5425" w:type="dxa"/>
            <w:tcBorders>
              <w:top w:val="single" w:color="auto" w:sz="4" w:space="0"/>
              <w:left w:val="nil"/>
              <w:bottom w:val="single" w:color="auto" w:sz="4" w:space="0"/>
              <w:right w:val="single" w:color="auto" w:sz="4" w:space="0"/>
            </w:tcBorders>
            <w:shd w:val="clear" w:color="auto" w:fill="auto"/>
            <w:vAlign w:val="center"/>
          </w:tcPr>
          <w:p w14:paraId="5F67C8F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宋体" w:hAnsi="宋体" w:eastAsia="宋体" w:cs="宋体"/>
                <w:spacing w:val="-6"/>
                <w:kern w:val="2"/>
                <w:sz w:val="21"/>
                <w:szCs w:val="21"/>
                <w:highlight w:val="none"/>
                <w:lang w:val="en-US"/>
              </w:rPr>
            </w:pPr>
            <w:r>
              <w:rPr>
                <w:rFonts w:hint="eastAsia" w:ascii="宋体" w:hAnsi="宋体" w:eastAsia="宋体" w:cs="宋体"/>
                <w:spacing w:val="-6"/>
                <w:kern w:val="2"/>
                <w:sz w:val="21"/>
                <w:szCs w:val="21"/>
                <w:highlight w:val="none"/>
                <w:lang w:val="en-US" w:eastAsia="zh-CN" w:bidi="ar"/>
              </w:rPr>
              <w:t>不得高于最高投标限价，也不得低于工程成本价。</w:t>
            </w:r>
            <w:r>
              <w:rPr>
                <w:rFonts w:hint="eastAsia" w:ascii="宋体" w:hAnsi="宋体" w:cs="宋体"/>
                <w:b/>
                <w:bCs/>
                <w:spacing w:val="-6"/>
                <w:kern w:val="2"/>
                <w:sz w:val="21"/>
                <w:szCs w:val="21"/>
                <w:highlight w:val="none"/>
                <w:lang w:val="en-US" w:eastAsia="zh-CN" w:bidi="ar"/>
              </w:rPr>
              <w:t>清单中</w:t>
            </w:r>
            <w:r>
              <w:rPr>
                <w:rFonts w:hint="eastAsia" w:ascii="宋体" w:hAnsi="宋体" w:eastAsia="宋体" w:cs="宋体"/>
                <w:b/>
                <w:bCs/>
                <w:spacing w:val="-6"/>
                <w:kern w:val="2"/>
                <w:sz w:val="21"/>
                <w:szCs w:val="21"/>
                <w:highlight w:val="none"/>
                <w:lang w:val="en-US" w:eastAsia="zh-CN" w:bidi="ar"/>
              </w:rPr>
              <w:t>每项</w:t>
            </w:r>
            <w:r>
              <w:rPr>
                <w:rFonts w:hint="eastAsia" w:ascii="宋体" w:hAnsi="宋体" w:cs="宋体"/>
                <w:b/>
                <w:bCs/>
                <w:spacing w:val="-6"/>
                <w:kern w:val="2"/>
                <w:sz w:val="21"/>
                <w:szCs w:val="21"/>
                <w:highlight w:val="none"/>
                <w:lang w:val="en-US" w:eastAsia="zh-CN" w:bidi="ar"/>
              </w:rPr>
              <w:t>报价</w:t>
            </w:r>
            <w:r>
              <w:rPr>
                <w:rFonts w:hint="eastAsia" w:ascii="宋体" w:hAnsi="宋体" w:eastAsia="宋体" w:cs="宋体"/>
                <w:b/>
                <w:bCs/>
                <w:spacing w:val="-6"/>
                <w:kern w:val="2"/>
                <w:sz w:val="21"/>
                <w:szCs w:val="21"/>
                <w:highlight w:val="none"/>
                <w:lang w:val="en-US" w:eastAsia="zh-CN" w:bidi="ar"/>
              </w:rPr>
              <w:t>均不高于</w:t>
            </w:r>
            <w:r>
              <w:rPr>
                <w:rFonts w:hint="eastAsia" w:ascii="宋体" w:hAnsi="宋体" w:cs="宋体"/>
                <w:b/>
                <w:bCs/>
                <w:spacing w:val="-6"/>
                <w:kern w:val="2"/>
                <w:sz w:val="21"/>
                <w:szCs w:val="21"/>
                <w:highlight w:val="none"/>
                <w:lang w:val="en-US" w:eastAsia="zh-CN" w:bidi="ar"/>
              </w:rPr>
              <w:t>公布的最高投标限价中的每项单项价格。</w:t>
            </w:r>
          </w:p>
        </w:tc>
      </w:tr>
      <w:tr w14:paraId="71C7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AF3D1F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162E52B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742DB8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暂列金额、专业工程暂估价、分部分项工程材料及设备暂估价</w:t>
            </w:r>
          </w:p>
        </w:tc>
        <w:tc>
          <w:tcPr>
            <w:tcW w:w="5425" w:type="dxa"/>
            <w:tcBorders>
              <w:top w:val="single" w:color="auto" w:sz="4" w:space="0"/>
              <w:left w:val="nil"/>
              <w:bottom w:val="single" w:color="auto" w:sz="4" w:space="0"/>
              <w:right w:val="single" w:color="auto" w:sz="4" w:space="0"/>
            </w:tcBorders>
            <w:shd w:val="clear" w:color="auto" w:fill="auto"/>
            <w:vAlign w:val="center"/>
          </w:tcPr>
          <w:p w14:paraId="7EF2F6F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与招标人发布的招标工程量清单一致。</w:t>
            </w:r>
          </w:p>
        </w:tc>
      </w:tr>
      <w:tr w14:paraId="2CEC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2E98AF6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w:t>
            </w:r>
          </w:p>
        </w:tc>
        <w:tc>
          <w:tcPr>
            <w:tcW w:w="776" w:type="dxa"/>
            <w:vMerge w:val="restart"/>
            <w:tcBorders>
              <w:top w:val="nil"/>
              <w:left w:val="nil"/>
              <w:bottom w:val="single" w:color="auto" w:sz="4" w:space="0"/>
              <w:right w:val="single" w:color="auto" w:sz="4" w:space="0"/>
            </w:tcBorders>
            <w:shd w:val="clear" w:color="auto" w:fill="auto"/>
            <w:vAlign w:val="center"/>
          </w:tcPr>
          <w:p w14:paraId="27FD1DE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详细评审标准</w:t>
            </w:r>
          </w:p>
        </w:tc>
        <w:tc>
          <w:tcPr>
            <w:tcW w:w="708" w:type="dxa"/>
            <w:vMerge w:val="restart"/>
            <w:tcBorders>
              <w:top w:val="nil"/>
              <w:left w:val="nil"/>
              <w:bottom w:val="single" w:color="auto" w:sz="4" w:space="0"/>
              <w:right w:val="single" w:color="auto" w:sz="4" w:space="0"/>
            </w:tcBorders>
            <w:shd w:val="clear" w:color="auto" w:fill="auto"/>
            <w:vAlign w:val="center"/>
          </w:tcPr>
          <w:p w14:paraId="3FD5DB2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工程成本评审</w:t>
            </w:r>
          </w:p>
        </w:tc>
        <w:tc>
          <w:tcPr>
            <w:tcW w:w="7552" w:type="dxa"/>
            <w:gridSpan w:val="2"/>
            <w:tcBorders>
              <w:top w:val="single" w:color="auto" w:sz="4" w:space="0"/>
              <w:left w:val="nil"/>
              <w:bottom w:val="single" w:color="auto" w:sz="4" w:space="0"/>
              <w:right w:val="single" w:color="auto" w:sz="4" w:space="0"/>
            </w:tcBorders>
            <w:shd w:val="clear" w:color="auto" w:fill="auto"/>
            <w:vAlign w:val="center"/>
          </w:tcPr>
          <w:p w14:paraId="63639E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投标报价出现下列情形之一的，由评标委员会重点评审后界定其报价是否低于工程成本：</w:t>
            </w:r>
          </w:p>
        </w:tc>
      </w:tr>
      <w:tr w14:paraId="175A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DF4987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507DB0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69BA233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6BD53DB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投标报价</w:t>
            </w:r>
          </w:p>
        </w:tc>
        <w:tc>
          <w:tcPr>
            <w:tcW w:w="5425" w:type="dxa"/>
            <w:tcBorders>
              <w:top w:val="single" w:color="auto" w:sz="4" w:space="0"/>
              <w:left w:val="nil"/>
              <w:bottom w:val="single" w:color="auto" w:sz="4" w:space="0"/>
              <w:right w:val="single" w:color="auto" w:sz="4" w:space="0"/>
            </w:tcBorders>
            <w:shd w:val="clear" w:color="auto" w:fill="auto"/>
            <w:vAlign w:val="center"/>
          </w:tcPr>
          <w:p w14:paraId="6B0E530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投标报价低于本项目通过资信评审且商务标初步评审合格的有效投标报价平均值10%以上。</w:t>
            </w:r>
          </w:p>
        </w:tc>
      </w:tr>
      <w:tr w14:paraId="24A8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88CFB9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F2DC53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132E923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7D5534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报价内容完整性</w:t>
            </w:r>
          </w:p>
        </w:tc>
        <w:tc>
          <w:tcPr>
            <w:tcW w:w="5425" w:type="dxa"/>
            <w:tcBorders>
              <w:top w:val="single" w:color="auto" w:sz="4" w:space="0"/>
              <w:left w:val="nil"/>
              <w:bottom w:val="single" w:color="auto" w:sz="4" w:space="0"/>
              <w:right w:val="single" w:color="auto" w:sz="4" w:space="0"/>
            </w:tcBorders>
            <w:shd w:val="clear" w:color="auto" w:fill="auto"/>
            <w:vAlign w:val="center"/>
          </w:tcPr>
          <w:p w14:paraId="47CD2AF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因投标人原因造成投标报价清单缺漏，缺漏项总额（多算或多报总额不得抵消缺漏项目总额）累计占本项目通过资信评审且商务标初步评审合格</w:t>
            </w:r>
            <w:r>
              <w:rPr>
                <w:rFonts w:hint="eastAsia" w:ascii="宋体" w:hAnsi="宋体" w:eastAsia="宋体" w:cs="宋体"/>
                <w:spacing w:val="-6"/>
                <w:kern w:val="2"/>
                <w:sz w:val="21"/>
                <w:szCs w:val="21"/>
                <w:highlight w:val="none"/>
                <w:lang w:val="en-US" w:eastAsia="zh-CN" w:bidi="ar"/>
              </w:rPr>
              <w:t>有效投标总报价平均值5%以上。</w:t>
            </w:r>
          </w:p>
        </w:tc>
      </w:tr>
      <w:tr w14:paraId="46FC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FF2224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6A2A16C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2912DE3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60C3E6D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人工工日单价</w:t>
            </w:r>
          </w:p>
        </w:tc>
        <w:tc>
          <w:tcPr>
            <w:tcW w:w="5425" w:type="dxa"/>
            <w:tcBorders>
              <w:top w:val="single" w:color="auto" w:sz="4" w:space="0"/>
              <w:left w:val="nil"/>
              <w:bottom w:val="single" w:color="auto" w:sz="4" w:space="0"/>
              <w:right w:val="single" w:color="auto" w:sz="4" w:space="0"/>
            </w:tcBorders>
            <w:shd w:val="clear" w:color="auto" w:fill="auto"/>
            <w:vAlign w:val="center"/>
          </w:tcPr>
          <w:p w14:paraId="7DDE711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不得低于招标人发布的最高投标限价中的人工工日单价</w:t>
            </w:r>
          </w:p>
        </w:tc>
      </w:tr>
      <w:tr w14:paraId="6DB9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AE835A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59B6A5B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724AA97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0D13C7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需评审材料数量</w:t>
            </w:r>
          </w:p>
        </w:tc>
        <w:tc>
          <w:tcPr>
            <w:tcW w:w="5425" w:type="dxa"/>
            <w:tcBorders>
              <w:top w:val="single" w:color="auto" w:sz="4" w:space="0"/>
              <w:left w:val="nil"/>
              <w:bottom w:val="single" w:color="auto" w:sz="4" w:space="0"/>
              <w:right w:val="single" w:color="auto" w:sz="4" w:space="0"/>
            </w:tcBorders>
            <w:shd w:val="clear" w:color="auto" w:fill="auto"/>
            <w:vAlign w:val="center"/>
          </w:tcPr>
          <w:p w14:paraId="18CD388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需评审的主要材料消耗量低于最高投标限价相应材料数量的5%以上，且低于本项目通过资信评审且商务标初步评审合格有效投标报价相应材料消耗量平均值的3%以上。</w:t>
            </w:r>
          </w:p>
        </w:tc>
      </w:tr>
      <w:tr w14:paraId="50DE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8137C3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3ACD7B5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1701D48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49C9ECA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施工机具使用费</w:t>
            </w:r>
          </w:p>
        </w:tc>
        <w:tc>
          <w:tcPr>
            <w:tcW w:w="5425" w:type="dxa"/>
            <w:tcBorders>
              <w:top w:val="single" w:color="auto" w:sz="4" w:space="0"/>
              <w:left w:val="nil"/>
              <w:bottom w:val="single" w:color="auto" w:sz="4" w:space="0"/>
              <w:right w:val="single" w:color="auto" w:sz="4" w:space="0"/>
            </w:tcBorders>
            <w:shd w:val="clear" w:color="auto" w:fill="auto"/>
            <w:vAlign w:val="center"/>
          </w:tcPr>
          <w:p w14:paraId="400556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施工机具使用费低于本项目通过资信评审且商务标初步评审合格有效投标报价施工机具使用费平均值的10%以上。</w:t>
            </w:r>
          </w:p>
        </w:tc>
      </w:tr>
      <w:tr w14:paraId="6FA9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A163E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49823D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4485F57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1CC02D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管理费和利润费率</w:t>
            </w:r>
          </w:p>
        </w:tc>
        <w:tc>
          <w:tcPr>
            <w:tcW w:w="5425" w:type="dxa"/>
            <w:tcBorders>
              <w:top w:val="single" w:color="auto" w:sz="4" w:space="0"/>
              <w:left w:val="nil"/>
              <w:bottom w:val="single" w:color="auto" w:sz="4" w:space="0"/>
              <w:right w:val="single" w:color="auto" w:sz="4" w:space="0"/>
            </w:tcBorders>
            <w:shd w:val="clear" w:color="auto" w:fill="auto"/>
            <w:vAlign w:val="center"/>
          </w:tcPr>
          <w:p w14:paraId="36DD58B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管理费、利润投标费率低于0%。</w:t>
            </w:r>
          </w:p>
        </w:tc>
      </w:tr>
      <w:tr w14:paraId="5B09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060B2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612E826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restart"/>
            <w:tcBorders>
              <w:top w:val="nil"/>
              <w:left w:val="nil"/>
              <w:bottom w:val="single" w:color="auto" w:sz="4" w:space="0"/>
              <w:right w:val="single" w:color="auto" w:sz="4" w:space="0"/>
            </w:tcBorders>
            <w:shd w:val="clear" w:color="auto" w:fill="auto"/>
            <w:vAlign w:val="center"/>
          </w:tcPr>
          <w:p w14:paraId="363E172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无效报价</w:t>
            </w:r>
          </w:p>
        </w:tc>
        <w:tc>
          <w:tcPr>
            <w:tcW w:w="2127" w:type="dxa"/>
            <w:tcBorders>
              <w:top w:val="single" w:color="auto" w:sz="4" w:space="0"/>
              <w:left w:val="nil"/>
              <w:bottom w:val="single" w:color="auto" w:sz="4" w:space="0"/>
              <w:right w:val="single" w:color="auto" w:sz="4" w:space="0"/>
            </w:tcBorders>
            <w:shd w:val="clear" w:color="auto" w:fill="auto"/>
            <w:vAlign w:val="center"/>
          </w:tcPr>
          <w:p w14:paraId="697705F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暂估价材料、设备</w:t>
            </w:r>
          </w:p>
        </w:tc>
        <w:tc>
          <w:tcPr>
            <w:tcW w:w="5425" w:type="dxa"/>
            <w:tcBorders>
              <w:top w:val="single" w:color="auto" w:sz="4" w:space="0"/>
              <w:left w:val="nil"/>
              <w:bottom w:val="single" w:color="auto" w:sz="4" w:space="0"/>
              <w:right w:val="single" w:color="auto" w:sz="4" w:space="0"/>
            </w:tcBorders>
            <w:shd w:val="clear" w:color="auto" w:fill="auto"/>
            <w:vAlign w:val="center"/>
          </w:tcPr>
          <w:p w14:paraId="06912C0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材料、设备暂估价未按要求计入分部分项工程费。</w:t>
            </w:r>
          </w:p>
        </w:tc>
      </w:tr>
      <w:tr w14:paraId="2F18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2010CF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5D715E6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2DF921F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51FB0EA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不可竞争项目费费率</w:t>
            </w:r>
          </w:p>
        </w:tc>
        <w:tc>
          <w:tcPr>
            <w:tcW w:w="5425" w:type="dxa"/>
            <w:tcBorders>
              <w:top w:val="single" w:color="auto" w:sz="4" w:space="0"/>
              <w:left w:val="nil"/>
              <w:bottom w:val="single" w:color="auto" w:sz="4" w:space="0"/>
              <w:right w:val="single" w:color="auto" w:sz="4" w:space="0"/>
            </w:tcBorders>
            <w:shd w:val="clear" w:color="auto" w:fill="auto"/>
            <w:vAlign w:val="center"/>
          </w:tcPr>
          <w:p w14:paraId="210F56E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低于建标〔2021〕42号文规定的费率。</w:t>
            </w:r>
          </w:p>
        </w:tc>
      </w:tr>
      <w:tr w14:paraId="44B3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7E9B93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3F0AD3A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7277106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503C23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税率</w:t>
            </w:r>
          </w:p>
        </w:tc>
        <w:tc>
          <w:tcPr>
            <w:tcW w:w="5425" w:type="dxa"/>
            <w:tcBorders>
              <w:top w:val="single" w:color="auto" w:sz="4" w:space="0"/>
              <w:left w:val="nil"/>
              <w:bottom w:val="single" w:color="auto" w:sz="4" w:space="0"/>
              <w:right w:val="single" w:color="auto" w:sz="4" w:space="0"/>
            </w:tcBorders>
            <w:shd w:val="clear" w:color="auto" w:fill="auto"/>
            <w:vAlign w:val="center"/>
          </w:tcPr>
          <w:p w14:paraId="6D39AA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低于《关于调整我省现行建设工程计价依据增值税税率的通知》（皖造价〔2019〕7号）规定的费率。</w:t>
            </w:r>
          </w:p>
        </w:tc>
      </w:tr>
      <w:tr w14:paraId="0674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664CBA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w:t>
            </w:r>
          </w:p>
        </w:tc>
        <w:tc>
          <w:tcPr>
            <w:tcW w:w="776" w:type="dxa"/>
            <w:tcBorders>
              <w:top w:val="single" w:color="auto" w:sz="4" w:space="0"/>
              <w:left w:val="nil"/>
              <w:bottom w:val="single" w:color="auto" w:sz="4" w:space="0"/>
              <w:right w:val="single" w:color="auto" w:sz="4" w:space="0"/>
            </w:tcBorders>
            <w:shd w:val="clear" w:color="auto" w:fill="auto"/>
            <w:vAlign w:val="center"/>
          </w:tcPr>
          <w:p w14:paraId="3C30003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w:t>
            </w:r>
          </w:p>
          <w:p w14:paraId="0F74F7A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评分</w:t>
            </w:r>
          </w:p>
          <w:p w14:paraId="4AE0343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（90分）</w:t>
            </w:r>
          </w:p>
        </w:tc>
        <w:tc>
          <w:tcPr>
            <w:tcW w:w="8260" w:type="dxa"/>
            <w:gridSpan w:val="3"/>
            <w:tcBorders>
              <w:top w:val="single" w:color="auto" w:sz="4" w:space="0"/>
              <w:left w:val="nil"/>
              <w:bottom w:val="single" w:color="auto" w:sz="4" w:space="0"/>
              <w:right w:val="single" w:color="auto" w:sz="4" w:space="0"/>
            </w:tcBorders>
            <w:shd w:val="clear" w:color="auto" w:fill="auto"/>
            <w:vAlign w:val="center"/>
          </w:tcPr>
          <w:p w14:paraId="69B7FB4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商务标评分按下列步骤计算：</w:t>
            </w:r>
          </w:p>
          <w:p w14:paraId="49EAD2F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第一步：计算B值。</w:t>
            </w:r>
          </w:p>
          <w:p w14:paraId="32D4EF6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①B值为计算范围内有效投标人报价的算术平均值。</w:t>
            </w:r>
          </w:p>
          <w:p w14:paraId="09F06B3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第二步：计算评标基准价F值。</w:t>
            </w:r>
          </w:p>
          <w:p w14:paraId="2B168EE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①F=B×（1-K），其中K为调整系数，K的取值为-0.5%（1号），0%（2号），0.5%（3号），1.0%（4号），1.5%（5号）。</w:t>
            </w:r>
          </w:p>
          <w:p w14:paraId="519BFD0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第三步：计算报价偏差率。</w:t>
            </w:r>
          </w:p>
          <w:p w14:paraId="633540E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①偏差率=|（投标报价-评标基准价）/评标基准价|×100%</w:t>
            </w:r>
          </w:p>
          <w:p w14:paraId="2A3FFC2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第四步：计算报价得分</w:t>
            </w:r>
          </w:p>
          <w:p w14:paraId="3D3C808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①投标报价等于评标基准价的得满分。</w:t>
            </w:r>
          </w:p>
          <w:p w14:paraId="62C86A6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②投标报价高于评标基准价的，投标报价得分=报价满分值-偏差率×100×1</w:t>
            </w:r>
          </w:p>
          <w:p w14:paraId="5D70BA7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③投标报价低于评标基准价的，投标报价得分=报价满分值-偏差率×100×0.5</w:t>
            </w:r>
          </w:p>
          <w:p w14:paraId="29A9422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kern w:val="2"/>
                <w:sz w:val="21"/>
                <w:szCs w:val="21"/>
                <w:highlight w:val="none"/>
              </w:rPr>
            </w:pPr>
            <w:r>
              <w:rPr>
                <w:rFonts w:hint="eastAsia" w:ascii="宋体" w:hAnsi="宋体" w:eastAsia="宋体" w:cs="宋体"/>
                <w:b/>
                <w:bCs/>
                <w:kern w:val="2"/>
                <w:sz w:val="21"/>
                <w:szCs w:val="21"/>
                <w:highlight w:val="none"/>
                <w:lang w:val="en-US" w:eastAsia="zh-CN" w:bidi="ar"/>
              </w:rPr>
              <w:t>注：计算过程中，B值、评标基准价F值、偏差率、报价得分均保留两位小数，小数点后第三位四舍五入。</w:t>
            </w:r>
          </w:p>
        </w:tc>
      </w:tr>
    </w:tbl>
    <w:p w14:paraId="5909A37A">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商务标评审表注：</w:t>
      </w:r>
    </w:p>
    <w:p w14:paraId="2DE10306">
      <w:pPr>
        <w:keepNext w:val="0"/>
        <w:keepLines w:val="0"/>
        <w:widowControl w:val="0"/>
        <w:suppressLineNumbers w:val="0"/>
        <w:autoSpaceDE w:val="0"/>
        <w:autoSpaceDN/>
        <w:spacing w:before="0" w:beforeAutospacing="0" w:after="0" w:afterAutospacing="0" w:line="440" w:lineRule="exact"/>
        <w:ind w:left="0" w:right="0" w:firstLine="422" w:firstLineChars="200"/>
        <w:jc w:val="both"/>
        <w:rPr>
          <w:rFonts w:hint="eastAsia" w:ascii="宋体" w:hAnsi="宋体" w:eastAsia="宋体" w:cs="宋体"/>
          <w:b w:val="0"/>
          <w:bCs w:val="0"/>
          <w:kern w:val="2"/>
          <w:sz w:val="21"/>
          <w:szCs w:val="21"/>
          <w:highlight w:val="none"/>
        </w:rPr>
      </w:pPr>
      <w:r>
        <w:rPr>
          <w:rFonts w:hint="eastAsia" w:ascii="宋体" w:hAnsi="宋体" w:eastAsia="宋体" w:cs="宋体"/>
          <w:b/>
          <w:bCs/>
          <w:kern w:val="2"/>
          <w:sz w:val="21"/>
          <w:szCs w:val="21"/>
          <w:highlight w:val="none"/>
          <w:lang w:val="en-US" w:eastAsia="zh-CN" w:bidi="ar"/>
        </w:rPr>
        <w:t>1、投标人总报价如超过A值，A值=最高投标限价×（1-J） +（暂列金额+暂估价）×1.09×J（其中J=</w:t>
      </w:r>
      <w:r>
        <w:rPr>
          <w:rFonts w:hint="eastAsia" w:ascii="宋体" w:hAnsi="宋体" w:eastAsia="宋体" w:cs="宋体"/>
          <w:b/>
          <w:bCs/>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cs="宋体"/>
          <w:b/>
          <w:bCs/>
          <w:color w:val="auto"/>
          <w:kern w:val="2"/>
          <w:sz w:val="21"/>
          <w:szCs w:val="21"/>
          <w:highlight w:val="none"/>
          <w:u w:val="single"/>
          <w:lang w:val="en-US" w:eastAsia="zh-CN" w:bidi="ar"/>
        </w:rPr>
        <w:t>20</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kern w:val="2"/>
          <w:sz w:val="21"/>
          <w:szCs w:val="21"/>
          <w:highlight w:val="none"/>
          <w:lang w:val="en-US" w:eastAsia="zh-CN" w:bidi="ar"/>
        </w:rPr>
        <w:t>该值由招标人根据具体项目情况自行设定），则商务标不得分，且该投标报价不参与B值计算。</w:t>
      </w:r>
    </w:p>
    <w:p w14:paraId="25169397">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2、只有通过详细评审的投标人才能参加评分。</w:t>
      </w:r>
    </w:p>
    <w:p w14:paraId="12AA506F">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3、本表所称投标报价是指按招标文件规定修正后的投标总报价（多算投标报价、多报费用不扣减），报价以元为单位，保留两位小数，小数点后第三位四舍五入。</w:t>
      </w:r>
    </w:p>
    <w:p w14:paraId="75450ACE">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4、B 值计算方法：</w:t>
      </w:r>
    </w:p>
    <w:p w14:paraId="6E4013E5">
      <w:pPr>
        <w:keepNext w:val="0"/>
        <w:keepLines w:val="0"/>
        <w:widowControl w:val="0"/>
        <w:suppressLineNumbers w:val="0"/>
        <w:autoSpaceDE w:val="0"/>
        <w:autoSpaceDN/>
        <w:spacing w:before="0" w:beforeAutospacing="0" w:after="0" w:afterAutospacing="0" w:line="440" w:lineRule="exact"/>
        <w:ind w:left="0" w:right="0" w:firstLine="422" w:firstLineChars="200"/>
        <w:jc w:val="both"/>
        <w:rPr>
          <w:rFonts w:hint="eastAsia" w:ascii="宋体" w:hAnsi="宋体" w:eastAsia="宋体" w:cs="宋体"/>
          <w:b w:val="0"/>
          <w:bCs w:val="0"/>
          <w:kern w:val="2"/>
          <w:sz w:val="21"/>
          <w:szCs w:val="21"/>
          <w:highlight w:val="none"/>
        </w:rPr>
      </w:pPr>
      <w:r>
        <w:rPr>
          <w:rFonts w:hint="eastAsia" w:ascii="宋体" w:hAnsi="宋体" w:eastAsia="宋体" w:cs="宋体"/>
          <w:b/>
          <w:bCs/>
          <w:kern w:val="2"/>
          <w:sz w:val="21"/>
          <w:szCs w:val="21"/>
          <w:highlight w:val="none"/>
          <w:lang w:val="en-US" w:eastAsia="zh-CN" w:bidi="ar"/>
        </w:rPr>
        <w:t>投标报价不超过A值且资信分值大于等于所有通过（资信、商务）详细评审有效投标人资信平均分值的投标人投标报价的算术平均值。</w:t>
      </w:r>
    </w:p>
    <w:p w14:paraId="4C821C1B">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5、K值（评标基准价系数）的抽取：资信标、商务标详细评审完成后，招标人在线抽取K值，并根据抽取的K值计算F值，</w:t>
      </w:r>
      <w:r>
        <w:rPr>
          <w:rFonts w:hint="eastAsia" w:ascii="宋体" w:hAnsi="宋体" w:eastAsia="宋体" w:cs="宋体"/>
          <w:b/>
          <w:bCs/>
          <w:kern w:val="2"/>
          <w:sz w:val="21"/>
          <w:szCs w:val="21"/>
          <w:highlight w:val="none"/>
          <w:u w:val="single"/>
          <w:lang w:val="en-US" w:eastAsia="zh-CN" w:bidi="ar"/>
        </w:rPr>
        <w:t>评标办法中的评标基准价计算出来后，除数字计算错误外，其他情况均不再调整。</w:t>
      </w:r>
    </w:p>
    <w:p w14:paraId="61504558">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6、其他</w:t>
      </w:r>
    </w:p>
    <w:p w14:paraId="22D69B02">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6.1 缺漏项金额是指投标人漏计招标人发布的清单项目，按最高投标限价对应清单综合单价计算缺漏金额。</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b w:val="0"/>
          <w:bCs w:val="0"/>
          <w:kern w:val="2"/>
          <w:sz w:val="21"/>
          <w:szCs w:val="21"/>
          <w:highlight w:val="none"/>
        </w:rPr>
        <w:t>6.2 本表所述累计投标报价缺漏错总额占原投标报价格 5%以下者，视为投标人主动让利或包含在其他项目中，不修正总价，工程结算时亦不予调整</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1" w:name="_Toc35425114"/>
      <w:bookmarkStart w:id="772" w:name="_Toc11945"/>
      <w:bookmarkStart w:id="773" w:name="_Toc15058914"/>
      <w:bookmarkStart w:id="774" w:name="_Toc324404873"/>
      <w:bookmarkStart w:id="775" w:name="_Toc35424948"/>
      <w:bookmarkStart w:id="776" w:name="_Toc506107325"/>
      <w:bookmarkStart w:id="777" w:name="_Toc78803382"/>
      <w:bookmarkStart w:id="778" w:name="_Toc152045590"/>
      <w:bookmarkStart w:id="779" w:name="_Toc152042367"/>
      <w:bookmarkStart w:id="780" w:name="_Toc144974557"/>
      <w:bookmarkStart w:id="781" w:name="_Toc247085748"/>
      <w:bookmarkStart w:id="782" w:name="_Toc246996233"/>
      <w:bookmarkStart w:id="783" w:name="_Toc296602478"/>
      <w:bookmarkStart w:id="784" w:name="_Toc246996976"/>
      <w:bookmarkStart w:id="785" w:name="_Toc17963260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名，并标明排序，但投标报价低于其成本的除外。如总得分相等，以投标报价低的优先；投标报价仍相等，由评标委员会主任委员或招标人随机抽取确定排名</w:t>
      </w:r>
      <w:r>
        <w:rPr>
          <w:rFonts w:hint="eastAsia" w:ascii="宋体" w:hAnsi="宋体" w:cs="宋体"/>
          <w:color w:val="auto"/>
          <w:szCs w:val="21"/>
          <w:highlight w:val="none"/>
          <w:lang w:eastAsia="zh-CN"/>
        </w:rPr>
        <w:t>。</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1"/>
      <w:bookmarkEnd w:id="772"/>
      <w:bookmarkEnd w:id="773"/>
      <w:bookmarkEnd w:id="774"/>
      <w:bookmarkEnd w:id="775"/>
      <w:bookmarkEnd w:id="776"/>
      <w:bookmarkEnd w:id="777"/>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6" w:name="_Toc35424949"/>
      <w:bookmarkStart w:id="787" w:name="_Toc324404874"/>
      <w:bookmarkStart w:id="788" w:name="_Toc78803384"/>
      <w:bookmarkStart w:id="789" w:name="_Toc15058915"/>
      <w:bookmarkStart w:id="790" w:name="_Toc506107326"/>
      <w:bookmarkStart w:id="791" w:name="_Toc17377"/>
      <w:bookmarkStart w:id="792"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6"/>
      <w:bookmarkEnd w:id="787"/>
      <w:bookmarkEnd w:id="788"/>
      <w:bookmarkEnd w:id="789"/>
      <w:bookmarkEnd w:id="790"/>
      <w:bookmarkEnd w:id="791"/>
      <w:bookmarkEnd w:id="792"/>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3" w:name="_Toc15058916"/>
      <w:bookmarkStart w:id="794" w:name="_Toc35425116"/>
      <w:bookmarkStart w:id="795" w:name="_Toc27389"/>
      <w:bookmarkStart w:id="796" w:name="_Toc78803385"/>
      <w:bookmarkStart w:id="797" w:name="_Toc35424950"/>
      <w:r>
        <w:rPr>
          <w:rFonts w:hint="eastAsia" w:ascii="宋体" w:hAnsi="宋体" w:eastAsia="宋体" w:cs="宋体"/>
          <w:color w:val="auto"/>
          <w:highlight w:val="none"/>
        </w:rPr>
        <w:t>3.1评标准备工作</w:t>
      </w:r>
      <w:bookmarkEnd w:id="793"/>
      <w:bookmarkEnd w:id="794"/>
      <w:bookmarkEnd w:id="795"/>
      <w:bookmarkEnd w:id="796"/>
      <w:bookmarkEnd w:id="797"/>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8" w:name="_Toc15058917"/>
      <w:bookmarkStart w:id="799" w:name="_Toc1299"/>
      <w:bookmarkStart w:id="800" w:name="_Toc35425117"/>
      <w:bookmarkStart w:id="801" w:name="_Toc35424951"/>
      <w:bookmarkStart w:id="802" w:name="_Toc78803386"/>
      <w:bookmarkStart w:id="803" w:name="_Toc24650"/>
      <w:bookmarkStart w:id="804" w:name="_Toc506107327"/>
      <w:bookmarkStart w:id="805" w:name="_Toc15058919"/>
      <w:bookmarkStart w:id="806" w:name="_Toc324404875"/>
      <w:bookmarkStart w:id="807" w:name="_Toc35424954"/>
      <w:bookmarkStart w:id="808" w:name="_Toc12200"/>
      <w:bookmarkStart w:id="809" w:name="_Toc35425120"/>
      <w:r>
        <w:rPr>
          <w:rFonts w:hint="eastAsia" w:ascii="宋体" w:hAnsi="宋体" w:eastAsia="宋体" w:cs="宋体"/>
          <w:color w:val="auto"/>
          <w:highlight w:val="none"/>
        </w:rPr>
        <w:t>3.2</w:t>
      </w:r>
      <w:bookmarkEnd w:id="798"/>
      <w:bookmarkEnd w:id="799"/>
      <w:bookmarkEnd w:id="800"/>
      <w:bookmarkEnd w:id="801"/>
      <w:bookmarkEnd w:id="802"/>
      <w:bookmarkEnd w:id="803"/>
      <w:bookmarkStart w:id="810" w:name="_Toc11990"/>
      <w:bookmarkStart w:id="811" w:name="_Toc78803387"/>
      <w:bookmarkStart w:id="812" w:name="_Toc15058918"/>
      <w:bookmarkStart w:id="813" w:name="_Toc17468"/>
      <w:bookmarkStart w:id="814" w:name="_Toc35424952"/>
      <w:bookmarkStart w:id="815" w:name="_Toc35425118"/>
      <w:r>
        <w:rPr>
          <w:rFonts w:hint="eastAsia" w:ascii="宋体" w:hAnsi="宋体" w:eastAsia="宋体" w:cs="宋体"/>
          <w:color w:val="auto"/>
          <w:highlight w:val="none"/>
        </w:rPr>
        <w:t>商务标评审</w:t>
      </w:r>
      <w:bookmarkEnd w:id="810"/>
      <w:bookmarkEnd w:id="811"/>
      <w:bookmarkEnd w:id="812"/>
      <w:bookmarkEnd w:id="813"/>
      <w:bookmarkEnd w:id="814"/>
      <w:bookmarkEnd w:id="815"/>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6" w:name="_Toc18087"/>
      <w:bookmarkStart w:id="817" w:name="_Toc35425119"/>
      <w:bookmarkStart w:id="818" w:name="_Toc26895"/>
      <w:bookmarkStart w:id="819" w:name="_Toc78803388"/>
      <w:bookmarkStart w:id="820" w:name="_Toc35424953"/>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6"/>
      <w:bookmarkEnd w:id="817"/>
      <w:bookmarkEnd w:id="818"/>
      <w:bookmarkEnd w:id="819"/>
      <w:bookmarkEnd w:id="820"/>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1" w:name="_Toc78803389"/>
      <w:r>
        <w:rPr>
          <w:rFonts w:hint="eastAsia" w:ascii="宋体" w:hAnsi="宋体" w:eastAsia="宋体" w:cs="宋体"/>
          <w:color w:val="auto"/>
          <w:highlight w:val="none"/>
        </w:rPr>
        <w:t>4.评审内容</w:t>
      </w:r>
      <w:bookmarkEnd w:id="804"/>
      <w:bookmarkEnd w:id="805"/>
      <w:bookmarkEnd w:id="806"/>
      <w:bookmarkEnd w:id="807"/>
      <w:bookmarkEnd w:id="808"/>
      <w:bookmarkEnd w:id="809"/>
      <w:bookmarkEnd w:id="821"/>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2" w:name="_Toc9630"/>
      <w:bookmarkStart w:id="823" w:name="_Toc78803390"/>
      <w:r>
        <w:rPr>
          <w:rFonts w:hint="eastAsia" w:ascii="宋体" w:hAnsi="宋体" w:eastAsia="宋体" w:cs="宋体"/>
          <w:color w:val="auto"/>
          <w:highlight w:val="none"/>
        </w:rPr>
        <w:t>4.1</w:t>
      </w:r>
      <w:bookmarkEnd w:id="822"/>
      <w:bookmarkEnd w:id="823"/>
      <w:bookmarkStart w:id="824" w:name="_Toc78803392"/>
      <w:bookmarkStart w:id="825" w:name="_Toc15058922"/>
      <w:bookmarkStart w:id="826" w:name="_Toc324404876"/>
      <w:bookmarkStart w:id="827" w:name="_Toc506107328"/>
      <w:bookmarkStart w:id="828" w:name="_Toc35425123"/>
      <w:bookmarkStart w:id="829" w:name="_Toc35424957"/>
      <w:bookmarkStart w:id="830" w:name="_Toc13125"/>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w:t>
      </w:r>
      <w:r>
        <w:rPr>
          <w:rFonts w:hint="eastAsia" w:ascii="宋体" w:hAnsi="宋体" w:cs="宋体"/>
          <w:color w:val="auto"/>
          <w:kern w:val="2"/>
          <w:sz w:val="21"/>
          <w:szCs w:val="21"/>
          <w:highlight w:val="none"/>
          <w:lang w:val="en-US" w:eastAsia="zh-CN" w:bidi="ar"/>
        </w:rPr>
        <w:t>资格</w:t>
      </w:r>
      <w:r>
        <w:rPr>
          <w:rFonts w:hint="eastAsia" w:ascii="宋体" w:hAnsi="宋体" w:eastAsia="宋体" w:cs="宋体"/>
          <w:color w:val="auto"/>
          <w:kern w:val="2"/>
          <w:sz w:val="21"/>
          <w:szCs w:val="21"/>
          <w:highlight w:val="none"/>
          <w:lang w:val="en-US" w:eastAsia="zh-CN" w:bidi="ar"/>
        </w:rPr>
        <w:t>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D51AE0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.3详细评审标准：见商务标评审表。</w:t>
      </w:r>
    </w:p>
    <w:p w14:paraId="3C8E18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.3.1投标报价清标：</w:t>
      </w:r>
    </w:p>
    <w:p w14:paraId="797E34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2E0A16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68B5619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065F28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1309DC2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76B5C4D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4C66114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4"/>
      <w:bookmarkEnd w:id="825"/>
      <w:bookmarkEnd w:id="826"/>
      <w:bookmarkEnd w:id="827"/>
      <w:bookmarkEnd w:id="828"/>
      <w:bookmarkEnd w:id="829"/>
      <w:bookmarkEnd w:id="830"/>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）投标文件中填报的拟任项目经理与资格审查通过的项目经理前后不一致的。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1" w:name="_Toc35424958"/>
      <w:bookmarkStart w:id="832" w:name="_Toc506107329"/>
      <w:bookmarkStart w:id="833" w:name="_Toc27846"/>
      <w:bookmarkStart w:id="834" w:name="_Toc78803393"/>
      <w:bookmarkStart w:id="835" w:name="_Toc15058923"/>
      <w:bookmarkStart w:id="836" w:name="_Toc324404877"/>
      <w:bookmarkStart w:id="837" w:name="_Toc35425124"/>
      <w:r>
        <w:rPr>
          <w:rFonts w:hint="eastAsia" w:ascii="宋体" w:hAnsi="宋体" w:eastAsia="宋体" w:cs="宋体"/>
          <w:color w:val="auto"/>
          <w:highlight w:val="none"/>
        </w:rPr>
        <w:t>6.投标文件的澄清和补正</w:t>
      </w:r>
      <w:bookmarkEnd w:id="831"/>
      <w:bookmarkEnd w:id="832"/>
      <w:bookmarkEnd w:id="833"/>
      <w:bookmarkEnd w:id="834"/>
      <w:bookmarkEnd w:id="835"/>
      <w:bookmarkEnd w:id="836"/>
      <w:bookmarkEnd w:id="837"/>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8" w:name="_Toc13990"/>
      <w:bookmarkStart w:id="839" w:name="_Toc15058924"/>
      <w:bookmarkStart w:id="840" w:name="_Toc78803394"/>
      <w:bookmarkStart w:id="841" w:name="_Toc35425125"/>
      <w:bookmarkStart w:id="842" w:name="_Toc324404878"/>
      <w:bookmarkStart w:id="843" w:name="_Toc506107330"/>
      <w:bookmarkStart w:id="844" w:name="_Toc35424959"/>
      <w:r>
        <w:rPr>
          <w:rFonts w:hint="eastAsia" w:ascii="宋体" w:hAnsi="宋体" w:eastAsia="宋体" w:cs="宋体"/>
          <w:color w:val="auto"/>
          <w:highlight w:val="none"/>
        </w:rPr>
        <w:t>7.评分标准</w:t>
      </w:r>
      <w:bookmarkEnd w:id="838"/>
      <w:bookmarkEnd w:id="839"/>
      <w:bookmarkEnd w:id="840"/>
      <w:bookmarkEnd w:id="841"/>
      <w:bookmarkEnd w:id="842"/>
      <w:bookmarkEnd w:id="843"/>
      <w:bookmarkEnd w:id="844"/>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5" w:name="_Toc22863"/>
      <w:bookmarkStart w:id="846" w:name="_Toc506107331"/>
      <w:bookmarkStart w:id="847" w:name="_Toc35425126"/>
      <w:bookmarkStart w:id="848" w:name="_Toc35424960"/>
      <w:bookmarkStart w:id="849" w:name="_Toc15058925"/>
      <w:bookmarkStart w:id="850" w:name="_Toc78803395"/>
      <w:bookmarkStart w:id="851" w:name="_Toc324404879"/>
      <w:r>
        <w:rPr>
          <w:rFonts w:hint="eastAsia" w:ascii="宋体" w:hAnsi="宋体" w:eastAsia="宋体" w:cs="宋体"/>
          <w:color w:val="auto"/>
          <w:highlight w:val="none"/>
        </w:rPr>
        <w:t>8.评审结果</w:t>
      </w:r>
      <w:bookmarkEnd w:id="845"/>
      <w:bookmarkEnd w:id="846"/>
      <w:bookmarkEnd w:id="847"/>
      <w:bookmarkEnd w:id="848"/>
      <w:bookmarkEnd w:id="849"/>
      <w:bookmarkEnd w:id="850"/>
      <w:bookmarkEnd w:id="851"/>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2" w:name="_Toc78803396"/>
      <w:bookmarkStart w:id="853" w:name="_Toc506107332"/>
      <w:bookmarkStart w:id="854" w:name="_Toc35425127"/>
      <w:bookmarkStart w:id="855" w:name="_Toc35424961"/>
      <w:bookmarkStart w:id="856" w:name="_Toc324404880"/>
      <w:bookmarkStart w:id="857" w:name="_Toc15058926"/>
      <w:bookmarkStart w:id="858" w:name="_Toc1576"/>
      <w:r>
        <w:rPr>
          <w:rFonts w:hint="eastAsia" w:ascii="宋体" w:hAnsi="宋体" w:eastAsia="宋体" w:cs="宋体"/>
          <w:color w:val="auto"/>
          <w:highlight w:val="none"/>
        </w:rPr>
        <w:t>9.其他</w:t>
      </w:r>
      <w:bookmarkEnd w:id="852"/>
      <w:bookmarkEnd w:id="853"/>
      <w:bookmarkEnd w:id="854"/>
      <w:bookmarkEnd w:id="855"/>
      <w:bookmarkEnd w:id="856"/>
      <w:bookmarkEnd w:id="857"/>
      <w:bookmarkEnd w:id="858"/>
    </w:p>
    <w:bookmarkEnd w:id="778"/>
    <w:bookmarkEnd w:id="779"/>
    <w:bookmarkEnd w:id="780"/>
    <w:bookmarkEnd w:id="781"/>
    <w:bookmarkEnd w:id="782"/>
    <w:bookmarkEnd w:id="783"/>
    <w:bookmarkEnd w:id="784"/>
    <w:bookmarkEnd w:id="785"/>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9" w:name="_Toc506107333"/>
      <w:bookmarkStart w:id="860" w:name="_Toc35425128"/>
      <w:bookmarkStart w:id="861" w:name="_Toc35424962"/>
      <w:bookmarkStart w:id="862" w:name="_Toc15058927"/>
      <w:bookmarkStart w:id="863" w:name="_Toc144974826"/>
      <w:bookmarkStart w:id="864" w:name="_Toc152045767"/>
      <w:bookmarkStart w:id="865" w:name="_Toc179632785"/>
      <w:bookmarkStart w:id="866"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7" w:name="_Toc78803397"/>
    </w:p>
    <w:bookmarkEnd w:id="859"/>
    <w:bookmarkEnd w:id="860"/>
    <w:bookmarkEnd w:id="861"/>
    <w:bookmarkEnd w:id="862"/>
    <w:bookmarkEnd w:id="867"/>
    <w:p w14:paraId="51F85308">
      <w:pPr>
        <w:pStyle w:val="6"/>
        <w:rPr>
          <w:rFonts w:hint="eastAsia" w:ascii="Arial" w:hAnsi="Arial"/>
          <w:color w:val="auto"/>
          <w:kern w:val="0"/>
          <w:sz w:val="32"/>
          <w:szCs w:val="32"/>
          <w:highlight w:val="none"/>
        </w:rPr>
      </w:pPr>
      <w:bookmarkStart w:id="868" w:name="_Toc16721"/>
    </w:p>
    <w:p w14:paraId="47DAF6BF">
      <w:pPr>
        <w:pStyle w:val="6"/>
        <w:rPr>
          <w:color w:val="auto"/>
          <w:highlight w:val="none"/>
        </w:rPr>
      </w:pPr>
      <w:bookmarkStart w:id="869" w:name="_Toc8750"/>
      <w:bookmarkStart w:id="870" w:name="_Toc27074"/>
      <w:bookmarkStart w:id="871" w:name="_Toc7231"/>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8"/>
      <w:bookmarkEnd w:id="869"/>
      <w:bookmarkEnd w:id="870"/>
      <w:bookmarkEnd w:id="871"/>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2"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8A16A32">
      <w:pPr>
        <w:jc w:val="center"/>
        <w:rPr>
          <w:rFonts w:eastAsia="黑体"/>
          <w:b/>
          <w:color w:val="auto"/>
          <w:sz w:val="72"/>
          <w:szCs w:val="7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3" w:name="_Toc32748"/>
      <w:bookmarkStart w:id="874" w:name="_Toc12138"/>
      <w:bookmarkStart w:id="875" w:name="_Toc30846"/>
      <w:bookmarkStart w:id="876" w:name="_Toc1470"/>
      <w:r>
        <w:rPr>
          <w:rFonts w:hint="eastAsia"/>
          <w:b/>
          <w:color w:val="auto"/>
          <w:sz w:val="32"/>
          <w:szCs w:val="28"/>
          <w:highlight w:val="none"/>
        </w:rPr>
        <w:t>国家工商行政管理总局</w:t>
      </w:r>
      <w:bookmarkEnd w:id="873"/>
      <w:bookmarkEnd w:id="874"/>
      <w:bookmarkEnd w:id="875"/>
      <w:bookmarkEnd w:id="876"/>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2"/>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7" w:name="_Toc95223459"/>
      <w:bookmarkStart w:id="878" w:name="_Toc28799376"/>
      <w:bookmarkStart w:id="879" w:name="_Toc3977"/>
      <w:bookmarkStart w:id="880" w:name="_Toc2308"/>
      <w:bookmarkStart w:id="881" w:name="_Toc29801"/>
      <w:r>
        <w:rPr>
          <w:rFonts w:hint="eastAsia" w:ascii="宋体" w:hAnsi="宋体" w:cs="宋体"/>
          <w:b/>
          <w:bCs/>
          <w:color w:val="auto"/>
          <w:sz w:val="32"/>
          <w:szCs w:val="32"/>
          <w:highlight w:val="none"/>
        </w:rPr>
        <w:t>第一节  合同协议书</w:t>
      </w:r>
      <w:bookmarkEnd w:id="877"/>
      <w:bookmarkEnd w:id="878"/>
      <w:bookmarkEnd w:id="879"/>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 xml:space="preserve">滁州市园林景观管理中心     </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2"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2"/>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施工图纸和工程量清单载明的施工内容及施工过程中的变更调整内容（如施工图纸和工程量清单不一致，由招标单位负责解释）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2"/>
      <w:r>
        <w:rPr>
          <w:rFonts w:hint="eastAsia" w:ascii="宋体" w:hAnsi="宋体" w:cs="宋体"/>
          <w:b/>
          <w:color w:val="auto"/>
          <w:szCs w:val="21"/>
          <w:highlight w:val="none"/>
          <w:u w:val="single"/>
        </w:rPr>
        <w:t>二、合同工期</w:t>
      </w:r>
      <w:bookmarkEnd w:id="883"/>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4" w:name="_Toc351203483"/>
      <w:r>
        <w:rPr>
          <w:rFonts w:hint="eastAsia" w:ascii="宋体" w:hAnsi="宋体" w:cs="宋体"/>
          <w:b/>
          <w:color w:val="auto"/>
          <w:szCs w:val="21"/>
          <w:highlight w:val="none"/>
          <w:u w:val="single"/>
        </w:rPr>
        <w:t>三、质量标准</w:t>
      </w:r>
      <w:bookmarkEnd w:id="884"/>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工程质量必须符合国家及项目所在地验收标准，施工质量合格，绿化成活率100%。绿化工程养护期一年（从竣工验收合格之日起计算）。</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4"/>
      <w:r>
        <w:rPr>
          <w:rFonts w:hint="eastAsia" w:ascii="宋体" w:hAnsi="宋体" w:cs="宋体"/>
          <w:b/>
          <w:color w:val="auto"/>
          <w:szCs w:val="21"/>
          <w:highlight w:val="none"/>
          <w:u w:val="single"/>
        </w:rPr>
        <w:t>四、签约合同价与合同价格形式</w:t>
      </w:r>
      <w:bookmarkEnd w:id="885"/>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highlight w:val="none"/>
        </w:rPr>
      </w:pPr>
      <w:r>
        <w:rPr>
          <w:rFonts w:hint="eastAsia" w:ascii="宋体" w:hAnsi="宋体" w:eastAsia="宋体" w:cs="宋体"/>
          <w:kern w:val="2"/>
          <w:sz w:val="21"/>
          <w:szCs w:val="21"/>
          <w:highlight w:val="none"/>
          <w:u w:val="single"/>
          <w:lang w:val="en-US" w:eastAsia="zh-CN" w:bidi="ar"/>
        </w:rPr>
        <w:t>人民币（大写）               (¥          元)</w:t>
      </w:r>
      <w:r>
        <w:rPr>
          <w:rFonts w:hint="eastAsia" w:ascii="宋体" w:hAnsi="宋体" w:eastAsia="宋体" w:cs="宋体"/>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5"/>
      <w:r>
        <w:rPr>
          <w:rFonts w:hint="eastAsia" w:ascii="宋体" w:hAnsi="宋体" w:cs="宋体"/>
          <w:b/>
          <w:color w:val="auto"/>
          <w:szCs w:val="21"/>
          <w:highlight w:val="none"/>
        </w:rPr>
        <w:t>五、</w:t>
      </w:r>
      <w:bookmarkEnd w:id="886"/>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6"/>
      <w:r>
        <w:rPr>
          <w:rFonts w:hint="eastAsia" w:ascii="宋体" w:hAnsi="宋体" w:cs="宋体"/>
          <w:b/>
          <w:color w:val="auto"/>
          <w:szCs w:val="21"/>
          <w:highlight w:val="none"/>
        </w:rPr>
        <w:t>六、合同文件构成</w:t>
      </w:r>
      <w:bookmarkEnd w:id="887"/>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7"/>
      <w:r>
        <w:rPr>
          <w:rFonts w:hint="eastAsia" w:ascii="宋体" w:hAnsi="宋体" w:cs="宋体"/>
          <w:b/>
          <w:color w:val="auto"/>
          <w:szCs w:val="21"/>
          <w:highlight w:val="none"/>
        </w:rPr>
        <w:t>七、承诺</w:t>
      </w:r>
      <w:bookmarkEnd w:id="888"/>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8"/>
      <w:r>
        <w:rPr>
          <w:rFonts w:hint="eastAsia" w:ascii="宋体" w:hAnsi="宋体" w:cs="宋体"/>
          <w:b/>
          <w:color w:val="auto"/>
          <w:szCs w:val="21"/>
          <w:highlight w:val="none"/>
        </w:rPr>
        <w:t>八、词语含义</w:t>
      </w:r>
      <w:bookmarkEnd w:id="889"/>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9"/>
      <w:r>
        <w:rPr>
          <w:rFonts w:hint="eastAsia" w:ascii="宋体" w:hAnsi="宋体" w:cs="宋体"/>
          <w:b/>
          <w:color w:val="auto"/>
          <w:szCs w:val="21"/>
          <w:highlight w:val="none"/>
        </w:rPr>
        <w:t>九、签订时间</w:t>
      </w:r>
      <w:bookmarkEnd w:id="890"/>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0"/>
      <w:r>
        <w:rPr>
          <w:rFonts w:hint="eastAsia" w:ascii="宋体" w:hAnsi="宋体" w:cs="宋体"/>
          <w:b/>
          <w:color w:val="auto"/>
          <w:szCs w:val="21"/>
          <w:highlight w:val="none"/>
        </w:rPr>
        <w:t>十、签订地点</w:t>
      </w:r>
      <w:bookmarkEnd w:id="891"/>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1"/>
      <w:r>
        <w:rPr>
          <w:rFonts w:hint="eastAsia" w:ascii="宋体" w:hAnsi="宋体" w:cs="宋体"/>
          <w:b/>
          <w:color w:val="auto"/>
          <w:szCs w:val="21"/>
          <w:highlight w:val="none"/>
        </w:rPr>
        <w:t>十一、补充协议</w:t>
      </w:r>
      <w:bookmarkEnd w:id="892"/>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2"/>
      <w:r>
        <w:rPr>
          <w:rFonts w:hint="eastAsia" w:ascii="宋体" w:hAnsi="宋体" w:cs="宋体"/>
          <w:b/>
          <w:color w:val="auto"/>
          <w:szCs w:val="21"/>
          <w:highlight w:val="none"/>
        </w:rPr>
        <w:t>十二、合同生效</w:t>
      </w:r>
      <w:bookmarkEnd w:id="893"/>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3"/>
      <w:r>
        <w:rPr>
          <w:rFonts w:hint="eastAsia" w:ascii="宋体" w:hAnsi="宋体" w:cs="宋体"/>
          <w:b/>
          <w:color w:val="auto"/>
          <w:szCs w:val="21"/>
          <w:highlight w:val="none"/>
        </w:rPr>
        <w:t>十三、合同份数</w:t>
      </w:r>
      <w:bookmarkEnd w:id="894"/>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0"/>
      <w:bookmarkEnd w:id="881"/>
      <w:bookmarkStart w:id="895" w:name="_Toc95223460"/>
      <w:bookmarkStart w:id="896" w:name="_Toc15494"/>
      <w:bookmarkStart w:id="897"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5"/>
      <w:bookmarkEnd w:id="896"/>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898" w:name="_Toc14492"/>
      <w:r>
        <w:rPr>
          <w:rFonts w:hint="eastAsia" w:ascii="黑体" w:eastAsia="黑体" w:cs="黑体"/>
          <w:color w:val="auto"/>
          <w:highlight w:val="none"/>
        </w:rPr>
        <w:t>第三节 专用合同条款</w:t>
      </w:r>
    </w:p>
    <w:p w14:paraId="3096D98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560C158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53F1D63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0224313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1CF286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72BAE51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14:paraId="03C1BDE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14:paraId="70B240B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14:paraId="6CEA4E6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97643CE">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ECE071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C8D6B3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14:paraId="147609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08333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5549450D">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14:paraId="21344721">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1468DCA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747F11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1AB804F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5FC1C3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7960EA3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38D30C6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296C7B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5D25837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410CA11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3E6C41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471FA4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406364F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54C6DE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EDB71E7">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0783D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7592B7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7C12261C">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564F69ED">
      <w:pPr>
        <w:pStyle w:val="2"/>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7FE8342F">
      <w:pPr>
        <w:pStyle w:val="2"/>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7141C4E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7EB1FE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689928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8D9B57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1D8B8F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77B7BA32">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14:paraId="4DBBC05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14:paraId="03BF03BC">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CFB032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8E5CC94">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14:paraId="30663E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07E0E3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5935C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0BD00F0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63FEAF0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48AA27E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滁州市园林景观管理中心</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1359161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04930C6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滁州市园林景观管理中心</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63CE158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B2ED7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55C7A1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4A7A329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33D6FC1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2DC546ED">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1A9B712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lang w:val="en-US" w:eastAsia="zh-CN"/>
        </w:rPr>
        <w:t xml:space="preserve">  场内交通设施和道路由承包人负责建设，发包人不另支付费用，场内交通边界现场确定 </w:t>
      </w:r>
      <w:r>
        <w:rPr>
          <w:rFonts w:hint="eastAsia" w:ascii="宋体" w:cs="宋体"/>
          <w:color w:val="auto"/>
          <w:szCs w:val="21"/>
          <w:highlight w:val="none"/>
        </w:rPr>
        <w:t>。</w:t>
      </w:r>
    </w:p>
    <w:p w14:paraId="3875A6F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04A2634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06938FF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68F35F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70D1E65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116A180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3C3801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1F740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E5DB43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08D8AEC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265E4AE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060DF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11FB1398">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结算价格最终以相关部门审核价为准</w:t>
      </w:r>
      <w:r>
        <w:rPr>
          <w:rFonts w:hint="eastAsia" w:ascii="宋体" w:hAnsi="宋体" w:cs="宋体"/>
          <w:b/>
          <w:bCs/>
          <w:color w:val="auto"/>
          <w:szCs w:val="21"/>
          <w:highlight w:val="none"/>
          <w:u w:val="single"/>
        </w:rPr>
        <w:t>。</w:t>
      </w:r>
    </w:p>
    <w:p w14:paraId="21921A41">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1AF596F9">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14:paraId="3DE1D5A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2794A4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1360D0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664BA1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31FEF7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6085B49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5C0C3AC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67876B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4AAF5B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ACC2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2EB269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755F441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0F551D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7D2AA0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661DA1F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641486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6445356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财政</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1207B2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6895767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100A88D3">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67D72F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AD63C9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1158DB2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6E94D2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41FA861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6CDC5A3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737C83F5">
      <w:pPr>
        <w:numPr>
          <w:ilvl w:val="0"/>
          <w:numId w:val="3"/>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⑦须执行我市市住建、公管、人社、重点处等相关单位关于项目管理、扬尘治理、大气、农民工工资支付、工程款支付等方面的通知、规定和相关要求；</w:t>
      </w:r>
    </w:p>
    <w:p w14:paraId="1730947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6574FF85">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77E81DE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415439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8002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53C260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1FFAD3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3EE162C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55F200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430F6C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7BE025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422942E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13BFA48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07FEF52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79A3CDA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002261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项目经理变更必须经发包人批准，并满足《关于进一步加强建筑施工现场项目经理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65442ED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相应处罚。</w:t>
      </w:r>
    </w:p>
    <w:p w14:paraId="4A5DF6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7AE1F2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49E33C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相应处罚。</w:t>
      </w:r>
    </w:p>
    <w:p w14:paraId="77A5D7C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2F9DC27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w:t>
      </w:r>
      <w:r>
        <w:rPr>
          <w:rFonts w:hint="eastAsia" w:ascii="宋体" w:cs="宋体"/>
          <w:color w:val="auto"/>
          <w:szCs w:val="21"/>
          <w:highlight w:val="none"/>
          <w:u w:val="single"/>
          <w:lang w:val="en-US" w:eastAsia="zh-CN"/>
        </w:rPr>
        <w:t xml:space="preserve"> 承包人不得擅自更换主要管理人员,否则发包人有权解除合同，由此造成的损失由承包人自行承担，承包人还应赔偿由此造成发包人的全部损失。确需更换的须在签订合同后，报经发包人同意后按相关规定办理，并支付 0.5 万元/人的违约金，更换后的人员不得低于承包人投标时所报人员资质和技术水平。发包人如认为有必要，可要求对上述人员中的部分人员作出更好的调整。按照未按规定在岗履责进行处罚 </w:t>
      </w:r>
      <w:r>
        <w:rPr>
          <w:rFonts w:hint="eastAsia" w:ascii="宋体" w:cs="宋体"/>
          <w:color w:val="auto"/>
          <w:szCs w:val="21"/>
          <w:highlight w:val="none"/>
          <w:u w:val="single"/>
        </w:rPr>
        <w:t>。</w:t>
      </w:r>
    </w:p>
    <w:p w14:paraId="50BF5750">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none"/>
        </w:rPr>
        <w:t>承包人主要施工管理人员擅自离开施工现场的违约责任：</w:t>
      </w:r>
      <w:r>
        <w:rPr>
          <w:rFonts w:hint="eastAsia" w:ascii="宋体" w:cs="宋体"/>
          <w:color w:val="auto"/>
          <w:szCs w:val="21"/>
          <w:highlight w:val="none"/>
          <w:u w:val="single"/>
        </w:rPr>
        <w:t xml:space="preserve">   按照未按规定在岗履责进行处罚   。</w:t>
      </w:r>
    </w:p>
    <w:p w14:paraId="37CFE6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05BEFF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67C4CD8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63E8F02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 xml:space="preserve"> 房建、水利工程为主体结构；市政工程为道路基层、面层；桥梁为主体结构；园林景观工程为绿化采购、栽植、养护；等等</w:t>
      </w:r>
      <w:r>
        <w:rPr>
          <w:rFonts w:hint="eastAsia" w:ascii="宋体" w:cs="宋体"/>
          <w:color w:val="auto"/>
          <w:szCs w:val="21"/>
          <w:highlight w:val="none"/>
        </w:rPr>
        <w:t>。</w:t>
      </w:r>
    </w:p>
    <w:p w14:paraId="3E175B5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4F5DCD7E">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 xml:space="preserve"> 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r>
        <w:rPr>
          <w:rFonts w:hint="eastAsia" w:ascii="宋体" w:cs="宋体"/>
          <w:color w:val="auto"/>
          <w:szCs w:val="21"/>
          <w:highlight w:val="none"/>
          <w:u w:val="single"/>
        </w:rPr>
        <w:t>。</w:t>
      </w:r>
    </w:p>
    <w:p w14:paraId="709F5A4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lang w:val="en-US" w:eastAsia="zh-CN"/>
        </w:rPr>
        <w:t xml:space="preserve"> 承包人不得以劳务分包的名义转包或违法分包工程。发包人一经发现承包人转包、挂靠等行为的，发包人立即解除合同，清退出场，承包人已完合格工程量按合同价款70%进行结算</w:t>
      </w:r>
      <w:r>
        <w:rPr>
          <w:rFonts w:hint="eastAsia" w:ascii="宋体" w:hAnsi="宋体" w:cs="宋体"/>
          <w:b/>
          <w:bCs/>
          <w:color w:val="auto"/>
          <w:szCs w:val="21"/>
          <w:highlight w:val="none"/>
          <w:u w:val="single"/>
        </w:rPr>
        <w:t>。</w:t>
      </w:r>
    </w:p>
    <w:p w14:paraId="3AEBBD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1FA26D43">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119F19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3A4E6E92">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1F2C976">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0FBE645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14:paraId="25A5D215">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履约数额：中标合同</w:t>
      </w:r>
      <w:r>
        <w:rPr>
          <w:rFonts w:hint="eastAsia" w:ascii="宋体" w:hAnsi="Times New Roman" w:eastAsia="宋体" w:cs="宋体"/>
          <w:color w:val="auto"/>
          <w:szCs w:val="21"/>
          <w:highlight w:val="none"/>
          <w:lang w:val="en-US" w:eastAsia="zh-CN"/>
        </w:rPr>
        <w:t>价*2%</w:t>
      </w:r>
      <w:r>
        <w:rPr>
          <w:rFonts w:hint="eastAsia" w:ascii="宋体" w:hAnsi="Times New Roman" w:eastAsia="宋体" w:cs="宋体"/>
          <w:color w:val="auto"/>
          <w:szCs w:val="21"/>
          <w:highlight w:val="none"/>
        </w:rPr>
        <w:t>；</w:t>
      </w:r>
    </w:p>
    <w:p w14:paraId="279956DF">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形式：支持银行转账、银行电汇、银行保函、担保机构担保、保证保险使用</w:t>
      </w:r>
    </w:p>
    <w:p w14:paraId="1CE3865E">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履约保证金退还时限：履约保证金有效期满7日内</w:t>
      </w:r>
    </w:p>
    <w:p w14:paraId="546918DA">
      <w:pPr>
        <w:tabs>
          <w:tab w:val="left" w:pos="7740"/>
        </w:tabs>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strike w:val="0"/>
          <w:dstrike w:val="0"/>
          <w:color w:val="auto"/>
          <w:szCs w:val="21"/>
          <w:highlight w:val="none"/>
        </w:rPr>
        <w:t xml:space="preserve">4. </w:t>
      </w:r>
      <w:r>
        <w:rPr>
          <w:rFonts w:hint="eastAsia" w:ascii="宋体" w:cs="宋体"/>
          <w:color w:val="auto"/>
          <w:sz w:val="21"/>
          <w:szCs w:val="21"/>
          <w:highlight w:val="none"/>
          <w:shd w:val="clear" w:color="auto" w:fill="auto"/>
        </w:rPr>
        <w:t>监理人</w:t>
      </w:r>
    </w:p>
    <w:p w14:paraId="53C73ED5">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4.1监理人的一般规定</w:t>
      </w:r>
    </w:p>
    <w:p w14:paraId="7860240C">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关于监理人的监理内容：</w:t>
      </w:r>
      <w:r>
        <w:rPr>
          <w:rFonts w:hint="eastAsia" w:ascii="宋体" w:cs="宋体"/>
          <w:color w:val="auto"/>
          <w:sz w:val="21"/>
          <w:szCs w:val="21"/>
          <w:highlight w:val="none"/>
          <w:u w:val="single"/>
          <w:shd w:val="clear" w:color="auto" w:fill="auto"/>
        </w:rPr>
        <w:t xml:space="preserve">  详见监理合同 </w:t>
      </w:r>
      <w:r>
        <w:rPr>
          <w:rFonts w:hint="eastAsia" w:ascii="宋体" w:cs="宋体"/>
          <w:color w:val="auto"/>
          <w:sz w:val="21"/>
          <w:szCs w:val="21"/>
          <w:highlight w:val="none"/>
          <w:shd w:val="clear" w:color="auto" w:fill="auto"/>
        </w:rPr>
        <w:t>。</w:t>
      </w:r>
    </w:p>
    <w:p w14:paraId="0BFCF066">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关于监理人的监理权限：</w:t>
      </w:r>
      <w:r>
        <w:rPr>
          <w:rFonts w:hint="eastAsia" w:ascii="宋体" w:cs="宋体"/>
          <w:color w:val="auto"/>
          <w:sz w:val="21"/>
          <w:szCs w:val="21"/>
          <w:highlight w:val="none"/>
          <w:u w:val="single"/>
          <w:shd w:val="clear" w:color="auto" w:fill="auto"/>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  </w:t>
      </w:r>
      <w:r>
        <w:rPr>
          <w:rFonts w:hint="eastAsia" w:ascii="宋体" w:cs="宋体"/>
          <w:color w:val="auto"/>
          <w:sz w:val="21"/>
          <w:szCs w:val="21"/>
          <w:highlight w:val="none"/>
          <w:shd w:val="clear" w:color="auto" w:fill="auto"/>
        </w:rPr>
        <w:t xml:space="preserve">。 </w:t>
      </w:r>
    </w:p>
    <w:p w14:paraId="4D1AAA1E">
      <w:pPr>
        <w:snapToGrid w:val="0"/>
        <w:spacing w:line="440" w:lineRule="exact"/>
        <w:ind w:firstLine="420" w:firstLineChars="200"/>
        <w:rPr>
          <w:rFonts w:hint="eastAsia" w:ascii="宋体" w:cs="宋体"/>
          <w:color w:val="auto"/>
          <w:sz w:val="21"/>
          <w:szCs w:val="21"/>
          <w:highlight w:val="none"/>
          <w:u w:val="single"/>
          <w:shd w:val="clear" w:color="auto" w:fill="auto"/>
        </w:rPr>
      </w:pPr>
      <w:r>
        <w:rPr>
          <w:rFonts w:hint="eastAsia" w:ascii="宋体" w:cs="宋体"/>
          <w:color w:val="auto"/>
          <w:sz w:val="21"/>
          <w:szCs w:val="21"/>
          <w:highlight w:val="none"/>
          <w:shd w:val="clear" w:color="auto" w:fill="auto"/>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 。</w:t>
      </w:r>
    </w:p>
    <w:p w14:paraId="0AAD50CE">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4.2 监理人员</w:t>
      </w:r>
    </w:p>
    <w:p w14:paraId="0430198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总监理工程师：</w:t>
      </w:r>
    </w:p>
    <w:p w14:paraId="2837647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姓    名：</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F3D2D8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职    务：</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D2CE50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监理工程师执业资格证书号：</w:t>
      </w:r>
      <w:r>
        <w:rPr>
          <w:rFonts w:hint="eastAsia" w:ascii="宋体" w:cs="宋体"/>
          <w:color w:val="auto"/>
          <w:sz w:val="21"/>
          <w:szCs w:val="21"/>
          <w:highlight w:val="none"/>
          <w:u w:val="single"/>
          <w:shd w:val="clear" w:color="auto" w:fill="auto"/>
        </w:rPr>
        <w:t> </w:t>
      </w:r>
      <w:r>
        <w:rPr>
          <w:rFonts w:hint="eastAsia" w:ascii="宋体" w:cs="宋体"/>
          <w:color w:val="auto"/>
          <w:sz w:val="21"/>
          <w:szCs w:val="21"/>
          <w:highlight w:val="none"/>
          <w:shd w:val="clear" w:color="auto" w:fill="auto"/>
        </w:rPr>
        <w:t>；</w:t>
      </w:r>
    </w:p>
    <w:p w14:paraId="2F195992">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联系电话：</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2AE2951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电子信箱：</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10889C14">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通信地址：</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6F39A02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关于监理人的其他约定：</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4131A68">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4.4 商定或确定</w:t>
      </w:r>
    </w:p>
    <w:p w14:paraId="1207088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在发包人和承包人不能通过协商达成一致意见时，发包人授权监理人对以下事项进行确定：</w:t>
      </w:r>
    </w:p>
    <w:p w14:paraId="634A1632">
      <w:pPr>
        <w:autoSpaceDE w:val="0"/>
        <w:autoSpaceDN w:val="0"/>
        <w:adjustRightInd w:val="0"/>
        <w:snapToGrid w:val="0"/>
        <w:spacing w:line="440" w:lineRule="exact"/>
        <w:ind w:firstLine="420" w:firstLineChars="200"/>
        <w:jc w:val="left"/>
        <w:rPr>
          <w:rFonts w:hint="eastAsia" w:ascii="宋体" w:cs="宋体"/>
          <w:color w:val="auto"/>
          <w:kern w:val="0"/>
          <w:sz w:val="21"/>
          <w:szCs w:val="21"/>
          <w:highlight w:val="none"/>
          <w:shd w:val="clear" w:color="auto" w:fill="auto"/>
        </w:rPr>
      </w:pPr>
      <w:r>
        <w:rPr>
          <w:rFonts w:hint="eastAsia" w:ascii="宋体" w:cs="宋体"/>
          <w:color w:val="auto"/>
          <w:kern w:val="0"/>
          <w:sz w:val="21"/>
          <w:szCs w:val="21"/>
          <w:highlight w:val="none"/>
          <w:shd w:val="clear" w:color="auto" w:fill="auto"/>
        </w:rPr>
        <w:t>（1）</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施工方案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shd w:val="clear" w:color="auto" w:fill="auto"/>
        </w:rPr>
        <w:t>；</w:t>
      </w:r>
    </w:p>
    <w:p w14:paraId="4C6C6758">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color w:val="auto"/>
          <w:kern w:val="0"/>
          <w:sz w:val="21"/>
          <w:szCs w:val="21"/>
          <w:highlight w:val="none"/>
          <w:shd w:val="clear" w:color="auto" w:fill="auto"/>
        </w:rPr>
        <w:t>（2）</w:t>
      </w:r>
      <w:r>
        <w:rPr>
          <w:rFonts w:hint="eastAsia" w:ascii="宋体" w:cs="宋体"/>
          <w:color w:val="auto"/>
          <w:sz w:val="21"/>
          <w:szCs w:val="21"/>
          <w:highlight w:val="none"/>
          <w:u w:val="single"/>
          <w:shd w:val="clear" w:color="auto" w:fill="auto"/>
        </w:rPr>
        <w:t xml:space="preserve">   索赔事项等    </w:t>
      </w:r>
      <w:r>
        <w:rPr>
          <w:rFonts w:hint="eastAsia" w:ascii="宋体" w:cs="宋体"/>
          <w:color w:val="auto"/>
          <w:sz w:val="21"/>
          <w:szCs w:val="21"/>
          <w:highlight w:val="none"/>
          <w:shd w:val="clear" w:color="auto" w:fill="auto"/>
        </w:rPr>
        <w:t>；</w:t>
      </w:r>
    </w:p>
    <w:p w14:paraId="3E6A510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1565A3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5CB50B1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1CA56EC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4E7035A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2D9538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75829C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w:t>
      </w:r>
      <w:r>
        <w:rPr>
          <w:rFonts w:hint="eastAsia" w:ascii="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B411299">
      <w:pPr>
        <w:snapToGrid w:val="0"/>
        <w:spacing w:line="440" w:lineRule="exact"/>
        <w:ind w:firstLine="420" w:firstLineChars="200"/>
        <w:jc w:val="left"/>
        <w:rPr>
          <w:rFonts w:hint="eastAsia" w:ascii="宋体" w:cs="宋体"/>
          <w:color w:val="auto"/>
          <w:szCs w:val="21"/>
          <w:highlight w:val="none"/>
          <w:lang w:eastAsia="zh-CN"/>
        </w:rPr>
      </w:pPr>
      <w:r>
        <w:rPr>
          <w:rFonts w:hint="eastAsia" w:ascii="宋体" w:cs="宋体"/>
          <w:color w:val="auto"/>
          <w:szCs w:val="21"/>
          <w:highlight w:val="none"/>
          <w:lang w:eastAsia="zh-CN"/>
        </w:rPr>
        <w:t>监理人不能按时进行检查时，应提前</w:t>
      </w:r>
      <w:r>
        <w:rPr>
          <w:rFonts w:hint="eastAsia" w:ascii="宋体" w:cs="宋体"/>
          <w:color w:val="auto"/>
          <w:szCs w:val="21"/>
          <w:highlight w:val="none"/>
          <w:u w:val="single"/>
          <w:lang w:eastAsia="zh-CN"/>
        </w:rPr>
        <w:t xml:space="preserve"> 3  </w:t>
      </w:r>
      <w:r>
        <w:rPr>
          <w:rFonts w:hint="eastAsia" w:ascii="宋体" w:cs="宋体"/>
          <w:color w:val="auto"/>
          <w:szCs w:val="21"/>
          <w:highlight w:val="none"/>
          <w:lang w:eastAsia="zh-CN"/>
        </w:rPr>
        <w:t>小时提交书面延期要求。</w:t>
      </w:r>
    </w:p>
    <w:p w14:paraId="01BCD6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关于延期最长不得超过：</w:t>
      </w:r>
      <w:r>
        <w:rPr>
          <w:rFonts w:hint="eastAsia" w:ascii="宋体" w:cs="宋体"/>
          <w:color w:val="auto"/>
          <w:szCs w:val="21"/>
          <w:highlight w:val="none"/>
          <w:u w:val="single"/>
          <w:lang w:eastAsia="zh-CN"/>
        </w:rPr>
        <w:t xml:space="preserve"> 6  </w:t>
      </w:r>
      <w:r>
        <w:rPr>
          <w:rFonts w:hint="eastAsia" w:ascii="宋体" w:cs="宋体"/>
          <w:color w:val="auto"/>
          <w:szCs w:val="21"/>
          <w:highlight w:val="none"/>
          <w:lang w:eastAsia="zh-CN"/>
        </w:rPr>
        <w:t>小时</w:t>
      </w:r>
      <w:r>
        <w:rPr>
          <w:rFonts w:hint="eastAsia" w:ascii="宋体" w:cs="宋体"/>
          <w:color w:val="auto"/>
          <w:szCs w:val="21"/>
          <w:highlight w:val="none"/>
        </w:rPr>
        <w:t>。</w:t>
      </w:r>
    </w:p>
    <w:p w14:paraId="1A0A366A">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5C5A82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95F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2C8CF56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188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649B00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2170080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1427B121">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6.1.6 关于安全文明施工费支付比例和支付期限的约定：</w:t>
      </w:r>
      <w:r>
        <w:rPr>
          <w:rFonts w:hint="eastAsia" w:ascii="宋体" w:eastAsia="宋体" w:cs="宋体"/>
          <w:b w:val="0"/>
          <w:color w:val="auto"/>
          <w:sz w:val="21"/>
          <w:szCs w:val="21"/>
          <w:highlight w:val="none"/>
          <w:u w:val="single"/>
        </w:rPr>
        <w:t xml:space="preserve">   按照《关于落实&lt;市规建委关于规范建设工程安全防护和文明施工措施费使用管理的通知&gt;的意见》，支付方式为：房建工程基础验收合格后支付40%，主体结构施工封顶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防护、文明施工措施项目费用清单备查   。</w:t>
      </w:r>
    </w:p>
    <w:p w14:paraId="4EA43A65">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13CDE047">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65A62D5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1E7D86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7B99918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22C3AF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14:paraId="673D2DD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2A99FB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33550E3A">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 xml:space="preserve"> 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026C8A4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0DF4E6A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514C705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60278C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关于发包人应完成的其他开工准备工作及期限：</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559CEA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6583A6CA">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14:paraId="5AE1CE85">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14:paraId="69E8F0E4">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p>
    <w:p w14:paraId="07F3E953">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BE54CD2">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14:paraId="72CC7466">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14:paraId="39C0278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w:t>
      </w:r>
      <w:r>
        <w:rPr>
          <w:rFonts w:hint="eastAsia" w:ascii="宋体" w:cs="宋体"/>
          <w:color w:val="auto"/>
          <w:szCs w:val="21"/>
          <w:highlight w:val="none"/>
        </w:rPr>
        <w:t xml:space="preserve">        </w:t>
      </w:r>
    </w:p>
    <w:p w14:paraId="1F126F8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5742159B">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方原因造成的工期延误，每推迟一天，按合同价款（扣除暂估价和暂列金）万分之二处以违约金；月工程量未完成的当期不得请款，当月未完成的工程量纳入下月一并完成，完不成的仍不予请款，依此类推。</w:t>
      </w:r>
    </w:p>
    <w:p w14:paraId="601700C4">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475713BC">
      <w:pPr>
        <w:pStyle w:val="2"/>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684CA6D7">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2B05EF65">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w:t>
      </w:r>
    </w:p>
    <w:p w14:paraId="138EC72A">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cs="宋体"/>
          <w:bCs/>
          <w:color w:val="auto"/>
          <w:szCs w:val="21"/>
          <w:highlight w:val="none"/>
          <w:u w:val="single"/>
        </w:rPr>
        <w:t>（3）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w:t>
      </w:r>
      <w:r>
        <w:rPr>
          <w:rFonts w:hint="eastAsia" w:ascii="宋体" w:hAnsi="Times New Roman" w:eastAsia="宋体" w:cs="宋体"/>
          <w:bCs/>
          <w:color w:val="auto"/>
          <w:szCs w:val="21"/>
          <w:highlight w:val="none"/>
          <w:u w:val="single"/>
        </w:rPr>
        <w:t xml:space="preserve">。  </w:t>
      </w:r>
    </w:p>
    <w:p w14:paraId="3B89354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0339D57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0B8A76B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3E77EB5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6E1FC248">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0C57EA4">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15DE2A1">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09DC6267">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3923FD8E">
      <w:pPr>
        <w:pStyle w:val="2"/>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由发包人根据提前竣工天数，结合项目考勤、质量、安全等实际情况综合考虑</w:t>
      </w:r>
      <w:r>
        <w:rPr>
          <w:rFonts w:hint="eastAsia"/>
          <w:color w:val="auto"/>
          <w:highlight w:val="none"/>
          <w:u w:val="single"/>
        </w:rPr>
        <w:t xml:space="preserve"> </w:t>
      </w:r>
      <w:r>
        <w:rPr>
          <w:rFonts w:hint="eastAsia"/>
          <w:color w:val="auto"/>
          <w:highlight w:val="none"/>
        </w:rPr>
        <w:t>。</w:t>
      </w:r>
    </w:p>
    <w:p w14:paraId="60A4567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5D2167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048767C7">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35797C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7BDBDDA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33E4387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631077C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6E13AC89">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739EE3A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2C53CF4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55D0AA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0F14FAD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65D81A1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0359BF2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03E6A2A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61E4586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4D8B144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14:paraId="6E87310C">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41CC0E3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6EEB3145">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548D577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6A3C290F">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66CFE768">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投标限价单价×投标让利幅度计算，组价明显错误的予以纠正；已标价工程量清单或预算书中无相同项目及类似项目单价的新增项目单价按照最高投标限价的编制原则重新组价×投标让利幅度（上述投标让利幅度为成交价/最高投标限价，其中成交价和最高投标限价均扣除暂列金额、暂估价及相应税金），结算价格最终以相关部门审核价为准；</w:t>
      </w:r>
    </w:p>
    <w:p w14:paraId="539923C4">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67CB1DDB">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24A1AEB4">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14:paraId="38422FBC">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14:paraId="7319C1B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48517F6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49BE711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14:paraId="176E522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u w:val="single"/>
          <w:lang w:val="en-US" w:eastAsia="zh-CN"/>
        </w:rPr>
        <w:t>由发包人根据合同价格降低额或工程经济效益提高承担，结合项目考勤、质量、安全、进度等实际情况综合考虑</w:t>
      </w:r>
      <w:r>
        <w:rPr>
          <w:rFonts w:hint="eastAsia"/>
          <w:color w:val="auto"/>
          <w:highlight w:val="none"/>
          <w:u w:val="single"/>
        </w:rPr>
        <w:t>。</w:t>
      </w:r>
    </w:p>
    <w:p w14:paraId="2B184A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6AB0F4D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CD9E2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6BE3725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0A31D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458C958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对于不属于依法必须招标的暂估价项目的确认和批准采取第 1  种方式确。</w:t>
      </w:r>
    </w:p>
    <w:p w14:paraId="613EA18E">
      <w:pPr>
        <w:pStyle w:val="2"/>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262497D3">
      <w:pPr>
        <w:pStyle w:val="2"/>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10EE0B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4AC052E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709519DA">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29A26ED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144C0A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699E6B2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种方式对合同价格进行调整：</w:t>
      </w:r>
    </w:p>
    <w:p w14:paraId="5A983D7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第1种方式：采用价格指数进行价格调整。</w:t>
      </w:r>
    </w:p>
    <w:p w14:paraId="785F4FA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关于各可调因子、定值和变值权重，以及基本价格指数及其来源的约定：</w:t>
      </w:r>
      <w:r>
        <w:rPr>
          <w:rFonts w:hint="eastAsia" w:ascii="宋体" w:cs="宋体"/>
          <w:color w:val="auto"/>
          <w:szCs w:val="21"/>
          <w:highlight w:val="none"/>
          <w:u w:val="single"/>
        </w:rPr>
        <w:t xml:space="preserve">  本项目不调整  </w:t>
      </w:r>
      <w:r>
        <w:rPr>
          <w:rFonts w:hint="eastAsia" w:ascii="宋体" w:cs="宋体"/>
          <w:color w:val="auto"/>
          <w:szCs w:val="21"/>
          <w:highlight w:val="none"/>
        </w:rPr>
        <w:t xml:space="preserve"> ； </w:t>
      </w:r>
    </w:p>
    <w:p w14:paraId="3AB9EB3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74875E2D">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lang w:val="en-US" w:eastAsia="zh-CN"/>
        </w:rPr>
        <w:t xml:space="preserve"> / 。</w:t>
      </w:r>
    </w:p>
    <w:p w14:paraId="729F17F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09F66AE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77C97F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27715AC7">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lang w:val="en-US" w:eastAsia="zh-CN"/>
        </w:rPr>
        <w:t xml:space="preserve"> 各种因素引起的不属于本合同调价范围的市场材料价格、人工、机械使用费以及管理费、利润的变化等 </w:t>
      </w:r>
      <w:r>
        <w:rPr>
          <w:rFonts w:hint="eastAsia" w:ascii="宋体" w:cs="宋体"/>
          <w:b/>
          <w:color w:val="auto"/>
          <w:szCs w:val="21"/>
          <w:highlight w:val="none"/>
          <w:u w:val="single"/>
        </w:rPr>
        <w:t>。</w:t>
      </w:r>
    </w:p>
    <w:p w14:paraId="673C1D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0700F4E4">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lang w:val="en-US" w:eastAsia="zh-CN"/>
        </w:rPr>
        <w:t xml:space="preserve"> 结算价 = 合同价 ± 工程变更造价 ± 分部分项工程量清单工程量误差造价 ± 政策性调整造价±措施项目调整造价－暂列金额 × 1.09 ± 合理工程索赔</w:t>
      </w:r>
      <w:r>
        <w:rPr>
          <w:rFonts w:hint="eastAsia" w:ascii="宋体" w:hAnsi="宋体" w:cs="宋体"/>
          <w:bCs/>
          <w:color w:val="auto"/>
          <w:szCs w:val="21"/>
          <w:highlight w:val="none"/>
          <w:u w:val="single"/>
        </w:rPr>
        <w:t xml:space="preserve">。 </w:t>
      </w:r>
    </w:p>
    <w:p w14:paraId="693E7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5C81E4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13B5263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772AF5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545739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55BE2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11A93CB4">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7F6760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8421A7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55BC4A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1A4EAF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39BA65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3560844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379814A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E3967F3">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 xml:space="preserve"> （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p>
    <w:p w14:paraId="0EF58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4BE7314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F7E5E9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B7A5C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2077859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22A638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9C6DD0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33B46178">
      <w:pPr>
        <w:snapToGrid w:val="0"/>
        <w:spacing w:line="440" w:lineRule="exact"/>
        <w:ind w:firstLine="422" w:firstLineChars="200"/>
        <w:jc w:val="left"/>
        <w:rPr>
          <w:rFonts w:hint="eastAsia" w:ascii="宋体" w:cs="宋体"/>
          <w:color w:val="auto"/>
          <w:szCs w:val="21"/>
          <w:highlight w:val="none"/>
        </w:rPr>
      </w:pPr>
      <w:r>
        <w:rPr>
          <w:rFonts w:hint="eastAsia" w:ascii="宋体" w:cs="宋体"/>
          <w:b/>
          <w:bCs/>
          <w:color w:val="auto"/>
          <w:szCs w:val="21"/>
          <w:highlight w:val="none"/>
        </w:rPr>
        <w:t>关于付款周期的约定：</w:t>
      </w:r>
      <w:r>
        <w:rPr>
          <w:rFonts w:hint="eastAsia" w:ascii="宋体" w:cs="宋体"/>
          <w:b/>
          <w:bCs/>
          <w:color w:val="auto"/>
          <w:szCs w:val="21"/>
          <w:highlight w:val="none"/>
          <w:u w:val="single"/>
        </w:rPr>
        <w:t xml:space="preserve"> </w:t>
      </w:r>
      <w:r>
        <w:rPr>
          <w:rFonts w:hint="eastAsia" w:ascii="宋体" w:cs="宋体"/>
          <w:b/>
          <w:bCs/>
          <w:color w:val="auto"/>
          <w:szCs w:val="21"/>
          <w:highlight w:val="none"/>
          <w:u w:val="single"/>
          <w:lang w:val="en-US" w:eastAsia="zh-CN"/>
        </w:rPr>
        <w:t>按已完成进度计划合格工程量的70%支付进度款;工程完工初验合格后付至已完成合格工程量的80%支付进度款;一年养护期满，竣工验收合格且移交付至合同价款的90%，结算审计后付清余款。绿化成活率:100%。（注：建设单位在政府资金调度会批准且发票送达后完成支付）</w:t>
      </w:r>
      <w:r>
        <w:rPr>
          <w:rFonts w:hint="eastAsia" w:ascii="宋体" w:cs="宋体"/>
          <w:b/>
          <w:bCs/>
          <w:color w:val="auto"/>
          <w:szCs w:val="21"/>
          <w:highlight w:val="none"/>
        </w:rPr>
        <w:t>。</w:t>
      </w:r>
    </w:p>
    <w:p w14:paraId="553471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5FCC44F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6633F6E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1450CD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按施工进度付款，承包人每月月底前向发包人报送请款资料</w:t>
      </w:r>
      <w:r>
        <w:rPr>
          <w:rFonts w:hint="eastAsia" w:ascii="黑体" w:eastAsia="黑体" w:cs="宋体"/>
          <w:b/>
          <w:bCs/>
          <w:color w:val="auto"/>
          <w:szCs w:val="21"/>
          <w:highlight w:val="none"/>
          <w:u w:val="single"/>
        </w:rPr>
        <w:t>。</w:t>
      </w:r>
    </w:p>
    <w:p w14:paraId="40D27AC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F3518F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40D8BA8">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p>
    <w:p w14:paraId="49139BED">
      <w:pPr>
        <w:snapToGrid w:val="0"/>
        <w:spacing w:line="440" w:lineRule="exact"/>
        <w:ind w:firstLine="420" w:firstLineChars="200"/>
        <w:jc w:val="left"/>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lang w:val="en-US" w:eastAsia="zh-CN" w:bidi="ar"/>
        </w:rPr>
        <w:t>（1）监理人审查并报送发包人的期限：</w:t>
      </w:r>
      <w:r>
        <w:rPr>
          <w:rFonts w:hint="eastAsia" w:ascii="宋体" w:hAnsi="宋体" w:eastAsia="宋体" w:cs="宋体"/>
          <w:kern w:val="2"/>
          <w:sz w:val="21"/>
          <w:szCs w:val="21"/>
          <w:highlight w:val="none"/>
          <w:u w:val="single"/>
          <w:lang w:val="en-US" w:eastAsia="zh-CN" w:bidi="ar"/>
        </w:rPr>
        <w:t xml:space="preserve">  监理人应在收到承包人进度付款申请单以及相关资料后7天内完成审查并报送发包人 </w:t>
      </w:r>
      <w:r>
        <w:rPr>
          <w:rFonts w:hint="eastAsia" w:ascii="宋体" w:hAnsi="宋体" w:eastAsia="宋体" w:cs="宋体"/>
          <w:b/>
          <w:bCs w:val="0"/>
          <w:kern w:val="2"/>
          <w:sz w:val="21"/>
          <w:szCs w:val="21"/>
          <w:highlight w:val="none"/>
          <w:lang w:val="en-US" w:eastAsia="zh-CN" w:bidi="ar"/>
        </w:rPr>
        <w:t>。</w:t>
      </w:r>
    </w:p>
    <w:p w14:paraId="193F8579">
      <w:pPr>
        <w:snapToGrid w:val="0"/>
        <w:spacing w:line="440" w:lineRule="exact"/>
        <w:ind w:firstLine="420" w:firstLineChars="200"/>
        <w:jc w:val="left"/>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lang w:val="en-US" w:eastAsia="zh-CN" w:bidi="ar"/>
        </w:rPr>
        <w:t>发包人完成审批并签发进度款支付证书的期限：</w:t>
      </w:r>
      <w:r>
        <w:rPr>
          <w:rFonts w:hint="eastAsia" w:ascii="宋体" w:hAnsi="宋体" w:eastAsia="宋体" w:cs="宋体"/>
          <w:kern w:val="2"/>
          <w:sz w:val="21"/>
          <w:szCs w:val="21"/>
          <w:highlight w:val="none"/>
          <w:u w:val="single"/>
          <w:lang w:val="en-US" w:eastAsia="zh-CN" w:bidi="ar"/>
        </w:rPr>
        <w:t xml:space="preserve"> 发包人应在收到后7天内完成审批并签发进度款支付证书，跟踪审计人员审核时间除外 </w:t>
      </w:r>
      <w:r>
        <w:rPr>
          <w:rFonts w:hint="eastAsia" w:ascii="宋体" w:hAnsi="宋体" w:eastAsia="宋体" w:cs="宋体"/>
          <w:kern w:val="2"/>
          <w:sz w:val="21"/>
          <w:szCs w:val="21"/>
          <w:highlight w:val="none"/>
          <w:lang w:val="en-US" w:eastAsia="zh-CN" w:bidi="ar"/>
        </w:rPr>
        <w:t>。</w:t>
      </w:r>
    </w:p>
    <w:p w14:paraId="38A888E6">
      <w:pPr>
        <w:snapToGrid w:val="0"/>
        <w:spacing w:line="440" w:lineRule="exact"/>
        <w:ind w:firstLine="420" w:firstLineChars="200"/>
        <w:jc w:val="left"/>
        <w:rPr>
          <w:rFonts w:hint="eastAsia" w:ascii="宋体" w:hAnsi="宋体" w:eastAsia="宋体" w:cs="宋体"/>
          <w:b/>
          <w:bCs w:val="0"/>
          <w:kern w:val="2"/>
          <w:sz w:val="21"/>
          <w:szCs w:val="21"/>
          <w:highlight w:val="none"/>
        </w:rPr>
      </w:pPr>
      <w:r>
        <w:rPr>
          <w:rFonts w:hint="eastAsia" w:ascii="宋体" w:hAnsi="宋体" w:eastAsia="宋体" w:cs="宋体"/>
          <w:kern w:val="2"/>
          <w:sz w:val="21"/>
          <w:szCs w:val="21"/>
          <w:highlight w:val="none"/>
          <w:lang w:val="en-US" w:eastAsia="zh-CN" w:bidi="ar"/>
        </w:rPr>
        <w:t>（2）发包人支付进度款的期限：</w:t>
      </w:r>
      <w:r>
        <w:rPr>
          <w:rFonts w:hint="eastAsia" w:ascii="宋体" w:hAnsi="宋体" w:eastAsia="宋体" w:cs="宋体"/>
          <w:kern w:val="2"/>
          <w:sz w:val="21"/>
          <w:szCs w:val="21"/>
          <w:highlight w:val="none"/>
          <w:u w:val="single"/>
          <w:lang w:val="en-US" w:eastAsia="zh-CN" w:bidi="ar"/>
        </w:rPr>
        <w:t xml:space="preserve"> 发包人在政府资金调度会批准且发票送达一周内完成支付 </w:t>
      </w:r>
      <w:r>
        <w:rPr>
          <w:rFonts w:hint="eastAsia" w:ascii="宋体" w:hAnsi="宋体" w:eastAsia="宋体" w:cs="宋体"/>
          <w:b/>
          <w:bCs w:val="0"/>
          <w:kern w:val="2"/>
          <w:sz w:val="21"/>
          <w:szCs w:val="21"/>
          <w:highlight w:val="none"/>
          <w:lang w:val="en-US" w:eastAsia="zh-CN" w:bidi="ar"/>
        </w:rPr>
        <w:t>。</w:t>
      </w:r>
    </w:p>
    <w:p w14:paraId="089C9138">
      <w:pPr>
        <w:snapToGrid w:val="0"/>
        <w:spacing w:line="440" w:lineRule="exact"/>
        <w:ind w:firstLine="420" w:firstLineChars="200"/>
        <w:jc w:val="left"/>
        <w:rPr>
          <w:rFonts w:hint="default" w:ascii="宋体" w:eastAsia="宋体" w:cs="宋体"/>
          <w:color w:val="auto"/>
          <w:szCs w:val="21"/>
          <w:highlight w:val="none"/>
          <w:lang w:val="en-US" w:eastAsia="zh-CN"/>
        </w:rPr>
      </w:pPr>
      <w:r>
        <w:rPr>
          <w:rFonts w:hint="eastAsia" w:ascii="宋体" w:hAnsi="宋体" w:eastAsia="宋体" w:cs="宋体"/>
          <w:kern w:val="2"/>
          <w:sz w:val="21"/>
          <w:szCs w:val="21"/>
          <w:highlight w:val="none"/>
          <w:lang w:val="en-US" w:eastAsia="zh-CN" w:bidi="ar"/>
        </w:rPr>
        <w:t xml:space="preserve">发包人逾期支付进度款的违约金的计算方式 </w:t>
      </w:r>
      <w:r>
        <w:rPr>
          <w:rFonts w:hint="eastAsia" w:ascii="宋体" w:hAnsi="宋体" w:eastAsia="宋体" w:cs="宋体"/>
          <w:kern w:val="2"/>
          <w:sz w:val="21"/>
          <w:szCs w:val="21"/>
          <w:highlight w:val="none"/>
          <w:u w:val="single"/>
          <w:lang w:val="en-US" w:eastAsia="zh-CN" w:bidi="ar"/>
        </w:rPr>
        <w:t xml:space="preserve">      不采用     </w:t>
      </w:r>
      <w:r>
        <w:rPr>
          <w:rFonts w:hint="eastAsia" w:ascii="宋体" w:cs="宋体"/>
          <w:color w:val="auto"/>
          <w:szCs w:val="21"/>
          <w:highlight w:val="none"/>
          <w:lang w:val="en-US" w:eastAsia="zh-CN"/>
        </w:rPr>
        <w:t>。</w:t>
      </w:r>
    </w:p>
    <w:p w14:paraId="72C134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4BDAC30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2</w:t>
      </w:r>
      <w:r>
        <w:rPr>
          <w:rFonts w:hint="eastAsia" w:ascii="宋体" w:cs="宋体"/>
          <w:color w:val="auto"/>
          <w:szCs w:val="21"/>
          <w:highlight w:val="none"/>
          <w:lang w:eastAsia="zh-CN"/>
        </w:rPr>
        <w:t>）</w:t>
      </w:r>
      <w:r>
        <w:rPr>
          <w:rFonts w:hint="eastAsia" w:ascii="宋体" w:cs="宋体"/>
          <w:color w:val="auto"/>
          <w:szCs w:val="21"/>
          <w:highlight w:val="none"/>
        </w:rPr>
        <w:t>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9074B9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3</w:t>
      </w:r>
      <w:r>
        <w:rPr>
          <w:rFonts w:hint="eastAsia" w:ascii="宋体" w:cs="宋体"/>
          <w:color w:val="auto"/>
          <w:szCs w:val="21"/>
          <w:highlight w:val="none"/>
          <w:lang w:eastAsia="zh-CN"/>
        </w:rPr>
        <w:t>）</w:t>
      </w:r>
      <w:r>
        <w:rPr>
          <w:rFonts w:hint="eastAsia" w:ascii="宋体" w:cs="宋体"/>
          <w:color w:val="auto"/>
          <w:szCs w:val="21"/>
          <w:highlight w:val="none"/>
        </w:rPr>
        <w:t>单价合同的总价项目支付分解表的编制与审批：</w:t>
      </w:r>
      <w:r>
        <w:rPr>
          <w:rFonts w:hint="eastAsia" w:ascii="宋体" w:cs="宋体"/>
          <w:color w:val="auto"/>
          <w:szCs w:val="21"/>
          <w:highlight w:val="none"/>
          <w:u w:val="single"/>
        </w:rPr>
        <w:t>执行发包人统一内容格式。</w:t>
      </w:r>
    </w:p>
    <w:p w14:paraId="67CE967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eastAsia="宋体" w:cs="宋体"/>
          <w:b w:val="0"/>
          <w:color w:val="auto"/>
          <w:sz w:val="21"/>
          <w:szCs w:val="21"/>
          <w:highlight w:val="none"/>
          <w:shd w:val="clear" w:color="auto" w:fill="auto"/>
        </w:rPr>
        <w:t>1</w:t>
      </w:r>
      <w:r>
        <w:rPr>
          <w:rFonts w:hint="eastAsia" w:ascii="宋体" w:cs="宋体"/>
          <w:color w:val="auto"/>
          <w:szCs w:val="21"/>
          <w:highlight w:val="none"/>
        </w:rPr>
        <w:t>2.4.7 农民工工资管理</w:t>
      </w:r>
      <w:r>
        <w:rPr>
          <w:rFonts w:hint="eastAsia" w:ascii="宋体" w:hAnsi="宋体" w:cs="宋体"/>
          <w:b/>
          <w:color w:val="auto"/>
          <w:highlight w:val="none"/>
        </w:rPr>
        <w:t>（农民工工资保证金支持保函使用）</w:t>
      </w:r>
    </w:p>
    <w:p w14:paraId="43F542C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40F0614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097A0D6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58DFED7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0382BAC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14A3B84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r>
        <w:rPr>
          <w:rFonts w:hint="eastAsia" w:ascii="宋体" w:hAnsi="宋体" w:eastAsia="宋体" w:cs="宋体"/>
          <w:bCs/>
          <w:color w:val="auto"/>
          <w:highlight w:val="none"/>
          <w:lang w:eastAsia="zh-CN"/>
        </w:rPr>
        <w:t>。</w:t>
      </w:r>
    </w:p>
    <w:p w14:paraId="34A23DC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B224C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380D185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770CCE0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4094C838">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3197778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243D8C3F">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lang w:val="en-US" w:eastAsia="zh-CN"/>
        </w:rPr>
        <w:t xml:space="preserve">  严格按照市重点处《工程竣工验收要求》和《重点工程进度管理办法》承包人取得工程完工证明之日起即为工程实际竣工日期（该时间仅用于计算工期，不用于质量保修期、缺陷责任期等</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6F7E86BC">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503E590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6C6A8D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14:paraId="23E898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E1832C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0BEADE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69FB1EC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0AABA75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 xml:space="preserve">  承包人承担</w:t>
      </w:r>
      <w:r>
        <w:rPr>
          <w:rFonts w:hint="eastAsia" w:ascii="宋体" w:cs="宋体"/>
          <w:color w:val="auto"/>
          <w:szCs w:val="21"/>
          <w:highlight w:val="none"/>
          <w:u w:val="single"/>
        </w:rPr>
        <w:t>。</w:t>
      </w:r>
    </w:p>
    <w:p w14:paraId="07AAC02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456ADB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试车消耗的生产性原材料由发包人承担；试车其他费用（包括试车所需水电油等费用）由承包人在措施费中考虑</w:t>
      </w:r>
      <w:r>
        <w:rPr>
          <w:rFonts w:hint="eastAsia" w:ascii="宋体" w:cs="宋体"/>
          <w:color w:val="auto"/>
          <w:kern w:val="0"/>
          <w:szCs w:val="21"/>
          <w:highlight w:val="none"/>
        </w:rPr>
        <w:t>承担。</w:t>
      </w:r>
    </w:p>
    <w:p w14:paraId="1EDFA0A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4AFD898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E8CDC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7F26C14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68B1222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7AFDC68E">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48D547B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17D4405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罚10000元/月的违约金。情节严重的，招标人有权按已有资料或按已付款报审计部门办理结算。</w:t>
      </w:r>
    </w:p>
    <w:p w14:paraId="1FD8D8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17CBFC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70E7928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4950B9A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发包人在政府资金调度会批准且发票送达一周内完成支付 </w:t>
      </w:r>
      <w:r>
        <w:rPr>
          <w:rFonts w:hint="eastAsia" w:ascii="宋体" w:cs="宋体"/>
          <w:color w:val="auto"/>
          <w:szCs w:val="21"/>
          <w:highlight w:val="none"/>
        </w:rPr>
        <w:t>。</w:t>
      </w:r>
    </w:p>
    <w:p w14:paraId="6C79B7B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49BF49AC">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工程造价审减率超过3%时，将对施工单位进行处罚，处罚金额为审减率超过3%以上的报送金额的6%，由综合计划科在定案时明确处罚金额报工程监管科落实处罚。</w:t>
      </w:r>
    </w:p>
    <w:p w14:paraId="5C3F132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3877411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68B5514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0C4BE8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7A267CD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6013B0E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632C4B0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lang w:val="en-US" w:eastAsia="zh-CN"/>
        </w:rPr>
        <w:t xml:space="preserve"> 发包人在政府资金调度会批准且发票送达一周内完成支付</w:t>
      </w:r>
      <w:r>
        <w:rPr>
          <w:rFonts w:hint="eastAsia" w:ascii="宋体" w:cs="宋体"/>
          <w:color w:val="auto"/>
          <w:szCs w:val="21"/>
          <w:highlight w:val="none"/>
        </w:rPr>
        <w:t>。</w:t>
      </w:r>
    </w:p>
    <w:p w14:paraId="32DAD0B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3BA526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33B70E3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两年（从竣工验收合格之日起计算）</w:t>
      </w:r>
      <w:r>
        <w:rPr>
          <w:rFonts w:hint="eastAsia" w:ascii="宋体" w:cs="宋体"/>
          <w:color w:val="auto"/>
          <w:szCs w:val="21"/>
          <w:highlight w:val="none"/>
          <w:u w:val="single"/>
        </w:rPr>
        <w:t>。</w:t>
      </w:r>
    </w:p>
    <w:p w14:paraId="3B355A4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66075D6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0E5CDBA6">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937D8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13BEBB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14:paraId="3B7DE6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14:paraId="1E77815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799C8D6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7BAAB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5A9C84F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14:paraId="6F2A5770">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0F70043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43B4D75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ADAC490">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质量保证金支持保函（银行保函、担保机构担保、保证保险）使用。采用保函的，保函有效期须与缺陷责任期截止时间保持一致。承包人在缺陷责任期内未履行保修义务的，缺陷责任期满经复查不合格的，质量保证金不予退还。质量缺陷较多，多次催促整改不到位，处理不及时的，发包人可动用质保金，用于工程质量整改。</w:t>
      </w:r>
    </w:p>
    <w:p w14:paraId="79CA4C0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29C671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5233C9E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w:t>
      </w:r>
      <w:r>
        <w:rPr>
          <w:rFonts w:hint="eastAsia" w:ascii="宋体" w:cs="宋体"/>
          <w:b/>
          <w:bCs/>
          <w:color w:val="auto"/>
          <w:kern w:val="0"/>
          <w:szCs w:val="21"/>
          <w:highlight w:val="none"/>
          <w:u w:val="single"/>
        </w:rPr>
        <w:t>如与国家最新相关标准冲突的按标准较高的执行</w:t>
      </w:r>
      <w:r>
        <w:rPr>
          <w:rFonts w:hint="eastAsia" w:ascii="宋体" w:cs="宋体"/>
          <w:color w:val="auto"/>
          <w:kern w:val="0"/>
          <w:szCs w:val="21"/>
          <w:highlight w:val="none"/>
          <w:u w:val="single"/>
        </w:rPr>
        <w:t xml:space="preserve">。     </w:t>
      </w:r>
    </w:p>
    <w:p w14:paraId="212224C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20A88CC6">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79E101C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5D97D51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271115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53AEB3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368ACDE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1EC7A41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5F3C26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784394A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5076FD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55A3FCCC">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2EA567F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0210D64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27388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4E0A94D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2DFD03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2356CB7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90BD45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924635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407C558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36526C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B7708A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szCs w:val="21"/>
          <w:highlight w:val="none"/>
          <w:u w:val="single"/>
        </w:rPr>
        <w:t>。</w:t>
      </w:r>
    </w:p>
    <w:p w14:paraId="18ED1F74">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6AD4A121">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6D1E4E0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7EBA4857">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7B4DBD0">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06969A8D">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lang w:val="en-US" w:eastAsia="zh-CN"/>
        </w:rPr>
        <w:t xml:space="preserve"> 在政府资金调度会批准且发票送达7天内</w:t>
      </w:r>
      <w:r>
        <w:rPr>
          <w:rFonts w:hint="eastAsia" w:ascii="宋体" w:cs="宋体"/>
          <w:color w:val="auto"/>
          <w:szCs w:val="21"/>
          <w:highlight w:val="none"/>
        </w:rPr>
        <w:t>完成款项的支付。</w:t>
      </w:r>
    </w:p>
    <w:p w14:paraId="14FD3927">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070EA78C">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44346733">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42B52B41">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41AFB948">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2D0F178B">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09A158A5">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5C57493F">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14:paraId="74846FD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7BCEA6EB">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285D1C4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267104C0">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73D2A403">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321C3B32">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D718519">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3CD848C">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DDC8274">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A400314">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6CDA5DE">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1BEA9A6">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55F054A3">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69F64AAB">
      <w:pPr>
        <w:keepNext w:val="0"/>
        <w:keepLines w:val="0"/>
        <w:pageBreakBefore w:val="0"/>
        <w:widowControl w:val="0"/>
        <w:numPr>
          <w:ilvl w:val="0"/>
          <w:numId w:val="5"/>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3E4ECB22">
      <w:pPr>
        <w:keepNext w:val="0"/>
        <w:keepLines w:val="0"/>
        <w:pageBreakBefore w:val="0"/>
        <w:widowControl w:val="0"/>
        <w:numPr>
          <w:ilvl w:val="0"/>
          <w:numId w:val="5"/>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bookmarkEnd w:id="863"/>
    <w:bookmarkEnd w:id="864"/>
    <w:bookmarkEnd w:id="865"/>
    <w:bookmarkEnd w:id="866"/>
    <w:bookmarkEnd w:id="897"/>
    <w:bookmarkEnd w:id="898"/>
    <w:p w14:paraId="56022525">
      <w:pPr>
        <w:keepNext/>
        <w:keepLines/>
        <w:widowControl w:val="0"/>
        <w:suppressLineNumbers w:val="0"/>
        <w:adjustRightInd w:val="0"/>
        <w:snapToGrid w:val="0"/>
        <w:spacing w:before="0" w:beforeAutospacing="0" w:after="0" w:afterAutospacing="0" w:line="384" w:lineRule="auto"/>
        <w:ind w:left="0" w:right="0"/>
        <w:jc w:val="left"/>
        <w:outlineLvl w:val="2"/>
        <w:rPr>
          <w:rFonts w:hint="eastAsia" w:ascii="宋体" w:hAnsi="宋体" w:eastAsia="宋体" w:cs="宋体"/>
          <w:kern w:val="2"/>
          <w:sz w:val="21"/>
          <w:szCs w:val="21"/>
          <w:highlight w:val="none"/>
        </w:rPr>
      </w:pPr>
      <w:bookmarkStart w:id="899" w:name="_Toc95223487"/>
      <w:bookmarkStart w:id="900" w:name="_Toc506107340"/>
      <w:bookmarkStart w:id="901" w:name="_Toc78803398"/>
      <w:bookmarkStart w:id="902" w:name="_Toc179632806"/>
      <w:bookmarkStart w:id="903" w:name="_Toc246996354"/>
      <w:bookmarkStart w:id="904" w:name="_Toc35424970"/>
      <w:bookmarkStart w:id="905" w:name="_Toc152042575"/>
      <w:bookmarkStart w:id="906" w:name="_Toc152045786"/>
      <w:bookmarkStart w:id="907" w:name="_Toc144974855"/>
      <w:bookmarkStart w:id="908" w:name="_Toc35425136"/>
      <w:bookmarkStart w:id="909" w:name="_Toc247085872"/>
      <w:bookmarkStart w:id="910" w:name="_Toc246997097"/>
      <w:bookmarkStart w:id="911" w:name="_Toc324404888"/>
      <w:bookmarkStart w:id="912" w:name="_Toc15058934"/>
      <w:r>
        <w:rPr>
          <w:rFonts w:hint="eastAsia" w:ascii="宋体" w:hAnsi="宋体" w:eastAsia="宋体" w:cs="宋体"/>
          <w:kern w:val="2"/>
          <w:sz w:val="21"/>
          <w:szCs w:val="21"/>
          <w:highlight w:val="none"/>
          <w:lang w:val="en-US" w:eastAsia="zh-CN" w:bidi="ar"/>
        </w:rPr>
        <w:t xml:space="preserve">21. 补充条款 </w:t>
      </w:r>
    </w:p>
    <w:p w14:paraId="5613139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本补充条款是专用条款的一部分，其解释顺序优先于专用条款内的其他条款。</w:t>
      </w:r>
    </w:p>
    <w:p w14:paraId="4816E86C">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lang w:val="en-US" w:eastAsia="zh-CN" w:bidi="ar"/>
        </w:rPr>
        <w:t>21.1 人员及职责</w:t>
      </w:r>
    </w:p>
    <w:p w14:paraId="6329F9B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21.1.1 发包人委派的发包人代表或监理工程师（以下简称“工程师”）无权更改合同，也无权解除发包人和承包人的义务和责任。</w:t>
      </w:r>
    </w:p>
    <w:p w14:paraId="72C04AA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21.1.2 发包人代表的任何批准、检查、证书、同意、通知、建议、检验、指令和要求等不解除承包人在合同中的责任。</w:t>
      </w:r>
    </w:p>
    <w:p w14:paraId="23C1C48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21.1.3 承包人只能从发包人代表或其授权代表处接受指令。</w:t>
      </w:r>
    </w:p>
    <w:p w14:paraId="4A68DEE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21.1.4 发包人如需更换发包人代表须提前7天通知承包人。</w:t>
      </w:r>
    </w:p>
    <w:p w14:paraId="2327328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21.1.5 投标人委任的项目经理、项目技术负责人、各专业负责人（其他主要管理人员和技术人员）及施工机械等在整个项目施工期内必须在位。</w:t>
      </w:r>
    </w:p>
    <w:p w14:paraId="2A485A7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承包人的项目经理离开现场的，须经发包人代表同意，并书面指定临时代表，代为行使项目经理的权力；该临时代表的一切行为，甲方均认为是项目经理的行为。</w:t>
      </w:r>
    </w:p>
    <w:p w14:paraId="1FECE28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21.1.6 承包人提交发包人的任何文件，发包人都认为该文件已经承包人内部程序批准；承包人提交的文件发生修改的，应及时将最新版本提交发包人代表。</w:t>
      </w:r>
    </w:p>
    <w:p w14:paraId="281E06A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21.1.7 承包人应始终采取一切合理防范措施来避免在项目人员内部发生违法、动乱或妨碍治安的行为，保持项目的安定；并保护好现场和周围的人员和财产安全。</w:t>
      </w:r>
    </w:p>
    <w:p w14:paraId="69B9EB3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21.1.8 承包人雇佣职员或工人应遵守相关法律法规的规定。</w:t>
      </w:r>
    </w:p>
    <w:p w14:paraId="7D34768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21.1.9 参与本项目的承包人代表或其雇员不遵守合同规定或一贯行为不轨或或不能胜任工作或危害安全，发包人代表有权要求更换；原人选未经发包人许可不得再进入本项目（包括项目经理在内）。</w:t>
      </w:r>
    </w:p>
    <w:p w14:paraId="71070D1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21.1.10 承包人更换项目经理的，须提前14天通知发包人，并征得发包人同意；该行为视为违约，承包人须支付发包人</w:t>
      </w:r>
      <w:r>
        <w:rPr>
          <w:rFonts w:hint="eastAsia" w:ascii="宋体" w:hAnsi="宋体" w:eastAsia="宋体" w:cs="宋体"/>
          <w:kern w:val="2"/>
          <w:sz w:val="21"/>
          <w:szCs w:val="21"/>
          <w:highlight w:val="none"/>
          <w:u w:val="single"/>
          <w:lang w:val="en-US" w:eastAsia="zh-CN" w:bidi="ar"/>
        </w:rPr>
        <w:t xml:space="preserve"> 10  </w:t>
      </w:r>
      <w:r>
        <w:rPr>
          <w:rFonts w:hint="eastAsia" w:ascii="宋体" w:hAnsi="宋体" w:eastAsia="宋体" w:cs="宋体"/>
          <w:kern w:val="2"/>
          <w:sz w:val="21"/>
          <w:szCs w:val="21"/>
          <w:highlight w:val="none"/>
          <w:lang w:val="en-US" w:eastAsia="zh-CN" w:bidi="ar"/>
        </w:rPr>
        <w:t>万元违约金。更换后的项目经理资历、水平不得降低。</w:t>
      </w:r>
    </w:p>
    <w:p w14:paraId="3107F652">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lang w:val="en-US" w:eastAsia="zh-CN" w:bidi="ar"/>
        </w:rPr>
        <w:t>21.2 变更与调整</w:t>
      </w:r>
    </w:p>
    <w:p w14:paraId="6A4CA55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21.2.1 在工程移交前，发包人代表有权签发变更指令，承包人应按照指令来实施变更，并进行工期和费用的估算，提交发包人代表。</w:t>
      </w:r>
    </w:p>
    <w:p w14:paraId="112BB0F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21.2.2 发包人代表收到承包人的估算后，可以决定撤销、修改或确认实施该项变更。</w:t>
      </w:r>
    </w:p>
    <w:p w14:paraId="4822B62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21.2.3 如果承包人认为自己的建议能缩短工期、降低工程实施或运营成本，或对业主产生其他利益，可以向发包人代表提交建议书；建议书的编制费用自理。</w:t>
      </w:r>
    </w:p>
    <w:p w14:paraId="6F0420E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21.2.4 如果发包人采纳承包人的建议节省了工程费用，将给予承包人节约费用适当比例的奖励。</w:t>
      </w:r>
    </w:p>
    <w:p w14:paraId="2D971C9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21.2.5 上一款中节省费用的计算方法为：降低的合同额度减去因变更而引起在工程质量、寿命、以及运营效率等方面为发包人带来的潜在损失。</w:t>
      </w:r>
    </w:p>
    <w:p w14:paraId="4F94E70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21.2.6 任何变更指令都应由发包人代表签发给承包人，承包人收到后应回函说明；涉及到费用调整的，按照相关条款执行。</w:t>
      </w:r>
    </w:p>
    <w:p w14:paraId="177884D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40545A4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21.2.8 未经发包人代表批准，承包人不得对工程进行任何变更。</w:t>
      </w:r>
    </w:p>
    <w:p w14:paraId="19645F6D">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lang w:val="en-US" w:eastAsia="zh-CN" w:bidi="ar"/>
        </w:rPr>
        <w:t>21.3 分包与配合</w:t>
      </w:r>
    </w:p>
    <w:p w14:paraId="7677E37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21.3.1 承包人进行工程分包的，应遵守通用条款相关规定，发包人视其为承包人自行施工的工程；发包人代表对分包的同意或批准并不解除承包人的任何责任，也不代表发包人对此承担任何责任。</w:t>
      </w:r>
    </w:p>
    <w:p w14:paraId="357E94B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21.3.2 发包人分包的专业工程范围如下： </w:t>
      </w:r>
    </w:p>
    <w:p w14:paraId="4F50FCF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w:t>
      </w:r>
    </w:p>
    <w:p w14:paraId="34577CE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w:t>
      </w:r>
    </w:p>
    <w:p w14:paraId="2169CDB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21.3.3 发包人通过招标方式选择专业工程分包施工单位，承包人参与分包工程的招标，认可招标结果，并作为总包单位与分包工程的中标人（以下简称“分包人”）签订工程分包施工合同。</w:t>
      </w:r>
    </w:p>
    <w:p w14:paraId="3600F53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21.3.4 发包人支付给承包人专业分包工程合同价款（不含设备价格）的</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%作为总承包服务配合费用，承包人不得向分包人收取其他费用；该项费用包括但不限于以下内容：</w:t>
      </w:r>
    </w:p>
    <w:p w14:paraId="158D5F0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（1）乙方承担总包责任所发生的费用。</w:t>
      </w:r>
    </w:p>
    <w:p w14:paraId="24F6BA9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（2）“分包工程”施工完毕、土建工程的收尾和修复以及使用承包人的施工所用水电管线等费用（水电费用装表计量，按照实际用量结算）。</w:t>
      </w:r>
    </w:p>
    <w:p w14:paraId="27F1A46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（3）分包人使用承包人现场临时工程及在用的脚手架、塔吊、施工电梯等费用。</w:t>
      </w:r>
    </w:p>
    <w:p w14:paraId="15161C2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（4）分包人使用工程的施工道路，到总包单位搭伙，使用总包单位的卫生间等。</w:t>
      </w:r>
    </w:p>
    <w:p w14:paraId="2CC6400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（5）门窗洞口、安装工程管道口、楼地面墙面凿洞、槽等的后塞及修补等，以及整个工程的安全保卫等。</w:t>
      </w:r>
    </w:p>
    <w:p w14:paraId="7119709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（6）为分包人提供标高、轴线、定位，隐蔽工程指引等。</w:t>
      </w:r>
    </w:p>
    <w:p w14:paraId="0E33C26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（7）分包人的工程资料收集整理和移交；工程质量的检验和验收。</w:t>
      </w:r>
    </w:p>
    <w:p w14:paraId="41C095E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（8）保证分包工程在施工期间有足够的工作面，保证其按时开工和连续施工，并承担因乙方原因使分包工程不能按时开工和配合不及时造成的工期延误责任。</w:t>
      </w:r>
    </w:p>
    <w:p w14:paraId="7A25569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21.3.5 配合工程：是指某一位于施工现场内或现场外的工程，并非由承包人施工或总包，但与承包人的工程有一定联系，需要承包人配合的工程；配合工程如下：</w:t>
      </w:r>
    </w:p>
    <w:p w14:paraId="1C65E8E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u w:val="single"/>
          <w:lang w:val="en-US" w:eastAsia="zh-CN" w:bidi="ar"/>
        </w:rPr>
        <w:t xml:space="preserve">                                     </w:t>
      </w:r>
    </w:p>
    <w:p w14:paraId="0EE201F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u w:val="single"/>
          <w:lang w:val="en-US" w:eastAsia="zh-CN" w:bidi="ar"/>
        </w:rPr>
        <w:t xml:space="preserve">                                     </w:t>
      </w:r>
    </w:p>
    <w:p w14:paraId="4C50D55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21.3.6 对于配合工程，承包人除不需要承办总包责任外，其他责任和义务同分包工程；发包人给予承包人</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万元作为承包人承担配合工作的配合费用。</w:t>
      </w:r>
    </w:p>
    <w:p w14:paraId="6099578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21.3.7 凡在与已交工工程有关联的部位施工时，必须提前向甲方提出书面联系单，经甲方同意，并签字后方可施工。</w:t>
      </w:r>
    </w:p>
    <w:p w14:paraId="4DA29275">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lang w:val="en-US" w:eastAsia="zh-CN" w:bidi="ar"/>
        </w:rPr>
        <w:t>21.4 结算</w:t>
      </w:r>
    </w:p>
    <w:p w14:paraId="5CDB86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21.4.1 承包人的投标报价（合同价款）是承包人基于业主提供的资料和现场数据及承包人的解释和现场考察计算出来的，覆盖了完成合同义务所包括的一切工作，不得以漏项或考虑不周提出索赔。</w:t>
      </w:r>
    </w:p>
    <w:p w14:paraId="5EE2F74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21.4.2 水电费的结算：</w:t>
      </w:r>
    </w:p>
    <w:p w14:paraId="265C5FC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（1）发包人在现场安装计量装置，承包人负责施工期间的保护，并在工程移交的同时完好地移交给发包人。</w:t>
      </w:r>
    </w:p>
    <w:p w14:paraId="1D7A240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（2）承包人投标报价已经包含水电费用，工程结算时按照发包人实际缴纳的水电费在结算价（税前）中扣除。</w:t>
      </w:r>
    </w:p>
    <w:p w14:paraId="2E11DCB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（3）因承包人保护不善造成计量装置损坏，承包人负责修复，并承担由此造成的增加费用（包括修复费用和水电损失费用以及可能发生的罚款或其他费用）。</w:t>
      </w:r>
    </w:p>
    <w:p w14:paraId="299EEA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u w:val="single" w:color="FFFFFF"/>
        </w:rPr>
      </w:pPr>
      <w:r>
        <w:rPr>
          <w:rFonts w:hint="eastAsia" w:ascii="宋体" w:hAnsi="宋体" w:eastAsia="宋体" w:cs="宋体"/>
          <w:kern w:val="0"/>
          <w:sz w:val="21"/>
          <w:szCs w:val="21"/>
          <w:highlight w:val="none"/>
          <w:u w:val="single" w:color="FFFFFF"/>
          <w:lang w:val="en-US" w:eastAsia="zh-CN" w:bidi="ar"/>
        </w:rPr>
        <w:t>21.4.3 发包人供应材料设备的结算：材料按照总价的</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color="FFFFFF"/>
          <w:lang w:val="en-US" w:eastAsia="zh-CN" w:bidi="ar"/>
        </w:rPr>
        <w:t xml:space="preserve"> %计取保管费（材料数量最多不超过设计文件的用量（可以计算定额损耗））；设备按照总价的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color="FFFFFF"/>
          <w:lang w:val="en-US" w:eastAsia="zh-CN" w:bidi="ar"/>
        </w:rPr>
        <w:t xml:space="preserve"> %计取保管费；此费用仅计取税金。</w:t>
      </w:r>
    </w:p>
    <w:p w14:paraId="17F2DF6C">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21.5、执行滁州市重点处相关现行文件规定。</w:t>
      </w:r>
    </w:p>
    <w:p w14:paraId="5AD5EC2F">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21.6、本合同文本未尽事宜，由合同签定双方在发生时具体商定。</w:t>
      </w:r>
    </w:p>
    <w:p w14:paraId="73024D3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0926FEA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  (公章)                           承包人：  (公章)</w:t>
      </w:r>
    </w:p>
    <w:p w14:paraId="7599164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法定代表人或其委托代理人：                 法定代表人或其委托代理人：</w:t>
      </w:r>
    </w:p>
    <w:p w14:paraId="6F43D98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（签字）                                  （签字）</w:t>
      </w:r>
    </w:p>
    <w:p w14:paraId="00D7206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组织机构代码：</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组织机构代码：</w:t>
      </w:r>
      <w:r>
        <w:rPr>
          <w:rFonts w:hint="eastAsia" w:ascii="宋体" w:hAnsi="宋体" w:eastAsia="宋体" w:cs="宋体"/>
          <w:kern w:val="2"/>
          <w:sz w:val="21"/>
          <w:szCs w:val="21"/>
          <w:highlight w:val="none"/>
          <w:u w:val="single"/>
          <w:lang w:val="en-US" w:eastAsia="zh-CN" w:bidi="ar"/>
        </w:rPr>
        <w:t xml:space="preserve">          </w:t>
      </w:r>
    </w:p>
    <w:p w14:paraId="5877731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  址：</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地  址：</w:t>
      </w:r>
      <w:r>
        <w:rPr>
          <w:rFonts w:hint="eastAsia" w:ascii="宋体" w:hAnsi="宋体" w:eastAsia="宋体" w:cs="宋体"/>
          <w:kern w:val="2"/>
          <w:sz w:val="21"/>
          <w:szCs w:val="21"/>
          <w:highlight w:val="none"/>
          <w:u w:val="single"/>
          <w:lang w:val="en-US" w:eastAsia="zh-CN" w:bidi="ar"/>
        </w:rPr>
        <w:t xml:space="preserve">                  </w:t>
      </w:r>
    </w:p>
    <w:p w14:paraId="2EB5ACB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邮政编码：</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邮政编码：</w:t>
      </w:r>
      <w:r>
        <w:rPr>
          <w:rFonts w:hint="eastAsia" w:ascii="宋体" w:hAnsi="宋体" w:eastAsia="宋体" w:cs="宋体"/>
          <w:kern w:val="2"/>
          <w:sz w:val="21"/>
          <w:szCs w:val="21"/>
          <w:highlight w:val="none"/>
          <w:u w:val="single"/>
          <w:lang w:val="en-US" w:eastAsia="zh-CN" w:bidi="ar"/>
        </w:rPr>
        <w:t xml:space="preserve">                   </w:t>
      </w:r>
    </w:p>
    <w:p w14:paraId="6ADE8A7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法定代表人：</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法定代表人：</w:t>
      </w:r>
      <w:r>
        <w:rPr>
          <w:rFonts w:hint="eastAsia" w:ascii="宋体" w:hAnsi="宋体" w:eastAsia="宋体" w:cs="宋体"/>
          <w:kern w:val="2"/>
          <w:sz w:val="21"/>
          <w:szCs w:val="21"/>
          <w:highlight w:val="none"/>
          <w:u w:val="single"/>
          <w:lang w:val="en-US" w:eastAsia="zh-CN" w:bidi="ar"/>
        </w:rPr>
        <w:t xml:space="preserve">            </w:t>
      </w:r>
    </w:p>
    <w:p w14:paraId="50F0B1E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委托代理人：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委托代理人：</w:t>
      </w:r>
      <w:r>
        <w:rPr>
          <w:rFonts w:hint="eastAsia" w:ascii="宋体" w:hAnsi="宋体" w:eastAsia="宋体" w:cs="宋体"/>
          <w:kern w:val="2"/>
          <w:sz w:val="21"/>
          <w:szCs w:val="21"/>
          <w:highlight w:val="none"/>
          <w:u w:val="single"/>
          <w:lang w:val="en-US" w:eastAsia="zh-CN" w:bidi="ar"/>
        </w:rPr>
        <w:t xml:space="preserve">                </w:t>
      </w:r>
    </w:p>
    <w:p w14:paraId="338AF73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  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电  话：</w:t>
      </w:r>
      <w:r>
        <w:rPr>
          <w:rFonts w:hint="eastAsia" w:ascii="宋体" w:hAnsi="宋体" w:eastAsia="宋体" w:cs="宋体"/>
          <w:kern w:val="2"/>
          <w:sz w:val="21"/>
          <w:szCs w:val="21"/>
          <w:highlight w:val="none"/>
          <w:u w:val="single"/>
          <w:lang w:val="en-US" w:eastAsia="zh-CN" w:bidi="ar"/>
        </w:rPr>
        <w:t xml:space="preserve">                     </w:t>
      </w:r>
    </w:p>
    <w:p w14:paraId="4673F6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传  真：</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传  真：</w:t>
      </w:r>
      <w:r>
        <w:rPr>
          <w:rFonts w:hint="eastAsia" w:ascii="宋体" w:hAnsi="宋体" w:eastAsia="宋体" w:cs="宋体"/>
          <w:kern w:val="2"/>
          <w:sz w:val="21"/>
          <w:szCs w:val="21"/>
          <w:highlight w:val="none"/>
          <w:u w:val="single"/>
          <w:lang w:val="en-US" w:eastAsia="zh-CN" w:bidi="ar"/>
        </w:rPr>
        <w:t xml:space="preserve">                   </w:t>
      </w:r>
    </w:p>
    <w:p w14:paraId="4D6C46C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电子信箱：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电子信箱：</w:t>
      </w:r>
      <w:r>
        <w:rPr>
          <w:rFonts w:hint="eastAsia" w:ascii="宋体" w:hAnsi="宋体" w:eastAsia="宋体" w:cs="宋体"/>
          <w:kern w:val="2"/>
          <w:sz w:val="21"/>
          <w:szCs w:val="21"/>
          <w:highlight w:val="none"/>
          <w:u w:val="single"/>
          <w:lang w:val="en-US" w:eastAsia="zh-CN" w:bidi="ar"/>
        </w:rPr>
        <w:t xml:space="preserve">                   </w:t>
      </w:r>
    </w:p>
    <w:p w14:paraId="21DC9EC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开户银行：</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开户银行：</w:t>
      </w:r>
      <w:r>
        <w:rPr>
          <w:rFonts w:hint="eastAsia" w:ascii="宋体" w:hAnsi="宋体" w:eastAsia="宋体" w:cs="宋体"/>
          <w:kern w:val="2"/>
          <w:sz w:val="21"/>
          <w:szCs w:val="21"/>
          <w:highlight w:val="none"/>
          <w:u w:val="single"/>
          <w:lang w:val="en-US" w:eastAsia="zh-CN" w:bidi="ar"/>
        </w:rPr>
        <w:t xml:space="preserve">                   </w:t>
      </w:r>
    </w:p>
    <w:p w14:paraId="5257058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账  号：</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账  号：</w:t>
      </w:r>
      <w:r>
        <w:rPr>
          <w:rFonts w:hint="eastAsia" w:ascii="宋体" w:hAnsi="宋体" w:eastAsia="宋体" w:cs="宋体"/>
          <w:kern w:val="2"/>
          <w:sz w:val="21"/>
          <w:szCs w:val="21"/>
          <w:highlight w:val="none"/>
          <w:u w:val="single"/>
          <w:lang w:val="en-US" w:eastAsia="zh-CN" w:bidi="ar"/>
        </w:rPr>
        <w:t xml:space="preserve">                     </w:t>
      </w:r>
    </w:p>
    <w:p w14:paraId="65E1DB23">
      <w:pPr>
        <w:pStyle w:val="217"/>
        <w:widowControl/>
        <w:rPr>
          <w:rFonts w:hint="eastAsia" w:ascii="楷体_GB2312" w:hAnsi="Times" w:eastAsia="楷体_GB2312" w:cs="Times New Roman"/>
          <w:kern w:val="2"/>
          <w:sz w:val="24"/>
          <w:szCs w:val="24"/>
          <w:highlight w:val="none"/>
        </w:rPr>
      </w:pPr>
      <w:r>
        <w:rPr>
          <w:rFonts w:hint="eastAsia" w:ascii="楷体_GB2312" w:hAnsi="Times" w:eastAsia="楷体_GB2312" w:cs="Times New Roman"/>
          <w:kern w:val="2"/>
          <w:sz w:val="24"/>
          <w:szCs w:val="24"/>
          <w:highlight w:val="none"/>
        </w:rPr>
        <w:t xml:space="preserve"> </w:t>
      </w:r>
    </w:p>
    <w:p w14:paraId="214ADCA6">
      <w:pPr>
        <w:pStyle w:val="217"/>
        <w:widowControl/>
        <w:rPr>
          <w:rFonts w:hint="eastAsia" w:ascii="楷体_GB2312" w:hAnsi="Times" w:eastAsia="楷体_GB2312" w:cs="Times New Roman"/>
          <w:kern w:val="2"/>
          <w:sz w:val="24"/>
          <w:szCs w:val="24"/>
          <w:highlight w:val="none"/>
        </w:rPr>
      </w:pPr>
      <w:r>
        <w:rPr>
          <w:rFonts w:hint="eastAsia" w:ascii="楷体_GB2312" w:hAnsi="Times" w:eastAsia="楷体_GB2312" w:cs="Times New Roman"/>
          <w:kern w:val="2"/>
          <w:sz w:val="24"/>
          <w:szCs w:val="24"/>
          <w:highlight w:val="none"/>
        </w:rPr>
        <w:t xml:space="preserve">  </w:t>
      </w:r>
    </w:p>
    <w:p w14:paraId="539194F0">
      <w:pPr>
        <w:pStyle w:val="217"/>
        <w:widowControl/>
        <w:rPr>
          <w:rFonts w:hint="eastAsia" w:ascii="楷体_GB2312" w:hAnsi="Times" w:eastAsia="楷体_GB2312" w:cs="Times New Roman"/>
          <w:kern w:val="2"/>
          <w:sz w:val="24"/>
          <w:szCs w:val="24"/>
          <w:highlight w:val="none"/>
        </w:rPr>
      </w:pPr>
      <w:r>
        <w:rPr>
          <w:rFonts w:hint="eastAsia" w:ascii="楷体_GB2312" w:hAnsi="Times" w:eastAsia="楷体_GB2312" w:cs="Times New Roman"/>
          <w:kern w:val="2"/>
          <w:sz w:val="24"/>
          <w:szCs w:val="24"/>
          <w:highlight w:val="none"/>
        </w:rPr>
        <w:t xml:space="preserve"> </w:t>
      </w:r>
    </w:p>
    <w:p w14:paraId="240C500A">
      <w:pPr>
        <w:pStyle w:val="217"/>
        <w:widowControl/>
        <w:rPr>
          <w:rFonts w:hint="eastAsia" w:ascii="楷体_GB2312" w:hAnsi="Times" w:eastAsia="楷体_GB2312" w:cs="Times New Roman"/>
          <w:kern w:val="2"/>
          <w:sz w:val="24"/>
          <w:szCs w:val="24"/>
          <w:highlight w:val="none"/>
        </w:rPr>
      </w:pPr>
      <w:r>
        <w:rPr>
          <w:rFonts w:hint="eastAsia" w:ascii="楷体_GB2312" w:hAnsi="Times" w:eastAsia="楷体_GB2312" w:cs="Times New Roman"/>
          <w:kern w:val="2"/>
          <w:sz w:val="24"/>
          <w:szCs w:val="24"/>
          <w:highlight w:val="none"/>
        </w:rPr>
        <w:t xml:space="preserve"> </w:t>
      </w:r>
    </w:p>
    <w:p w14:paraId="51F6C393">
      <w:pPr>
        <w:pStyle w:val="217"/>
        <w:widowControl/>
        <w:rPr>
          <w:rFonts w:hint="eastAsia" w:ascii="楷体_GB2312" w:hAnsi="Times" w:eastAsia="楷体_GB2312" w:cs="Times New Roman"/>
          <w:kern w:val="2"/>
          <w:sz w:val="24"/>
          <w:szCs w:val="24"/>
          <w:highlight w:val="none"/>
        </w:rPr>
      </w:pPr>
      <w:r>
        <w:rPr>
          <w:rFonts w:hint="eastAsia" w:ascii="楷体_GB2312" w:hAnsi="Times" w:eastAsia="楷体_GB2312" w:cs="Times New Roman"/>
          <w:kern w:val="2"/>
          <w:sz w:val="24"/>
          <w:szCs w:val="24"/>
          <w:highlight w:val="none"/>
        </w:rPr>
        <w:t xml:space="preserve"> </w:t>
      </w:r>
    </w:p>
    <w:p w14:paraId="5FC0F2C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br w:type="page"/>
      </w:r>
      <w:r>
        <w:rPr>
          <w:rFonts w:hint="eastAsia" w:ascii="宋体" w:hAnsi="宋体" w:eastAsia="宋体" w:cs="宋体"/>
          <w:kern w:val="2"/>
          <w:sz w:val="21"/>
          <w:szCs w:val="21"/>
          <w:highlight w:val="none"/>
          <w:lang w:val="en-US" w:eastAsia="zh-CN" w:bidi="ar"/>
        </w:rPr>
        <w:t>其他补充条款：</w:t>
      </w:r>
    </w:p>
    <w:p w14:paraId="6B46B66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1、标后约谈：详见附件《重点工程建设约谈管理规定》。</w:t>
      </w:r>
    </w:p>
    <w:p w14:paraId="4371CC2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2、履约保证金缴纳：中标人须在中标通知书发出后30日内完成履约保证金缴纳及合同签订。</w:t>
      </w:r>
    </w:p>
    <w:p w14:paraId="3B80173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3、合同签订：执行《市重点处合同管理办法》 。</w:t>
      </w:r>
    </w:p>
    <w:p w14:paraId="112C352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4、前期手续办理：合同签订后90日内配合发包人完成质量、安全报监和施工许可证办理，否则，每延期一天处罚承包人5000元/天的违约金（因发包人原因除外）。</w:t>
      </w:r>
    </w:p>
    <w:p w14:paraId="76F568E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5、进场考核考勤：</w:t>
      </w:r>
    </w:p>
    <w:p w14:paraId="1A06130F">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员考核：工程开工进场后，承包人必须按招标文件要求和投标承诺配备项目经理、技术负责人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2BF7021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2" w:firstLineChars="200"/>
        <w:jc w:val="both"/>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发包人一经发现承包人转包、挂靠等行为的，发包人立即解除合同，清退出场，承包人已完合格工程量按合同价款70%进行结算。</w:t>
      </w:r>
    </w:p>
    <w:p w14:paraId="001095E4">
      <w:pPr>
        <w:keepNext w:val="0"/>
        <w:keepLines w:val="0"/>
        <w:pageBreakBefore w:val="0"/>
        <w:widowControl w:val="0"/>
        <w:numPr>
          <w:ilvl w:val="0"/>
          <w:numId w:val="6"/>
        </w:numPr>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员考勤：①项目部所有管理人员上下班实行人脸识别电子考勤，人脸识别电子考勤系统设备必须与招标人现行使用的监管平台无缝对接。②监管平台设备及人脸识别电子考勤系统设备，承包人可以租赁或购买，但租赁或购买费用由承包人在投标报价时自行考虑，含在投标报价中，招标人将不再支付任何费用。③监管平台考勤范围为本项目监理部和项目部所有管理人员，监管平台信息及数据录入（包括质量、进度、安全、施工许可办理等）均由监理单位负责。④项目经理每月在岗时间不得少于20天，施工现场其他管理人员每月在岗时间不得少于22天。未按规定在岗履责的，对项目经理和技术负责人处罚5000元/人·天的违约金，对施工现场其他管理人员处罚1000元/人·天的违约金。项目部关键岗位人员离岗必须向发包人项目组长履行请假手续，若被我局和相关部门日常检查和随机抽查中发现不在岗的，又未履行请假手续的，处罚5000元/人·次的违约金。</w:t>
      </w:r>
    </w:p>
    <w:p w14:paraId="3484725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6、工程进度管理：</w:t>
      </w:r>
    </w:p>
    <w:p w14:paraId="36ACE55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一、合同工期管理。</w:t>
      </w:r>
    </w:p>
    <w:p w14:paraId="08AE402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一）由中介机构按国家规范计算定额工期。招标前项目分管领导和项目科室研究确定合同工期，合同工期对施工企业和项目组拥有共同约束力。合同工期以总监下达的开工令（开工通知书）和局主要领导签署的完工时间为起止点，对工期要求紧迫的特殊项目，由科室提出内控工期，作为科室安排月、周计划的参考。</w:t>
      </w:r>
    </w:p>
    <w:p w14:paraId="05C4059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二）工程有下列原因影响合同工期的，由承包人提出，经发包人批准可顺延合同工期：1、土地和房屋征收进度不符合施工要求，涉铁路、涉部队、涉供电等影响施工；2、因地震、洪涝灾害、突发重大事件等不可抗力影响施工；3、因规划设计调整或重大变更，对工期造成影响的；4、其它非承包人原因影响工期的。承包人未提出工期顺延的申请或申请未经批准的，工期不予顺延。</w:t>
      </w:r>
    </w:p>
    <w:p w14:paraId="3648225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三）因承包方原因造成的工期延误，每推迟一天，按合同价款（扣除暂估价和暂列金）万分之二处以违约金；月工程量未完成的当期不得请款，当月未完成的工程量纳入下月一并完成，完不成的仍不予请款，依此类推。</w:t>
      </w:r>
    </w:p>
    <w:p w14:paraId="691B9BA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四）对严重拖延工期，经发包人多次督促，承包人拒不整改或整改不到位的，发包人可终止施工合同，扣除50%履约保证金作为违约处罚，另选施工队伍，承包人须无条件配合，不得以任何借口阻挠另选的施工队伍施工，不得向发包人提出任何索赔要求。</w:t>
      </w:r>
    </w:p>
    <w:p w14:paraId="686ACB3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二、施工计划管理。</w:t>
      </w:r>
    </w:p>
    <w:p w14:paraId="5D3AA0C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在建工程实行“旬计划、日检查、现场处罚”制度，对工期有特殊要求的项目，实行“每日一计划、每日一检查、每日一处罚”。施工单位应按项目组的要求，每旬初（或每天）将施工内容、施工应开作业面、每个工作面应上施工人员和机械数量编报，经总监、项目经理和项目组签字后报项目科室和协调科。局巡查组不定期检查，检查中出现下列情形的给予施工企业2000-5000元/次违约处罚，出现两次以上的对项目组进行批评。（一）未按期报送进度计划；（二）计划作业面、施工人员和机械安排不足的；（三）未按计划开齐作业面、上足施工人员和机械。</w:t>
      </w:r>
    </w:p>
    <w:p w14:paraId="4F3E241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7、质量管理：</w:t>
      </w:r>
    </w:p>
    <w:p w14:paraId="18078B9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6DA7FF3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（2）质量缺陷责任期内出现质量问题，发包人书面通知承包人，在规定时间内不及时处理的，发包人有权直接委托其他单位进行维修，相关费用直接从工程质保金中支付。</w:t>
      </w:r>
    </w:p>
    <w:p w14:paraId="18DFAFB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8、安全文明管理：</w:t>
      </w:r>
    </w:p>
    <w:p w14:paraId="2C17168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29E90A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（2）按《滁州市建筑工地围挡提档升级标准》的通知（建质﹝2022﹞34号文）执行。</w:t>
      </w:r>
    </w:p>
    <w:p w14:paraId="27C92A6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9、扬尘治理：</w:t>
      </w:r>
      <w:r>
        <w:rPr>
          <w:rFonts w:hint="eastAsia" w:ascii="宋体" w:hAnsi="宋体" w:eastAsia="宋体" w:cs="宋体"/>
          <w:kern w:val="2"/>
          <w:sz w:val="21"/>
          <w:szCs w:val="21"/>
          <w:highlight w:val="none"/>
          <w:lang w:val="en-US" w:eastAsia="zh-CN" w:bidi="ar"/>
        </w:rPr>
        <w:t>严格执行《安徽省建筑工程施工扬尘污染防治规定》、《滁州市城市扬尘管理办法》和《滁州市建筑工程施工扬尘污染防治实施细则》等相关规定。对违反规定或经检查达不到规定和要求，被相关部门批评、曝光、通报的，处罚承包人10000元/次的违约金，处罚监理人3000元/次的违约金。</w:t>
      </w:r>
    </w:p>
    <w:p w14:paraId="4EBF69A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10、农民工工资支付:承包人应严格遵守《滁州市工程建设领域农民工工资支付规范管理暂行办法》的相关规定。</w:t>
      </w:r>
    </w:p>
    <w:p w14:paraId="3728B7E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凡到市重点处上访，滞留时间半个工作日（不足半个工作日以半个工作日计算），工程款支付比例在30%-40%（含）的，按每人每半个工作日200元的标准给予处罚，每增加工程款支付比例10%，每人每半个工作日处罚标准增加100元，依此类推。</w:t>
      </w:r>
    </w:p>
    <w:p w14:paraId="3940FA3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凡赴市政府上访，滞留时间半个工作日（不足半个工作日以半个工作日计算），工程款支付比例在30%-40%（含）的，按每人每半个工作日400元的标准给予处罚，每增加工程款支付比例10%，每人每半个工作日处罚标准增加200元，依此类推。</w:t>
      </w:r>
    </w:p>
    <w:p w14:paraId="1AB421D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凡赴省政府上访，滞留时间半个工作日（不足半个工作日以半个工作日计算），工程款支付比例在30%-40%（含）的，按每人每半个工作日600元的标准给予处罚，每增加工程款支付比例10%，每人每半个工作日处罚标准增加300元，依此类推。</w:t>
      </w:r>
    </w:p>
    <w:p w14:paraId="03D575F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11、竣工验收、竣工结算</w:t>
      </w:r>
    </w:p>
    <w:p w14:paraId="2D4C747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竣工验收时间：严格按照市重点处《工程竣工验收要求》和《重点工程进度管理办法》执行（从工程交付使用到竣工验收原则上不得超过30天，特殊情况经分管领导批准的可以延长）。整体工程完工后组织竣工验收，验收合格之日作为竣工日期。</w:t>
      </w:r>
    </w:p>
    <w:p w14:paraId="0A031A7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竣工结算申请：承包人须于竣工验收合格后60日内完成竣工结算报告和完整结算资料上报，特殊情况，经分管领导批准的可以延长。凡因承包人原因，未能在规定时间内上报竣工结算的，处罚10000元/月的违约金。情节严重的，招标人有权按已有资料或按已付款报审计部门办理结算。</w:t>
      </w:r>
    </w:p>
    <w:p w14:paraId="4E30216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（3）工程造价审减率超过3%时，将对施工单位进行处罚，处罚金额为审减率超出3%以上的报送金额的6%,由综合计划科在定案时明确处罚金额报工程监管科落实处罚。</w:t>
      </w:r>
    </w:p>
    <w:p w14:paraId="2FC951D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12、本工程实行跟踪审计制度，审计师的职权： 1）对工程量调整及变更、签证部分的造价提出意见，并确定该部分的工程量、材料、价格等，2）参与对甲供材及设备的采购，对甲供材及设备的采购对象、材料及设备品种、规格及价格提出意见，3）对预付工程款及进度款的支付提出审核意见，4）参与对隐蔽工程的验收，并做好相关台帐，5）对完工的单项工程及时开展资料整理和结算，对结算价格提出审计意见，6）对监理出具的有关单据进行再监督。</w:t>
      </w:r>
    </w:p>
    <w:p w14:paraId="23C183D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13、招标人将保留对中标候选人的拟派项目负责人（建造师）和所提供的业绩等情况进行实地考察的权利，若考察发现有弄虚作假或发现工程存在质量等违约情形，情节严重的提请相关部门对其进行处罚。</w:t>
      </w:r>
    </w:p>
    <w:p w14:paraId="5C8AC93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14、现场管理</w:t>
      </w:r>
    </w:p>
    <w:p w14:paraId="15D4A0C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（1）施工过程中，项目管理及施工人员以外的无关人员一律不得留宿施工现场，项目负责人负责管理及清理出场；</w:t>
      </w:r>
    </w:p>
    <w:p w14:paraId="0822877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（2）施工过程中，严格执行国家及地方针对环保、禁噪、防尘、防护等措施，必须满足当地行政主管部门相关规定及要求。</w:t>
      </w:r>
    </w:p>
    <w:p w14:paraId="0A5B8D1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（3）所有专业承包工程，若总承包单位无此项专业承包施工资质，分包单位的选择需经监理审核通过后，书面报发包人，发包人认可后才能进行专业分包。如有违反，按分包合同的1%进行处罚。</w:t>
      </w:r>
    </w:p>
    <w:p w14:paraId="18EEE77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（4）施工场地及周边场地、道路、绿化、管线、围墙、</w:t>
      </w:r>
      <w:r>
        <w:rPr>
          <w:rFonts w:hint="eastAsia" w:ascii="宋体" w:hAnsi="宋体" w:eastAsia="宋体" w:cs="宋体"/>
          <w:kern w:val="0"/>
          <w:sz w:val="21"/>
          <w:szCs w:val="21"/>
          <w:highlight w:val="none"/>
          <w:lang w:val="en-US" w:eastAsia="zh-CN" w:bidi="ar"/>
        </w:rPr>
        <w:t>设施设备</w:t>
      </w:r>
      <w:r>
        <w:rPr>
          <w:rFonts w:hint="eastAsia" w:ascii="宋体" w:hAnsi="宋体" w:eastAsia="宋体" w:cs="宋体"/>
          <w:kern w:val="2"/>
          <w:sz w:val="21"/>
          <w:szCs w:val="21"/>
          <w:highlight w:val="none"/>
          <w:lang w:val="en-US" w:eastAsia="zh-CN" w:bidi="ar"/>
        </w:rPr>
        <w:t>等，若被施工方损坏，施工方必须无偿按照原貌恢复。</w:t>
      </w:r>
    </w:p>
    <w:p w14:paraId="6B50712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（5）投标人自行勘察施工现场情况，因投标人未踏勘现场而造成的损失由投标人承担。</w:t>
      </w:r>
    </w:p>
    <w:p w14:paraId="49F381A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（6）在工程建设过程中，出现质量、安全、进度、文明施工、扬尘污染、人员不在岗履职等违约行为的，发包人将给予违约处罚；如承包人拒不缴纳违约金的，发包人有权从履约保证金中直接扣除。</w:t>
      </w:r>
    </w:p>
    <w:p w14:paraId="56D7178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（7）项目经理部需在醒目位置公示经监理、业主审定批准的月进度计划表，否则，当月不支付当月工程进度款。</w:t>
      </w:r>
    </w:p>
    <w:p w14:paraId="35A04FB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（8）本项目施工难度较大，投标人在标前应自行踏勘现场，充分考虑难度系数和不可预见因素。施工期间的协调工作由承包人自行解决。投标人在投标报价时应充分考虑上述情况自行报价。</w:t>
      </w:r>
    </w:p>
    <w:p w14:paraId="1B0FD31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lang w:val="en-US" w:eastAsia="zh-CN" w:bidi="ar"/>
        </w:rPr>
        <w:t>（9）</w:t>
      </w:r>
      <w:r>
        <w:rPr>
          <w:rFonts w:hint="eastAsia" w:ascii="宋体" w:hAnsi="宋体" w:eastAsia="宋体" w:cs="宋体"/>
          <w:b/>
          <w:bCs/>
          <w:kern w:val="2"/>
          <w:sz w:val="21"/>
          <w:szCs w:val="21"/>
          <w:highlight w:val="none"/>
          <w:lang w:val="en-US" w:eastAsia="zh-CN" w:bidi="ar"/>
        </w:rPr>
        <w:t>施工现场和取、弃土场内的施工便道、机械整平以及协调渣土、环保等相关部门办理相关手续、缴纳保证金及费用等由投标人自行承担，此部分费用包含在投标报价中。施工渣土、淤泥、建筑垃圾等弃置点需经相关部门批准，并报发包人备案后，方可施工，严禁违规倾倒堆存。否则，责任自负。</w:t>
      </w:r>
    </w:p>
    <w:p w14:paraId="1F9D343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15、材料要求：</w:t>
      </w:r>
    </w:p>
    <w:p w14:paraId="10FA12E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（1）钢材必须使用马钢、南钢等为代表的一类钢厂的生产产品。</w:t>
      </w:r>
    </w:p>
    <w:p w14:paraId="5F4B3EC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w:t>
      </w:r>
    </w:p>
    <w:p w14:paraId="4799975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业主对主要设备及材料有特殊要求的，需提供不少于三个推荐品牌供参考，对于招标人推荐品牌的材料设备，投标人可选用推荐品牌或不低于推荐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w:t>
      </w:r>
    </w:p>
    <w:p w14:paraId="282B8CB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（4）对于业主推荐品牌的材料，投标人如认为业主推荐的品牌有限定性、唯一性、明显不在同一档次等级的或者其他异议的，应在疑问提出的截止时间前通过交易中心电子交易平台提交。</w:t>
      </w:r>
    </w:p>
    <w:p w14:paraId="0CA52CB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（5）品牌推荐表中所选品牌的产品均为该品牌中档及以上的产品，中标人须在材料设备进场前将样品或技术参数报招标人认可。</w:t>
      </w:r>
    </w:p>
    <w:p w14:paraId="02135B0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16、人员变更</w:t>
      </w:r>
    </w:p>
    <w:p w14:paraId="0CFAE2E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3B0D3A77">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技术负责人、项目部“五大员”等关键岗位人员变更必须经发包人批准，除亡故、重大疾病、出国、辞职等原因外，原则上不得变更。其中，亡故的需提供公安部门开具的死亡证明；重大疾病的需提供三甲及以上医院证明；出国、辞职等原因提出变更的，除需提供相关证明外，技术负责人变更须缴纳</w:t>
      </w:r>
      <w:r>
        <w:rPr>
          <w:rFonts w:hint="default" w:ascii="Times New Roman" w:hAnsi="Times New Roman" w:eastAsia="宋体" w:cs="Times New Roman"/>
          <w:kern w:val="2"/>
          <w:sz w:val="21"/>
          <w:szCs w:val="21"/>
          <w:highlight w:val="none"/>
          <w:lang w:val="en-US" w:eastAsia="zh-CN" w:bidi="ar"/>
        </w:rPr>
        <w:t>50000</w:t>
      </w:r>
      <w:r>
        <w:rPr>
          <w:rFonts w:hint="eastAsia" w:ascii="宋体" w:hAnsi="宋体" w:eastAsia="宋体" w:cs="宋体"/>
          <w:kern w:val="2"/>
          <w:sz w:val="21"/>
          <w:szCs w:val="21"/>
          <w:highlight w:val="none"/>
          <w:lang w:val="en-US" w:eastAsia="zh-CN" w:bidi="ar"/>
        </w:rPr>
        <w:t>元违约金，项目部“五大员”等关键岗位人员变更须缴纳</w:t>
      </w:r>
      <w:r>
        <w:rPr>
          <w:rFonts w:hint="default" w:ascii="Times New Roman" w:hAnsi="Times New Roman" w:eastAsia="宋体" w:cs="Times New Roman"/>
          <w:kern w:val="2"/>
          <w:sz w:val="21"/>
          <w:szCs w:val="21"/>
          <w:highlight w:val="none"/>
          <w:lang w:val="en-US" w:eastAsia="zh-CN" w:bidi="ar"/>
        </w:rPr>
        <w:t>5000</w:t>
      </w:r>
      <w:r>
        <w:rPr>
          <w:rFonts w:hint="eastAsia" w:ascii="宋体" w:hAnsi="宋体" w:eastAsia="宋体" w:cs="宋体"/>
          <w:kern w:val="2"/>
          <w:sz w:val="21"/>
          <w:szCs w:val="21"/>
          <w:highlight w:val="none"/>
          <w:lang w:val="en-US" w:eastAsia="zh-CN" w:bidi="ar"/>
        </w:rPr>
        <w:t>元违约金，否则不得变更。变更后的技术负责人、项目部“五大员”等关键岗位人员必须符合本项目招标文件和投标承诺配备的同等条件人员。</w:t>
      </w:r>
    </w:p>
    <w:p w14:paraId="145B929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17、监理单位须在监管平台录入以下（但不限于）内容：</w:t>
      </w:r>
    </w:p>
    <w:p w14:paraId="1AFEBBA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（1）在进度管理中，每周实际完成工作量、投入人员及机械使用情况；</w:t>
      </w:r>
    </w:p>
    <w:p w14:paraId="4D7EB58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（2）在安全管理中，现场存在的安全隐患等问题；</w:t>
      </w:r>
    </w:p>
    <w:p w14:paraId="44D43F4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（3）在质量控制要点中的关键工序、验收资料及检测资料及存在的质量问题；</w:t>
      </w:r>
    </w:p>
    <w:p w14:paraId="4EB7138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（4）监理日志</w:t>
      </w:r>
    </w:p>
    <w:p w14:paraId="31C52C5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（5）创城、创卫管理内容</w:t>
      </w:r>
    </w:p>
    <w:p w14:paraId="34FBB86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18、若本项目存在暂定价材料或暂定项目，由招标人进行二次招标。采保费按照相关规定在工程结算中一次性支付。</w:t>
      </w:r>
    </w:p>
    <w:p w14:paraId="2B528B6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19、滁州市建设领域农民工工资管理办法</w:t>
      </w:r>
    </w:p>
    <w:p w14:paraId="5BD24EB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 xml:space="preserve">执行《关于进一步完善工程建设领域农民工工资保证金和农民工工资（劳务费）专户管理制度的实施意见》 </w:t>
      </w:r>
    </w:p>
    <w:p w14:paraId="07C3B3B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（1）在建筑市政、铁路、电力、通信、交通、水利等工程建设领域全面实施工资保证金和设立工资专户制度，并实现所有在建工程项目全覆盖。</w:t>
      </w:r>
    </w:p>
    <w:p w14:paraId="5355AED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（2）市人力资源和社会保障部门主管本市行政区域内工资保证金缴纳和工资专户管理工作。市交通、水利、重点工程建设管理等职能部门按照各自职能配合做好工作保证金和工资专户监管工作。</w:t>
      </w:r>
    </w:p>
    <w:p w14:paraId="5859590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（3）工作保证金和工资专户按照工程项目所在地实行属地化管理，由工程建设项目的施工总承包企业（包括直接承包建设单位发包工程的专业承包企业）缴存和开设。</w:t>
      </w:r>
    </w:p>
    <w:p w14:paraId="2ACC5CA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（4）工资保证金按工程建设项目合同造价的2%缴存。施工企业未提供劳务保障监察机构出具的缴存工资保证金和开设工资专户证明的，建设单位不予施工企业签订工程承包合同。</w:t>
      </w:r>
    </w:p>
    <w:p w14:paraId="42D7285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（5）在同一市级行政区域内，可根据行业特点和企业信用状况等适当调整工资保证金缴存比例。</w:t>
      </w:r>
    </w:p>
    <w:p w14:paraId="59351C5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对一年内发生拖欠农民工工资行为的，新开工项目工资保证金应按工程项目合同造价的3%缴存。对因欠薪被纳入黑名单的，应按工程项目合同造价的4%缴存，缴存金额不受缴存金额上限限制。</w:t>
      </w:r>
    </w:p>
    <w:p w14:paraId="59D0477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6）缴存企业可以以银行保函方式缴存工资保证金、银行保函的种类应当是见索即付的独立保函，由施工企业向工程项目所在地的银行申请开立，受益人为工程所在地的人力资源和社会保障部门。银行保函有效期由开立申请人、受益人与银行三方根据合同约定的竣工验收期限合理确定。如银行保函到期时给出尚未竣工验收，或存在农民工工资尚未结清的，开立申请人应与银行协商续开保函；无法续开的，应按规定缴存工资保证金。需动用工资保证金垫付呗拖欠工资时，出具保函的银行原则上应在3个工作日内垫付，紧急特殊情况应当尽快办理垫付手续。符合退还工资保证金条件时，开立申请人应将银行保函退回开立银行予以注销。</w:t>
      </w:r>
    </w:p>
    <w:p w14:paraId="7CB24A4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（7）行业主管部门要加强对建设资金监管，同时要对建设单位工程支付和使用情况进行监督。</w:t>
      </w:r>
    </w:p>
    <w:p w14:paraId="0E39440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1）交通、水利、电力、铁路、通信等工程项目在拨付工程款时，应将工程进度款的15%直接汇入施工企业开设的工资专户，专项用于支付农民工工资。</w:t>
      </w:r>
    </w:p>
    <w:p w14:paraId="4F491D6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2）道路桥梁等市政工程项目在拨付工程进度款时，应将工程进度款的15%直接汇入施工企业开设的工资专户，专项用于支付农民工工资。</w:t>
      </w:r>
    </w:p>
    <w:p w14:paraId="1512C31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3）园林景观（含道路绿化）工程项目在拨付工程款时，应将工程进度款的20%直接汇入施工企业开设的工资专户，用于支付农民工工资。</w:t>
      </w:r>
    </w:p>
    <w:p w14:paraId="5A4F7A0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4）道路、电梯、强弱电、暖通、智能化等设备采购及安装项目在拨付工程款时，应将工程进度款的5%直接汇入工资专户，用于支付农民工工资。</w:t>
      </w:r>
    </w:p>
    <w:p w14:paraId="4D0EFA3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8）人力资源和社会保障部门要督促施工企业按规定及时足额缴存工资保证金和开设工资专户。交通、水利等行业主管部门及重点工程建设管理部门应向人力资源和社会保障部门按月通报新建工程项目信息，督促缴存施工企业按规定缴存工资保证金和开设工资专户，未缴存工资保证金或是未开设工资专户的施工企业一律不予开工建设，确保应缴尽缴。</w:t>
      </w:r>
    </w:p>
    <w:p w14:paraId="49ED943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9）工程项目完工并经验收后，未发现拖欠工资行为的，经缴存施工企业申请并公示，人力资源和社会保障部门自公示期满之日起5个工作日内，作出同意缴存施工企业将工资保证金本息一并转入该缴存企业其他同名银行结算账户的决定。</w:t>
      </w:r>
    </w:p>
    <w:p w14:paraId="3F33982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10）工资保证金由缴存企业存入工资保证金账户，工资专户由施工企业在工程所在地工资保证金专户银行开设，实行专户管理。人力资源和社会保障部门要建立工资保证金和工资专户管理台账，严格规范财务、审计制度，加强账户监管，确保专款专用，防止挪作他用。对擅自减免、超限额收缴、违规挪用、无故拖延返还工资保证金的，要严肃追究责任，依法依规对有关责任人员实行问责。</w:t>
      </w:r>
    </w:p>
    <w:p w14:paraId="61491B7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（11）未尽事宜，按《滁州市建设领域农民工工资管理暂行办法》 执行。</w:t>
      </w:r>
    </w:p>
    <w:p w14:paraId="324EFC93">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kern w:val="2"/>
          <w:sz w:val="21"/>
          <w:szCs w:val="21"/>
          <w:highlight w:val="none"/>
        </w:rPr>
      </w:pPr>
      <w:r>
        <w:rPr>
          <w:rFonts w:hint="default" w:ascii="Times New Roman" w:hAnsi="Times New Roman" w:eastAsia="宋体" w:cs="Times New Roman"/>
          <w:kern w:val="2"/>
          <w:sz w:val="21"/>
          <w:szCs w:val="21"/>
          <w:highlight w:val="none"/>
          <w:lang w:val="en-US" w:eastAsia="zh-CN" w:bidi="ar"/>
        </w:rPr>
        <w:t>20</w:t>
      </w:r>
      <w:r>
        <w:rPr>
          <w:rFonts w:hint="eastAsia" w:ascii="宋体" w:hAnsi="宋体" w:eastAsia="宋体" w:cs="宋体"/>
          <w:kern w:val="2"/>
          <w:sz w:val="21"/>
          <w:szCs w:val="21"/>
          <w:highlight w:val="none"/>
          <w:lang w:val="en-US" w:eastAsia="zh-CN" w:bidi="ar"/>
        </w:rPr>
        <w:t>、文明施工要求</w:t>
      </w:r>
    </w:p>
    <w:p w14:paraId="3F6AAD1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（1）公共环境</w:t>
      </w:r>
    </w:p>
    <w:p w14:paraId="59C7166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2E9B930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677EE77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（2）公益宣传</w:t>
      </w:r>
    </w:p>
    <w:p w14:paraId="5C0A082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4D9B1D0B">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②公益广告展示面积占围挡总面积的比例不少于</w:t>
      </w:r>
      <w:r>
        <w:rPr>
          <w:rFonts w:hint="default" w:ascii="Times New Roman" w:hAnsi="Times New Roman" w:eastAsia="宋体" w:cs="Times New Roman"/>
          <w:kern w:val="2"/>
          <w:sz w:val="21"/>
          <w:szCs w:val="21"/>
          <w:highlight w:val="none"/>
          <w:lang w:val="en-US" w:eastAsia="zh-CN" w:bidi="ar"/>
        </w:rPr>
        <w:t>50%</w:t>
      </w:r>
      <w:r>
        <w:rPr>
          <w:rFonts w:hint="eastAsia" w:ascii="宋体" w:hAnsi="宋体" w:eastAsia="宋体" w:cs="宋体"/>
          <w:kern w:val="2"/>
          <w:sz w:val="21"/>
          <w:szCs w:val="21"/>
          <w:highlight w:val="none"/>
          <w:lang w:val="en-US" w:eastAsia="zh-CN" w:bidi="ar"/>
        </w:rPr>
        <w:t>，且公益广告要与商业广告穿插展示（每</w:t>
      </w: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块广告中必须要有</w:t>
      </w: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块公益广告），且单面围挡墙体均能看到公益宣传。步行</w:t>
      </w:r>
      <w:r>
        <w:rPr>
          <w:rFonts w:hint="default" w:ascii="Times New Roman" w:hAnsi="Times New Roman" w:eastAsia="宋体" w:cs="Times New Roman"/>
          <w:kern w:val="2"/>
          <w:sz w:val="21"/>
          <w:szCs w:val="21"/>
          <w:highlight w:val="none"/>
          <w:lang w:val="en-US" w:eastAsia="zh-CN" w:bidi="ar"/>
        </w:rPr>
        <w:t>30</w:t>
      </w:r>
      <w:r>
        <w:rPr>
          <w:rFonts w:hint="eastAsia" w:ascii="宋体" w:hAnsi="宋体" w:eastAsia="宋体" w:cs="宋体"/>
          <w:kern w:val="2"/>
          <w:sz w:val="21"/>
          <w:szCs w:val="21"/>
          <w:highlight w:val="none"/>
          <w:lang w:val="en-US" w:eastAsia="zh-CN" w:bidi="ar"/>
        </w:rPr>
        <w:t>米，达到</w:t>
      </w:r>
      <w:r>
        <w:rPr>
          <w:rFonts w:hint="default" w:ascii="Times New Roman" w:hAnsi="Times New Roman" w:eastAsia="宋体" w:cs="Times New Roman"/>
          <w:kern w:val="2"/>
          <w:sz w:val="21"/>
          <w:szCs w:val="21"/>
          <w:highlight w:val="none"/>
          <w:lang w:val="en-US" w:eastAsia="zh-CN" w:bidi="ar"/>
        </w:rPr>
        <w:t>50%</w:t>
      </w:r>
      <w:r>
        <w:rPr>
          <w:rFonts w:hint="eastAsia" w:ascii="宋体" w:hAnsi="宋体" w:eastAsia="宋体" w:cs="宋体"/>
          <w:kern w:val="2"/>
          <w:sz w:val="21"/>
          <w:szCs w:val="21"/>
          <w:highlight w:val="none"/>
          <w:lang w:val="en-US" w:eastAsia="zh-CN" w:bidi="ar"/>
        </w:rPr>
        <w:t>面积比例。</w:t>
      </w:r>
    </w:p>
    <w:p w14:paraId="4CCFDA53">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kern w:val="2"/>
          <w:sz w:val="21"/>
          <w:szCs w:val="21"/>
          <w:highlight w:val="none"/>
        </w:rPr>
      </w:pPr>
      <w:r>
        <w:rPr>
          <w:rFonts w:hint="default" w:ascii="Times New Roman" w:hAnsi="Times New Roman" w:eastAsia="宋体" w:cs="Times New Roman"/>
          <w:kern w:val="2"/>
          <w:sz w:val="21"/>
          <w:szCs w:val="21"/>
          <w:highlight w:val="none"/>
          <w:lang w:val="en-US" w:eastAsia="zh-CN" w:bidi="ar"/>
        </w:rPr>
        <w:t>21</w:t>
      </w:r>
      <w:r>
        <w:rPr>
          <w:rFonts w:hint="eastAsia" w:ascii="宋体" w:hAnsi="宋体" w:eastAsia="宋体" w:cs="宋体"/>
          <w:kern w:val="2"/>
          <w:sz w:val="21"/>
          <w:szCs w:val="21"/>
          <w:highlight w:val="none"/>
          <w:lang w:val="en-US" w:eastAsia="zh-CN" w:bidi="ar"/>
        </w:rPr>
        <w:t>、滁州市建筑工地围挡要求按关于印发《滁州市建筑工地围挡提档升级标准》的通知（建质﹝</w:t>
      </w:r>
      <w:r>
        <w:rPr>
          <w:rFonts w:hint="default" w:ascii="Times New Roman" w:hAnsi="Times New Roman" w:eastAsia="宋体" w:cs="Times New Roman"/>
          <w:kern w:val="2"/>
          <w:sz w:val="21"/>
          <w:szCs w:val="21"/>
          <w:highlight w:val="none"/>
          <w:lang w:val="en-US" w:eastAsia="zh-CN" w:bidi="ar"/>
        </w:rPr>
        <w:t>2022</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34</w:t>
      </w:r>
      <w:r>
        <w:rPr>
          <w:rFonts w:hint="eastAsia" w:ascii="宋体" w:hAnsi="宋体" w:eastAsia="宋体" w:cs="宋体"/>
          <w:kern w:val="2"/>
          <w:sz w:val="21"/>
          <w:szCs w:val="21"/>
          <w:highlight w:val="none"/>
          <w:lang w:val="en-US" w:eastAsia="zh-CN" w:bidi="ar"/>
        </w:rPr>
        <w:t>号文）执行。</w:t>
      </w:r>
    </w:p>
    <w:p w14:paraId="732ED2C6">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kern w:val="2"/>
          <w:sz w:val="21"/>
          <w:szCs w:val="21"/>
          <w:highlight w:val="none"/>
        </w:rPr>
      </w:pPr>
      <w:r>
        <w:rPr>
          <w:rFonts w:hint="default" w:ascii="Times New Roman" w:hAnsi="Times New Roman" w:eastAsia="宋体" w:cs="Times New Roman"/>
          <w:b/>
          <w:bCs/>
          <w:kern w:val="2"/>
          <w:sz w:val="21"/>
          <w:szCs w:val="21"/>
          <w:highlight w:val="none"/>
          <w:lang w:val="en-US" w:eastAsia="zh-CN" w:bidi="ar"/>
        </w:rPr>
        <w:t>22</w:t>
      </w:r>
      <w:r>
        <w:rPr>
          <w:rFonts w:hint="eastAsia" w:ascii="宋体" w:hAnsi="宋体" w:eastAsia="宋体" w:cs="宋体"/>
          <w:b/>
          <w:bCs/>
          <w:kern w:val="2"/>
          <w:sz w:val="21"/>
          <w:szCs w:val="21"/>
          <w:highlight w:val="none"/>
          <w:lang w:val="en-US" w:eastAsia="zh-CN" w:bidi="ar"/>
        </w:rPr>
        <w:t>、发包人在施工进场第一个月或施工过程中发现承包人转包、挂靠等行为的，发包人立即解除合同，清退出场，承包人已完合格工程量按合同价款70%进行结算。</w:t>
      </w:r>
    </w:p>
    <w:p w14:paraId="40275288">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23、执行滁州市重点处相关现行文件规定并作为招标文件附件。</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w:t>
      </w:r>
      <w:r>
        <w:rPr>
          <w:rFonts w:hint="eastAsia" w:cs="宋体"/>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、本合同文本未尽事宜，由合同签定双方在发生时具体商定。</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br w:type="page"/>
      </w:r>
    </w:p>
    <w:p w14:paraId="689253E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3" w:name="_Toc296346726"/>
      <w:bookmarkStart w:id="914" w:name="_Toc296347224"/>
      <w:bookmarkStart w:id="915" w:name="_Toc267261692"/>
      <w:bookmarkStart w:id="916" w:name="_Toc296891053"/>
      <w:bookmarkStart w:id="917" w:name="_Toc296503225"/>
      <w:bookmarkStart w:id="918" w:name="_Toc296891265"/>
      <w:bookmarkStart w:id="919" w:name="_Toc296944564"/>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99"/>
    </w:p>
    <w:bookmarkEnd w:id="913"/>
    <w:bookmarkEnd w:id="914"/>
    <w:bookmarkEnd w:id="915"/>
    <w:bookmarkEnd w:id="916"/>
    <w:bookmarkEnd w:id="917"/>
    <w:bookmarkEnd w:id="918"/>
    <w:bookmarkEnd w:id="919"/>
    <w:p w14:paraId="5B0B9FEF">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427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664CA2C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46C66B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6545F39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59C161A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0BA9B8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68B054E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6A381AE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783F313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4A902FA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17514DF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4D47F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790D534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71953AE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52454B0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3BE7D1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7A9A0B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4178D7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5C4FCA4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423468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66CD1B1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2094320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1BDE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5E96D37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37DA0DB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13E5C52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67F73C6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3E6953B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3224DD5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5FDEBBB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708FBD6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2594E5F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4CF3D4E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566F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47E2593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3CB0514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4B8FEA5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0A1B517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6A7B2B6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757FE34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28EEE06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7810AFA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51D4FD1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75B997B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0B1EC708">
      <w:pPr>
        <w:pStyle w:val="2"/>
        <w:rPr>
          <w:rFonts w:hint="eastAsia"/>
          <w:color w:val="auto"/>
          <w:highlight w:val="none"/>
        </w:rPr>
      </w:pPr>
    </w:p>
    <w:p w14:paraId="2B3FBC5C">
      <w:pPr>
        <w:rPr>
          <w:rFonts w:hint="eastAsia" w:ascii="宋体" w:hAnsi="宋体" w:cs="宋体"/>
          <w:bCs/>
          <w:color w:val="auto"/>
          <w:sz w:val="24"/>
          <w:highlight w:val="none"/>
        </w:rPr>
      </w:pPr>
      <w:bookmarkStart w:id="920" w:name="_Toc95223490"/>
      <w:r>
        <w:rPr>
          <w:rFonts w:hint="eastAsia" w:ascii="宋体" w:hAnsi="宋体" w:cs="宋体"/>
          <w:bCs/>
          <w:color w:val="auto"/>
          <w:sz w:val="24"/>
          <w:highlight w:val="none"/>
        </w:rPr>
        <w:br w:type="page"/>
      </w:r>
    </w:p>
    <w:p w14:paraId="45E03395">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21" w:name="_Toc296891054"/>
      <w:bookmarkStart w:id="922" w:name="_Toc296944565"/>
      <w:bookmarkStart w:id="923" w:name="_Toc267261693"/>
      <w:bookmarkStart w:id="924" w:name="_Toc296346727"/>
      <w:bookmarkStart w:id="925" w:name="_Toc296503226"/>
      <w:bookmarkStart w:id="926" w:name="_Toc296347225"/>
      <w:bookmarkStart w:id="927" w:name="_Toc296891266"/>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21"/>
      <w:bookmarkEnd w:id="922"/>
      <w:bookmarkEnd w:id="923"/>
      <w:bookmarkEnd w:id="924"/>
      <w:bookmarkEnd w:id="925"/>
      <w:bookmarkEnd w:id="926"/>
      <w:bookmarkEnd w:id="927"/>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按照《建设工程质量管理条例》及有关法律、法规、规章的管理规定和双方约定由施工单位在质量保修期内，承担本工程质量保修责任。</w:t>
      </w:r>
    </w:p>
    <w:p w14:paraId="6E8F3FA2">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597EF55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14:paraId="592E0CC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47B48D1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E3E5DA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272FA72F">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2个采暖期、供冷期</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w:t>
      </w:r>
    </w:p>
    <w:p w14:paraId="7ADA853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A32ED9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7、保温工程：5年；</w:t>
      </w:r>
    </w:p>
    <w:p w14:paraId="110F7A1B">
      <w:pPr>
        <w:adjustRightInd w:val="0"/>
        <w:snapToGrid w:val="0"/>
        <w:spacing w:line="360" w:lineRule="auto"/>
        <w:ind w:firstLine="420" w:firstLineChars="200"/>
        <w:jc w:val="left"/>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8、建筑幕墙：5年</w:t>
      </w:r>
      <w:r>
        <w:rPr>
          <w:rFonts w:hint="eastAsia" w:ascii="宋体" w:hAnsi="宋体" w:cs="宋体"/>
          <w:color w:val="auto"/>
          <w:kern w:val="0"/>
          <w:position w:val="6"/>
          <w:szCs w:val="21"/>
          <w:highlight w:val="none"/>
          <w:lang w:eastAsia="zh-CN"/>
        </w:rPr>
        <w:t>；</w:t>
      </w:r>
    </w:p>
    <w:p w14:paraId="4F90EDE3">
      <w:pPr>
        <w:adjustRightInd w:val="0"/>
        <w:snapToGrid w:val="0"/>
        <w:spacing w:line="360" w:lineRule="auto"/>
        <w:ind w:firstLine="420" w:firstLineChars="200"/>
        <w:jc w:val="left"/>
        <w:rPr>
          <w:rFonts w:hint="eastAsia" w:ascii="宋体" w:hAnsi="宋体" w:cs="宋体"/>
          <w:color w:val="auto"/>
          <w:kern w:val="0"/>
          <w:position w:val="6"/>
          <w:szCs w:val="21"/>
          <w:highlight w:val="none"/>
          <w:lang w:val="en-US" w:eastAsia="zh-CN"/>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lang w:val="en-US" w:eastAsia="zh-CN"/>
        </w:rPr>
        <w:t>。</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AD25752">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20"/>
    </w:p>
    <w:p w14:paraId="2FF27E4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631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01326C7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3C63DD0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629B0B3">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4AFE53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5C713BB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9B8273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D813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641AF4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59AE44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07785DF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09AA196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6433DCA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0744B172">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ABEA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461B421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03A51E3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7B07B9D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204EE9C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5CF6E9B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6F747FDD">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19CE3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86D378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276635E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ECC46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750CC42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0AA16D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5115C58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8FD8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CF648C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6759918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01F6BFD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2C85DFB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66358D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6718F28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7B55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23A9FD5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5A7B34A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3E476A3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54A6197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7020E8B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77F8A88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2E23B826">
      <w:pPr>
        <w:rPr>
          <w:rFonts w:hint="eastAsia" w:ascii="宋体" w:hAnsi="宋体" w:cs="宋体"/>
          <w:color w:val="auto"/>
          <w:szCs w:val="21"/>
          <w:highlight w:val="none"/>
        </w:rPr>
      </w:pPr>
    </w:p>
    <w:p w14:paraId="6E3FDEB0">
      <w:pPr>
        <w:keepNext/>
        <w:keepLines/>
        <w:spacing w:before="120" w:after="120" w:line="360" w:lineRule="auto"/>
        <w:jc w:val="left"/>
        <w:outlineLvl w:val="2"/>
        <w:rPr>
          <w:rFonts w:hint="eastAsia" w:ascii="宋体" w:hAnsi="宋体" w:cs="宋体"/>
          <w:bCs/>
          <w:color w:val="auto"/>
          <w:sz w:val="24"/>
          <w:highlight w:val="none"/>
        </w:rPr>
      </w:pPr>
      <w:bookmarkStart w:id="928" w:name="_Toc95223491"/>
      <w:r>
        <w:rPr>
          <w:rFonts w:hint="eastAsia" w:ascii="宋体" w:hAnsi="宋体" w:cs="宋体"/>
          <w:bCs/>
          <w:color w:val="auto"/>
          <w:sz w:val="24"/>
          <w:highlight w:val="none"/>
        </w:rPr>
        <w:t>附</w:t>
      </w:r>
      <w:bookmarkStart w:id="929" w:name="_Toc296503227"/>
      <w:bookmarkStart w:id="930" w:name="_Toc267261698"/>
      <w:bookmarkStart w:id="931" w:name="_Toc296891055"/>
      <w:bookmarkStart w:id="932" w:name="_Toc296891267"/>
      <w:bookmarkStart w:id="933" w:name="_Toc296347226"/>
      <w:bookmarkStart w:id="934" w:name="_Toc296944566"/>
      <w:bookmarkStart w:id="935" w:name="_Toc296346728"/>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28"/>
    </w:p>
    <w:bookmarkEnd w:id="929"/>
    <w:bookmarkEnd w:id="930"/>
    <w:bookmarkEnd w:id="931"/>
    <w:bookmarkEnd w:id="932"/>
    <w:bookmarkEnd w:id="933"/>
    <w:bookmarkEnd w:id="934"/>
    <w:bookmarkEnd w:id="935"/>
    <w:p w14:paraId="6CEC47E5">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592D0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5F42348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753B4202">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7B98DF6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2519C8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194C756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5E26733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65CF92C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F8029E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22DFD0E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2A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6C0EC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787EA27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A037A4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7F6D16C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E30222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78AD8A7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75782F5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2DFD83A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31EA2E2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2B773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4F072B6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539B7EE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1039B45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605348D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2546E11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2414940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3AD7AD4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5E22613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79370F7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56096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2E5DD07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2A0A19E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09FACC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5DDEE3D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78DE7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7D40C5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2D11C2F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22C1735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6C2C594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57B9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D22E5C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7D7150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74AF76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40D7B7D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4562DCC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3334E94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0F25EFA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3C5EBED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2057E5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DDE6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779AA3D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68BA41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66B0EA3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01CE7BF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75907B3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5C9D216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2C5B8B7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250967E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193D3BC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61FA4BB7">
      <w:pPr>
        <w:rPr>
          <w:rFonts w:hint="eastAsia" w:ascii="宋体" w:hAnsi="宋体" w:cs="宋体"/>
          <w:color w:val="auto"/>
          <w:szCs w:val="21"/>
          <w:highlight w:val="none"/>
        </w:rPr>
      </w:pPr>
    </w:p>
    <w:p w14:paraId="06804B52">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714CD14E">
      <w:pPr>
        <w:keepNext/>
        <w:keepLines/>
        <w:spacing w:before="120" w:after="120" w:line="360" w:lineRule="auto"/>
        <w:jc w:val="left"/>
        <w:outlineLvl w:val="2"/>
        <w:rPr>
          <w:rFonts w:hint="eastAsia" w:ascii="宋体" w:hAnsi="宋体" w:cs="宋体"/>
          <w:bCs/>
          <w:color w:val="auto"/>
          <w:sz w:val="24"/>
          <w:highlight w:val="none"/>
        </w:rPr>
      </w:pPr>
      <w:bookmarkStart w:id="936" w:name="_Toc95223492"/>
      <w:r>
        <w:rPr>
          <w:rFonts w:hint="eastAsia" w:ascii="宋体" w:hAnsi="宋体" w:cs="宋体"/>
          <w:bCs/>
          <w:color w:val="auto"/>
          <w:sz w:val="24"/>
          <w:highlight w:val="none"/>
        </w:rPr>
        <w:t>附</w:t>
      </w:r>
      <w:bookmarkStart w:id="937" w:name="_Toc296891056"/>
      <w:bookmarkStart w:id="938" w:name="_Toc296891268"/>
      <w:bookmarkStart w:id="939" w:name="_Toc296347227"/>
      <w:bookmarkStart w:id="940" w:name="_Toc296944567"/>
      <w:bookmarkStart w:id="941" w:name="_Toc296346729"/>
      <w:bookmarkStart w:id="942" w:name="_Toc267261699"/>
      <w:bookmarkStart w:id="943" w:name="_Toc296503228"/>
      <w:r>
        <w:rPr>
          <w:rFonts w:hint="eastAsia" w:ascii="宋体" w:hAnsi="宋体" w:cs="宋体"/>
          <w:bCs/>
          <w:color w:val="auto"/>
          <w:sz w:val="24"/>
          <w:highlight w:val="none"/>
        </w:rPr>
        <w:t>件</w:t>
      </w:r>
      <w:bookmarkEnd w:id="937"/>
      <w:bookmarkEnd w:id="938"/>
      <w:bookmarkEnd w:id="939"/>
      <w:bookmarkEnd w:id="940"/>
      <w:bookmarkEnd w:id="941"/>
      <w:bookmarkEnd w:id="942"/>
      <w:bookmarkEnd w:id="943"/>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6"/>
    </w:p>
    <w:p w14:paraId="6210502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41997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0E7F061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79A938E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486DD7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509B37E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71F0E3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0D23D1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5C719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4B3889C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5724B8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838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1D857CB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62E8FB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A20831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78D08EE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5381D37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0F822F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9B6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476354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1D0140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D8EF8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F18022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92447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6DC4CF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4122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D1CA42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9E879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25A36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18513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66C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AD5076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AEB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D3395C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42889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067ED1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2E5C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AC8832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858AE2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99D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50D72B3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458629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3013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F8D14A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AF72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1145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C8B50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F07EB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388B30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39C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8B374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1409BC0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BD4C5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CF59CC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B0FC8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E2AE43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3E10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7C3718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5FE7D2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FAD99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2BF17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69BF46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86AF8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4F92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22F51F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02668F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E047DF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A4DD23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CAF03F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A0A882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3E9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9799CB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4AC4A70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1115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4536B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AFE13E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3C0935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0C2B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B4B457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7E9AD8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803DB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BCC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FE524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C28690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8EBD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0414D9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0F124E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3D2137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07E520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CB5DFA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3A116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852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69F4D5D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16051C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E2D4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9C327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D9873E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B5C87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D228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431DB2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10B1B94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632222F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34095AA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4776EF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5940A8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A73A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A626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0CD8D5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B03F0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72F95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1711F3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D502A6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9BCA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5142AB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33392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A14EE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090A15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E800FA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22D0A5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A47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2BBDE2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1D8142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BA7ED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B5A5F6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3F9297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5DB35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2189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55EC8C2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0A6298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5AC7F0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6DC8EC0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397D99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65D131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5F835956">
      <w:pPr>
        <w:pStyle w:val="43"/>
        <w:spacing w:beforeLines="50" w:afterLines="50" w:line="440" w:lineRule="exact"/>
        <w:rPr>
          <w:rFonts w:hint="eastAsia"/>
          <w:bCs/>
          <w:color w:val="auto"/>
          <w:szCs w:val="32"/>
          <w:highlight w:val="none"/>
        </w:rPr>
      </w:pPr>
    </w:p>
    <w:p w14:paraId="453FC575">
      <w:pPr>
        <w:rPr>
          <w:rFonts w:hint="eastAsia" w:ascii="宋体" w:hAnsi="宋体" w:cs="宋体"/>
          <w:bCs/>
          <w:color w:val="auto"/>
          <w:sz w:val="24"/>
          <w:highlight w:val="none"/>
        </w:rPr>
      </w:pPr>
      <w:bookmarkStart w:id="944" w:name="_Toc95223495"/>
      <w:bookmarkStart w:id="945" w:name="_Toc25726"/>
      <w:bookmarkStart w:id="946" w:name="_Toc7655"/>
      <w:r>
        <w:rPr>
          <w:rFonts w:hint="eastAsia" w:ascii="宋体" w:hAnsi="宋体" w:cs="宋体"/>
          <w:bCs/>
          <w:color w:val="auto"/>
          <w:sz w:val="24"/>
          <w:highlight w:val="none"/>
        </w:rPr>
        <w:br w:type="page"/>
      </w:r>
    </w:p>
    <w:p w14:paraId="48071A51">
      <w:pPr>
        <w:keepNext/>
        <w:keepLines/>
        <w:spacing w:before="120" w:after="120" w:line="360" w:lineRule="auto"/>
        <w:jc w:val="left"/>
        <w:outlineLvl w:val="0"/>
        <w:rPr>
          <w:rFonts w:hint="eastAsia" w:ascii="宋体" w:hAnsi="宋体" w:cs="宋体"/>
          <w:bCs/>
          <w:color w:val="auto"/>
          <w:sz w:val="24"/>
          <w:highlight w:val="none"/>
        </w:rPr>
      </w:pPr>
      <w:bookmarkStart w:id="947" w:name="_Toc9955"/>
      <w:bookmarkStart w:id="948" w:name="_Toc11846"/>
      <w:bookmarkStart w:id="949" w:name="_Toc3028"/>
      <w:r>
        <w:rPr>
          <w:rFonts w:hint="eastAsia" w:ascii="宋体" w:hAnsi="宋体" w:cs="宋体"/>
          <w:bCs/>
          <w:color w:val="auto"/>
          <w:sz w:val="24"/>
          <w:highlight w:val="none"/>
        </w:rPr>
        <w:t>附</w:t>
      </w:r>
      <w:bookmarkStart w:id="950" w:name="_Toc296503231"/>
      <w:bookmarkStart w:id="951" w:name="_Toc296347230"/>
      <w:bookmarkStart w:id="952" w:name="_Toc296891059"/>
      <w:bookmarkStart w:id="953" w:name="_Toc296346732"/>
      <w:bookmarkStart w:id="954" w:name="_Toc296944570"/>
      <w:bookmarkStart w:id="955" w:name="_Toc296891271"/>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4"/>
      <w:bookmarkEnd w:id="945"/>
      <w:bookmarkEnd w:id="946"/>
      <w:bookmarkEnd w:id="947"/>
      <w:bookmarkEnd w:id="948"/>
      <w:bookmarkEnd w:id="949"/>
    </w:p>
    <w:bookmarkEnd w:id="950"/>
    <w:bookmarkEnd w:id="951"/>
    <w:bookmarkEnd w:id="952"/>
    <w:bookmarkEnd w:id="953"/>
    <w:bookmarkEnd w:id="954"/>
    <w:bookmarkEnd w:id="955"/>
    <w:p w14:paraId="4DD32C49">
      <w:pPr>
        <w:widowControl/>
        <w:spacing w:line="360" w:lineRule="auto"/>
        <w:ind w:firstLine="643"/>
        <w:jc w:val="center"/>
        <w:outlineLvl w:val="0"/>
        <w:rPr>
          <w:rFonts w:hint="eastAsia" w:ascii="宋体" w:hAnsi="宋体" w:cs="宋体"/>
          <w:b/>
          <w:bCs/>
          <w:color w:val="auto"/>
          <w:kern w:val="0"/>
          <w:sz w:val="32"/>
          <w:szCs w:val="32"/>
          <w:highlight w:val="none"/>
        </w:rPr>
      </w:pPr>
      <w:bookmarkStart w:id="956" w:name="_Toc2825"/>
      <w:bookmarkStart w:id="957" w:name="_Toc26094"/>
      <w:bookmarkStart w:id="958" w:name="_Toc7607"/>
      <w:bookmarkStart w:id="959" w:name="_Toc26092"/>
      <w:bookmarkStart w:id="960" w:name="_Toc9808"/>
      <w:bookmarkStart w:id="961" w:name="_Toc95223496"/>
      <w:r>
        <w:rPr>
          <w:rFonts w:hint="eastAsia" w:ascii="宋体" w:hAnsi="宋体" w:cs="宋体"/>
          <w:b/>
          <w:bCs/>
          <w:color w:val="auto"/>
          <w:kern w:val="0"/>
          <w:sz w:val="32"/>
          <w:szCs w:val="32"/>
          <w:highlight w:val="none"/>
        </w:rPr>
        <w:t>廉 政 协 议</w:t>
      </w:r>
      <w:bookmarkEnd w:id="956"/>
      <w:bookmarkEnd w:id="957"/>
      <w:bookmarkEnd w:id="958"/>
      <w:bookmarkEnd w:id="959"/>
      <w:bookmarkEnd w:id="960"/>
      <w:bookmarkEnd w:id="961"/>
    </w:p>
    <w:p w14:paraId="0D3683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CCBE773">
      <w:pPr>
        <w:widowControl/>
        <w:spacing w:line="360" w:lineRule="auto"/>
        <w:ind w:firstLine="420" w:firstLineChars="200"/>
        <w:jc w:val="left"/>
        <w:outlineLvl w:val="0"/>
        <w:rPr>
          <w:rFonts w:hint="eastAsia" w:ascii="宋体" w:hAnsi="宋体" w:cs="宋体"/>
          <w:color w:val="auto"/>
          <w:kern w:val="0"/>
          <w:szCs w:val="21"/>
          <w:highlight w:val="none"/>
        </w:rPr>
      </w:pPr>
      <w:bookmarkStart w:id="962" w:name="_Toc9888"/>
      <w:bookmarkStart w:id="963" w:name="_Toc95223497"/>
      <w:bookmarkStart w:id="964" w:name="_Toc23614"/>
      <w:bookmarkStart w:id="965" w:name="_Toc10794"/>
      <w:bookmarkStart w:id="966" w:name="_Toc21306"/>
      <w:bookmarkStart w:id="967" w:name="_Toc8556"/>
      <w:r>
        <w:rPr>
          <w:rFonts w:hint="eastAsia" w:ascii="宋体" w:hAnsi="宋体" w:cs="宋体"/>
          <w:color w:val="auto"/>
          <w:kern w:val="0"/>
          <w:szCs w:val="21"/>
          <w:highlight w:val="none"/>
        </w:rPr>
        <w:t>第一条 甲乙双方的权利和义务</w:t>
      </w:r>
      <w:bookmarkEnd w:id="962"/>
      <w:bookmarkEnd w:id="963"/>
      <w:bookmarkEnd w:id="964"/>
      <w:bookmarkEnd w:id="965"/>
      <w:bookmarkEnd w:id="966"/>
      <w:bookmarkEnd w:id="967"/>
    </w:p>
    <w:p w14:paraId="2BDD7AE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ECC9F9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719498B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3CD905F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60408D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68794724">
      <w:pPr>
        <w:widowControl/>
        <w:spacing w:line="360" w:lineRule="auto"/>
        <w:ind w:firstLine="420" w:firstLineChars="200"/>
        <w:jc w:val="left"/>
        <w:outlineLvl w:val="0"/>
        <w:rPr>
          <w:rFonts w:hint="eastAsia" w:ascii="宋体" w:hAnsi="宋体" w:cs="宋体"/>
          <w:color w:val="auto"/>
          <w:kern w:val="0"/>
          <w:szCs w:val="21"/>
          <w:highlight w:val="none"/>
        </w:rPr>
      </w:pPr>
      <w:bookmarkStart w:id="968" w:name="_Toc20007"/>
      <w:bookmarkStart w:id="969" w:name="_Toc28206"/>
      <w:bookmarkStart w:id="970" w:name="_Toc3866"/>
      <w:bookmarkStart w:id="971" w:name="_Toc1917"/>
      <w:bookmarkStart w:id="972" w:name="_Toc27534"/>
      <w:bookmarkStart w:id="973" w:name="_Toc95223498"/>
      <w:r>
        <w:rPr>
          <w:rFonts w:hint="eastAsia" w:ascii="宋体" w:hAnsi="宋体" w:cs="宋体"/>
          <w:color w:val="auto"/>
          <w:kern w:val="0"/>
          <w:szCs w:val="21"/>
          <w:highlight w:val="none"/>
        </w:rPr>
        <w:t>第二条 甲方的义务</w:t>
      </w:r>
      <w:bookmarkEnd w:id="968"/>
      <w:bookmarkEnd w:id="969"/>
      <w:bookmarkEnd w:id="970"/>
      <w:bookmarkEnd w:id="971"/>
      <w:bookmarkEnd w:id="972"/>
      <w:bookmarkEnd w:id="973"/>
    </w:p>
    <w:p w14:paraId="01988A78">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542B91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81B77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6FE789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8E2FA3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FAF7E6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46D501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A87644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3D71909">
      <w:pPr>
        <w:widowControl/>
        <w:spacing w:line="360" w:lineRule="auto"/>
        <w:ind w:firstLine="420" w:firstLineChars="200"/>
        <w:jc w:val="left"/>
        <w:outlineLvl w:val="0"/>
        <w:rPr>
          <w:rFonts w:hint="eastAsia" w:ascii="宋体" w:hAnsi="宋体" w:cs="宋体"/>
          <w:color w:val="auto"/>
          <w:kern w:val="0"/>
          <w:szCs w:val="21"/>
          <w:highlight w:val="none"/>
        </w:rPr>
      </w:pPr>
      <w:bookmarkStart w:id="974" w:name="_Toc11255"/>
      <w:bookmarkStart w:id="975" w:name="_Toc95223499"/>
      <w:bookmarkStart w:id="976" w:name="_Toc10556"/>
      <w:bookmarkStart w:id="977" w:name="_Toc22106"/>
      <w:bookmarkStart w:id="978" w:name="_Toc20831"/>
      <w:bookmarkStart w:id="979" w:name="_Toc27727"/>
      <w:r>
        <w:rPr>
          <w:rFonts w:hint="eastAsia" w:ascii="宋体" w:hAnsi="宋体" w:cs="宋体"/>
          <w:color w:val="auto"/>
          <w:kern w:val="0"/>
          <w:szCs w:val="21"/>
          <w:highlight w:val="none"/>
        </w:rPr>
        <w:t>第三条 乙方的义务</w:t>
      </w:r>
      <w:bookmarkEnd w:id="974"/>
      <w:bookmarkEnd w:id="975"/>
      <w:bookmarkEnd w:id="976"/>
      <w:bookmarkEnd w:id="977"/>
      <w:bookmarkEnd w:id="978"/>
      <w:bookmarkEnd w:id="979"/>
    </w:p>
    <w:p w14:paraId="3983E1D2">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AF75EF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B1B62A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00B137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42F8D75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4A7A3F7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5400177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541E41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22E01A84">
      <w:pPr>
        <w:widowControl/>
        <w:spacing w:line="360" w:lineRule="auto"/>
        <w:ind w:firstLine="420" w:firstLineChars="200"/>
        <w:jc w:val="left"/>
        <w:outlineLvl w:val="0"/>
        <w:rPr>
          <w:rFonts w:hint="eastAsia" w:ascii="宋体" w:hAnsi="宋体" w:cs="宋体"/>
          <w:color w:val="auto"/>
          <w:kern w:val="0"/>
          <w:szCs w:val="21"/>
          <w:highlight w:val="none"/>
        </w:rPr>
      </w:pPr>
      <w:bookmarkStart w:id="980" w:name="_Toc4145"/>
      <w:bookmarkStart w:id="981" w:name="_Toc95223500"/>
      <w:bookmarkStart w:id="982" w:name="_Toc7904"/>
      <w:bookmarkStart w:id="983" w:name="_Toc14507"/>
      <w:bookmarkStart w:id="984" w:name="_Toc30703"/>
      <w:bookmarkStart w:id="985" w:name="_Toc2198"/>
      <w:r>
        <w:rPr>
          <w:rFonts w:hint="eastAsia" w:ascii="宋体" w:hAnsi="宋体" w:cs="宋体"/>
          <w:color w:val="auto"/>
          <w:kern w:val="0"/>
          <w:szCs w:val="21"/>
          <w:highlight w:val="none"/>
        </w:rPr>
        <w:t>第四条 违约责任</w:t>
      </w:r>
      <w:bookmarkEnd w:id="980"/>
      <w:bookmarkEnd w:id="981"/>
      <w:bookmarkEnd w:id="982"/>
      <w:bookmarkEnd w:id="983"/>
      <w:bookmarkEnd w:id="984"/>
      <w:bookmarkEnd w:id="985"/>
    </w:p>
    <w:p w14:paraId="491E84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7AD30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4666E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26C5913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5D78FED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0666D4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4BC62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B874A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525B616E">
      <w:pPr>
        <w:widowControl/>
        <w:spacing w:line="360" w:lineRule="auto"/>
        <w:ind w:firstLine="420" w:firstLineChars="200"/>
        <w:jc w:val="left"/>
        <w:outlineLvl w:val="0"/>
        <w:rPr>
          <w:rFonts w:hint="eastAsia" w:ascii="宋体" w:hAnsi="宋体" w:cs="宋体"/>
          <w:color w:val="auto"/>
          <w:kern w:val="0"/>
          <w:szCs w:val="21"/>
          <w:highlight w:val="none"/>
        </w:rPr>
      </w:pPr>
      <w:bookmarkStart w:id="986" w:name="_Toc26114"/>
      <w:bookmarkStart w:id="987" w:name="_Toc95223501"/>
      <w:bookmarkStart w:id="988" w:name="_Toc29845"/>
      <w:bookmarkStart w:id="989" w:name="_Toc6544"/>
      <w:bookmarkStart w:id="990" w:name="_Toc2334"/>
      <w:bookmarkStart w:id="991" w:name="_Toc10228"/>
      <w:r>
        <w:rPr>
          <w:rFonts w:hint="eastAsia" w:ascii="宋体" w:hAnsi="宋体" w:cs="宋体"/>
          <w:color w:val="auto"/>
          <w:kern w:val="0"/>
          <w:szCs w:val="21"/>
          <w:highlight w:val="none"/>
        </w:rPr>
        <w:t>第五条 双方约定</w:t>
      </w:r>
      <w:bookmarkEnd w:id="986"/>
      <w:bookmarkEnd w:id="987"/>
      <w:bookmarkEnd w:id="988"/>
      <w:bookmarkEnd w:id="989"/>
      <w:bookmarkEnd w:id="990"/>
      <w:bookmarkEnd w:id="991"/>
    </w:p>
    <w:p w14:paraId="67A7EB8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072F990">
      <w:pPr>
        <w:widowControl/>
        <w:spacing w:line="360" w:lineRule="auto"/>
        <w:ind w:firstLine="420" w:firstLineChars="200"/>
        <w:jc w:val="left"/>
        <w:outlineLvl w:val="0"/>
        <w:rPr>
          <w:rFonts w:hint="eastAsia" w:ascii="宋体" w:hAnsi="宋体" w:cs="宋体"/>
          <w:color w:val="auto"/>
          <w:kern w:val="0"/>
          <w:szCs w:val="21"/>
          <w:highlight w:val="none"/>
        </w:rPr>
      </w:pPr>
      <w:bookmarkStart w:id="992" w:name="_Toc17717"/>
      <w:bookmarkStart w:id="993" w:name="_Toc95223502"/>
      <w:bookmarkStart w:id="994" w:name="_Toc8779"/>
      <w:bookmarkStart w:id="995" w:name="_Toc10240"/>
      <w:bookmarkStart w:id="996" w:name="_Toc32140"/>
      <w:bookmarkStart w:id="997" w:name="_Toc19293"/>
      <w:r>
        <w:rPr>
          <w:rFonts w:hint="eastAsia" w:ascii="宋体" w:hAnsi="宋体" w:cs="宋体"/>
          <w:color w:val="auto"/>
          <w:kern w:val="0"/>
          <w:szCs w:val="21"/>
          <w:highlight w:val="none"/>
        </w:rPr>
        <w:t>第六条  本协议有效期为甲乙双方签署之日起至合同终止。</w:t>
      </w:r>
      <w:bookmarkEnd w:id="992"/>
      <w:bookmarkEnd w:id="993"/>
      <w:bookmarkEnd w:id="994"/>
      <w:bookmarkEnd w:id="995"/>
      <w:bookmarkEnd w:id="996"/>
      <w:bookmarkEnd w:id="997"/>
      <w:r>
        <w:rPr>
          <w:rFonts w:hint="eastAsia" w:ascii="宋体" w:hAnsi="宋体" w:cs="宋体"/>
          <w:color w:val="auto"/>
          <w:kern w:val="0"/>
          <w:szCs w:val="21"/>
          <w:highlight w:val="none"/>
        </w:rPr>
        <w:t xml:space="preserve">  </w:t>
      </w:r>
    </w:p>
    <w:p w14:paraId="691D2F2D">
      <w:pPr>
        <w:widowControl/>
        <w:spacing w:line="360" w:lineRule="auto"/>
        <w:ind w:firstLine="420" w:firstLineChars="200"/>
        <w:jc w:val="left"/>
        <w:outlineLvl w:val="0"/>
        <w:rPr>
          <w:rFonts w:hint="eastAsia" w:ascii="宋体" w:hAnsi="宋体" w:cs="宋体"/>
          <w:color w:val="auto"/>
          <w:kern w:val="0"/>
          <w:szCs w:val="21"/>
          <w:highlight w:val="none"/>
        </w:rPr>
      </w:pPr>
      <w:bookmarkStart w:id="998" w:name="_Toc22264"/>
      <w:bookmarkStart w:id="999" w:name="_Toc28117"/>
      <w:bookmarkStart w:id="1000" w:name="_Toc19977"/>
      <w:bookmarkStart w:id="1001" w:name="_Toc95223503"/>
      <w:bookmarkStart w:id="1002" w:name="_Toc24032"/>
      <w:bookmarkStart w:id="1003" w:name="_Toc1871"/>
      <w:r>
        <w:rPr>
          <w:rFonts w:hint="eastAsia" w:ascii="宋体" w:hAnsi="宋体" w:cs="宋体"/>
          <w:color w:val="auto"/>
          <w:kern w:val="0"/>
          <w:szCs w:val="21"/>
          <w:highlight w:val="none"/>
        </w:rPr>
        <w:t>第七条  本协议作为合同的附件，与本合同具有同等法律效力。</w:t>
      </w:r>
      <w:bookmarkEnd w:id="998"/>
      <w:bookmarkEnd w:id="999"/>
      <w:bookmarkEnd w:id="1000"/>
      <w:bookmarkEnd w:id="1001"/>
      <w:bookmarkEnd w:id="1002"/>
      <w:bookmarkEnd w:id="1003"/>
    </w:p>
    <w:p w14:paraId="3923A45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64C47F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444A94F4">
      <w:pPr>
        <w:widowControl/>
        <w:spacing w:line="360" w:lineRule="auto"/>
        <w:ind w:firstLine="420" w:firstLineChars="200"/>
        <w:jc w:val="left"/>
        <w:rPr>
          <w:rFonts w:hint="eastAsia" w:ascii="宋体" w:hAnsi="宋体" w:cs="宋体"/>
          <w:color w:val="auto"/>
          <w:kern w:val="0"/>
          <w:szCs w:val="21"/>
          <w:highlight w:val="none"/>
        </w:rPr>
      </w:pPr>
    </w:p>
    <w:p w14:paraId="00FAB52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5172F42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2EB11D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42AF2A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D6A44B1">
      <w:pPr>
        <w:widowControl/>
        <w:spacing w:line="360" w:lineRule="auto"/>
        <w:ind w:firstLine="420" w:firstLineChars="200"/>
        <w:jc w:val="left"/>
        <w:rPr>
          <w:rFonts w:hint="eastAsia" w:ascii="宋体" w:hAnsi="宋体" w:cs="宋体"/>
          <w:color w:val="auto"/>
          <w:kern w:val="0"/>
          <w:szCs w:val="21"/>
          <w:highlight w:val="none"/>
        </w:rPr>
      </w:pPr>
    </w:p>
    <w:p w14:paraId="75B47E4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6D943A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A72BD9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FC199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724CAE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619064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7BD6120">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1004"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1004"/>
    </w:p>
    <w:p w14:paraId="749CDA6C">
      <w:pPr>
        <w:adjustRightInd w:val="0"/>
        <w:snapToGrid w:val="0"/>
        <w:spacing w:line="360" w:lineRule="auto"/>
        <w:jc w:val="center"/>
        <w:outlineLvl w:val="0"/>
        <w:rPr>
          <w:rFonts w:hint="eastAsia" w:ascii="宋体" w:hAnsi="宋体" w:cs="宋体"/>
          <w:b/>
          <w:bCs/>
          <w:color w:val="auto"/>
          <w:sz w:val="32"/>
          <w:szCs w:val="32"/>
          <w:highlight w:val="none"/>
        </w:rPr>
      </w:pPr>
      <w:bookmarkStart w:id="1005" w:name="_Toc28010"/>
      <w:bookmarkStart w:id="1006" w:name="_Toc95223505"/>
      <w:bookmarkStart w:id="1007" w:name="_Toc25855"/>
      <w:bookmarkStart w:id="1008" w:name="_Toc8655"/>
      <w:bookmarkStart w:id="1009" w:name="_Toc10681"/>
      <w:bookmarkStart w:id="1010" w:name="_Toc10603"/>
      <w:r>
        <w:rPr>
          <w:rFonts w:hint="eastAsia" w:ascii="宋体" w:hAnsi="宋体" w:cs="宋体"/>
          <w:b/>
          <w:bCs/>
          <w:color w:val="auto"/>
          <w:sz w:val="32"/>
          <w:szCs w:val="32"/>
          <w:highlight w:val="none"/>
        </w:rPr>
        <w:t>履约保函示范文本</w:t>
      </w:r>
      <w:bookmarkEnd w:id="1005"/>
      <w:bookmarkEnd w:id="1006"/>
      <w:bookmarkEnd w:id="1007"/>
      <w:bookmarkEnd w:id="1008"/>
      <w:bookmarkEnd w:id="1009"/>
      <w:bookmarkEnd w:id="1010"/>
    </w:p>
    <w:p w14:paraId="63E9E6FD">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15B5B6E9">
      <w:pPr>
        <w:adjustRightInd w:val="0"/>
        <w:snapToGrid w:val="0"/>
        <w:spacing w:line="360" w:lineRule="auto"/>
        <w:rPr>
          <w:rFonts w:hint="eastAsia" w:ascii="宋体" w:hAnsi="宋体" w:cs="宋体"/>
          <w:color w:val="auto"/>
          <w:szCs w:val="21"/>
          <w:highlight w:val="none"/>
        </w:rPr>
      </w:pPr>
    </w:p>
    <w:p w14:paraId="7F51BB0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0453CE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8DF4E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2C11DE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6D88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007118B0">
      <w:pPr>
        <w:adjustRightInd w:val="0"/>
        <w:snapToGrid w:val="0"/>
        <w:spacing w:line="360" w:lineRule="auto"/>
        <w:ind w:firstLine="480"/>
        <w:rPr>
          <w:rFonts w:hint="eastAsia" w:ascii="宋体" w:hAnsi="宋体" w:cs="宋体"/>
          <w:color w:val="auto"/>
          <w:szCs w:val="21"/>
          <w:highlight w:val="none"/>
        </w:rPr>
      </w:pPr>
      <w:bookmarkStart w:id="1011"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011"/>
    <w:p w14:paraId="10D2ED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7147A5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63EF9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EA9F6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43BFD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BFCF4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012" w:name="_Hlk40303486"/>
      <w:r>
        <w:rPr>
          <w:rFonts w:hint="eastAsia" w:ascii="宋体" w:hAnsi="宋体" w:cs="宋体"/>
          <w:color w:val="auto"/>
          <w:szCs w:val="21"/>
          <w:highlight w:val="none"/>
        </w:rPr>
        <w:t>受益人发出的书面付款通知应由其法定代表人（负责人）或授权代理人签字并加盖公章。</w:t>
      </w:r>
      <w:bookmarkEnd w:id="1012"/>
    </w:p>
    <w:p w14:paraId="5831403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0298A2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C91B9A0">
      <w:pPr>
        <w:adjustRightInd w:val="0"/>
        <w:snapToGrid w:val="0"/>
        <w:spacing w:line="360" w:lineRule="auto"/>
        <w:ind w:firstLine="420" w:firstLineChars="200"/>
        <w:rPr>
          <w:rFonts w:hint="eastAsia" w:ascii="宋体" w:hAnsi="宋体" w:cs="宋体"/>
          <w:color w:val="auto"/>
          <w:szCs w:val="21"/>
          <w:highlight w:val="none"/>
        </w:rPr>
      </w:pPr>
      <w:bookmarkStart w:id="1013" w:name="_Hlk40303383"/>
      <w:bookmarkStart w:id="1014" w:name="_Hlk40354981"/>
      <w:r>
        <w:rPr>
          <w:rFonts w:hint="eastAsia" w:ascii="宋体" w:hAnsi="宋体" w:cs="宋体"/>
          <w:color w:val="auto"/>
          <w:szCs w:val="21"/>
          <w:highlight w:val="none"/>
        </w:rPr>
        <w:t xml:space="preserve">七、本保函项下的义务和责任均在保函有效期到期后自动消灭。 </w:t>
      </w:r>
    </w:p>
    <w:p w14:paraId="5C42FCD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013"/>
      <w:r>
        <w:rPr>
          <w:rFonts w:hint="eastAsia" w:ascii="宋体" w:hAnsi="宋体" w:cs="宋体"/>
          <w:color w:val="auto"/>
          <w:szCs w:val="21"/>
          <w:highlight w:val="none"/>
        </w:rPr>
        <w:t xml:space="preserve">由受益人所在地人民法院管辖。 </w:t>
      </w:r>
    </w:p>
    <w:bookmarkEnd w:id="1014"/>
    <w:p w14:paraId="03D9AF2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8965B5D">
      <w:pPr>
        <w:adjustRightInd w:val="0"/>
        <w:snapToGrid w:val="0"/>
        <w:spacing w:line="360" w:lineRule="auto"/>
        <w:ind w:firstLine="420" w:firstLineChars="200"/>
        <w:rPr>
          <w:rFonts w:hint="eastAsia" w:ascii="宋体" w:hAnsi="宋体" w:cs="宋体"/>
          <w:color w:val="auto"/>
          <w:szCs w:val="21"/>
          <w:highlight w:val="none"/>
        </w:rPr>
      </w:pPr>
    </w:p>
    <w:p w14:paraId="08F28875">
      <w:pPr>
        <w:adjustRightInd w:val="0"/>
        <w:snapToGrid w:val="0"/>
        <w:spacing w:line="360" w:lineRule="auto"/>
        <w:ind w:firstLine="420" w:firstLineChars="200"/>
        <w:rPr>
          <w:rFonts w:hint="eastAsia" w:ascii="宋体" w:hAnsi="宋体" w:cs="宋体"/>
          <w:color w:val="auto"/>
          <w:szCs w:val="21"/>
          <w:highlight w:val="none"/>
        </w:rPr>
      </w:pPr>
    </w:p>
    <w:p w14:paraId="5D01D713">
      <w:pPr>
        <w:adjustRightInd w:val="0"/>
        <w:snapToGrid w:val="0"/>
        <w:spacing w:line="360" w:lineRule="auto"/>
        <w:ind w:firstLine="420" w:firstLineChars="200"/>
        <w:rPr>
          <w:rFonts w:hint="eastAsia" w:ascii="宋体" w:hAnsi="宋体" w:cs="宋体"/>
          <w:color w:val="auto"/>
          <w:szCs w:val="21"/>
          <w:highlight w:val="none"/>
        </w:rPr>
      </w:pPr>
    </w:p>
    <w:p w14:paraId="3828C3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8DE1A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1EC2E9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23565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060926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AC5669B">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B4FCAA0">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8FAE9B">
      <w:pPr>
        <w:rPr>
          <w:rFonts w:hint="eastAsia" w:ascii="宋体" w:hAnsi="宋体" w:cs="宋体"/>
          <w:bCs/>
          <w:color w:val="auto"/>
          <w:sz w:val="24"/>
          <w:highlight w:val="none"/>
        </w:rPr>
      </w:pPr>
      <w:bookmarkStart w:id="1015" w:name="_Toc95223510"/>
      <w:r>
        <w:rPr>
          <w:rFonts w:hint="eastAsia" w:ascii="宋体" w:hAnsi="宋体" w:cs="宋体"/>
          <w:bCs/>
          <w:color w:val="auto"/>
          <w:sz w:val="24"/>
          <w:highlight w:val="none"/>
        </w:rPr>
        <w:br w:type="page"/>
      </w:r>
    </w:p>
    <w:p w14:paraId="4486E087">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15"/>
    </w:p>
    <w:p w14:paraId="26A0E4F4">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9B98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06B5FC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1C1AA93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B8AF0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6D8864C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980A6B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46DAF6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FB0A4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932C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35C0BA3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7F6E3A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1721CF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3447463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06930E7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01E58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1C2D7C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DE65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E9656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5F571C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02D5E4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CD430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3E4CC50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46A2CB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2B4E76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4A70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0CBC3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11A839F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3AA41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29879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5F04C6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7330B18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F51F7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BB75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8C78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27ADF0B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F032A7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0A2744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F32379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580B0DF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6B1AACC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45E53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8236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394B6EB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2E3784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247544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16CDE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13E59D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0361BC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580778DE">
      <w:pPr>
        <w:spacing w:before="120" w:beforeLines="50" w:after="120" w:afterLines="50" w:line="440" w:lineRule="exact"/>
        <w:rPr>
          <w:rFonts w:hint="eastAsia" w:ascii="宋体" w:hAnsi="宋体" w:cs="宋体"/>
          <w:color w:val="auto"/>
          <w:szCs w:val="21"/>
          <w:highlight w:val="none"/>
        </w:rPr>
      </w:pPr>
    </w:p>
    <w:p w14:paraId="6CFE024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6D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B2B142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70731C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C7EDE5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1F13DA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0FEF16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2B7B1C7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D1DF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D993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DCA25F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6BB65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41B32E9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223D2C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7CB7F6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8B0F1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4920423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8D4F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B06B7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52D82F9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44709F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672BBE0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62BBE4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2761666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735A9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A1C8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7DBE2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51D64C5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692C691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B21A6D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497B5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3B4D6AA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2095035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1D1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8BE95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6D1D9B6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4D56FF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13C34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386F80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90576D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3BEAB0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1B293081">
      <w:pPr>
        <w:spacing w:line="440" w:lineRule="exact"/>
        <w:rPr>
          <w:rFonts w:hint="eastAsia" w:ascii="宋体" w:hAnsi="宋体" w:cs="宋体"/>
          <w:color w:val="auto"/>
          <w:szCs w:val="21"/>
          <w:highlight w:val="none"/>
        </w:rPr>
      </w:pPr>
    </w:p>
    <w:p w14:paraId="54812880">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BED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396E80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2721F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AD6882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4877D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D7958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5D3BF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5AB383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4F1B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E0565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2360A17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6CD5839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4371888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2A5B51E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293632F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C9C835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692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8F7F21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AC2D3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585B277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1D4589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1703E3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399B2D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064242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2EB6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7179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7572D8F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8BF73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73CE85C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B7847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D6113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5ED6730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756A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6E16F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1D3AB63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12C242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13FD056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0D70C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DA2E08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11F86E2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12E6782">
      <w:pPr>
        <w:rPr>
          <w:rFonts w:hint="eastAsia" w:ascii="宋体" w:hAnsi="宋体" w:cs="宋体"/>
          <w:color w:val="auto"/>
          <w:szCs w:val="21"/>
          <w:highlight w:val="none"/>
        </w:rPr>
      </w:pPr>
    </w:p>
    <w:p w14:paraId="7D2BE33A">
      <w:pPr>
        <w:rPr>
          <w:rFonts w:hint="eastAsia" w:ascii="宋体" w:hAnsi="宋体" w:cs="宋体"/>
          <w:color w:val="auto"/>
          <w:szCs w:val="22"/>
          <w:highlight w:val="none"/>
        </w:rPr>
      </w:pPr>
    </w:p>
    <w:p w14:paraId="21750B7C">
      <w:pPr>
        <w:rPr>
          <w:rFonts w:hint="eastAsia" w:ascii="宋体" w:hAnsi="宋体" w:cs="宋体"/>
          <w:color w:val="auto"/>
          <w:szCs w:val="22"/>
          <w:highlight w:val="none"/>
        </w:rPr>
      </w:pPr>
    </w:p>
    <w:p w14:paraId="1355522F">
      <w:pPr>
        <w:keepNext/>
        <w:keepLines/>
        <w:spacing w:before="120" w:after="120" w:line="360" w:lineRule="auto"/>
        <w:jc w:val="left"/>
        <w:outlineLvl w:val="2"/>
        <w:rPr>
          <w:rFonts w:hint="eastAsia" w:ascii="宋体" w:hAnsi="宋体" w:cs="宋体"/>
          <w:color w:val="auto"/>
          <w:highlight w:val="none"/>
        </w:rPr>
        <w:sectPr>
          <w:footerReference r:id="rId5"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7475CAD0">
      <w:pPr>
        <w:keepNext/>
        <w:keepLines/>
        <w:spacing w:before="120" w:after="120" w:line="360" w:lineRule="auto"/>
        <w:jc w:val="left"/>
        <w:outlineLvl w:val="2"/>
        <w:rPr>
          <w:rFonts w:hint="eastAsia" w:ascii="宋体" w:hAnsi="宋体" w:cs="宋体"/>
          <w:bCs/>
          <w:color w:val="auto"/>
          <w:sz w:val="24"/>
          <w:highlight w:val="none"/>
        </w:rPr>
      </w:pPr>
      <w:bookmarkStart w:id="1016"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16"/>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1017" w:name="_Toc95223512"/>
      <w:bookmarkStart w:id="1018" w:name="_Toc31602"/>
      <w:bookmarkStart w:id="1019" w:name="_Toc26993"/>
      <w:bookmarkStart w:id="1020" w:name="_Toc17347"/>
      <w:bookmarkStart w:id="1021" w:name="_Toc32439"/>
      <w:bookmarkStart w:id="1022" w:name="_Toc16956"/>
      <w:r>
        <w:rPr>
          <w:rFonts w:hint="eastAsia" w:ascii="宋体" w:hAnsi="宋体" w:cs="宋体"/>
          <w:b/>
          <w:color w:val="auto"/>
          <w:sz w:val="32"/>
          <w:szCs w:val="32"/>
          <w:highlight w:val="none"/>
        </w:rPr>
        <w:t>安全生产合同</w:t>
      </w:r>
      <w:bookmarkEnd w:id="1017"/>
      <w:bookmarkEnd w:id="1018"/>
      <w:bookmarkEnd w:id="1019"/>
      <w:bookmarkEnd w:id="1020"/>
      <w:bookmarkEnd w:id="1021"/>
      <w:bookmarkEnd w:id="1022"/>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D87F2F5">
      <w:pPr>
        <w:spacing w:line="360" w:lineRule="auto"/>
        <w:rPr>
          <w:rFonts w:hint="eastAsia" w:ascii="宋体" w:hAnsi="宋体" w:cs="宋体"/>
          <w:color w:val="auto"/>
          <w:szCs w:val="21"/>
          <w:highlight w:val="none"/>
        </w:rPr>
      </w:pP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23"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23"/>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1024" w:name="_Toc11057"/>
      <w:bookmarkStart w:id="1025" w:name="_Toc95223514"/>
      <w:bookmarkStart w:id="1026" w:name="_Toc4934"/>
      <w:bookmarkStart w:id="1027" w:name="_Toc20282"/>
      <w:bookmarkStart w:id="1028" w:name="_Toc31476"/>
      <w:bookmarkStart w:id="1029" w:name="_Toc19059"/>
      <w:r>
        <w:rPr>
          <w:rFonts w:hint="eastAsia" w:ascii="宋体" w:hAnsi="宋体" w:cs="宋体"/>
          <w:b/>
          <w:color w:val="auto"/>
          <w:sz w:val="32"/>
          <w:szCs w:val="32"/>
          <w:highlight w:val="none"/>
        </w:rPr>
        <w:t>项目经理质量终身责任制承诺</w:t>
      </w:r>
      <w:bookmarkEnd w:id="1024"/>
      <w:bookmarkEnd w:id="1025"/>
      <w:bookmarkEnd w:id="1026"/>
      <w:bookmarkEnd w:id="1027"/>
      <w:bookmarkEnd w:id="1028"/>
      <w:bookmarkEnd w:id="1029"/>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2F0B42A">
      <w:pPr>
        <w:pStyle w:val="2"/>
        <w:rPr>
          <w:rFonts w:hint="eastAsia"/>
          <w:color w:val="auto"/>
          <w:highlight w:val="none"/>
        </w:rPr>
      </w:pPr>
    </w:p>
    <w:p w14:paraId="5EA12FF4">
      <w:pPr>
        <w:rPr>
          <w:rFonts w:hint="eastAsia"/>
          <w:bCs/>
          <w:color w:val="auto"/>
          <w:szCs w:val="32"/>
          <w:highlight w:val="none"/>
        </w:rPr>
      </w:pPr>
    </w:p>
    <w:p w14:paraId="7935CE66">
      <w:pPr>
        <w:rPr>
          <w:rFonts w:hint="eastAsia"/>
          <w:bCs/>
          <w:color w:val="auto"/>
          <w:szCs w:val="32"/>
          <w:highlight w:val="none"/>
        </w:rPr>
      </w:pPr>
    </w:p>
    <w:p w14:paraId="401D18A1">
      <w:pPr>
        <w:rPr>
          <w:rFonts w:hint="eastAsia"/>
          <w:bCs/>
          <w:color w:val="auto"/>
          <w:szCs w:val="32"/>
          <w:highlight w:val="none"/>
        </w:rPr>
      </w:pPr>
    </w:p>
    <w:p w14:paraId="7FDF243E">
      <w:pPr>
        <w:rPr>
          <w:rFonts w:hint="eastAsia"/>
          <w:bCs/>
          <w:color w:val="auto"/>
          <w:szCs w:val="32"/>
          <w:highlight w:val="none"/>
        </w:rPr>
      </w:pPr>
    </w:p>
    <w:p w14:paraId="53953A9B">
      <w:pPr>
        <w:rPr>
          <w:rFonts w:hint="eastAsia"/>
          <w:bCs/>
          <w:color w:val="auto"/>
          <w:szCs w:val="32"/>
          <w:highlight w:val="none"/>
        </w:rPr>
      </w:pPr>
    </w:p>
    <w:p w14:paraId="6F88FE85">
      <w:pPr>
        <w:rPr>
          <w:rFonts w:hint="eastAsia"/>
          <w:bCs/>
          <w:color w:val="auto"/>
          <w:szCs w:val="32"/>
          <w:highlight w:val="none"/>
        </w:rPr>
      </w:pPr>
    </w:p>
    <w:p w14:paraId="1651E6F8">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6FA116AB">
      <w:pPr>
        <w:pStyle w:val="43"/>
        <w:numPr>
          <w:ilvl w:val="0"/>
          <w:numId w:val="0"/>
        </w:numPr>
        <w:spacing w:beforeLines="50" w:afterLines="50" w:line="440" w:lineRule="exact"/>
        <w:rPr>
          <w:rFonts w:hint="eastAsia" w:eastAsia="宋体" w:cs="Times New Roman"/>
          <w:bCs/>
          <w:color w:val="auto"/>
          <w:szCs w:val="32"/>
          <w:highlight w:val="none"/>
        </w:rPr>
      </w:pPr>
      <w:bookmarkStart w:id="1030" w:name="_Toc23990"/>
      <w:bookmarkStart w:id="1031" w:name="_Toc95223515"/>
      <w:bookmarkStart w:id="1032" w:name="_Toc4767"/>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1033" w:name="_Toc10898"/>
      <w:bookmarkStart w:id="1034" w:name="_Toc3388"/>
      <w:r>
        <w:rPr>
          <w:rFonts w:hint="eastAsia" w:eastAsia="宋体" w:cs="Times New Roman"/>
          <w:bCs/>
          <w:color w:val="auto"/>
          <w:szCs w:val="32"/>
          <w:highlight w:val="none"/>
        </w:rPr>
        <w:t>工程量清单</w:t>
      </w:r>
      <w:bookmarkEnd w:id="1030"/>
      <w:bookmarkEnd w:id="1031"/>
      <w:bookmarkEnd w:id="1032"/>
      <w:bookmarkEnd w:id="1033"/>
      <w:bookmarkEnd w:id="1034"/>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1035" w:name="_Toc1620"/>
      <w:bookmarkStart w:id="1036" w:name="_Toc95223516"/>
      <w:r>
        <w:rPr>
          <w:rFonts w:hint="eastAsia" w:ascii="宋体" w:hAnsi="宋体" w:cs="宋体"/>
          <w:b/>
          <w:bCs/>
          <w:color w:val="auto"/>
          <w:szCs w:val="21"/>
          <w:highlight w:val="none"/>
        </w:rPr>
        <w:t>1. 计价依据</w:t>
      </w:r>
      <w:bookmarkEnd w:id="1035"/>
      <w:bookmarkEnd w:id="1036"/>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1037" w:name="_Toc95223518"/>
      <w:bookmarkStart w:id="1038" w:name="_Toc19788"/>
      <w:bookmarkStart w:id="1039" w:name="_Toc4881"/>
      <w:bookmarkStart w:id="1040" w:name="_Toc95223521"/>
      <w:r>
        <w:rPr>
          <w:rFonts w:hint="eastAsia" w:ascii="宋体" w:hAnsi="宋体" w:eastAsia="宋体" w:cs="宋体"/>
          <w:b/>
          <w:bCs/>
          <w:color w:val="auto"/>
          <w:szCs w:val="21"/>
          <w:highlight w:val="none"/>
          <w:lang w:val="en-US" w:eastAsia="zh-CN"/>
        </w:rPr>
        <w:t>招标工程量清单编制要求</w:t>
      </w:r>
      <w:bookmarkEnd w:id="1037"/>
      <w:bookmarkEnd w:id="1038"/>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1" w:name="_Toc23910"/>
      <w:bookmarkStart w:id="1042" w:name="_Toc95223519"/>
      <w:r>
        <w:rPr>
          <w:rFonts w:hint="eastAsia" w:ascii="宋体" w:hAnsi="宋体" w:eastAsia="宋体" w:cs="宋体"/>
          <w:b/>
          <w:bCs/>
          <w:color w:val="auto"/>
          <w:szCs w:val="21"/>
          <w:highlight w:val="none"/>
          <w:lang w:val="en-US" w:eastAsia="zh-CN"/>
        </w:rPr>
        <w:t>4. 最高投标限价编制要求</w:t>
      </w:r>
      <w:bookmarkEnd w:id="1041"/>
      <w:bookmarkEnd w:id="1042"/>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关于发布《安徽省建设工程计价依据动态调整(第2期)》的公告(安徽省住房和城乡建设厅公告第172号）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3" w:name="_Toc4166"/>
      <w:bookmarkStart w:id="1044" w:name="_Toc95223520"/>
      <w:r>
        <w:rPr>
          <w:rFonts w:hint="eastAsia" w:ascii="宋体" w:hAnsi="宋体" w:eastAsia="宋体" w:cs="宋体"/>
          <w:b/>
          <w:bCs/>
          <w:color w:val="auto"/>
          <w:szCs w:val="21"/>
          <w:highlight w:val="none"/>
          <w:lang w:val="en-US" w:eastAsia="zh-CN"/>
        </w:rPr>
        <w:t>5. 投标报价参考编制要求</w:t>
      </w:r>
      <w:bookmarkEnd w:id="1043"/>
      <w:bookmarkEnd w:id="1044"/>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关于发布《安徽省建设工程计价依据动态调整(第2期)》的公告(安徽省住房和城乡建设厅公告第172号）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1039"/>
      <w:bookmarkEnd w:id="1040"/>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45" w:name="_Toc25013"/>
      <w:bookmarkStart w:id="1046" w:name="_Toc20597"/>
      <w:bookmarkStart w:id="1047" w:name="_Toc1002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1045"/>
      <w:bookmarkEnd w:id="1046"/>
      <w:bookmarkEnd w:id="1047"/>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bookmarkStart w:id="1048" w:name="_Toc18733"/>
      <w:bookmarkStart w:id="1049" w:name="_Toc23816"/>
      <w:bookmarkStart w:id="1050" w:name="_Toc5510"/>
      <w:r>
        <w:rPr>
          <w:rFonts w:hint="eastAsia" w:eastAsia="宋体" w:cs="Times New Roman"/>
          <w:bCs/>
          <w:color w:val="auto"/>
          <w:szCs w:val="32"/>
          <w:highlight w:val="none"/>
          <w:lang w:val="en-US" w:eastAsia="zh-CN"/>
        </w:rPr>
        <w:t>另附</w:t>
      </w:r>
      <w:bookmarkEnd w:id="1048"/>
      <w:bookmarkEnd w:id="1049"/>
      <w:bookmarkEnd w:id="1050"/>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1051" w:name="_Toc24902"/>
      <w:r>
        <w:rPr>
          <w:rFonts w:hint="eastAsia" w:cs="Times New Roman"/>
          <w:bCs/>
          <w:color w:val="auto"/>
          <w:szCs w:val="32"/>
          <w:highlight w:val="none"/>
          <w:lang w:val="en-US" w:eastAsia="zh-CN"/>
        </w:rPr>
        <w:t>第七章  技术标准和要求</w:t>
      </w:r>
      <w:bookmarkEnd w:id="1051"/>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5、如国家对上述标准规范有调整，按最新标准和规范为准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1052" w:name="_Toc8272"/>
      <w:bookmarkStart w:id="1053" w:name="_Toc10062"/>
      <w:bookmarkStart w:id="1054" w:name="_Toc5279"/>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1052"/>
      <w:bookmarkEnd w:id="1053"/>
      <w:bookmarkEnd w:id="105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1055" w:name="_Toc12683"/>
      <w:bookmarkStart w:id="1056" w:name="_Toc35425137"/>
      <w:bookmarkStart w:id="1057"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1058" w:name="_Toc78803399"/>
      <w:r>
        <w:rPr>
          <w:rStyle w:val="65"/>
          <w:rFonts w:hint="eastAsia" w:ascii="宋体" w:hAnsi="宋体" w:cs="宋体"/>
          <w:color w:val="auto"/>
          <w:sz w:val="32"/>
          <w:highlight w:val="none"/>
        </w:rPr>
        <w:br w:type="page"/>
      </w:r>
      <w:bookmarkStart w:id="1059" w:name="_Toc30830"/>
      <w:bookmarkStart w:id="1060" w:name="_Toc25912"/>
      <w:bookmarkStart w:id="1061" w:name="_Toc32179"/>
      <w:r>
        <w:rPr>
          <w:rStyle w:val="65"/>
          <w:rFonts w:hint="eastAsia" w:ascii="宋体" w:hAnsi="宋体" w:cs="宋体"/>
          <w:color w:val="auto"/>
          <w:sz w:val="32"/>
          <w:highlight w:val="none"/>
        </w:rPr>
        <w:t>投标文件一</w:t>
      </w:r>
      <w:bookmarkEnd w:id="1055"/>
      <w:bookmarkEnd w:id="1056"/>
      <w:bookmarkEnd w:id="1057"/>
      <w:bookmarkEnd w:id="1058"/>
      <w:bookmarkEnd w:id="1059"/>
      <w:bookmarkEnd w:id="1060"/>
      <w:bookmarkEnd w:id="106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项目经理有效身份证及证书（如为建造师，需同时提供安全生产考核合格证书（B证））</w:t>
      </w:r>
      <w:r>
        <w:rPr>
          <w:rFonts w:hint="eastAsia" w:ascii="宋体" w:hAnsi="宋体" w:cs="宋体"/>
          <w:color w:val="auto"/>
          <w:szCs w:val="21"/>
          <w:highlight w:val="none"/>
        </w:rPr>
        <w:t>；</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的法定代表人(或委托代理人)和拟任项目经理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项目管理机构；</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912DADF">
      <w:pPr>
        <w:spacing w:line="440" w:lineRule="exact"/>
        <w:ind w:firstLine="420" w:firstLineChars="200"/>
        <w:jc w:val="left"/>
        <w:rPr>
          <w:rFonts w:hint="eastAsia" w:ascii="宋体" w:hAnsi="宋体" w:cs="宋体"/>
          <w:color w:val="auto"/>
          <w:szCs w:val="21"/>
          <w:highlight w:val="none"/>
        </w:rPr>
      </w:pPr>
    </w:p>
    <w:p w14:paraId="54F10C4D">
      <w:pPr>
        <w:spacing w:line="440" w:lineRule="exact"/>
        <w:ind w:firstLine="420" w:firstLineChars="200"/>
        <w:jc w:val="left"/>
        <w:rPr>
          <w:rFonts w:hint="eastAsia" w:ascii="宋体" w:hAnsi="宋体" w:cs="宋体"/>
          <w:color w:val="auto"/>
          <w:szCs w:val="21"/>
          <w:highlight w:val="none"/>
        </w:rPr>
      </w:pP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62" w:name="_Toc503196197"/>
      <w:bookmarkStart w:id="1063" w:name="_Toc506107356"/>
      <w:bookmarkStart w:id="1064"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62"/>
      <w:bookmarkEnd w:id="1063"/>
      <w:bookmarkEnd w:id="106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70C33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3B01ED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lang w:eastAsia="zh-CN"/>
        </w:rPr>
        <w:t>）项目管理机构</w:t>
      </w:r>
    </w:p>
    <w:p w14:paraId="254C31D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kern w:val="2"/>
          <w:sz w:val="28"/>
          <w:szCs w:val="28"/>
          <w:highlight w:val="none"/>
        </w:rPr>
      </w:pPr>
      <w:r>
        <w:rPr>
          <w:rFonts w:hint="eastAsia" w:ascii="黑体" w:hAnsi="宋体" w:eastAsia="黑体" w:cs="黑体"/>
          <w:b/>
          <w:bCs/>
          <w:kern w:val="2"/>
          <w:sz w:val="28"/>
          <w:szCs w:val="28"/>
          <w:highlight w:val="none"/>
          <w:lang w:val="en-US" w:eastAsia="zh-CN" w:bidi="ar"/>
        </w:rPr>
        <w:t>附表</w:t>
      </w:r>
      <w:r>
        <w:rPr>
          <w:rFonts w:hint="default" w:ascii="Arial" w:hAnsi="Arial" w:eastAsia="黑体" w:cs="Arial"/>
          <w:b/>
          <w:bCs/>
          <w:kern w:val="2"/>
          <w:sz w:val="28"/>
          <w:szCs w:val="28"/>
          <w:highlight w:val="none"/>
          <w:lang w:val="en-US" w:eastAsia="zh-CN" w:bidi="ar"/>
        </w:rPr>
        <w:t>1</w:t>
      </w:r>
      <w:r>
        <w:rPr>
          <w:rFonts w:hint="eastAsia" w:ascii="黑体" w:hAnsi="宋体" w:eastAsia="黑体" w:cs="黑体"/>
          <w:b/>
          <w:bCs/>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53D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8BB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职务</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CA849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姓名</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374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职称</w:t>
            </w:r>
          </w:p>
        </w:tc>
        <w:tc>
          <w:tcPr>
            <w:tcW w:w="65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B04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执业或职业资格证明</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E0D4B9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7A13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90F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0CF6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E049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5D9032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证书名称</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08CE7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级别</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A46EEA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证号</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35F1C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专业</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9CFDCF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养老保险</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205F99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539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B6E96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项目经理</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211F50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D310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D4FDD5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87CAAB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D09A4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BFF6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E4237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3AA7E4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0055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ABA2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技术负责人</w:t>
            </w: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119A2A1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65099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FECC85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C2E211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C68E9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4B7E56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7C56937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2F88B18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19C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B81F5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01D03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76B3C0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66F5BF4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47B29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492D3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F77BAC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2DE80D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5C5FDF5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4052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B3172D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92946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B7271D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11933D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EDAE8B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57E4370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20C747A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0A6491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7EE174C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747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74CFD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4A8881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F04902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65BB8E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26C139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D1B89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22EC113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7F83BA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68E66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7A6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58912F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957CF4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B13356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47AD3F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FA0834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50875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479B8D6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46EB226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37CEA2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bl>
    <w:p w14:paraId="30965F5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b/>
          <w:bCs w:val="0"/>
          <w:kern w:val="2"/>
          <w:sz w:val="21"/>
          <w:szCs w:val="21"/>
          <w:highlight w:val="none"/>
          <w:lang w:val="en-US" w:eastAsia="zh-CN" w:bidi="ar"/>
        </w:rPr>
        <w:t>备注：</w:t>
      </w:r>
      <w:r>
        <w:rPr>
          <w:rFonts w:hint="eastAsia" w:ascii="宋体" w:hAnsi="宋体" w:eastAsia="宋体" w:cs="宋体"/>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kern w:val="2"/>
          <w:sz w:val="21"/>
          <w:szCs w:val="21"/>
          <w:highlight w:val="none"/>
          <w:lang w:val="en-US" w:eastAsia="zh-CN" w:bidi="ar"/>
        </w:rPr>
        <w:t>2019</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1112 </w:t>
      </w:r>
      <w:r>
        <w:rPr>
          <w:rFonts w:hint="eastAsia" w:ascii="宋体" w:hAnsi="宋体" w:eastAsia="宋体" w:cs="宋体"/>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AA2D769">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13FA8CD3">
      <w:pPr>
        <w:rPr>
          <w:rFonts w:hint="eastAsia" w:ascii="黑体" w:hAnsi="宋体" w:eastAsia="黑体" w:cs="黑体"/>
          <w:b/>
          <w:bCs/>
          <w:kern w:val="2"/>
          <w:sz w:val="28"/>
          <w:szCs w:val="28"/>
          <w:highlight w:val="none"/>
          <w:lang w:val="en-US" w:eastAsia="zh-CN" w:bidi="ar"/>
        </w:rPr>
      </w:pPr>
      <w:r>
        <w:rPr>
          <w:rFonts w:hint="eastAsia" w:ascii="黑体" w:hAnsi="宋体" w:eastAsia="黑体" w:cs="黑体"/>
          <w:b/>
          <w:bCs/>
          <w:kern w:val="2"/>
          <w:sz w:val="28"/>
          <w:szCs w:val="28"/>
          <w:highlight w:val="none"/>
          <w:lang w:val="en-US" w:eastAsia="zh-CN" w:bidi="ar"/>
        </w:rPr>
        <w:br w:type="page"/>
      </w:r>
    </w:p>
    <w:p w14:paraId="6CCF32F9">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kern w:val="2"/>
          <w:sz w:val="23"/>
          <w:szCs w:val="23"/>
          <w:highlight w:val="none"/>
        </w:rPr>
      </w:pPr>
      <w:r>
        <w:rPr>
          <w:rFonts w:hint="eastAsia" w:ascii="黑体" w:hAnsi="宋体" w:eastAsia="黑体" w:cs="黑体"/>
          <w:b/>
          <w:bCs/>
          <w:kern w:val="2"/>
          <w:sz w:val="28"/>
          <w:szCs w:val="28"/>
          <w:highlight w:val="none"/>
          <w:lang w:val="en-US" w:eastAsia="zh-CN" w:bidi="ar"/>
        </w:rPr>
        <w:t>附表</w:t>
      </w:r>
      <w:r>
        <w:rPr>
          <w:rFonts w:hint="default" w:ascii="Arial" w:hAnsi="Arial" w:eastAsia="黑体" w:cs="Arial"/>
          <w:b/>
          <w:bCs/>
          <w:kern w:val="2"/>
          <w:sz w:val="28"/>
          <w:szCs w:val="28"/>
          <w:highlight w:val="none"/>
          <w:lang w:val="en-US" w:eastAsia="zh-CN" w:bidi="ar"/>
        </w:rPr>
        <w:t>2</w:t>
      </w:r>
      <w:r>
        <w:rPr>
          <w:rFonts w:hint="eastAsia" w:ascii="黑体" w:hAnsi="宋体" w:eastAsia="黑体" w:cs="黑体"/>
          <w:b/>
          <w:bCs/>
          <w:kern w:val="2"/>
          <w:sz w:val="28"/>
          <w:szCs w:val="28"/>
          <w:highlight w:val="none"/>
          <w:lang w:val="en-US" w:eastAsia="zh-CN" w:bidi="ar"/>
        </w:rPr>
        <w:t>：拟任项目经理简历表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5B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6DF0B6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姓</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CA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1E095E3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年</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0CE12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0F9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学历</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624B770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p>
        </w:tc>
      </w:tr>
      <w:tr w14:paraId="12E2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18C6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称</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DD0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D95803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401D2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0941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拟在本合同任职</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0AB34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p>
        </w:tc>
      </w:tr>
      <w:tr w14:paraId="775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D34E2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毕业学校</w:t>
            </w:r>
          </w:p>
        </w:tc>
        <w:tc>
          <w:tcPr>
            <w:tcW w:w="805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F3194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年毕业于</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学校</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专业</w:t>
            </w:r>
          </w:p>
        </w:tc>
      </w:tr>
      <w:tr w14:paraId="1B1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37DF7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主要工作经历</w:t>
            </w:r>
          </w:p>
        </w:tc>
      </w:tr>
      <w:tr w14:paraId="037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0FF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时</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间</w:t>
            </w: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E099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参加过的类似项目</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D8A11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担任职务</w:t>
            </w: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5309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发包人及联系电话</w:t>
            </w:r>
          </w:p>
        </w:tc>
      </w:tr>
      <w:tr w14:paraId="6E07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D7A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CA6A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7949EC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A9B9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DD6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8E7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B358CA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F9295C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01D10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73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E64B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533E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0E46FB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F7205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9A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E6139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61CCB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A4563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35848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E94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EC4A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7782BE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FC416B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E029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EFF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170A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C5D321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C44433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691D9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339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E8B91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08040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6EEEE1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04C42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EAE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AE519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5CF83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6C3C4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595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7FF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4AFA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B96571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1ED9F8C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FE5C46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bl>
    <w:p w14:paraId="42AA4397">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kern w:val="2"/>
          <w:sz w:val="28"/>
          <w:szCs w:val="28"/>
          <w:highlight w:val="none"/>
        </w:rPr>
      </w:pPr>
      <w:r>
        <w:rPr>
          <w:rFonts w:hint="eastAsia" w:ascii="Arial" w:hAnsi="Arial" w:eastAsia="黑体" w:cs="Times New Roman"/>
          <w:b/>
          <w:bCs/>
          <w:kern w:val="2"/>
          <w:sz w:val="28"/>
          <w:szCs w:val="28"/>
          <w:highlight w:val="none"/>
          <w:lang w:val="en-US" w:eastAsia="zh-CN" w:bidi="ar"/>
        </w:rPr>
        <w:t xml:space="preserve"> </w:t>
      </w:r>
    </w:p>
    <w:p w14:paraId="619E7FC8">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kern w:val="2"/>
          <w:sz w:val="23"/>
          <w:szCs w:val="23"/>
          <w:highlight w:val="none"/>
        </w:rPr>
      </w:pPr>
      <w:r>
        <w:rPr>
          <w:rFonts w:hint="eastAsia" w:ascii="Arial" w:hAnsi="Arial" w:eastAsia="黑体" w:cs="Times New Roman"/>
          <w:b/>
          <w:bCs/>
          <w:kern w:val="2"/>
          <w:sz w:val="28"/>
          <w:szCs w:val="28"/>
          <w:highlight w:val="none"/>
          <w:lang w:val="en-US" w:eastAsia="zh-CN" w:bidi="ar"/>
        </w:rPr>
        <w:br w:type="page"/>
      </w:r>
      <w:r>
        <w:rPr>
          <w:rFonts w:hint="eastAsia" w:ascii="黑体" w:hAnsi="宋体" w:eastAsia="黑体" w:cs="黑体"/>
          <w:b/>
          <w:bCs/>
          <w:kern w:val="2"/>
          <w:sz w:val="28"/>
          <w:szCs w:val="28"/>
          <w:highlight w:val="none"/>
          <w:lang w:val="en-US" w:eastAsia="zh-CN" w:bidi="ar"/>
        </w:rPr>
        <w:t>附表</w:t>
      </w:r>
      <w:r>
        <w:rPr>
          <w:rFonts w:hint="default" w:ascii="Arial" w:hAnsi="Arial" w:eastAsia="黑体" w:cs="Arial"/>
          <w:b/>
          <w:bCs/>
          <w:kern w:val="2"/>
          <w:sz w:val="28"/>
          <w:szCs w:val="28"/>
          <w:highlight w:val="none"/>
          <w:lang w:val="en-US" w:eastAsia="zh-CN" w:bidi="ar"/>
        </w:rPr>
        <w:t>3</w:t>
      </w:r>
      <w:r>
        <w:rPr>
          <w:rFonts w:hint="eastAsia" w:ascii="黑体" w:hAnsi="宋体" w:eastAsia="黑体" w:cs="黑体"/>
          <w:b/>
          <w:bCs/>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EC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CC59B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姓</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C537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08F61F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年</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D307E8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D0E8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学历</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3DF2A12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p>
        </w:tc>
      </w:tr>
      <w:tr w14:paraId="473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105B34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称</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1A9A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54FD6B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务</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4135E9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4A7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拟在本合同任职</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0BA809A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p>
        </w:tc>
      </w:tr>
      <w:tr w14:paraId="038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67F82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毕业学校</w:t>
            </w:r>
          </w:p>
        </w:tc>
        <w:tc>
          <w:tcPr>
            <w:tcW w:w="809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DE830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年毕业于</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学校</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专业</w:t>
            </w:r>
          </w:p>
        </w:tc>
      </w:tr>
      <w:tr w14:paraId="519F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26914C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主要工作经历</w:t>
            </w:r>
          </w:p>
        </w:tc>
      </w:tr>
      <w:tr w14:paraId="61B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CFA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时</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间</w:t>
            </w: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99E9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参加过的类似项目</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2A334AE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担任职务</w:t>
            </w: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7E2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发包人及联系电话</w:t>
            </w:r>
          </w:p>
        </w:tc>
      </w:tr>
      <w:tr w14:paraId="71D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88A5F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2E1B7D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D7BF2D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0D8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3F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EE67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62AF69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44F2229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57CB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2D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906E4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A14E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07CA7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0E26FB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2F1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6F609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773C44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99FBDF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19F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21C6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7031B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1DC0D5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D1EB86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77EF5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22A8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1C67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77FF4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091166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F996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21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8A08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6C504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D33CC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3EA3F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2C5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1B46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0C2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709D9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3FBB6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5F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4C56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312D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6549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505C5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22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0899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7BC6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1C5583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1375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bl>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1065" w:name="_Toc35424973"/>
      <w:bookmarkStart w:id="1066" w:name="_Toc35425139"/>
      <w:bookmarkStart w:id="1067" w:name="_Toc19174"/>
      <w:bookmarkStart w:id="1068" w:name="_Toc78803401"/>
      <w:r>
        <w:rPr>
          <w:rStyle w:val="65"/>
          <w:rFonts w:hint="eastAsia" w:ascii="宋体" w:hAnsi="宋体" w:cs="宋体"/>
          <w:color w:val="auto"/>
          <w:sz w:val="32"/>
          <w:highlight w:val="none"/>
        </w:rPr>
        <w:br w:type="page"/>
      </w:r>
      <w:bookmarkStart w:id="1069" w:name="_Toc19057"/>
      <w:bookmarkStart w:id="1070" w:name="_Toc27877"/>
      <w:bookmarkStart w:id="1071" w:name="_Toc26670"/>
      <w:r>
        <w:rPr>
          <w:rStyle w:val="65"/>
          <w:rFonts w:hint="eastAsia" w:ascii="宋体" w:hAnsi="宋体" w:cs="宋体"/>
          <w:color w:val="auto"/>
          <w:sz w:val="32"/>
          <w:highlight w:val="none"/>
        </w:rPr>
        <w:t>投标文件</w:t>
      </w:r>
      <w:bookmarkEnd w:id="1065"/>
      <w:bookmarkEnd w:id="1066"/>
      <w:bookmarkEnd w:id="1067"/>
      <w:r>
        <w:rPr>
          <w:rStyle w:val="65"/>
          <w:rFonts w:hint="eastAsia" w:ascii="宋体" w:hAnsi="宋体" w:cs="宋体"/>
          <w:color w:val="auto"/>
          <w:sz w:val="32"/>
          <w:highlight w:val="none"/>
          <w:lang w:val="en-US"/>
        </w:rPr>
        <w:t>二</w:t>
      </w:r>
      <w:r>
        <w:rPr>
          <w:rStyle w:val="65"/>
          <w:rFonts w:hint="eastAsia" w:ascii="宋体" w:hAnsi="宋体" w:cs="宋体"/>
          <w:color w:val="auto"/>
          <w:sz w:val="32"/>
          <w:highlight w:val="none"/>
        </w:rPr>
        <w:t>：商务标目录</w:t>
      </w:r>
      <w:bookmarkEnd w:id="1068"/>
    </w:p>
    <w:bookmarkEnd w:id="1069"/>
    <w:bookmarkEnd w:id="1070"/>
    <w:bookmarkEnd w:id="107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72" w:name="_Toc15058950"/>
      <w:bookmarkStart w:id="1073" w:name="_Toc506107366"/>
      <w:bookmarkStart w:id="1074" w:name="_Toc35425140"/>
      <w:bookmarkStart w:id="1075"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7"/>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标准，绿化成活率100%。</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color w:val="auto"/>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72"/>
      <w:bookmarkEnd w:id="1073"/>
      <w:bookmarkEnd w:id="1074"/>
      <w:bookmarkEnd w:id="1075"/>
      <w:bookmarkStart w:id="1076" w:name="_Toc78803402"/>
    </w:p>
    <w:p w14:paraId="489D056E">
      <w:pPr>
        <w:pStyle w:val="43"/>
        <w:spacing w:beforeLines="50" w:afterLines="50" w:line="440" w:lineRule="exact"/>
        <w:rPr>
          <w:bCs/>
          <w:color w:val="auto"/>
          <w:szCs w:val="32"/>
          <w:highlight w:val="none"/>
        </w:rPr>
      </w:pPr>
      <w:bookmarkStart w:id="1077" w:name="_Toc15593"/>
      <w:bookmarkStart w:id="1078" w:name="_Toc8955"/>
      <w:bookmarkStart w:id="1079" w:name="_Toc29114"/>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1076"/>
      <w:bookmarkEnd w:id="1077"/>
      <w:bookmarkEnd w:id="1078"/>
      <w:bookmarkEnd w:id="1079"/>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2025年口袋公园项目一期：清流路与西涧路交口东南角项目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滁州市园林景观管理中心</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白蕾</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0550-3010967</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6" w:type="default"/>
      <w:footerReference r:id="rId7"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FDF7">
    <w:pPr>
      <w:pStyle w:val="3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006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E006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6FD89A1">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52B3C79"/>
    <w:multiLevelType w:val="singleLevel"/>
    <w:tmpl w:val="152B3C79"/>
    <w:lvl w:ilvl="0" w:tentative="0">
      <w:start w:val="1"/>
      <w:numFmt w:val="decimal"/>
      <w:suff w:val="nothing"/>
      <w:lvlText w:val="（%1）"/>
      <w:lvlJc w:val="left"/>
    </w:lvl>
  </w:abstractNum>
  <w:abstractNum w:abstractNumId="4">
    <w:nsid w:val="173022FA"/>
    <w:multiLevelType w:val="multilevel"/>
    <w:tmpl w:val="173022F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396F"/>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3D09D3"/>
    <w:rsid w:val="04533461"/>
    <w:rsid w:val="045E0D7F"/>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63A76"/>
    <w:rsid w:val="05962A91"/>
    <w:rsid w:val="05A174D0"/>
    <w:rsid w:val="05A306C5"/>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4B0232"/>
    <w:rsid w:val="0652465D"/>
    <w:rsid w:val="06606ACF"/>
    <w:rsid w:val="06632C8A"/>
    <w:rsid w:val="066C44D0"/>
    <w:rsid w:val="066F0F20"/>
    <w:rsid w:val="06780BE4"/>
    <w:rsid w:val="067D77AC"/>
    <w:rsid w:val="0688298E"/>
    <w:rsid w:val="06913258"/>
    <w:rsid w:val="06A8306B"/>
    <w:rsid w:val="06A978A6"/>
    <w:rsid w:val="06B55198"/>
    <w:rsid w:val="06BA577F"/>
    <w:rsid w:val="06C373A0"/>
    <w:rsid w:val="06CA61EA"/>
    <w:rsid w:val="06CE3AAD"/>
    <w:rsid w:val="06D3256B"/>
    <w:rsid w:val="06E93094"/>
    <w:rsid w:val="06FB5013"/>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1347DF"/>
    <w:rsid w:val="08236132"/>
    <w:rsid w:val="0824157E"/>
    <w:rsid w:val="082A5712"/>
    <w:rsid w:val="08365D8B"/>
    <w:rsid w:val="083932FD"/>
    <w:rsid w:val="083C1D74"/>
    <w:rsid w:val="08442529"/>
    <w:rsid w:val="084C5688"/>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4C0719"/>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D1EAC"/>
    <w:rsid w:val="0BCF142C"/>
    <w:rsid w:val="0BDC319A"/>
    <w:rsid w:val="0BE669AA"/>
    <w:rsid w:val="0BFB783E"/>
    <w:rsid w:val="0BFD5373"/>
    <w:rsid w:val="0BFD6481"/>
    <w:rsid w:val="0BFE68ED"/>
    <w:rsid w:val="0C0F0CD9"/>
    <w:rsid w:val="0C230DF6"/>
    <w:rsid w:val="0C566AD6"/>
    <w:rsid w:val="0C631998"/>
    <w:rsid w:val="0C6821F6"/>
    <w:rsid w:val="0C757885"/>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88550F"/>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0D362F"/>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27AB4"/>
    <w:rsid w:val="13F85DC5"/>
    <w:rsid w:val="13FC3073"/>
    <w:rsid w:val="14002DA6"/>
    <w:rsid w:val="141601C0"/>
    <w:rsid w:val="14183270"/>
    <w:rsid w:val="141D447E"/>
    <w:rsid w:val="141D6B0B"/>
    <w:rsid w:val="142D6F89"/>
    <w:rsid w:val="14353353"/>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123496"/>
    <w:rsid w:val="15214D63"/>
    <w:rsid w:val="153E6FE7"/>
    <w:rsid w:val="15535F3F"/>
    <w:rsid w:val="155C3CBE"/>
    <w:rsid w:val="15697093"/>
    <w:rsid w:val="15760076"/>
    <w:rsid w:val="157E5DA4"/>
    <w:rsid w:val="159F6FD6"/>
    <w:rsid w:val="15A5462A"/>
    <w:rsid w:val="15B01BBF"/>
    <w:rsid w:val="15B55AAF"/>
    <w:rsid w:val="15EC3B3E"/>
    <w:rsid w:val="15F1786F"/>
    <w:rsid w:val="15F24B15"/>
    <w:rsid w:val="15F46C2A"/>
    <w:rsid w:val="15FA6724"/>
    <w:rsid w:val="160202FE"/>
    <w:rsid w:val="16121567"/>
    <w:rsid w:val="16175528"/>
    <w:rsid w:val="16236B8C"/>
    <w:rsid w:val="16257519"/>
    <w:rsid w:val="162D4D4B"/>
    <w:rsid w:val="16314110"/>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93346E"/>
    <w:rsid w:val="18AE37F5"/>
    <w:rsid w:val="18BE3F0D"/>
    <w:rsid w:val="18C140E3"/>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1A3C2D"/>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2B1BBA"/>
    <w:rsid w:val="2132760F"/>
    <w:rsid w:val="213F7E47"/>
    <w:rsid w:val="21592FEC"/>
    <w:rsid w:val="215B2DFE"/>
    <w:rsid w:val="215C5CD9"/>
    <w:rsid w:val="215F2E6D"/>
    <w:rsid w:val="21787096"/>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C16A9A"/>
    <w:rsid w:val="23C465C3"/>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E0BEE"/>
    <w:rsid w:val="249222CA"/>
    <w:rsid w:val="249B49DE"/>
    <w:rsid w:val="249D1168"/>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8394C"/>
    <w:rsid w:val="277C7F9A"/>
    <w:rsid w:val="279D2924"/>
    <w:rsid w:val="27A52E1A"/>
    <w:rsid w:val="27AC7A9A"/>
    <w:rsid w:val="27BF60E1"/>
    <w:rsid w:val="27C53958"/>
    <w:rsid w:val="27D36D37"/>
    <w:rsid w:val="27DA4B73"/>
    <w:rsid w:val="27DC037F"/>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45255"/>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2BFD"/>
    <w:rsid w:val="2A530EDF"/>
    <w:rsid w:val="2A574428"/>
    <w:rsid w:val="2A5F6992"/>
    <w:rsid w:val="2A7949E3"/>
    <w:rsid w:val="2A80647C"/>
    <w:rsid w:val="2A8E62B6"/>
    <w:rsid w:val="2A9572CC"/>
    <w:rsid w:val="2A9E13F0"/>
    <w:rsid w:val="2AA9206F"/>
    <w:rsid w:val="2AB209DF"/>
    <w:rsid w:val="2AD81233"/>
    <w:rsid w:val="2AD90BA6"/>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566D"/>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DF3360"/>
    <w:rsid w:val="2DE81100"/>
    <w:rsid w:val="2DF47AA5"/>
    <w:rsid w:val="2DF6381D"/>
    <w:rsid w:val="2DF6788C"/>
    <w:rsid w:val="2DFB0019"/>
    <w:rsid w:val="2E0D1588"/>
    <w:rsid w:val="2E3944B7"/>
    <w:rsid w:val="2E4749F8"/>
    <w:rsid w:val="2E4C1B78"/>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A0258"/>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00B55"/>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C0746E"/>
    <w:rsid w:val="37D848CF"/>
    <w:rsid w:val="37DA41AF"/>
    <w:rsid w:val="37DB157C"/>
    <w:rsid w:val="37DB3C7D"/>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C7179"/>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245A63"/>
    <w:rsid w:val="3D254E4B"/>
    <w:rsid w:val="3D36346C"/>
    <w:rsid w:val="3D4269DA"/>
    <w:rsid w:val="3D430EA3"/>
    <w:rsid w:val="3D4402AC"/>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0209B"/>
    <w:rsid w:val="3E463101"/>
    <w:rsid w:val="3E5315CE"/>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1B86"/>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E516B"/>
    <w:rsid w:val="417D2B69"/>
    <w:rsid w:val="418812BB"/>
    <w:rsid w:val="418D4040"/>
    <w:rsid w:val="419E7FFC"/>
    <w:rsid w:val="419F3079"/>
    <w:rsid w:val="41AE3A67"/>
    <w:rsid w:val="41C95125"/>
    <w:rsid w:val="41E27AF9"/>
    <w:rsid w:val="41EA02ED"/>
    <w:rsid w:val="42075BA1"/>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E06CB"/>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846E9"/>
    <w:rsid w:val="46893028"/>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FF6999"/>
    <w:rsid w:val="4B0E61F2"/>
    <w:rsid w:val="4B21257E"/>
    <w:rsid w:val="4B290FE3"/>
    <w:rsid w:val="4B295DF2"/>
    <w:rsid w:val="4B322207"/>
    <w:rsid w:val="4B3B5793"/>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2E3D"/>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AC0A3B"/>
    <w:rsid w:val="4DB92102"/>
    <w:rsid w:val="4DBA3E20"/>
    <w:rsid w:val="4DBC5B64"/>
    <w:rsid w:val="4DC679DB"/>
    <w:rsid w:val="4DE61D12"/>
    <w:rsid w:val="4DF1146E"/>
    <w:rsid w:val="4DF53699"/>
    <w:rsid w:val="4DF82017"/>
    <w:rsid w:val="4DFF4A01"/>
    <w:rsid w:val="4E0E661C"/>
    <w:rsid w:val="4E1E3790"/>
    <w:rsid w:val="4E234053"/>
    <w:rsid w:val="4E2E44B5"/>
    <w:rsid w:val="4E4C57ED"/>
    <w:rsid w:val="4E5505A6"/>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656A0"/>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1E1403"/>
    <w:rsid w:val="552038EC"/>
    <w:rsid w:val="5520724E"/>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B7174F"/>
    <w:rsid w:val="56CF2574"/>
    <w:rsid w:val="56CF424D"/>
    <w:rsid w:val="56DE4C00"/>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8436A"/>
    <w:rsid w:val="5AF80AC2"/>
    <w:rsid w:val="5AFE3E43"/>
    <w:rsid w:val="5B072DB6"/>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83847"/>
    <w:rsid w:val="5D83037A"/>
    <w:rsid w:val="5D9941C1"/>
    <w:rsid w:val="5DA570B1"/>
    <w:rsid w:val="5DA92832"/>
    <w:rsid w:val="5DAE502B"/>
    <w:rsid w:val="5DB03139"/>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530EF"/>
    <w:rsid w:val="5EA06D09"/>
    <w:rsid w:val="5EA53C9A"/>
    <w:rsid w:val="5EB822A5"/>
    <w:rsid w:val="5EBC7F37"/>
    <w:rsid w:val="5ECB647C"/>
    <w:rsid w:val="5ECE7D1A"/>
    <w:rsid w:val="5ED36C86"/>
    <w:rsid w:val="5EDA60B0"/>
    <w:rsid w:val="5EE35A57"/>
    <w:rsid w:val="5F1645A7"/>
    <w:rsid w:val="5F49114F"/>
    <w:rsid w:val="5F6A54DD"/>
    <w:rsid w:val="5F815969"/>
    <w:rsid w:val="5F8B4FA7"/>
    <w:rsid w:val="5F9B72D1"/>
    <w:rsid w:val="5FA61366"/>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465D10"/>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2C5AA8"/>
    <w:rsid w:val="633D315E"/>
    <w:rsid w:val="63504ABF"/>
    <w:rsid w:val="63517786"/>
    <w:rsid w:val="636447A9"/>
    <w:rsid w:val="637052D7"/>
    <w:rsid w:val="638438AF"/>
    <w:rsid w:val="6388739F"/>
    <w:rsid w:val="6389099E"/>
    <w:rsid w:val="63894210"/>
    <w:rsid w:val="63954DAA"/>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D75C06"/>
    <w:rsid w:val="68EF70C5"/>
    <w:rsid w:val="68F22D9F"/>
    <w:rsid w:val="69162C86"/>
    <w:rsid w:val="69180AD7"/>
    <w:rsid w:val="69214083"/>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44F0F"/>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A5FFD"/>
    <w:rsid w:val="6FB37BE5"/>
    <w:rsid w:val="6FBB1BF5"/>
    <w:rsid w:val="6FC2450B"/>
    <w:rsid w:val="6FC7059A"/>
    <w:rsid w:val="6FCA64CD"/>
    <w:rsid w:val="6FE112C4"/>
    <w:rsid w:val="6FF069FB"/>
    <w:rsid w:val="6FF36A80"/>
    <w:rsid w:val="6FFB0619"/>
    <w:rsid w:val="6FFD7D02"/>
    <w:rsid w:val="6FFE5F86"/>
    <w:rsid w:val="70020E6A"/>
    <w:rsid w:val="70027824"/>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28537F"/>
    <w:rsid w:val="743138C9"/>
    <w:rsid w:val="74346455"/>
    <w:rsid w:val="74497E8D"/>
    <w:rsid w:val="744F70D5"/>
    <w:rsid w:val="74542618"/>
    <w:rsid w:val="746B1062"/>
    <w:rsid w:val="74836A59"/>
    <w:rsid w:val="74890514"/>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144B8"/>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2C4CC9"/>
    <w:rsid w:val="79315979"/>
    <w:rsid w:val="793D4D17"/>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E52DF"/>
    <w:rsid w:val="7ECF7C45"/>
    <w:rsid w:val="7ED82860"/>
    <w:rsid w:val="7EED4BDD"/>
    <w:rsid w:val="7EF45DB1"/>
    <w:rsid w:val="7EFD2358"/>
    <w:rsid w:val="7EFF5324"/>
    <w:rsid w:val="7F03165A"/>
    <w:rsid w:val="7F077A20"/>
    <w:rsid w:val="7F077BC2"/>
    <w:rsid w:val="7F09267A"/>
    <w:rsid w:val="7F1A681E"/>
    <w:rsid w:val="7F2B23E6"/>
    <w:rsid w:val="7F2B4123"/>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103</Pages>
  <Words>2094</Words>
  <Characters>2737</Characters>
  <Lines>1</Lines>
  <Paragraphs>1</Paragraphs>
  <TotalTime>4</TotalTime>
  <ScaleCrop>false</ScaleCrop>
  <LinksUpToDate>false</LinksUpToDate>
  <CharactersWithSpaces>2817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2026-04-15T05:50:54Z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