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148CC9">
      <w:pPr>
        <w:jc w:val="center"/>
        <w:rPr>
          <w:rFonts w:ascii="宋体" w:hAnsi="宋体" w:cs="宋体"/>
          <w:b/>
          <w:kern w:val="0"/>
          <w:sz w:val="44"/>
          <w:szCs w:val="44"/>
          <w:highlight w:val="none"/>
        </w:rPr>
      </w:pPr>
      <w:bookmarkStart w:id="0" w:name="_Toc461631222"/>
      <w:bookmarkStart w:id="1" w:name="_Toc296602400"/>
      <w:bookmarkStart w:id="2" w:name="_Toc506107265"/>
      <w:bookmarkStart w:id="3" w:name="_Toc15058843"/>
      <w:bookmarkStart w:id="4" w:name="_Toc324404811"/>
      <w:bookmarkStart w:id="5" w:name="_Toc247085669"/>
      <w:bookmarkStart w:id="6" w:name="_Toc246996898"/>
      <w:bookmarkStart w:id="7" w:name="OLE_LINK3"/>
      <w:bookmarkStart w:id="8" w:name="OLE_LINK4"/>
      <w:bookmarkStart w:id="9" w:name="OLE_LINK1"/>
      <w:bookmarkStart w:id="10" w:name="OLE_LINK2"/>
      <w:bookmarkStart w:id="11" w:name="OLE_LINK5"/>
    </w:p>
    <w:p w14:paraId="03BEA7F1">
      <w:pPr>
        <w:pStyle w:val="14"/>
        <w:ind w:firstLine="420"/>
        <w:rPr>
          <w:highlight w:val="none"/>
        </w:rPr>
      </w:pPr>
    </w:p>
    <w:p w14:paraId="183E3389">
      <w:pPr>
        <w:pStyle w:val="14"/>
        <w:ind w:left="0" w:leftChars="0" w:firstLine="0" w:firstLineChars="0"/>
        <w:jc w:val="center"/>
        <w:rPr>
          <w:color w:val="auto"/>
          <w:sz w:val="22"/>
          <w:szCs w:val="21"/>
          <w:highlight w:val="none"/>
        </w:rPr>
      </w:pPr>
      <w:r>
        <w:rPr>
          <w:rFonts w:hint="eastAsia" w:hAnsi="宋体" w:cs="宋体"/>
          <w:b/>
          <w:color w:val="auto"/>
          <w:kern w:val="0"/>
          <w:sz w:val="44"/>
          <w:szCs w:val="44"/>
          <w:highlight w:val="none"/>
          <w:lang w:eastAsia="zh-CN"/>
        </w:rPr>
        <w:t>2026年度滁城充电基础设施项目（第二批次）施工</w:t>
      </w:r>
    </w:p>
    <w:p w14:paraId="1C9996FB">
      <w:pPr>
        <w:jc w:val="center"/>
        <w:rPr>
          <w:rFonts w:ascii="宋体" w:hAnsi="宋体"/>
          <w:color w:val="auto"/>
          <w:sz w:val="96"/>
          <w:szCs w:val="96"/>
          <w:highlight w:val="none"/>
        </w:rPr>
      </w:pPr>
    </w:p>
    <w:p w14:paraId="2A2621CC">
      <w:pPr>
        <w:pStyle w:val="14"/>
        <w:rPr>
          <w:highlight w:val="none"/>
        </w:rPr>
      </w:pPr>
    </w:p>
    <w:p w14:paraId="4BB8E937">
      <w:pPr>
        <w:jc w:val="center"/>
        <w:rPr>
          <w:color w:val="auto"/>
          <w:sz w:val="28"/>
          <w:szCs w:val="28"/>
          <w:highlight w:val="none"/>
        </w:rPr>
      </w:pPr>
      <w:r>
        <w:rPr>
          <w:rFonts w:hint="eastAsia" w:ascii="宋体" w:hAnsi="宋体"/>
          <w:b/>
          <w:bCs/>
          <w:color w:val="auto"/>
          <w:sz w:val="96"/>
          <w:szCs w:val="96"/>
          <w:highlight w:val="none"/>
        </w:rPr>
        <w:t>招</w:t>
      </w:r>
      <w:r>
        <w:rPr>
          <w:rFonts w:hint="eastAsia" w:ascii="宋体" w:hAnsi="宋体"/>
          <w:b/>
          <w:bCs/>
          <w:color w:val="auto"/>
          <w:sz w:val="96"/>
          <w:szCs w:val="96"/>
          <w:highlight w:val="none"/>
          <w:lang w:val="en-US" w:eastAsia="zh-CN"/>
        </w:rPr>
        <w:t xml:space="preserve"> </w:t>
      </w:r>
      <w:r>
        <w:rPr>
          <w:rFonts w:hint="eastAsia" w:ascii="宋体"/>
          <w:b/>
          <w:bCs/>
          <w:color w:val="auto"/>
          <w:sz w:val="96"/>
          <w:szCs w:val="96"/>
          <w:highlight w:val="none"/>
        </w:rPr>
        <w:t>标</w:t>
      </w:r>
      <w:r>
        <w:rPr>
          <w:rFonts w:hint="eastAsia" w:ascii="宋体"/>
          <w:b/>
          <w:bCs/>
          <w:color w:val="auto"/>
          <w:sz w:val="96"/>
          <w:szCs w:val="96"/>
          <w:highlight w:val="none"/>
          <w:lang w:val="en-US" w:eastAsia="zh-CN"/>
        </w:rPr>
        <w:t xml:space="preserve"> </w:t>
      </w:r>
      <w:r>
        <w:rPr>
          <w:rFonts w:hint="eastAsia" w:ascii="宋体" w:hAnsi="宋体"/>
          <w:b/>
          <w:bCs/>
          <w:color w:val="auto"/>
          <w:sz w:val="96"/>
          <w:szCs w:val="96"/>
          <w:highlight w:val="none"/>
        </w:rPr>
        <w:t>文</w:t>
      </w:r>
      <w:r>
        <w:rPr>
          <w:rFonts w:hint="eastAsia" w:ascii="宋体" w:hAnsi="宋体"/>
          <w:b/>
          <w:bCs/>
          <w:color w:val="auto"/>
          <w:sz w:val="96"/>
          <w:szCs w:val="96"/>
          <w:highlight w:val="none"/>
          <w:lang w:val="en-US" w:eastAsia="zh-CN"/>
        </w:rPr>
        <w:t xml:space="preserve"> </w:t>
      </w:r>
      <w:r>
        <w:rPr>
          <w:rFonts w:hint="eastAsia" w:ascii="宋体" w:hAnsi="宋体"/>
          <w:b/>
          <w:bCs/>
          <w:color w:val="auto"/>
          <w:sz w:val="96"/>
          <w:szCs w:val="96"/>
          <w:highlight w:val="none"/>
        </w:rPr>
        <w:t>件</w:t>
      </w:r>
    </w:p>
    <w:p w14:paraId="201544BF">
      <w:pPr>
        <w:spacing w:line="400" w:lineRule="exact"/>
        <w:jc w:val="center"/>
        <w:rPr>
          <w:rFonts w:ascii="宋体" w:hAnsi="宋体"/>
          <w:b/>
          <w:color w:val="auto"/>
          <w:sz w:val="39"/>
          <w:highlight w:val="none"/>
        </w:rPr>
      </w:pPr>
    </w:p>
    <w:p w14:paraId="3187D452">
      <w:pPr>
        <w:spacing w:line="400" w:lineRule="exact"/>
        <w:jc w:val="center"/>
        <w:rPr>
          <w:rFonts w:hint="eastAsia" w:ascii="宋体" w:hAnsi="宋体" w:eastAsia="宋体" w:cs="宋体"/>
          <w:color w:val="auto"/>
          <w:sz w:val="32"/>
          <w:highlight w:val="none"/>
        </w:rPr>
      </w:pPr>
      <w:r>
        <w:rPr>
          <w:rFonts w:hint="eastAsia" w:ascii="宋体" w:hAnsi="宋体" w:eastAsia="宋体" w:cs="宋体"/>
          <w:color w:val="auto"/>
          <w:sz w:val="32"/>
          <w:highlight w:val="none"/>
        </w:rPr>
        <w:t>项目编号：HXJY1110001065629001</w:t>
      </w:r>
    </w:p>
    <w:p w14:paraId="307F53F6">
      <w:pPr>
        <w:pStyle w:val="14"/>
        <w:rPr>
          <w:color w:val="auto"/>
          <w:highlight w:val="none"/>
        </w:rPr>
      </w:pPr>
    </w:p>
    <w:p w14:paraId="691FE4D6">
      <w:pPr>
        <w:rPr>
          <w:color w:val="auto"/>
          <w:highlight w:val="none"/>
        </w:rPr>
      </w:pPr>
    </w:p>
    <w:p w14:paraId="7E411827">
      <w:pPr>
        <w:pStyle w:val="14"/>
        <w:rPr>
          <w:color w:val="auto"/>
          <w:highlight w:val="none"/>
        </w:rPr>
      </w:pPr>
    </w:p>
    <w:p w14:paraId="6CF62471">
      <w:pPr>
        <w:rPr>
          <w:color w:val="auto"/>
          <w:highlight w:val="none"/>
        </w:rPr>
      </w:pPr>
    </w:p>
    <w:p w14:paraId="276FE2C2">
      <w:pPr>
        <w:pStyle w:val="14"/>
        <w:rPr>
          <w:color w:val="auto"/>
          <w:highlight w:val="none"/>
        </w:rPr>
      </w:pPr>
    </w:p>
    <w:p w14:paraId="3BD0CE75">
      <w:pPr>
        <w:rPr>
          <w:color w:val="auto"/>
          <w:highlight w:val="none"/>
        </w:rPr>
      </w:pPr>
    </w:p>
    <w:p w14:paraId="31EEA548">
      <w:pPr>
        <w:pStyle w:val="14"/>
        <w:rPr>
          <w:highlight w:val="none"/>
        </w:rPr>
      </w:pPr>
    </w:p>
    <w:p w14:paraId="6EBADFFD">
      <w:pPr>
        <w:rPr>
          <w:highlight w:val="none"/>
        </w:rPr>
      </w:pPr>
    </w:p>
    <w:p w14:paraId="57C971B3">
      <w:pPr>
        <w:pStyle w:val="14"/>
        <w:rPr>
          <w:highlight w:val="none"/>
        </w:rPr>
      </w:pPr>
    </w:p>
    <w:p w14:paraId="00CEC72B">
      <w:pPr>
        <w:rPr>
          <w:highlight w:val="none"/>
        </w:rPr>
      </w:pPr>
    </w:p>
    <w:p w14:paraId="0FB3EFCA">
      <w:pPr>
        <w:pStyle w:val="14"/>
        <w:rPr>
          <w:highlight w:val="none"/>
        </w:rPr>
      </w:pPr>
    </w:p>
    <w:p w14:paraId="34E1CE7D">
      <w:pPr>
        <w:spacing w:line="720" w:lineRule="exact"/>
        <w:rPr>
          <w:b/>
          <w:bCs/>
          <w:color w:val="auto"/>
          <w:sz w:val="28"/>
          <w:szCs w:val="28"/>
          <w:highlight w:val="none"/>
        </w:rPr>
      </w:pPr>
    </w:p>
    <w:p w14:paraId="600C11DF">
      <w:pPr>
        <w:spacing w:line="800" w:lineRule="exact"/>
        <w:ind w:firstLine="600" w:firstLineChars="200"/>
        <w:rPr>
          <w:rFonts w:hint="default" w:ascii="宋体" w:hAnsi="Times New Roman" w:eastAsia="宋体" w:cs="Times New Roman"/>
          <w:sz w:val="30"/>
          <w:szCs w:val="30"/>
          <w:highlight w:val="none"/>
          <w:u w:val="single"/>
          <w:lang w:val="en-US" w:eastAsia="zh-CN"/>
        </w:rPr>
      </w:pPr>
      <w:r>
        <w:rPr>
          <w:rFonts w:hint="eastAsia"/>
          <w:bCs/>
          <w:color w:val="auto"/>
          <w:sz w:val="30"/>
          <w:szCs w:val="30"/>
          <w:highlight w:val="none"/>
        </w:rPr>
        <w:t>招</w:t>
      </w:r>
      <w:r>
        <w:rPr>
          <w:rFonts w:hint="eastAsia"/>
          <w:bCs/>
          <w:color w:val="auto"/>
          <w:sz w:val="30"/>
          <w:szCs w:val="30"/>
          <w:highlight w:val="none"/>
          <w:lang w:val="en-US" w:eastAsia="zh-CN"/>
        </w:rPr>
        <w:t xml:space="preserve">  </w:t>
      </w:r>
      <w:r>
        <w:rPr>
          <w:rFonts w:hint="eastAsia"/>
          <w:bCs/>
          <w:color w:val="auto"/>
          <w:sz w:val="30"/>
          <w:szCs w:val="30"/>
          <w:highlight w:val="none"/>
        </w:rPr>
        <w:t>标</w:t>
      </w:r>
      <w:r>
        <w:rPr>
          <w:rFonts w:hint="eastAsia"/>
          <w:bCs/>
          <w:color w:val="auto"/>
          <w:sz w:val="30"/>
          <w:szCs w:val="30"/>
          <w:highlight w:val="none"/>
          <w:lang w:val="en-US" w:eastAsia="zh-CN"/>
        </w:rPr>
        <w:t xml:space="preserve">  人</w:t>
      </w:r>
      <w:r>
        <w:rPr>
          <w:rFonts w:hint="eastAsia"/>
          <w:bCs/>
          <w:color w:val="auto"/>
          <w:sz w:val="30"/>
          <w:szCs w:val="30"/>
          <w:highlight w:val="none"/>
        </w:rPr>
        <w:t>：</w:t>
      </w:r>
      <w:r>
        <w:rPr>
          <w:rFonts w:hint="eastAsia"/>
          <w:bCs/>
          <w:color w:val="auto"/>
          <w:sz w:val="30"/>
          <w:szCs w:val="30"/>
          <w:highlight w:val="none"/>
          <w:u w:val="single"/>
          <w:lang w:val="en-US" w:eastAsia="zh-CN"/>
        </w:rPr>
        <w:t xml:space="preserve">    </w:t>
      </w:r>
      <w:r>
        <w:rPr>
          <w:rFonts w:hint="eastAsia" w:ascii="宋体" w:cs="Times New Roman"/>
          <w:sz w:val="30"/>
          <w:szCs w:val="30"/>
          <w:highlight w:val="none"/>
          <w:u w:val="single"/>
          <w:lang w:eastAsia="zh-CN"/>
        </w:rPr>
        <w:t>滁州工投新能源开发有限公司</w:t>
      </w:r>
      <w:r>
        <w:rPr>
          <w:rFonts w:hint="eastAsia" w:ascii="宋体" w:cs="Times New Roman"/>
          <w:sz w:val="30"/>
          <w:szCs w:val="30"/>
          <w:highlight w:val="none"/>
          <w:u w:val="single"/>
          <w:lang w:val="en-US" w:eastAsia="zh-CN"/>
        </w:rPr>
        <w:t xml:space="preserve">  </w:t>
      </w:r>
    </w:p>
    <w:p w14:paraId="2C39D907">
      <w:pPr>
        <w:spacing w:line="800" w:lineRule="exact"/>
        <w:ind w:firstLine="600" w:firstLineChars="200"/>
        <w:rPr>
          <w:bCs/>
          <w:spacing w:val="-20"/>
          <w:sz w:val="30"/>
          <w:szCs w:val="30"/>
          <w:highlight w:val="none"/>
          <w:u w:val="thick"/>
        </w:rPr>
      </w:pPr>
      <w:r>
        <w:rPr>
          <w:rFonts w:hint="eastAsia"/>
          <w:bCs/>
          <w:sz w:val="30"/>
          <w:szCs w:val="30"/>
          <w:highlight w:val="none"/>
        </w:rPr>
        <w:t>招标代理机构：</w:t>
      </w:r>
      <w:r>
        <w:rPr>
          <w:rFonts w:hint="eastAsia" w:ascii="宋体"/>
          <w:sz w:val="30"/>
          <w:szCs w:val="30"/>
          <w:highlight w:val="none"/>
          <w:u w:val="single"/>
        </w:rPr>
        <w:t>滁州市城投工程咨询管理有限公司</w:t>
      </w:r>
    </w:p>
    <w:p w14:paraId="529E7FC8">
      <w:pPr>
        <w:spacing w:line="720" w:lineRule="exact"/>
        <w:jc w:val="center"/>
        <w:rPr>
          <w:rFonts w:ascii="黑体" w:eastAsia="黑体"/>
          <w:b/>
          <w:color w:val="auto"/>
          <w:sz w:val="32"/>
          <w:szCs w:val="32"/>
          <w:highlight w:val="none"/>
        </w:rPr>
      </w:pPr>
      <w:r>
        <w:rPr>
          <w:rFonts w:ascii="宋体" w:hAnsi="宋体"/>
          <w:color w:val="auto"/>
          <w:sz w:val="30"/>
          <w:szCs w:val="30"/>
          <w:highlight w:val="none"/>
          <w:u w:val="single"/>
        </w:rPr>
        <w:t>202</w:t>
      </w:r>
      <w:r>
        <w:rPr>
          <w:rFonts w:hint="eastAsia" w:ascii="宋体" w:hAnsi="宋体"/>
          <w:color w:val="auto"/>
          <w:sz w:val="30"/>
          <w:szCs w:val="30"/>
          <w:highlight w:val="none"/>
          <w:u w:val="single"/>
          <w:lang w:val="en-US" w:eastAsia="zh-CN"/>
        </w:rPr>
        <w:t>6</w:t>
      </w:r>
      <w:r>
        <w:rPr>
          <w:rFonts w:hint="eastAsia" w:ascii="宋体" w:hAnsi="宋体"/>
          <w:color w:val="auto"/>
          <w:sz w:val="30"/>
          <w:szCs w:val="30"/>
          <w:highlight w:val="none"/>
        </w:rPr>
        <w:t>年</w:t>
      </w:r>
      <w:r>
        <w:rPr>
          <w:rFonts w:hint="eastAsia" w:ascii="宋体" w:hAnsi="宋体"/>
          <w:color w:val="auto"/>
          <w:sz w:val="30"/>
          <w:szCs w:val="30"/>
          <w:highlight w:val="none"/>
          <w:u w:val="single"/>
          <w:lang w:val="en-US" w:eastAsia="zh-CN"/>
        </w:rPr>
        <w:t>10</w:t>
      </w:r>
      <w:r>
        <w:rPr>
          <w:rFonts w:hint="eastAsia" w:ascii="宋体" w:hAnsi="宋体"/>
          <w:color w:val="auto"/>
          <w:sz w:val="30"/>
          <w:szCs w:val="30"/>
          <w:highlight w:val="none"/>
        </w:rPr>
        <w:t>月</w:t>
      </w:r>
    </w:p>
    <w:p w14:paraId="68344BF2">
      <w:pPr>
        <w:jc w:val="center"/>
        <w:rPr>
          <w:sz w:val="44"/>
          <w:szCs w:val="44"/>
          <w:highlight w:val="none"/>
        </w:rPr>
        <w:sectPr>
          <w:headerReference r:id="rId3" w:type="default"/>
          <w:footerReference r:id="rId4" w:type="default"/>
          <w:pgSz w:w="11906" w:h="16838"/>
          <w:pgMar w:top="1134" w:right="1417" w:bottom="1134" w:left="1417" w:header="851" w:footer="992" w:gutter="0"/>
          <w:cols w:space="720" w:num="1"/>
          <w:docGrid w:type="lines" w:linePitch="312" w:charSpace="0"/>
        </w:sectPr>
      </w:pPr>
    </w:p>
    <w:p w14:paraId="738D69FE">
      <w:pPr>
        <w:spacing w:line="700" w:lineRule="exact"/>
        <w:jc w:val="center"/>
        <w:rPr>
          <w:rFonts w:hint="eastAsia"/>
          <w:sz w:val="44"/>
          <w:szCs w:val="44"/>
          <w:highlight w:val="none"/>
        </w:rPr>
      </w:pPr>
    </w:p>
    <w:p w14:paraId="09796EC2">
      <w:pPr>
        <w:spacing w:line="700" w:lineRule="exact"/>
        <w:jc w:val="center"/>
        <w:rPr>
          <w:sz w:val="44"/>
          <w:szCs w:val="44"/>
          <w:highlight w:val="none"/>
        </w:rPr>
      </w:pPr>
      <w:r>
        <w:rPr>
          <w:rFonts w:hint="eastAsia"/>
          <w:sz w:val="44"/>
          <w:szCs w:val="44"/>
          <w:highlight w:val="none"/>
        </w:rPr>
        <w:t>目   录</w:t>
      </w:r>
      <w:bookmarkEnd w:id="0"/>
      <w:bookmarkEnd w:id="1"/>
      <w:bookmarkEnd w:id="2"/>
      <w:bookmarkEnd w:id="3"/>
      <w:bookmarkEnd w:id="4"/>
      <w:bookmarkEnd w:id="5"/>
      <w:bookmarkEnd w:id="6"/>
      <w:bookmarkStart w:id="12" w:name="_Toc179632527"/>
      <w:bookmarkStart w:id="13" w:name="_Toc144974479"/>
      <w:bookmarkStart w:id="14" w:name="_Toc152045511"/>
      <w:bookmarkStart w:id="15" w:name="_Toc152042287"/>
    </w:p>
    <w:p w14:paraId="3C53E9AE">
      <w:pPr>
        <w:pStyle w:val="31"/>
        <w:tabs>
          <w:tab w:val="right" w:leader="dot" w:pos="10120"/>
        </w:tabs>
        <w:rPr>
          <w:rFonts w:ascii="Calibri" w:hAnsi="Calibri"/>
          <w:b w:val="0"/>
          <w:bCs w:val="0"/>
          <w:caps w:val="0"/>
          <w:color w:val="000000"/>
          <w:sz w:val="32"/>
          <w:szCs w:val="22"/>
          <w:highlight w:val="none"/>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"_Toc95223332"</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第一章</w:t>
      </w:r>
      <w:r>
        <w:rPr>
          <w:rStyle w:val="58"/>
          <w:color w:val="000000"/>
          <w:sz w:val="28"/>
          <w:highlight w:val="none"/>
        </w:rPr>
        <w:t xml:space="preserve"> </w:t>
      </w:r>
      <w:r>
        <w:rPr>
          <w:rStyle w:val="58"/>
          <w:rFonts w:hint="eastAsia"/>
          <w:color w:val="000000"/>
          <w:sz w:val="28"/>
          <w:highlight w:val="none"/>
        </w:rPr>
        <w:t>招标公告</w:t>
      </w:r>
      <w:r>
        <w:rPr>
          <w:color w:val="000000"/>
          <w:sz w:val="28"/>
          <w:highlight w:val="none"/>
        </w:rPr>
        <w:tab/>
      </w:r>
      <w:r>
        <w:rPr>
          <w:color w:val="000000"/>
          <w:sz w:val="28"/>
          <w:highlight w:val="none"/>
        </w:rPr>
        <w:fldChar w:fldCharType="begin"/>
      </w:r>
      <w:r>
        <w:rPr>
          <w:color w:val="000000"/>
          <w:sz w:val="28"/>
          <w:highlight w:val="none"/>
        </w:rPr>
        <w:instrText xml:space="preserve"> PAGEREF _Toc95223332 \h </w:instrText>
      </w:r>
      <w:r>
        <w:rPr>
          <w:color w:val="000000"/>
          <w:sz w:val="28"/>
          <w:highlight w:val="none"/>
        </w:rPr>
        <w:fldChar w:fldCharType="separate"/>
      </w:r>
      <w:r>
        <w:rPr>
          <w:color w:val="000000"/>
          <w:sz w:val="28"/>
          <w:highlight w:val="none"/>
        </w:rPr>
        <w:t>1</w:t>
      </w:r>
      <w:r>
        <w:rPr>
          <w:color w:val="000000"/>
          <w:sz w:val="28"/>
          <w:highlight w:val="none"/>
        </w:rPr>
        <w:fldChar w:fldCharType="end"/>
      </w:r>
      <w:r>
        <w:rPr>
          <w:rStyle w:val="58"/>
          <w:color w:val="000000"/>
          <w:sz w:val="28"/>
          <w:highlight w:val="none"/>
        </w:rPr>
        <w:fldChar w:fldCharType="end"/>
      </w:r>
    </w:p>
    <w:p w14:paraId="0460FC51">
      <w:pPr>
        <w:pStyle w:val="31"/>
        <w:tabs>
          <w:tab w:val="right" w:leader="dot" w:pos="10120"/>
        </w:tabs>
        <w:rPr>
          <w:rFonts w:ascii="Calibri" w:hAnsi="Calibri"/>
          <w:b w:val="0"/>
          <w:bCs w:val="0"/>
          <w:caps w:val="0"/>
          <w:color w:val="000000"/>
          <w:sz w:val="32"/>
          <w:szCs w:val="22"/>
          <w:highlight w:val="none"/>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"_Toc95223333"</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第二章</w:t>
      </w:r>
      <w:r>
        <w:rPr>
          <w:rStyle w:val="58"/>
          <w:color w:val="000000"/>
          <w:sz w:val="28"/>
          <w:highlight w:val="none"/>
        </w:rPr>
        <w:t xml:space="preserve"> </w:t>
      </w:r>
      <w:r>
        <w:rPr>
          <w:rStyle w:val="58"/>
          <w:rFonts w:hint="eastAsia"/>
          <w:color w:val="000000"/>
          <w:sz w:val="28"/>
          <w:highlight w:val="none"/>
        </w:rPr>
        <w:t>投标人须知</w:t>
      </w:r>
      <w:r>
        <w:rPr>
          <w:color w:val="000000"/>
          <w:sz w:val="28"/>
          <w:highlight w:val="none"/>
        </w:rPr>
        <w:tab/>
      </w:r>
      <w:r>
        <w:rPr>
          <w:rFonts w:hint="eastAsia"/>
          <w:color w:val="000000"/>
          <w:sz w:val="28"/>
          <w:highlight w:val="none"/>
          <w:lang w:val="en-US" w:eastAsia="zh-CN"/>
        </w:rPr>
        <w:t>4</w:t>
      </w:r>
      <w:r>
        <w:rPr>
          <w:rStyle w:val="58"/>
          <w:color w:val="000000"/>
          <w:sz w:val="28"/>
          <w:highlight w:val="none"/>
        </w:rPr>
        <w:fldChar w:fldCharType="end"/>
      </w:r>
    </w:p>
    <w:p w14:paraId="4117FED1">
      <w:pPr>
        <w:pStyle w:val="31"/>
        <w:tabs>
          <w:tab w:val="right" w:leader="dot" w:pos="10120"/>
        </w:tabs>
        <w:rPr>
          <w:rFonts w:hint="default"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"_Toc95223391"</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第三章</w:t>
      </w:r>
      <w:r>
        <w:rPr>
          <w:rStyle w:val="58"/>
          <w:color w:val="000000"/>
          <w:sz w:val="28"/>
          <w:highlight w:val="none"/>
        </w:rPr>
        <w:t xml:space="preserve"> </w:t>
      </w:r>
      <w:r>
        <w:rPr>
          <w:rStyle w:val="58"/>
          <w:rFonts w:hint="eastAsia"/>
          <w:color w:val="000000"/>
          <w:sz w:val="28"/>
          <w:highlight w:val="none"/>
        </w:rPr>
        <w:t>资格审查办法</w:t>
      </w:r>
      <w:r>
        <w:rPr>
          <w:color w:val="000000"/>
          <w:sz w:val="28"/>
          <w:highlight w:val="none"/>
        </w:rPr>
        <w:tab/>
      </w:r>
      <w:r>
        <w:rPr>
          <w:rStyle w:val="58"/>
          <w:color w:val="000000"/>
          <w:sz w:val="28"/>
          <w:highlight w:val="none"/>
        </w:rPr>
        <w:fldChar w:fldCharType="end"/>
      </w:r>
      <w:r>
        <w:rPr>
          <w:rStyle w:val="58"/>
          <w:rFonts w:hint="eastAsia"/>
          <w:color w:val="000000"/>
          <w:sz w:val="28"/>
          <w:highlight w:val="none"/>
          <w:lang w:val="en-US" w:eastAsia="zh-CN"/>
        </w:rPr>
        <w:t>19</w:t>
      </w:r>
    </w:p>
    <w:p w14:paraId="278F67BB">
      <w:pPr>
        <w:pStyle w:val="31"/>
        <w:tabs>
          <w:tab w:val="right" w:leader="dot" w:pos="10120"/>
        </w:tabs>
        <w:rPr>
          <w:rFonts w:hint="eastAsia"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"_Toc95223398"</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第四章</w:t>
      </w:r>
      <w:r>
        <w:rPr>
          <w:rStyle w:val="58"/>
          <w:color w:val="000000"/>
          <w:sz w:val="28"/>
          <w:highlight w:val="none"/>
        </w:rPr>
        <w:t xml:space="preserve"> </w:t>
      </w:r>
      <w:r>
        <w:rPr>
          <w:rStyle w:val="58"/>
          <w:rFonts w:hint="eastAsia"/>
          <w:color w:val="000000"/>
          <w:sz w:val="28"/>
          <w:highlight w:val="none"/>
        </w:rPr>
        <w:t>评标办法</w:t>
      </w:r>
      <w:bookmarkStart w:id="16" w:name="_Hlt95225442"/>
      <w:r>
        <w:rPr>
          <w:color w:val="000000"/>
          <w:sz w:val="28"/>
          <w:highlight w:val="none"/>
        </w:rPr>
        <w:tab/>
      </w:r>
      <w:bookmarkEnd w:id="16"/>
      <w:r>
        <w:rPr>
          <w:rFonts w:hint="eastAsia"/>
          <w:color w:val="000000"/>
          <w:sz w:val="28"/>
          <w:highlight w:val="none"/>
          <w:lang w:val="en-US" w:eastAsia="zh-CN"/>
        </w:rPr>
        <w:t>2</w:t>
      </w:r>
      <w:r>
        <w:rPr>
          <w:rStyle w:val="58"/>
          <w:color w:val="000000"/>
          <w:sz w:val="28"/>
          <w:highlight w:val="none"/>
        </w:rPr>
        <w:fldChar w:fldCharType="end"/>
      </w:r>
      <w:r>
        <w:rPr>
          <w:rStyle w:val="58"/>
          <w:rFonts w:hint="eastAsia"/>
          <w:color w:val="000000"/>
          <w:sz w:val="28"/>
          <w:highlight w:val="none"/>
          <w:lang w:val="en-US" w:eastAsia="zh-CN"/>
        </w:rPr>
        <w:t>1</w:t>
      </w:r>
    </w:p>
    <w:p w14:paraId="50BF535A">
      <w:pPr>
        <w:pStyle w:val="31"/>
        <w:tabs>
          <w:tab w:val="right" w:leader="dot" w:pos="10120"/>
        </w:tabs>
        <w:rPr>
          <w:rFonts w:hint="eastAsia"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"_Toc95223458"</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第五章</w:t>
      </w:r>
      <w:r>
        <w:rPr>
          <w:rStyle w:val="58"/>
          <w:color w:val="000000"/>
          <w:sz w:val="28"/>
          <w:highlight w:val="none"/>
        </w:rPr>
        <w:t xml:space="preserve"> </w:t>
      </w:r>
      <w:r>
        <w:rPr>
          <w:rStyle w:val="58"/>
          <w:rFonts w:hint="eastAsia"/>
          <w:color w:val="000000"/>
          <w:sz w:val="28"/>
          <w:highlight w:val="none"/>
        </w:rPr>
        <w:t>合同条款及格式</w:t>
      </w:r>
      <w:r>
        <w:rPr>
          <w:color w:val="000000"/>
          <w:sz w:val="28"/>
          <w:highlight w:val="none"/>
        </w:rPr>
        <w:tab/>
      </w:r>
      <w:r>
        <w:rPr>
          <w:rFonts w:hint="eastAsia"/>
          <w:color w:val="000000"/>
          <w:sz w:val="28"/>
          <w:highlight w:val="none"/>
          <w:lang w:val="en-US" w:eastAsia="zh-CN"/>
        </w:rPr>
        <w:t>2</w:t>
      </w:r>
      <w:r>
        <w:rPr>
          <w:rStyle w:val="58"/>
          <w:color w:val="000000"/>
          <w:sz w:val="28"/>
          <w:highlight w:val="none"/>
        </w:rPr>
        <w:fldChar w:fldCharType="end"/>
      </w:r>
      <w:r>
        <w:rPr>
          <w:rStyle w:val="58"/>
          <w:rFonts w:hint="eastAsia"/>
          <w:color w:val="000000"/>
          <w:sz w:val="28"/>
          <w:highlight w:val="none"/>
          <w:lang w:val="en-US" w:eastAsia="zh-CN"/>
        </w:rPr>
        <w:t>9</w:t>
      </w:r>
    </w:p>
    <w:p w14:paraId="2E624EDC">
      <w:pPr>
        <w:pStyle w:val="31"/>
        <w:tabs>
          <w:tab w:val="right" w:leader="dot" w:pos="10120"/>
        </w:tabs>
        <w:rPr>
          <w:rFonts w:hint="eastAsia"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"_Toc95223515"</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ascii="宋体" w:hAnsi="宋体" w:cs="宋体"/>
          <w:color w:val="000000"/>
          <w:kern w:val="44"/>
          <w:sz w:val="28"/>
          <w:highlight w:val="none"/>
        </w:rPr>
        <w:t>第六章 工程量清单</w:t>
      </w:r>
      <w:r>
        <w:rPr>
          <w:color w:val="000000"/>
          <w:sz w:val="28"/>
          <w:highlight w:val="none"/>
        </w:rPr>
        <w:tab/>
      </w:r>
      <w:r>
        <w:rPr>
          <w:rFonts w:hint="eastAsia"/>
          <w:color w:val="000000"/>
          <w:sz w:val="28"/>
          <w:highlight w:val="none"/>
          <w:lang w:val="en-US" w:eastAsia="zh-CN"/>
        </w:rPr>
        <w:t>6</w:t>
      </w:r>
      <w:r>
        <w:rPr>
          <w:rStyle w:val="58"/>
          <w:color w:val="000000"/>
          <w:sz w:val="28"/>
          <w:highlight w:val="none"/>
        </w:rPr>
        <w:fldChar w:fldCharType="end"/>
      </w:r>
      <w:r>
        <w:rPr>
          <w:rStyle w:val="58"/>
          <w:rFonts w:hint="eastAsia"/>
          <w:color w:val="000000"/>
          <w:sz w:val="28"/>
          <w:highlight w:val="none"/>
          <w:lang w:val="en-US" w:eastAsia="zh-CN"/>
        </w:rPr>
        <w:t>0</w:t>
      </w:r>
    </w:p>
    <w:p w14:paraId="3DCF61C3">
      <w:pPr>
        <w:pStyle w:val="31"/>
        <w:tabs>
          <w:tab w:val="right" w:leader="dot" w:pos="10120"/>
        </w:tabs>
        <w:rPr>
          <w:rFonts w:hint="eastAsia"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"_Toc95223522"</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ascii="宋体" w:hAnsi="宋体" w:cs="宋体"/>
          <w:color w:val="000000"/>
          <w:kern w:val="44"/>
          <w:sz w:val="28"/>
          <w:highlight w:val="none"/>
        </w:rPr>
        <w:t>第七章</w:t>
      </w:r>
      <w:r>
        <w:rPr>
          <w:rStyle w:val="58"/>
          <w:rFonts w:ascii="宋体" w:hAnsi="宋体" w:cs="宋体"/>
          <w:color w:val="000000"/>
          <w:kern w:val="44"/>
          <w:sz w:val="28"/>
          <w:highlight w:val="none"/>
        </w:rPr>
        <w:t xml:space="preserve"> </w:t>
      </w:r>
      <w:r>
        <w:rPr>
          <w:rStyle w:val="58"/>
          <w:rFonts w:hint="eastAsia" w:ascii="宋体" w:hAnsi="宋体" w:cs="宋体"/>
          <w:color w:val="000000"/>
          <w:kern w:val="44"/>
          <w:sz w:val="28"/>
          <w:highlight w:val="none"/>
        </w:rPr>
        <w:t>图</w:t>
      </w:r>
      <w:r>
        <w:rPr>
          <w:rStyle w:val="58"/>
          <w:rFonts w:ascii="宋体" w:hAnsi="宋体" w:cs="宋体"/>
          <w:color w:val="000000"/>
          <w:kern w:val="44"/>
          <w:sz w:val="28"/>
          <w:highlight w:val="none"/>
        </w:rPr>
        <w:t xml:space="preserve">  </w:t>
      </w:r>
      <w:r>
        <w:rPr>
          <w:rStyle w:val="58"/>
          <w:rFonts w:hint="eastAsia" w:ascii="宋体" w:hAnsi="宋体" w:cs="宋体"/>
          <w:color w:val="000000"/>
          <w:kern w:val="44"/>
          <w:sz w:val="28"/>
          <w:highlight w:val="none"/>
        </w:rPr>
        <w:t>纸</w:t>
      </w:r>
      <w:r>
        <w:rPr>
          <w:color w:val="000000"/>
          <w:sz w:val="28"/>
          <w:highlight w:val="none"/>
        </w:rPr>
        <w:tab/>
      </w:r>
      <w:r>
        <w:rPr>
          <w:rFonts w:hint="eastAsia"/>
          <w:color w:val="000000"/>
          <w:sz w:val="28"/>
          <w:highlight w:val="none"/>
          <w:lang w:val="en-US" w:eastAsia="zh-CN"/>
        </w:rPr>
        <w:t>6</w:t>
      </w:r>
      <w:r>
        <w:rPr>
          <w:rStyle w:val="58"/>
          <w:color w:val="000000"/>
          <w:sz w:val="28"/>
          <w:highlight w:val="none"/>
        </w:rPr>
        <w:fldChar w:fldCharType="end"/>
      </w:r>
      <w:r>
        <w:rPr>
          <w:rStyle w:val="58"/>
          <w:rFonts w:hint="eastAsia"/>
          <w:color w:val="000000"/>
          <w:sz w:val="28"/>
          <w:highlight w:val="none"/>
          <w:lang w:val="en-US" w:eastAsia="zh-CN"/>
        </w:rPr>
        <w:t>0</w:t>
      </w:r>
    </w:p>
    <w:p w14:paraId="3AB8456F">
      <w:pPr>
        <w:pStyle w:val="31"/>
        <w:tabs>
          <w:tab w:val="right" w:leader="dot" w:pos="10120"/>
        </w:tabs>
        <w:rPr>
          <w:rFonts w:hint="eastAsia"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"_Toc95223525"</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ascii="宋体" w:hAnsi="宋体" w:cs="宋体"/>
          <w:color w:val="000000"/>
          <w:kern w:val="44"/>
          <w:sz w:val="28"/>
          <w:highlight w:val="none"/>
        </w:rPr>
        <w:t>第八章 技术标准和要求</w:t>
      </w:r>
      <w:r>
        <w:rPr>
          <w:color w:val="000000"/>
          <w:sz w:val="28"/>
          <w:highlight w:val="none"/>
        </w:rPr>
        <w:tab/>
      </w:r>
      <w:r>
        <w:rPr>
          <w:rFonts w:hint="eastAsia"/>
          <w:color w:val="000000"/>
          <w:sz w:val="28"/>
          <w:highlight w:val="none"/>
          <w:lang w:val="en-US" w:eastAsia="zh-CN"/>
        </w:rPr>
        <w:t>6</w:t>
      </w:r>
      <w:r>
        <w:rPr>
          <w:rStyle w:val="58"/>
          <w:color w:val="000000"/>
          <w:sz w:val="28"/>
          <w:highlight w:val="none"/>
        </w:rPr>
        <w:fldChar w:fldCharType="end"/>
      </w:r>
      <w:r>
        <w:rPr>
          <w:rStyle w:val="58"/>
          <w:rFonts w:hint="eastAsia"/>
          <w:color w:val="000000"/>
          <w:sz w:val="28"/>
          <w:highlight w:val="none"/>
          <w:lang w:val="en-US" w:eastAsia="zh-CN"/>
        </w:rPr>
        <w:t>1</w:t>
      </w:r>
    </w:p>
    <w:p w14:paraId="7B73DFB9">
      <w:pPr>
        <w:pStyle w:val="31"/>
        <w:tabs>
          <w:tab w:val="right" w:leader="dot" w:pos="10120"/>
        </w:tabs>
        <w:rPr>
          <w:rFonts w:hint="eastAsia"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"_Toc95223531"</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第九章 投标文件格式</w:t>
      </w:r>
      <w:r>
        <w:rPr>
          <w:color w:val="000000"/>
          <w:sz w:val="28"/>
          <w:highlight w:val="none"/>
        </w:rPr>
        <w:tab/>
      </w:r>
      <w:r>
        <w:rPr>
          <w:rFonts w:hint="eastAsia"/>
          <w:color w:val="000000"/>
          <w:sz w:val="28"/>
          <w:highlight w:val="none"/>
          <w:lang w:val="en-US" w:eastAsia="zh-CN"/>
        </w:rPr>
        <w:t>6</w:t>
      </w:r>
      <w:r>
        <w:rPr>
          <w:rStyle w:val="58"/>
          <w:color w:val="000000"/>
          <w:sz w:val="28"/>
          <w:highlight w:val="none"/>
        </w:rPr>
        <w:fldChar w:fldCharType="end"/>
      </w:r>
      <w:r>
        <w:rPr>
          <w:rStyle w:val="58"/>
          <w:rFonts w:hint="eastAsia"/>
          <w:color w:val="000000"/>
          <w:sz w:val="28"/>
          <w:highlight w:val="none"/>
          <w:lang w:val="en-US" w:eastAsia="zh-CN"/>
        </w:rPr>
        <w:t>6</w:t>
      </w:r>
    </w:p>
    <w:p w14:paraId="63D8DA84">
      <w:pPr>
        <w:pStyle w:val="31"/>
        <w:tabs>
          <w:tab w:val="right" w:leader="dot" w:pos="10120"/>
        </w:tabs>
        <w:rPr>
          <w:rStyle w:val="58"/>
          <w:rFonts w:hint="eastAsia" w:ascii="Times New Roman" w:hAnsi="Times New Roman" w:eastAsia="宋体" w:cs="Times New Roman"/>
          <w:color w:val="000000"/>
          <w:sz w:val="28"/>
          <w:highlight w:val="none"/>
          <w:lang w:val="en-US" w:eastAsia="zh-CN"/>
        </w:rPr>
      </w:pPr>
      <w:r>
        <w:rPr>
          <w:rStyle w:val="58"/>
          <w:rFonts w:hint="eastAsia" w:ascii="Times New Roman" w:hAnsi="Times New Roman" w:eastAsia="宋体" w:cs="Times New Roman"/>
          <w:color w:val="000000"/>
          <w:sz w:val="28"/>
          <w:highlight w:val="none"/>
        </w:rPr>
        <w:fldChar w:fldCharType="begin"/>
      </w:r>
      <w:r>
        <w:rPr>
          <w:rStyle w:val="58"/>
          <w:rFonts w:hint="eastAsia" w:ascii="Times New Roman" w:hAnsi="Times New Roman" w:eastAsia="宋体" w:cs="Times New Roman"/>
          <w:color w:val="000000"/>
          <w:sz w:val="28"/>
          <w:highlight w:val="none"/>
        </w:rPr>
        <w:instrText xml:space="preserve"> HYPERLINK \l "_Toc95223547" </w:instrText>
      </w:r>
      <w:r>
        <w:rPr>
          <w:rStyle w:val="58"/>
          <w:rFonts w:hint="eastAsia" w:ascii="Times New Roman" w:hAnsi="Times New Roman" w:eastAsia="宋体" w:cs="Times New Roman"/>
          <w:color w:val="000000"/>
          <w:sz w:val="28"/>
          <w:highlight w:val="none"/>
        </w:rPr>
        <w:fldChar w:fldCharType="separate"/>
      </w:r>
      <w:r>
        <w:rPr>
          <w:rStyle w:val="58"/>
          <w:rFonts w:hint="eastAsia" w:ascii="Times New Roman" w:hAnsi="Times New Roman" w:eastAsia="宋体" w:cs="Times New Roman"/>
          <w:color w:val="000000"/>
          <w:sz w:val="28"/>
          <w:highlight w:val="none"/>
        </w:rPr>
        <w:t>第十章  招标人、招标代理机构对本招标文件的确认</w:t>
      </w:r>
      <w:bookmarkStart w:id="17" w:name="_Hlt95223551"/>
      <w:bookmarkStart w:id="18" w:name="_Hlt95223550"/>
      <w:r>
        <w:rPr>
          <w:rStyle w:val="58"/>
          <w:rFonts w:hint="eastAsia" w:ascii="Times New Roman" w:hAnsi="Times New Roman" w:eastAsia="宋体" w:cs="Times New Roman"/>
          <w:color w:val="000000"/>
          <w:sz w:val="28"/>
          <w:highlight w:val="none"/>
        </w:rPr>
        <w:tab/>
      </w:r>
      <w:bookmarkEnd w:id="17"/>
      <w:bookmarkEnd w:id="18"/>
      <w:r>
        <w:rPr>
          <w:rStyle w:val="58"/>
          <w:rFonts w:hint="eastAsia" w:cs="Times New Roman"/>
          <w:color w:val="000000"/>
          <w:sz w:val="28"/>
          <w:highlight w:val="none"/>
          <w:lang w:val="en-US" w:eastAsia="zh-CN"/>
        </w:rPr>
        <w:t>7</w:t>
      </w:r>
      <w:r>
        <w:rPr>
          <w:rStyle w:val="58"/>
          <w:rFonts w:hint="eastAsia" w:ascii="Times New Roman" w:hAnsi="Times New Roman" w:eastAsia="宋体" w:cs="Times New Roman"/>
          <w:color w:val="000000"/>
          <w:sz w:val="28"/>
          <w:highlight w:val="none"/>
        </w:rPr>
        <w:fldChar w:fldCharType="end"/>
      </w:r>
      <w:r>
        <w:rPr>
          <w:rStyle w:val="58"/>
          <w:rFonts w:hint="eastAsia" w:cs="Times New Roman"/>
          <w:color w:val="000000"/>
          <w:sz w:val="28"/>
          <w:highlight w:val="none"/>
          <w:lang w:val="en-US" w:eastAsia="zh-CN"/>
        </w:rPr>
        <w:t>6</w:t>
      </w:r>
    </w:p>
    <w:p w14:paraId="13C7F18B">
      <w:pPr>
        <w:pStyle w:val="31"/>
        <w:tabs>
          <w:tab w:val="right" w:leader="dot" w:pos="10120"/>
        </w:tabs>
        <w:rPr>
          <w:rStyle w:val="58"/>
          <w:rFonts w:hint="eastAsia"/>
          <w:color w:val="000000"/>
          <w:sz w:val="28"/>
          <w:highlight w:val="none"/>
        </w:rPr>
      </w:pPr>
    </w:p>
    <w:p w14:paraId="5052B2D4">
      <w:pPr>
        <w:pStyle w:val="14"/>
        <w:spacing w:line="700" w:lineRule="exact"/>
        <w:ind w:left="0" w:leftChars="0" w:firstLine="480"/>
        <w:jc w:val="left"/>
        <w:rPr>
          <w:sz w:val="24"/>
          <w:szCs w:val="24"/>
          <w:highlight w:val="none"/>
        </w:rPr>
      </w:pPr>
    </w:p>
    <w:p w14:paraId="3004C8EC">
      <w:pPr>
        <w:pStyle w:val="44"/>
        <w:spacing w:line="700" w:lineRule="exact"/>
        <w:jc w:val="left"/>
        <w:rPr>
          <w:sz w:val="24"/>
          <w:szCs w:val="24"/>
          <w:highlight w:val="none"/>
        </w:rPr>
        <w:sectPr>
          <w:footerReference r:id="rId5" w:type="default"/>
          <w:pgSz w:w="11906" w:h="16838"/>
          <w:pgMar w:top="1134" w:right="1417" w:bottom="1134" w:left="1417" w:header="851" w:footer="992" w:gutter="0"/>
          <w:pgNumType w:start="1"/>
          <w:cols w:space="720" w:num="1"/>
          <w:docGrid w:type="lines" w:linePitch="312" w:charSpace="0"/>
        </w:sectPr>
      </w:pPr>
    </w:p>
    <w:bookmarkEnd w:id="12"/>
    <w:bookmarkEnd w:id="13"/>
    <w:bookmarkEnd w:id="14"/>
    <w:bookmarkEnd w:id="15"/>
    <w:p w14:paraId="2EC261B3">
      <w:pPr>
        <w:pStyle w:val="44"/>
        <w:spacing w:beforeLines="50" w:afterLines="50" w:line="440" w:lineRule="exact"/>
        <w:rPr>
          <w:rFonts w:hint="eastAsia" w:eastAsia="宋体" w:cs="Times New Roman"/>
          <w:bCs/>
          <w:szCs w:val="32"/>
          <w:highlight w:val="none"/>
        </w:rPr>
      </w:pPr>
      <w:bookmarkStart w:id="19" w:name="_Toc78803320"/>
      <w:bookmarkStart w:id="20" w:name="_Toc15058844"/>
      <w:bookmarkStart w:id="21" w:name="_Toc35424883"/>
      <w:bookmarkStart w:id="22" w:name="_Toc35425050"/>
      <w:bookmarkStart w:id="23" w:name="_Toc324404813"/>
      <w:bookmarkStart w:id="24" w:name="_Toc144974495"/>
      <w:bookmarkStart w:id="25" w:name="_Toc246996916"/>
      <w:bookmarkStart w:id="26" w:name="_Toc246996173"/>
      <w:bookmarkStart w:id="27" w:name="_Toc247085687"/>
      <w:bookmarkStart w:id="28" w:name="_Toc152042303"/>
      <w:bookmarkStart w:id="29" w:name="_Toc506107267"/>
      <w:bookmarkStart w:id="30" w:name="_Toc152045527"/>
      <w:bookmarkStart w:id="31" w:name="_Toc179632544"/>
      <w:r>
        <w:rPr>
          <w:rFonts w:hint="eastAsia" w:eastAsia="宋体" w:cs="Times New Roman"/>
          <w:bCs/>
          <w:szCs w:val="32"/>
          <w:highlight w:val="none"/>
          <w:lang w:val="en-US" w:eastAsia="zh-CN"/>
        </w:rPr>
        <w:t xml:space="preserve">第一章 </w:t>
      </w:r>
      <w:r>
        <w:rPr>
          <w:rFonts w:hint="eastAsia" w:eastAsia="宋体" w:cs="Times New Roman"/>
          <w:bCs/>
          <w:szCs w:val="32"/>
          <w:highlight w:val="none"/>
        </w:rPr>
        <w:t>招标公告</w:t>
      </w:r>
      <w:bookmarkEnd w:id="19"/>
    </w:p>
    <w:tbl>
      <w:tblPr>
        <w:tblStyle w:val="47"/>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7997"/>
      </w:tblGrid>
      <w:tr w14:paraId="48A3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4E31D11C">
            <w:pPr>
              <w:keepNext w:val="0"/>
              <w:keepLines w:val="0"/>
              <w:pageBreakBefore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
                <w:bCs/>
                <w:color w:val="auto"/>
                <w:sz w:val="21"/>
                <w:szCs w:val="21"/>
                <w:highlight w:val="none"/>
              </w:rPr>
              <w:t>招标条件</w:t>
            </w:r>
          </w:p>
        </w:tc>
      </w:tr>
      <w:tr w14:paraId="07E8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933" w:type="dxa"/>
            <w:noWrap w:val="0"/>
            <w:vAlign w:val="center"/>
          </w:tcPr>
          <w:p w14:paraId="2E39E459">
            <w:pPr>
              <w:keepNext w:val="0"/>
              <w:keepLines w:val="0"/>
              <w:pageBreakBefore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7997" w:type="dxa"/>
            <w:noWrap w:val="0"/>
            <w:vAlign w:val="top"/>
          </w:tcPr>
          <w:p w14:paraId="223FE30B">
            <w:pPr>
              <w:keepNext w:val="0"/>
              <w:keepLines w:val="0"/>
              <w:pageBreakBefore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Cs/>
                <w:color w:val="auto"/>
                <w:kern w:val="1"/>
                <w:sz w:val="21"/>
                <w:szCs w:val="21"/>
                <w:highlight w:val="none"/>
              </w:rPr>
            </w:pPr>
            <w:r>
              <w:rPr>
                <w:rFonts w:hint="eastAsia" w:ascii="宋体" w:hAnsi="宋体" w:cs="宋体"/>
                <w:bCs/>
                <w:color w:val="auto"/>
                <w:kern w:val="1"/>
                <w:sz w:val="21"/>
                <w:szCs w:val="21"/>
                <w:highlight w:val="none"/>
                <w:lang w:eastAsia="zh-CN"/>
              </w:rPr>
              <w:t>2026年度滁城充电基础设施项目（第二批次）施工</w:t>
            </w:r>
          </w:p>
        </w:tc>
      </w:tr>
      <w:tr w14:paraId="3EF6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32571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招标人</w:t>
            </w:r>
          </w:p>
        </w:tc>
        <w:tc>
          <w:tcPr>
            <w:tcW w:w="7997" w:type="dxa"/>
            <w:noWrap w:val="0"/>
            <w:vAlign w:val="center"/>
          </w:tcPr>
          <w:p w14:paraId="41AA07EF">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cs="宋体"/>
                <w:bCs/>
                <w:color w:val="auto"/>
                <w:kern w:val="1"/>
                <w:sz w:val="21"/>
                <w:szCs w:val="21"/>
                <w:highlight w:val="none"/>
                <w:lang w:eastAsia="zh-CN"/>
              </w:rPr>
              <w:t>滁州工投新能源开发有限公司</w:t>
            </w:r>
          </w:p>
        </w:tc>
      </w:tr>
      <w:tr w14:paraId="2A24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2638D1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项目业主</w:t>
            </w:r>
          </w:p>
        </w:tc>
        <w:tc>
          <w:tcPr>
            <w:tcW w:w="7997" w:type="dxa"/>
            <w:noWrap w:val="0"/>
            <w:vAlign w:val="center"/>
          </w:tcPr>
          <w:p w14:paraId="3EF79F1D">
            <w:pPr>
              <w:keepNext w:val="0"/>
              <w:keepLines w:val="0"/>
              <w:pageBreakBefore w:val="0"/>
              <w:widowControl/>
              <w:shd w:val="clear" w:color="auto" w:fill="auto"/>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滁州工投新能源开发有限公司</w:t>
            </w:r>
          </w:p>
        </w:tc>
      </w:tr>
      <w:tr w14:paraId="515C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ECD1AE3">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7997" w:type="dxa"/>
            <w:noWrap w:val="0"/>
            <w:vAlign w:val="center"/>
          </w:tcPr>
          <w:p w14:paraId="13E4CD21">
            <w:pPr>
              <w:keepNext w:val="0"/>
              <w:keepLines w:val="0"/>
              <w:pageBreakBefore w:val="0"/>
              <w:widowControl/>
              <w:kinsoku/>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自筹资金</w:t>
            </w:r>
          </w:p>
        </w:tc>
      </w:tr>
      <w:tr w14:paraId="1CA8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489FD2">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7997" w:type="dxa"/>
            <w:noWrap w:val="0"/>
            <w:vAlign w:val="center"/>
          </w:tcPr>
          <w:p w14:paraId="612A619C">
            <w:pPr>
              <w:keepNext w:val="0"/>
              <w:keepLines w:val="0"/>
              <w:pageBreakBefore w:val="0"/>
              <w:widowControl/>
              <w:kinsoku/>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100%</w:t>
            </w:r>
          </w:p>
        </w:tc>
      </w:tr>
      <w:tr w14:paraId="2F99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EFCFF6">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7997" w:type="dxa"/>
            <w:noWrap w:val="0"/>
            <w:vAlign w:val="center"/>
          </w:tcPr>
          <w:p w14:paraId="53A0BB3B">
            <w:pPr>
              <w:keepNext w:val="0"/>
              <w:keepLines w:val="0"/>
              <w:pageBreakBefore w:val="0"/>
              <w:widowControl/>
              <w:kinsoku/>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公开招标</w:t>
            </w:r>
          </w:p>
        </w:tc>
      </w:tr>
      <w:tr w14:paraId="6288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0C4438E">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7997" w:type="dxa"/>
            <w:noWrap w:val="0"/>
            <w:vAlign w:val="center"/>
          </w:tcPr>
          <w:p w14:paraId="64728417">
            <w:pPr>
              <w:keepNext w:val="0"/>
              <w:keepLines w:val="0"/>
              <w:pageBreakBefore w:val="0"/>
              <w:widowControl/>
              <w:kinsoku/>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综合评估法</w:t>
            </w:r>
          </w:p>
        </w:tc>
      </w:tr>
      <w:tr w14:paraId="3CB3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EBFED8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1B54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A1F1B52">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7997" w:type="dxa"/>
            <w:noWrap w:val="0"/>
            <w:vAlign w:val="center"/>
          </w:tcPr>
          <w:p w14:paraId="3BB4B767">
            <w:pPr>
              <w:pStyle w:val="14"/>
              <w:keepNext w:val="0"/>
              <w:keepLines w:val="0"/>
              <w:pageBreakBefore w:val="0"/>
              <w:kinsoku/>
              <w:wordWrap w:val="0"/>
              <w:overflowPunct/>
              <w:topLinePunct w:val="0"/>
              <w:autoSpaceDE/>
              <w:autoSpaceDN/>
              <w:bidi w:val="0"/>
              <w:adjustRightInd/>
              <w:snapToGrid/>
              <w:spacing w:after="0" w:afterLines="0" w:line="44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2026年度滁城充电基础设施项目（第二批次）施工</w:t>
            </w:r>
          </w:p>
        </w:tc>
      </w:tr>
      <w:tr w14:paraId="74D1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5C3F99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cs="宋体"/>
                <w:color w:val="auto"/>
                <w:kern w:val="0"/>
                <w:szCs w:val="21"/>
                <w:highlight w:val="none"/>
              </w:rPr>
              <w:t>招标项目编号</w:t>
            </w:r>
          </w:p>
        </w:tc>
        <w:tc>
          <w:tcPr>
            <w:tcW w:w="7997" w:type="dxa"/>
            <w:noWrap w:val="0"/>
            <w:vAlign w:val="center"/>
          </w:tcPr>
          <w:p w14:paraId="451A1CE2">
            <w:pPr>
              <w:pStyle w:val="14"/>
              <w:keepNext w:val="0"/>
              <w:keepLines w:val="0"/>
              <w:pageBreakBefore w:val="0"/>
              <w:kinsoku/>
              <w:wordWrap w:val="0"/>
              <w:overflowPunct/>
              <w:topLinePunct w:val="0"/>
              <w:autoSpaceDE/>
              <w:autoSpaceDN/>
              <w:bidi w:val="0"/>
              <w:adjustRightInd/>
              <w:snapToGrid/>
              <w:spacing w:after="0" w:afterLines="0" w:line="440" w:lineRule="exact"/>
              <w:ind w:left="0" w:leftChars="0" w:firstLine="0" w:firstLineChars="0"/>
              <w:textAlignment w:val="auto"/>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HXJY1110001065629001</w:t>
            </w:r>
          </w:p>
        </w:tc>
      </w:tr>
      <w:tr w14:paraId="488A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33" w:type="dxa"/>
            <w:noWrap w:val="0"/>
            <w:vAlign w:val="center"/>
          </w:tcPr>
          <w:p w14:paraId="40B1C46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7997" w:type="dxa"/>
            <w:noWrap w:val="0"/>
            <w:vAlign w:val="center"/>
          </w:tcPr>
          <w:p w14:paraId="062D55A9">
            <w:pPr>
              <w:pStyle w:val="14"/>
              <w:keepNext w:val="0"/>
              <w:keepLines w:val="0"/>
              <w:pageBreakBefore w:val="0"/>
              <w:kinsoku/>
              <w:wordWrap w:val="0"/>
              <w:overflowPunct/>
              <w:topLinePunct w:val="0"/>
              <w:autoSpaceDE/>
              <w:autoSpaceDN/>
              <w:bidi w:val="0"/>
              <w:adjustRightInd/>
              <w:snapToGrid/>
              <w:spacing w:after="0" w:afterLines="0" w:line="44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一个标段</w:t>
            </w:r>
          </w:p>
        </w:tc>
      </w:tr>
      <w:tr w14:paraId="4073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4A4EA69">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7997" w:type="dxa"/>
            <w:noWrap w:val="0"/>
            <w:vAlign w:val="center"/>
          </w:tcPr>
          <w:p w14:paraId="2C527A97">
            <w:pPr>
              <w:pStyle w:val="14"/>
              <w:keepNext w:val="0"/>
              <w:keepLines w:val="0"/>
              <w:pageBreakBefore w:val="0"/>
              <w:kinsoku/>
              <w:wordWrap w:val="0"/>
              <w:overflowPunct/>
              <w:topLinePunct w:val="0"/>
              <w:autoSpaceDE/>
              <w:autoSpaceDN/>
              <w:bidi w:val="0"/>
              <w:adjustRightInd/>
              <w:snapToGrid/>
              <w:spacing w:after="0" w:afterLines="0" w:line="44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滁州市内，招标人指定地点</w:t>
            </w:r>
          </w:p>
        </w:tc>
      </w:tr>
      <w:tr w14:paraId="3A6E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BBF1A7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建设规模</w:t>
            </w:r>
          </w:p>
        </w:tc>
        <w:tc>
          <w:tcPr>
            <w:tcW w:w="7997" w:type="dxa"/>
            <w:noWrap w:val="0"/>
            <w:vAlign w:val="center"/>
          </w:tcPr>
          <w:p w14:paraId="56AC02AD">
            <w:pPr>
              <w:pStyle w:val="14"/>
              <w:keepNext w:val="0"/>
              <w:keepLines w:val="0"/>
              <w:pageBreakBefore w:val="0"/>
              <w:kinsoku/>
              <w:wordWrap w:val="0"/>
              <w:overflowPunct/>
              <w:topLinePunct w:val="0"/>
              <w:autoSpaceDE/>
              <w:autoSpaceDN/>
              <w:bidi w:val="0"/>
              <w:adjustRightInd/>
              <w:snapToGrid/>
              <w:spacing w:after="0" w:afterLines="0" w:line="44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具体详见施工图纸和工程量清单内容。</w:t>
            </w:r>
          </w:p>
        </w:tc>
      </w:tr>
      <w:tr w14:paraId="5DC7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3230461">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合同估算价</w:t>
            </w:r>
          </w:p>
        </w:tc>
        <w:tc>
          <w:tcPr>
            <w:tcW w:w="7997" w:type="dxa"/>
            <w:noWrap w:val="0"/>
            <w:vAlign w:val="center"/>
          </w:tcPr>
          <w:p w14:paraId="2618AED0">
            <w:pPr>
              <w:pStyle w:val="14"/>
              <w:keepNext w:val="0"/>
              <w:keepLines w:val="0"/>
              <w:pageBreakBefore w:val="0"/>
              <w:kinsoku/>
              <w:wordWrap w:val="0"/>
              <w:overflowPunct/>
              <w:topLinePunct w:val="0"/>
              <w:autoSpaceDE/>
              <w:autoSpaceDN/>
              <w:bidi w:val="0"/>
              <w:adjustRightInd/>
              <w:snapToGrid/>
              <w:spacing w:after="0" w:afterLines="0" w:line="44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44.9万元</w:t>
            </w:r>
          </w:p>
        </w:tc>
      </w:tr>
      <w:tr w14:paraId="6BEC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6F6947A">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计划工期</w:t>
            </w:r>
          </w:p>
        </w:tc>
        <w:tc>
          <w:tcPr>
            <w:tcW w:w="7997" w:type="dxa"/>
            <w:noWrap w:val="0"/>
            <w:vAlign w:val="center"/>
          </w:tcPr>
          <w:p w14:paraId="241300BA">
            <w:pPr>
              <w:pStyle w:val="14"/>
              <w:keepNext w:val="0"/>
              <w:keepLines w:val="0"/>
              <w:pageBreakBefore w:val="0"/>
              <w:kinsoku/>
              <w:wordWrap w:val="0"/>
              <w:overflowPunct/>
              <w:topLinePunct w:val="0"/>
              <w:autoSpaceDE/>
              <w:autoSpaceDN/>
              <w:bidi w:val="0"/>
              <w:adjustRightInd/>
              <w:snapToGrid/>
              <w:spacing w:after="0" w:afterLines="0" w:line="44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不高于40个日历天</w:t>
            </w:r>
          </w:p>
        </w:tc>
      </w:tr>
      <w:tr w14:paraId="42C9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3CAB73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7997" w:type="dxa"/>
            <w:noWrap w:val="0"/>
            <w:vAlign w:val="center"/>
          </w:tcPr>
          <w:p w14:paraId="2450FD06">
            <w:pPr>
              <w:pStyle w:val="14"/>
              <w:keepNext w:val="0"/>
              <w:keepLines w:val="0"/>
              <w:pageBreakBefore w:val="0"/>
              <w:kinsoku/>
              <w:wordWrap w:val="0"/>
              <w:overflowPunct/>
              <w:topLinePunct w:val="0"/>
              <w:autoSpaceDE/>
              <w:autoSpaceDN/>
              <w:bidi w:val="0"/>
              <w:adjustRightInd/>
              <w:snapToGrid/>
              <w:spacing w:after="0" w:afterLines="0" w:line="44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本工程施工图纸和工程量清单中的所有内容</w:t>
            </w:r>
          </w:p>
        </w:tc>
      </w:tr>
      <w:tr w14:paraId="3973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B3C45EE">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项目类别</w:t>
            </w:r>
          </w:p>
        </w:tc>
        <w:tc>
          <w:tcPr>
            <w:tcW w:w="7997" w:type="dxa"/>
            <w:noWrap w:val="0"/>
            <w:vAlign w:val="center"/>
          </w:tcPr>
          <w:p w14:paraId="6D56053B">
            <w:pPr>
              <w:pStyle w:val="14"/>
              <w:keepNext w:val="0"/>
              <w:keepLines w:val="0"/>
              <w:pageBreakBefore w:val="0"/>
              <w:kinsoku/>
              <w:wordWrap w:val="0"/>
              <w:overflowPunct/>
              <w:topLinePunct w:val="0"/>
              <w:autoSpaceDE/>
              <w:autoSpaceDN/>
              <w:bidi w:val="0"/>
              <w:adjustRightInd/>
              <w:snapToGrid/>
              <w:spacing w:after="0" w:afterLines="0" w:line="44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电力施工</w:t>
            </w:r>
          </w:p>
        </w:tc>
      </w:tr>
      <w:tr w14:paraId="4896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211EA0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7997" w:type="dxa"/>
            <w:noWrap w:val="0"/>
            <w:vAlign w:val="center"/>
          </w:tcPr>
          <w:p w14:paraId="27D131B1">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p>
        </w:tc>
      </w:tr>
      <w:tr w14:paraId="4400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4CBF6E1">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54BA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8EAA9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投标人资质要求</w:t>
            </w:r>
          </w:p>
        </w:tc>
        <w:tc>
          <w:tcPr>
            <w:tcW w:w="7997" w:type="dxa"/>
            <w:noWrap w:val="0"/>
            <w:vAlign w:val="center"/>
          </w:tcPr>
          <w:p w14:paraId="301F20AE">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投标人同时满足下列要求：</w:t>
            </w:r>
          </w:p>
          <w:p w14:paraId="7C6A9A3A">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①具备电力工程施工总承包叁级（或以上）资质，并具有有效的安全生产许可证；</w:t>
            </w:r>
          </w:p>
          <w:p w14:paraId="19D7894E">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②具备有效的《承装（修、试）电力设施许可证》，且承装类、承修类、承试类许可等级均须达到三级及以上（按照现行有效的《承装（修、试）电力设施许可证》等级标准认定）。</w:t>
            </w:r>
          </w:p>
        </w:tc>
      </w:tr>
      <w:tr w14:paraId="07C2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541401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项目</w:t>
            </w:r>
            <w:r>
              <w:rPr>
                <w:rFonts w:hint="eastAsia" w:ascii="宋体" w:hAnsi="宋体" w:cs="宋体"/>
                <w:bCs/>
                <w:snapToGrid w:val="0"/>
                <w:color w:val="auto"/>
                <w:kern w:val="0"/>
                <w:sz w:val="21"/>
                <w:szCs w:val="21"/>
                <w:highlight w:val="none"/>
                <w:lang w:val="en-US" w:eastAsia="zh-CN"/>
              </w:rPr>
              <w:t>经理</w:t>
            </w:r>
            <w:r>
              <w:rPr>
                <w:rFonts w:hint="eastAsia" w:ascii="宋体" w:hAnsi="宋体" w:eastAsia="宋体" w:cs="宋体"/>
                <w:bCs/>
                <w:snapToGrid w:val="0"/>
                <w:color w:val="auto"/>
                <w:kern w:val="0"/>
                <w:sz w:val="21"/>
                <w:szCs w:val="21"/>
                <w:highlight w:val="none"/>
              </w:rPr>
              <w:t>资格要求</w:t>
            </w:r>
          </w:p>
        </w:tc>
        <w:tc>
          <w:tcPr>
            <w:tcW w:w="7997" w:type="dxa"/>
            <w:noWrap w:val="0"/>
            <w:vAlign w:val="center"/>
          </w:tcPr>
          <w:p w14:paraId="51B3EE9E">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拟派的项目经理具备在本单位注册的机电工程专业贰级（或以上）注册建造师资格，具备有效的安全生产考核合格(B类)证书。</w:t>
            </w:r>
          </w:p>
        </w:tc>
      </w:tr>
      <w:tr w14:paraId="5D76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1FF232E">
            <w:pPr>
              <w:widowControl/>
              <w:spacing w:line="560" w:lineRule="exact"/>
              <w:jc w:val="center"/>
              <w:rPr>
                <w:rFonts w:hint="eastAsia" w:ascii="宋体" w:hAnsi="宋体" w:eastAsia="宋体" w:cs="宋体"/>
                <w:bCs/>
                <w:snapToGrid w:val="0"/>
                <w:color w:val="auto"/>
                <w:kern w:val="0"/>
                <w:sz w:val="21"/>
                <w:szCs w:val="21"/>
                <w:highlight w:val="none"/>
              </w:rPr>
            </w:pPr>
            <w:r>
              <w:rPr>
                <w:rFonts w:hint="eastAsia" w:ascii="宋体" w:hAnsi="宋体" w:cs="宋体"/>
                <w:color w:val="000000"/>
                <w:kern w:val="0"/>
                <w:szCs w:val="21"/>
                <w:highlight w:val="none"/>
              </w:rPr>
              <w:t>信誉要求</w:t>
            </w:r>
          </w:p>
        </w:tc>
        <w:tc>
          <w:tcPr>
            <w:tcW w:w="7997" w:type="dxa"/>
            <w:noWrap w:val="0"/>
            <w:vAlign w:val="center"/>
          </w:tcPr>
          <w:p w14:paraId="231504B5">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bookmarkStart w:id="32" w:name="OLE_LINK36"/>
            <w:bookmarkStart w:id="33" w:name="OLE_LINK35"/>
            <w:r>
              <w:rPr>
                <w:rFonts w:hint="eastAsia" w:ascii="宋体" w:hAnsi="宋体" w:eastAsia="宋体" w:cs="宋体"/>
                <w:color w:val="auto"/>
                <w:sz w:val="21"/>
                <w:szCs w:val="21"/>
                <w:highlight w:val="none"/>
                <w:lang w:val="en-US" w:eastAsia="zh-CN"/>
              </w:rPr>
              <w:t>投标人（包括联合体各成员）存在以下情形之一的，不得被确定为中标人：</w:t>
            </w:r>
          </w:p>
          <w:p w14:paraId="323700C0">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①被列入“信用中国”网站（www.creditchina.gov.cn）“失信被执行人”的；</w:t>
            </w:r>
          </w:p>
          <w:p w14:paraId="2ADCC78A">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②被列入“信用中国”网站（www.creditchina.gov.cn）“重大税收违法失信主体”的；</w:t>
            </w:r>
          </w:p>
          <w:p w14:paraId="7B2163AE">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③被列入“信用中国”网站（www.creditchina.gov.cn）“拖欠农民工工资失信联合惩戒对象名单”的；</w:t>
            </w:r>
          </w:p>
          <w:p w14:paraId="04FBC062">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④被列入“信用中国”网站（www.creditchina.gov.cn） “安全生产严重失信主体名单”的；</w:t>
            </w:r>
          </w:p>
          <w:p w14:paraId="46952EA2">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⑤被列入国家企业信用信息公示系统网站（</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HYPERLINK "http://www.gsxt.gov.cn）查询"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lang w:val="en-US" w:eastAsia="zh-CN"/>
              </w:rPr>
              <w:t>www.gsxt.gov.cn）</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“严重违法失信名单”的。</w:t>
            </w:r>
          </w:p>
          <w:p w14:paraId="192F38E2">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color w:val="auto"/>
                <w:szCs w:val="21"/>
                <w:highlight w:val="none"/>
                <w:lang w:val="en-US" w:eastAsia="zh-CN"/>
              </w:rPr>
            </w:pPr>
            <w:r>
              <w:rPr>
                <w:rFonts w:hint="eastAsia" w:ascii="宋体" w:hAnsi="宋体" w:eastAsia="宋体" w:cs="宋体"/>
                <w:color w:val="auto"/>
                <w:sz w:val="21"/>
                <w:szCs w:val="21"/>
                <w:highlight w:val="none"/>
                <w:lang w:val="en-US" w:eastAsia="zh-CN"/>
              </w:rPr>
              <w:t>2、投标人（包括联合体各成员）所属分公司、办事处等分支机构存在第1条信誉要求①-⑤项情形之一的，接受其被确定为中标人。</w:t>
            </w:r>
            <w:bookmarkEnd w:id="32"/>
            <w:bookmarkEnd w:id="33"/>
          </w:p>
        </w:tc>
      </w:tr>
      <w:tr w14:paraId="4DC6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199D4C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7997" w:type="dxa"/>
            <w:noWrap w:val="0"/>
            <w:vAlign w:val="center"/>
          </w:tcPr>
          <w:p w14:paraId="7420975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本次招标不接受联合体投标。</w:t>
            </w:r>
          </w:p>
        </w:tc>
      </w:tr>
      <w:tr w14:paraId="7DAE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44733C9">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多标段投标</w:t>
            </w:r>
          </w:p>
        </w:tc>
        <w:tc>
          <w:tcPr>
            <w:tcW w:w="7997" w:type="dxa"/>
            <w:noWrap w:val="0"/>
            <w:vAlign w:val="center"/>
          </w:tcPr>
          <w:p w14:paraId="42579C26">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r>
      <w:tr w14:paraId="2329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E77D0C0">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1729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33" w:type="dxa"/>
            <w:noWrap w:val="0"/>
            <w:vAlign w:val="center"/>
          </w:tcPr>
          <w:p w14:paraId="00B9B13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7997" w:type="dxa"/>
            <w:noWrap w:val="0"/>
            <w:vAlign w:val="center"/>
          </w:tcPr>
          <w:p w14:paraId="257A5F9C">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 xml:space="preserve"> 10 </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27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17</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分至</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 xml:space="preserve"> 11 </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11</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9</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w:t>
            </w:r>
          </w:p>
        </w:tc>
      </w:tr>
      <w:tr w14:paraId="1AFD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0724589">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cs="宋体"/>
                <w:color w:val="000000"/>
                <w:kern w:val="0"/>
                <w:szCs w:val="21"/>
                <w:highlight w:val="none"/>
              </w:rPr>
              <w:t>获取方式</w:t>
            </w:r>
          </w:p>
        </w:tc>
        <w:tc>
          <w:tcPr>
            <w:tcW w:w="7997" w:type="dxa"/>
            <w:noWrap w:val="0"/>
            <w:vAlign w:val="center"/>
          </w:tcPr>
          <w:p w14:paraId="1CA3EC44">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cs="Times New Roman"/>
                <w:highlight w:val="none"/>
                <w:lang w:val="en-US" w:eastAsia="zh-CN"/>
              </w:rPr>
            </w:pPr>
            <w:r>
              <w:rPr>
                <w:rFonts w:hint="eastAsia" w:ascii="Times New Roman" w:hAnsi="Times New Roman" w:eastAsia="宋体" w:cs="Times New Roman"/>
                <w:highlight w:val="none"/>
                <w:lang w:val="en-US" w:eastAsia="zh-CN"/>
              </w:rPr>
              <w:t>请于公告发布之日起从</w:t>
            </w:r>
            <w:r>
              <w:rPr>
                <w:rFonts w:hint="eastAsia" w:ascii="宋体" w:hAnsi="宋体" w:cs="宋体"/>
                <w:color w:val="auto"/>
                <w:szCs w:val="21"/>
                <w:highlight w:val="none"/>
                <w:lang w:eastAsia="zh-CN"/>
              </w:rPr>
              <w:t>滁州市扬子工业投资集团有限公司官网（https://czyzgtjt.com/）、</w:t>
            </w:r>
            <w:r>
              <w:rPr>
                <w:rFonts w:hint="eastAsia" w:ascii="Times New Roman" w:hAnsi="Times New Roman" w:eastAsia="宋体" w:cs="Times New Roman"/>
                <w:highlight w:val="none"/>
                <w:lang w:val="en-US" w:eastAsia="zh-CN"/>
              </w:rPr>
              <w:t>滁州市城投工程咨询管理有限公司</w:t>
            </w:r>
            <w:r>
              <w:rPr>
                <w:rFonts w:hint="eastAsia" w:cs="Times New Roman"/>
                <w:highlight w:val="none"/>
                <w:lang w:val="en-US" w:eastAsia="zh-CN"/>
              </w:rPr>
              <w:t>网站</w:t>
            </w:r>
            <w:r>
              <w:rPr>
                <w:rFonts w:hint="eastAsia" w:ascii="Times New Roman" w:hAnsi="Times New Roman" w:eastAsia="宋体" w:cs="Times New Roman"/>
                <w:highlight w:val="none"/>
                <w:lang w:val="en-US" w:eastAsia="zh-CN"/>
              </w:rPr>
              <w:t>（https://www.czctgczx.com/）下载</w:t>
            </w:r>
            <w:r>
              <w:rPr>
                <w:rFonts w:hint="eastAsia" w:cs="Times New Roman"/>
                <w:highlight w:val="none"/>
                <w:lang w:val="en-US" w:eastAsia="zh-CN"/>
              </w:rPr>
              <w:t>。</w:t>
            </w:r>
          </w:p>
          <w:p w14:paraId="06D33B5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highlight w:val="none"/>
              </w:rPr>
            </w:pPr>
            <w:r>
              <w:rPr>
                <w:rFonts w:hint="eastAsia" w:ascii="Times New Roman" w:hAnsi="Times New Roman" w:eastAsia="宋体" w:cs="Times New Roman"/>
                <w:highlight w:val="none"/>
                <w:lang w:val="en-US" w:eastAsia="zh-CN"/>
              </w:rPr>
              <w:t>方式：（1）投标人须登</w:t>
            </w:r>
            <w:r>
              <w:rPr>
                <w:rFonts w:hint="eastAsia" w:ascii="宋体" w:hAnsi="宋体" w:eastAsia="宋体" w:cs="宋体"/>
                <w:highlight w:val="none"/>
                <w:lang w:val="en-US" w:eastAsia="zh-CN"/>
              </w:rPr>
              <w:t>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17F1C29A">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cs="Times New Roman"/>
                <w:highlight w:val="none"/>
                <w:lang w:val="en-US" w:eastAsia="zh-CN"/>
              </w:rPr>
            </w:pPr>
            <w:r>
              <w:rPr>
                <w:rFonts w:hint="eastAsia" w:ascii="宋体" w:hAnsi="宋体" w:eastAsia="宋体" w:cs="宋体"/>
                <w:highlight w:val="none"/>
                <w:lang w:val="en-US" w:eastAsia="zh-CN"/>
              </w:rPr>
              <w:t>（2）投标人登录新点电子交易平台【滁州专区】获取招标文件及其它资料（含澄清和补充说明等）。如在招标文件获取过程中遇到系统问题，请拨打技术支持服务热线0512-58151515或者网站首页在线客服。</w:t>
            </w:r>
          </w:p>
        </w:tc>
      </w:tr>
      <w:tr w14:paraId="552D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7C699F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7997" w:type="dxa"/>
            <w:noWrap w:val="0"/>
            <w:vAlign w:val="center"/>
          </w:tcPr>
          <w:p w14:paraId="0CB3AD82">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27</w:t>
            </w:r>
            <w:r>
              <w:rPr>
                <w:rFonts w:hint="eastAsia" w:ascii="宋体" w:hAnsi="宋体" w:eastAsia="宋体" w:cs="宋体"/>
                <w:color w:val="auto"/>
                <w:szCs w:val="21"/>
                <w:highlight w:val="none"/>
              </w:rPr>
              <w:t>日</w:t>
            </w:r>
          </w:p>
        </w:tc>
      </w:tr>
      <w:tr w14:paraId="2E37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B970DA1">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7997" w:type="dxa"/>
            <w:noWrap w:val="0"/>
            <w:vAlign w:val="center"/>
          </w:tcPr>
          <w:p w14:paraId="78350ADB">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时00分</w:t>
            </w:r>
          </w:p>
        </w:tc>
      </w:tr>
      <w:tr w14:paraId="1D30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CC335A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投标文件递交的方式</w:t>
            </w:r>
          </w:p>
        </w:tc>
        <w:tc>
          <w:tcPr>
            <w:tcW w:w="7997" w:type="dxa"/>
            <w:noWrap w:val="0"/>
            <w:vAlign w:val="center"/>
          </w:tcPr>
          <w:p w14:paraId="61B61AB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tc>
      </w:tr>
      <w:tr w14:paraId="7CED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746D341E">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7997" w:type="dxa"/>
            <w:noWrap w:val="0"/>
            <w:vAlign w:val="center"/>
          </w:tcPr>
          <w:p w14:paraId="1DA66740">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202</w:t>
            </w:r>
            <w:r>
              <w:rPr>
                <w:rFonts w:hint="eastAsia" w:ascii="宋体" w:hAnsi="宋体" w:cs="宋体"/>
                <w:highlight w:val="none"/>
                <w:lang w:val="en-US" w:eastAsia="zh-CN"/>
              </w:rPr>
              <w:t>6</w:t>
            </w:r>
            <w:r>
              <w:rPr>
                <w:rFonts w:hint="eastAsia" w:ascii="宋体" w:hAnsi="宋体" w:eastAsia="宋体" w:cs="宋体"/>
                <w:highlight w:val="none"/>
                <w:lang w:val="en-US" w:eastAsia="zh-CN"/>
              </w:rPr>
              <w:t>年</w:t>
            </w:r>
            <w:r>
              <w:rPr>
                <w:rFonts w:hint="eastAsia" w:ascii="宋体" w:hAnsi="宋体" w:cs="宋体"/>
                <w:highlight w:val="none"/>
                <w:lang w:val="en-US" w:eastAsia="zh-CN"/>
              </w:rPr>
              <w:t>11</w:t>
            </w:r>
            <w:r>
              <w:rPr>
                <w:rFonts w:hint="eastAsia" w:ascii="宋体" w:hAnsi="宋体" w:eastAsia="宋体" w:cs="宋体"/>
                <w:highlight w:val="none"/>
                <w:lang w:val="en-US" w:eastAsia="zh-CN"/>
              </w:rPr>
              <w:t>月</w:t>
            </w:r>
            <w:r>
              <w:rPr>
                <w:rFonts w:hint="eastAsia" w:ascii="宋体" w:hAnsi="宋体" w:cs="宋体"/>
                <w:highlight w:val="none"/>
                <w:lang w:val="en-US" w:eastAsia="zh-CN"/>
              </w:rPr>
              <w:t>11</w:t>
            </w:r>
            <w:r>
              <w:rPr>
                <w:rFonts w:hint="eastAsia" w:ascii="宋体" w:hAnsi="宋体" w:eastAsia="宋体" w:cs="宋体"/>
                <w:highlight w:val="none"/>
                <w:lang w:val="en-US" w:eastAsia="zh-CN"/>
              </w:rPr>
              <w:t>日</w:t>
            </w:r>
            <w:r>
              <w:rPr>
                <w:rFonts w:hint="eastAsia" w:ascii="宋体" w:hAnsi="宋体" w:cs="宋体"/>
                <w:highlight w:val="none"/>
                <w:lang w:val="en-US" w:eastAsia="zh-CN"/>
              </w:rPr>
              <w:t>9</w:t>
            </w:r>
            <w:r>
              <w:rPr>
                <w:rFonts w:hint="eastAsia" w:ascii="宋体" w:hAnsi="宋体" w:eastAsia="宋体" w:cs="宋体"/>
                <w:highlight w:val="none"/>
                <w:lang w:val="en-US" w:eastAsia="zh-CN"/>
              </w:rPr>
              <w:t>时00分</w:t>
            </w:r>
          </w:p>
        </w:tc>
      </w:tr>
      <w:tr w14:paraId="5C7D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77B6227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rPr>
              <w:t>开标地点</w:t>
            </w:r>
          </w:p>
        </w:tc>
        <w:tc>
          <w:tcPr>
            <w:tcW w:w="7997" w:type="dxa"/>
            <w:noWrap w:val="0"/>
            <w:vAlign w:val="center"/>
          </w:tcPr>
          <w:p w14:paraId="5E8A35B5">
            <w:pPr>
              <w:keepNext w:val="0"/>
              <w:keepLines w:val="0"/>
              <w:pageBreakBefore w:val="0"/>
              <w:widowControl/>
              <w:kinsoku/>
              <w:wordWrap w:val="0"/>
              <w:overflowPunct/>
              <w:topLinePunct w:val="0"/>
              <w:autoSpaceDE w:val="0"/>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采用不见面开标，投标人登录滁州市城投工程咨询有限公司不见面开标系统参与网上开标（网址：http://js.etrading.cn/EpointBidOpening/bidopeninghallaction/hall/login）。</w:t>
            </w:r>
          </w:p>
        </w:tc>
      </w:tr>
      <w:tr w14:paraId="4E31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16377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招标文件</w:t>
            </w:r>
            <w:r>
              <w:rPr>
                <w:rFonts w:hint="eastAsia" w:ascii="宋体" w:hAnsi="宋体" w:cs="宋体"/>
                <w:color w:val="auto"/>
                <w:sz w:val="21"/>
                <w:szCs w:val="21"/>
                <w:highlight w:val="none"/>
                <w:lang w:val="en-US" w:eastAsia="zh-CN"/>
              </w:rPr>
              <w:t>售价</w:t>
            </w:r>
          </w:p>
        </w:tc>
        <w:tc>
          <w:tcPr>
            <w:tcW w:w="7997" w:type="dxa"/>
            <w:noWrap w:val="0"/>
            <w:vAlign w:val="center"/>
          </w:tcPr>
          <w:p w14:paraId="0FF1405C">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0元</w:t>
            </w:r>
          </w:p>
        </w:tc>
      </w:tr>
      <w:tr w14:paraId="7177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7C4373F">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7997" w:type="dxa"/>
            <w:noWrap w:val="0"/>
            <w:vAlign w:val="center"/>
          </w:tcPr>
          <w:p w14:paraId="50C6D68C">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滁州市扬子工业投资集团有限公司官网（https://czyzgtjt.com/）、</w:t>
            </w:r>
            <w:r>
              <w:rPr>
                <w:rFonts w:hint="eastAsia" w:ascii="Times New Roman" w:hAnsi="Times New Roman" w:eastAsia="宋体" w:cs="Times New Roman"/>
                <w:highlight w:val="none"/>
                <w:lang w:val="en-US" w:eastAsia="zh-CN"/>
              </w:rPr>
              <w:t>滁州市城投工程咨询管理有限公司</w:t>
            </w:r>
            <w:r>
              <w:rPr>
                <w:rFonts w:hint="eastAsia" w:cs="Times New Roman"/>
                <w:highlight w:val="none"/>
                <w:lang w:val="en-US" w:eastAsia="zh-CN"/>
              </w:rPr>
              <w:t>网站</w:t>
            </w:r>
            <w:r>
              <w:rPr>
                <w:rFonts w:hint="eastAsia" w:ascii="Times New Roman" w:hAnsi="Times New Roman" w:eastAsia="宋体" w:cs="Times New Roman"/>
                <w:highlight w:val="none"/>
                <w:lang w:val="en-US" w:eastAsia="zh-CN"/>
              </w:rPr>
              <w:t>（https://www.czctgczx.com/）</w:t>
            </w:r>
          </w:p>
        </w:tc>
      </w:tr>
      <w:tr w14:paraId="0857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930D49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453B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C7C453">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7997" w:type="dxa"/>
            <w:noWrap w:val="0"/>
            <w:vAlign w:val="center"/>
          </w:tcPr>
          <w:p w14:paraId="31D7CE21">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olor w:val="auto"/>
                <w:szCs w:val="21"/>
                <w:highlight w:val="none"/>
              </w:rPr>
              <w:t>不要求投标人提交投标保证金。</w:t>
            </w:r>
          </w:p>
        </w:tc>
      </w:tr>
      <w:tr w14:paraId="711C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05DB97D6">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6F24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2E16C3F">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招标人名称</w:t>
            </w:r>
          </w:p>
        </w:tc>
        <w:tc>
          <w:tcPr>
            <w:tcW w:w="7997" w:type="dxa"/>
            <w:noWrap w:val="0"/>
            <w:vAlign w:val="center"/>
          </w:tcPr>
          <w:p w14:paraId="2D2A6C29">
            <w:pPr>
              <w:keepNext w:val="0"/>
              <w:keepLines w:val="0"/>
              <w:pageBreakBefore w:val="0"/>
              <w:widowControl/>
              <w:shd w:val="clear" w:color="auto" w:fill="auto"/>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 xml:space="preserve">滁州工投新能源开发有限公司 </w:t>
            </w:r>
          </w:p>
        </w:tc>
      </w:tr>
      <w:tr w14:paraId="5C15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A63B0F">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招标人地址</w:t>
            </w:r>
          </w:p>
        </w:tc>
        <w:tc>
          <w:tcPr>
            <w:tcW w:w="7997" w:type="dxa"/>
            <w:noWrap w:val="0"/>
            <w:vAlign w:val="center"/>
          </w:tcPr>
          <w:p w14:paraId="721F56AB">
            <w:pPr>
              <w:keepNext w:val="0"/>
              <w:keepLines w:val="0"/>
              <w:pageBreakBefore w:val="0"/>
              <w:widowControl/>
              <w:shd w:val="clear" w:color="auto" w:fill="auto"/>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滁州市醉翁路与中都大道交叉口西南侧城投大厦</w:t>
            </w:r>
            <w:r>
              <w:rPr>
                <w:rFonts w:hint="eastAsia" w:ascii="宋体" w:hAnsi="宋体" w:eastAsia="宋体" w:cs="宋体"/>
                <w:color w:val="auto"/>
                <w:kern w:val="0"/>
                <w:sz w:val="21"/>
                <w:szCs w:val="21"/>
                <w:highlight w:val="none"/>
                <w:lang w:val="en-US" w:eastAsia="zh-CN"/>
              </w:rPr>
              <w:t>13楼</w:t>
            </w:r>
          </w:p>
        </w:tc>
      </w:tr>
      <w:tr w14:paraId="53D1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C32FFCA">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招标人联系人</w:t>
            </w:r>
          </w:p>
        </w:tc>
        <w:tc>
          <w:tcPr>
            <w:tcW w:w="7997" w:type="dxa"/>
            <w:noWrap w:val="0"/>
            <w:vAlign w:val="center"/>
          </w:tcPr>
          <w:p w14:paraId="0CA615D4">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王</w:t>
            </w:r>
            <w:r>
              <w:rPr>
                <w:rFonts w:hint="eastAsia" w:ascii="宋体" w:hAnsi="宋体" w:eastAsia="宋体" w:cs="宋体"/>
                <w:color w:val="auto"/>
                <w:sz w:val="21"/>
                <w:szCs w:val="21"/>
                <w:highlight w:val="none"/>
                <w:lang w:val="en-US" w:eastAsia="zh-CN"/>
              </w:rPr>
              <w:t>工</w:t>
            </w:r>
          </w:p>
        </w:tc>
      </w:tr>
      <w:tr w14:paraId="79E3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C0D56E8">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招标人电话</w:t>
            </w:r>
          </w:p>
        </w:tc>
        <w:tc>
          <w:tcPr>
            <w:tcW w:w="7997" w:type="dxa"/>
            <w:noWrap w:val="0"/>
            <w:vAlign w:val="center"/>
          </w:tcPr>
          <w:p w14:paraId="0786EC85">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0550-3018125、17625932920</w:t>
            </w:r>
          </w:p>
        </w:tc>
      </w:tr>
      <w:tr w14:paraId="555F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D32F69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7997" w:type="dxa"/>
            <w:noWrap w:val="0"/>
            <w:vAlign w:val="center"/>
          </w:tcPr>
          <w:p w14:paraId="6FF9C0EE">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滁州市城投工程咨询管理有限公司</w:t>
            </w:r>
          </w:p>
        </w:tc>
      </w:tr>
      <w:tr w14:paraId="2D8B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1F41F8">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7997" w:type="dxa"/>
            <w:noWrap w:val="0"/>
            <w:vAlign w:val="center"/>
          </w:tcPr>
          <w:p w14:paraId="6D12C6BB">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605室</w:t>
            </w:r>
          </w:p>
        </w:tc>
      </w:tr>
      <w:tr w14:paraId="5ECC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B20423">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    联系人</w:t>
            </w:r>
          </w:p>
        </w:tc>
        <w:tc>
          <w:tcPr>
            <w:tcW w:w="7997" w:type="dxa"/>
            <w:noWrap w:val="0"/>
            <w:vAlign w:val="center"/>
          </w:tcPr>
          <w:p w14:paraId="508420A3">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周蓓蕾</w:t>
            </w:r>
          </w:p>
        </w:tc>
      </w:tr>
      <w:tr w14:paraId="2DBA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D7E1BD9">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7997" w:type="dxa"/>
            <w:noWrap w:val="0"/>
            <w:vAlign w:val="center"/>
          </w:tcPr>
          <w:p w14:paraId="57DEDBE8">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0550-3519519</w:t>
            </w:r>
            <w:r>
              <w:rPr>
                <w:rFonts w:hint="eastAsia" w:ascii="宋体" w:hAnsi="宋体" w:eastAsia="宋体" w:cs="宋体"/>
                <w:color w:val="auto"/>
                <w:sz w:val="21"/>
                <w:szCs w:val="21"/>
                <w:highlight w:val="none"/>
                <w:lang w:val="en-US" w:eastAsia="zh-CN"/>
              </w:rPr>
              <w:t>、18005505728</w:t>
            </w:r>
          </w:p>
        </w:tc>
      </w:tr>
      <w:tr w14:paraId="6A8C2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E12FD78">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default" w:ascii="宋体" w:hAnsi="宋体" w:eastAsia="宋体" w:cs="宋体"/>
                <w:bCs/>
                <w:color w:val="auto"/>
                <w:spacing w:val="-6"/>
                <w:sz w:val="21"/>
                <w:szCs w:val="21"/>
                <w:highlight w:val="none"/>
                <w:lang w:val="en-US" w:eastAsia="zh-CN"/>
              </w:rPr>
            </w:pPr>
            <w:r>
              <w:rPr>
                <w:rFonts w:hint="eastAsia" w:ascii="宋体" w:hAnsi="宋体" w:cs="宋体"/>
                <w:bCs/>
                <w:color w:val="auto"/>
                <w:spacing w:val="-6"/>
                <w:sz w:val="21"/>
                <w:szCs w:val="21"/>
                <w:highlight w:val="none"/>
                <w:lang w:val="en-US" w:eastAsia="zh-CN"/>
              </w:rPr>
              <w:t>监督电话</w:t>
            </w:r>
          </w:p>
        </w:tc>
        <w:tc>
          <w:tcPr>
            <w:tcW w:w="7997" w:type="dxa"/>
            <w:noWrap w:val="0"/>
            <w:vAlign w:val="center"/>
          </w:tcPr>
          <w:p w14:paraId="03BDE3CE">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0550-3018133</w:t>
            </w:r>
          </w:p>
        </w:tc>
      </w:tr>
    </w:tbl>
    <w:p w14:paraId="075DD500">
      <w:pPr>
        <w:jc w:val="left"/>
        <w:rPr>
          <w:highlight w:val="none"/>
        </w:rPr>
      </w:pPr>
    </w:p>
    <w:p w14:paraId="32A53F0D">
      <w:pPr>
        <w:pStyle w:val="44"/>
        <w:spacing w:beforeLines="50" w:afterLines="50" w:line="440" w:lineRule="exact"/>
        <w:rPr>
          <w:bCs/>
          <w:szCs w:val="32"/>
          <w:highlight w:val="none"/>
        </w:rPr>
      </w:pPr>
      <w:bookmarkStart w:id="34" w:name="_Toc78803321"/>
      <w:r>
        <w:rPr>
          <w:rFonts w:hint="eastAsia"/>
          <w:bCs/>
          <w:szCs w:val="32"/>
          <w:highlight w:val="none"/>
        </w:rPr>
        <w:br w:type="page"/>
      </w:r>
      <w:r>
        <w:rPr>
          <w:rFonts w:hint="eastAsia"/>
          <w:bCs/>
          <w:szCs w:val="32"/>
          <w:highlight w:val="none"/>
        </w:rPr>
        <w:t>第</w:t>
      </w:r>
      <w:r>
        <w:rPr>
          <w:rFonts w:hint="eastAsia"/>
          <w:bCs/>
          <w:szCs w:val="32"/>
          <w:highlight w:val="none"/>
          <w:lang w:val="en-US" w:eastAsia="zh-CN"/>
        </w:rPr>
        <w:t>二</w:t>
      </w:r>
      <w:r>
        <w:rPr>
          <w:rFonts w:hint="eastAsia"/>
          <w:bCs/>
          <w:szCs w:val="32"/>
          <w:highlight w:val="none"/>
        </w:rPr>
        <w:t>章  投标人须知</w:t>
      </w:r>
      <w:bookmarkEnd w:id="20"/>
      <w:bookmarkEnd w:id="21"/>
      <w:bookmarkEnd w:id="22"/>
      <w:bookmarkEnd w:id="23"/>
      <w:bookmarkEnd w:id="24"/>
      <w:bookmarkEnd w:id="25"/>
      <w:bookmarkEnd w:id="26"/>
      <w:bookmarkEnd w:id="27"/>
      <w:bookmarkEnd w:id="28"/>
      <w:bookmarkEnd w:id="29"/>
      <w:bookmarkEnd w:id="30"/>
      <w:bookmarkEnd w:id="31"/>
      <w:bookmarkEnd w:id="34"/>
    </w:p>
    <w:p w14:paraId="594BBBF6">
      <w:pPr>
        <w:spacing w:beforeLines="50" w:afterLines="50" w:line="440" w:lineRule="exact"/>
        <w:jc w:val="center"/>
        <w:rPr>
          <w:b/>
          <w:bCs/>
          <w:sz w:val="28"/>
          <w:szCs w:val="28"/>
          <w:highlight w:val="none"/>
        </w:rPr>
      </w:pPr>
      <w:bookmarkStart w:id="35" w:name="_Toc35425051"/>
      <w:bookmarkStart w:id="36" w:name="_Toc506107268"/>
      <w:bookmarkStart w:id="37" w:name="_Toc144974496"/>
      <w:bookmarkStart w:id="38" w:name="_Toc179632545"/>
      <w:bookmarkStart w:id="39" w:name="_Toc246996174"/>
      <w:bookmarkStart w:id="40" w:name="_Toc324404814"/>
      <w:bookmarkStart w:id="41" w:name="_Toc247085688"/>
      <w:bookmarkStart w:id="42" w:name="_Toc152045528"/>
      <w:bookmarkStart w:id="43" w:name="_Toc152042304"/>
      <w:bookmarkStart w:id="44" w:name="_Toc246996917"/>
      <w:bookmarkStart w:id="45" w:name="_Toc15058845"/>
      <w:bookmarkStart w:id="46" w:name="_Toc35424884"/>
      <w:r>
        <w:rPr>
          <w:rFonts w:hint="eastAsia"/>
          <w:b/>
          <w:bCs/>
          <w:sz w:val="28"/>
          <w:szCs w:val="28"/>
          <w:highlight w:val="none"/>
        </w:rPr>
        <w:t>投标人须知前附表</w:t>
      </w:r>
      <w:bookmarkEnd w:id="35"/>
      <w:bookmarkEnd w:id="36"/>
      <w:bookmarkEnd w:id="37"/>
      <w:bookmarkEnd w:id="38"/>
      <w:bookmarkEnd w:id="39"/>
      <w:bookmarkEnd w:id="40"/>
      <w:bookmarkEnd w:id="41"/>
      <w:bookmarkEnd w:id="42"/>
      <w:bookmarkEnd w:id="43"/>
      <w:bookmarkEnd w:id="44"/>
      <w:bookmarkEnd w:id="45"/>
      <w:bookmarkEnd w:id="46"/>
    </w:p>
    <w:tbl>
      <w:tblPr>
        <w:tblStyle w:val="47"/>
        <w:tblW w:w="10328" w:type="dxa"/>
        <w:jc w:val="center"/>
        <w:tblLayout w:type="fixed"/>
        <w:tblCellMar>
          <w:top w:w="0" w:type="dxa"/>
          <w:left w:w="108" w:type="dxa"/>
          <w:bottom w:w="0" w:type="dxa"/>
          <w:right w:w="108" w:type="dxa"/>
        </w:tblCellMar>
      </w:tblPr>
      <w:tblGrid>
        <w:gridCol w:w="868"/>
        <w:gridCol w:w="910"/>
        <w:gridCol w:w="1299"/>
        <w:gridCol w:w="7251"/>
      </w:tblGrid>
      <w:tr w14:paraId="37A3BBD6">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5319F0F">
            <w:pPr>
              <w:keepNext w:val="0"/>
              <w:keepLines w:val="0"/>
              <w:pageBreakBefore w:val="0"/>
              <w:kinsoku/>
              <w:wordWrap/>
              <w:overflowPunct/>
              <w:autoSpaceDN/>
              <w:bidi w:val="0"/>
              <w:spacing w:line="380" w:lineRule="exact"/>
              <w:jc w:val="center"/>
              <w:textAlignment w:val="auto"/>
              <w:rPr>
                <w:rFonts w:ascii="宋体" w:hAnsi="宋体" w:cs="宋体"/>
                <w:b/>
                <w:szCs w:val="21"/>
                <w:highlight w:val="none"/>
              </w:rPr>
            </w:pPr>
            <w:bookmarkStart w:id="47" w:name="_Toc506107269"/>
            <w:bookmarkStart w:id="48" w:name="_Toc247085689"/>
            <w:bookmarkStart w:id="49" w:name="_Toc246996918"/>
            <w:bookmarkStart w:id="50" w:name="_Toc152045529"/>
            <w:bookmarkStart w:id="51" w:name="_Toc246996175"/>
            <w:bookmarkStart w:id="52" w:name="_Toc324404815"/>
            <w:bookmarkStart w:id="53" w:name="_Toc144974497"/>
            <w:bookmarkStart w:id="54" w:name="_Toc179632546"/>
            <w:bookmarkStart w:id="55" w:name="_Toc152042305"/>
            <w:r>
              <w:rPr>
                <w:rFonts w:hint="eastAsia" w:ascii="宋体" w:hAnsi="宋体" w:cs="宋体"/>
                <w:b/>
                <w:szCs w:val="21"/>
                <w:highlight w:val="none"/>
              </w:rPr>
              <w:t>序号</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109513C">
            <w:pPr>
              <w:keepNext w:val="0"/>
              <w:keepLines w:val="0"/>
              <w:pageBreakBefore w:val="0"/>
              <w:kinsoku/>
              <w:wordWrap/>
              <w:overflowPunct/>
              <w:autoSpaceDN/>
              <w:bidi w:val="0"/>
              <w:spacing w:line="380" w:lineRule="exact"/>
              <w:jc w:val="center"/>
              <w:textAlignment w:val="auto"/>
              <w:rPr>
                <w:rFonts w:ascii="宋体" w:hAnsi="宋体" w:cs="宋体"/>
                <w:b/>
                <w:szCs w:val="21"/>
                <w:highlight w:val="none"/>
              </w:rPr>
            </w:pPr>
            <w:r>
              <w:rPr>
                <w:rFonts w:hint="eastAsia" w:ascii="宋体" w:hAnsi="宋体" w:cs="宋体"/>
                <w:b/>
                <w:szCs w:val="21"/>
                <w:highlight w:val="none"/>
              </w:rPr>
              <w:t>条  款  名  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5926BC">
            <w:pPr>
              <w:keepNext w:val="0"/>
              <w:keepLines w:val="0"/>
              <w:pageBreakBefore w:val="0"/>
              <w:kinsoku/>
              <w:wordWrap/>
              <w:overflowPunct/>
              <w:autoSpaceDN/>
              <w:bidi w:val="0"/>
              <w:spacing w:line="380" w:lineRule="exact"/>
              <w:jc w:val="center"/>
              <w:textAlignment w:val="auto"/>
              <w:rPr>
                <w:rFonts w:ascii="宋体" w:hAnsi="宋体" w:cs="宋体"/>
                <w:b/>
                <w:szCs w:val="21"/>
                <w:highlight w:val="none"/>
              </w:rPr>
            </w:pPr>
            <w:r>
              <w:rPr>
                <w:rFonts w:hint="eastAsia" w:ascii="宋体" w:hAnsi="宋体" w:cs="宋体"/>
                <w:b/>
                <w:szCs w:val="21"/>
                <w:highlight w:val="none"/>
              </w:rPr>
              <w:t>编  列  内  容</w:t>
            </w:r>
          </w:p>
        </w:tc>
      </w:tr>
      <w:tr w14:paraId="399B88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EA00D87">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4588F4B">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招标人</w:t>
            </w:r>
          </w:p>
        </w:tc>
        <w:tc>
          <w:tcPr>
            <w:tcW w:w="7251" w:type="dxa"/>
            <w:tcBorders>
              <w:top w:val="single" w:color="auto" w:sz="4" w:space="0"/>
              <w:left w:val="single" w:color="auto" w:sz="4" w:space="0"/>
              <w:bottom w:val="single" w:color="auto" w:sz="4" w:space="0"/>
              <w:right w:val="single" w:color="auto" w:sz="4" w:space="0"/>
            </w:tcBorders>
            <w:noWrap/>
            <w:vAlign w:val="center"/>
          </w:tcPr>
          <w:p w14:paraId="10407BB1">
            <w:pPr>
              <w:pStyle w:val="93"/>
              <w:keepNext w:val="0"/>
              <w:keepLines w:val="0"/>
              <w:pageBreakBefore w:val="0"/>
              <w:kinsoku/>
              <w:wordWrap/>
              <w:overflowPunct/>
              <w:autoSpaceDN/>
              <w:bidi w:val="0"/>
              <w:adjustRightInd w:val="0"/>
              <w:snapToGrid w:val="0"/>
              <w:spacing w:line="380" w:lineRule="exact"/>
              <w:jc w:val="left"/>
              <w:textAlignment w:val="auto"/>
              <w:rPr>
                <w:rFonts w:hint="eastAsia" w:eastAsia="宋体"/>
                <w:kern w:val="2"/>
                <w:sz w:val="21"/>
                <w:szCs w:val="21"/>
                <w:highlight w:val="none"/>
                <w:lang w:eastAsia="zh-CN"/>
              </w:rPr>
            </w:pPr>
            <w:r>
              <w:rPr>
                <w:rFonts w:hint="eastAsia" w:ascii="宋体" w:hAnsi="宋体" w:cs="宋体"/>
                <w:color w:val="auto"/>
                <w:sz w:val="21"/>
                <w:szCs w:val="21"/>
                <w:highlight w:val="none"/>
              </w:rPr>
              <w:t>见招标公告</w:t>
            </w:r>
          </w:p>
        </w:tc>
      </w:tr>
      <w:tr w14:paraId="2BB5094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7F2ABC2">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88F0F11">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招标代理机构</w:t>
            </w:r>
          </w:p>
        </w:tc>
        <w:tc>
          <w:tcPr>
            <w:tcW w:w="7251" w:type="dxa"/>
            <w:tcBorders>
              <w:top w:val="single" w:color="auto" w:sz="4" w:space="0"/>
              <w:left w:val="single" w:color="auto" w:sz="4" w:space="0"/>
              <w:bottom w:val="single" w:color="auto" w:sz="4" w:space="0"/>
              <w:right w:val="single" w:color="auto" w:sz="4" w:space="0"/>
            </w:tcBorders>
            <w:noWrap/>
            <w:vAlign w:val="center"/>
          </w:tcPr>
          <w:p w14:paraId="10F9436F">
            <w:pPr>
              <w:keepNext w:val="0"/>
              <w:keepLines w:val="0"/>
              <w:pageBreakBefore w:val="0"/>
              <w:kinsoku/>
              <w:wordWrap/>
              <w:overflowPunct/>
              <w:autoSpaceDN/>
              <w:bidi w:val="0"/>
              <w:adjustRightInd w:val="0"/>
              <w:snapToGrid w:val="0"/>
              <w:spacing w:line="380" w:lineRule="exact"/>
              <w:textAlignment w:val="auto"/>
              <w:rPr>
                <w:rFonts w:hint="default" w:ascii="宋体" w:hAnsi="宋体" w:eastAsia="宋体" w:cs="宋体"/>
                <w:szCs w:val="21"/>
                <w:highlight w:val="none"/>
                <w:lang w:val="en-US" w:eastAsia="zh-CN"/>
              </w:rPr>
            </w:pPr>
            <w:r>
              <w:rPr>
                <w:rFonts w:hint="eastAsia" w:ascii="宋体" w:hAnsi="宋体" w:cs="宋体"/>
                <w:color w:val="auto"/>
                <w:sz w:val="21"/>
                <w:szCs w:val="21"/>
                <w:highlight w:val="none"/>
              </w:rPr>
              <w:t>见招标公告</w:t>
            </w:r>
          </w:p>
        </w:tc>
      </w:tr>
      <w:tr w14:paraId="6E88FEC4">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21D750">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C1999A0">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项目名称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3CF94C9C">
            <w:pPr>
              <w:keepNext w:val="0"/>
              <w:keepLines w:val="0"/>
              <w:pageBreakBefore w:val="0"/>
              <w:kinsoku/>
              <w:wordWrap/>
              <w:overflowPunct/>
              <w:autoSpaceDN/>
              <w:bidi w:val="0"/>
              <w:adjustRightInd w:val="0"/>
              <w:snapToGrid w:val="0"/>
              <w:spacing w:line="380" w:lineRule="exact"/>
              <w:textAlignment w:val="auto"/>
              <w:rPr>
                <w:rFonts w:hint="eastAsia" w:ascii="宋体" w:hAnsi="宋体" w:eastAsia="宋体" w:cs="宋体"/>
                <w:szCs w:val="21"/>
                <w:highlight w:val="none"/>
                <w:lang w:eastAsia="zh-CN"/>
              </w:rPr>
            </w:pPr>
            <w:r>
              <w:rPr>
                <w:rFonts w:hint="eastAsia" w:ascii="宋体" w:hAnsi="宋体" w:cs="宋体"/>
                <w:color w:val="auto"/>
                <w:sz w:val="21"/>
                <w:szCs w:val="21"/>
                <w:highlight w:val="none"/>
              </w:rPr>
              <w:t>见招标公告</w:t>
            </w:r>
          </w:p>
        </w:tc>
      </w:tr>
      <w:tr w14:paraId="0D5FE2E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C8FAF44">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0A58F76">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建设地点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7B346AFB">
            <w:pPr>
              <w:keepNext w:val="0"/>
              <w:keepLines w:val="0"/>
              <w:pageBreakBefore w:val="0"/>
              <w:kinsoku/>
              <w:wordWrap/>
              <w:overflowPunct/>
              <w:autoSpaceDN/>
              <w:bidi w:val="0"/>
              <w:adjustRightInd w:val="0"/>
              <w:snapToGrid w:val="0"/>
              <w:spacing w:line="380" w:lineRule="exact"/>
              <w:textAlignment w:val="auto"/>
              <w:rPr>
                <w:rFonts w:ascii="宋体" w:hAnsi="宋体" w:cs="宋体"/>
                <w:szCs w:val="21"/>
                <w:highlight w:val="none"/>
              </w:rPr>
            </w:pPr>
            <w:r>
              <w:rPr>
                <w:rFonts w:hint="eastAsia" w:ascii="宋体" w:hAnsi="宋体" w:cs="宋体"/>
                <w:color w:val="auto"/>
                <w:sz w:val="21"/>
                <w:szCs w:val="21"/>
                <w:highlight w:val="none"/>
              </w:rPr>
              <w:t>见招标公告</w:t>
            </w:r>
          </w:p>
        </w:tc>
      </w:tr>
      <w:tr w14:paraId="27E33739">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6EAEC26">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CEC5559">
            <w:pPr>
              <w:keepNext w:val="0"/>
              <w:keepLines w:val="0"/>
              <w:pageBreakBefore w:val="0"/>
              <w:kinsoku/>
              <w:wordWrap/>
              <w:overflowPunct/>
              <w:autoSpaceDN/>
              <w:bidi w:val="0"/>
              <w:adjustRightInd w:val="0"/>
              <w:snapToGrid w:val="0"/>
              <w:spacing w:line="38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资金落实情况</w:t>
            </w:r>
          </w:p>
        </w:tc>
        <w:tc>
          <w:tcPr>
            <w:tcW w:w="7251" w:type="dxa"/>
            <w:tcBorders>
              <w:top w:val="single" w:color="auto" w:sz="4" w:space="0"/>
              <w:left w:val="single" w:color="auto" w:sz="4" w:space="0"/>
              <w:bottom w:val="single" w:color="auto" w:sz="4" w:space="0"/>
              <w:right w:val="single" w:color="auto" w:sz="4" w:space="0"/>
            </w:tcBorders>
            <w:noWrap/>
            <w:vAlign w:val="center"/>
          </w:tcPr>
          <w:p w14:paraId="60460FF1">
            <w:pPr>
              <w:keepNext w:val="0"/>
              <w:keepLines w:val="0"/>
              <w:pageBreakBefore w:val="0"/>
              <w:kinsoku/>
              <w:wordWrap/>
              <w:overflowPunct/>
              <w:autoSpaceDN/>
              <w:bidi w:val="0"/>
              <w:adjustRightInd w:val="0"/>
              <w:snapToGrid w:val="0"/>
              <w:spacing w:line="380" w:lineRule="exact"/>
              <w:textAlignment w:val="auto"/>
              <w:rPr>
                <w:rFonts w:ascii="宋体" w:hAnsi="宋体" w:cs="宋体"/>
                <w:szCs w:val="21"/>
                <w:highlight w:val="none"/>
              </w:rPr>
            </w:pPr>
            <w:r>
              <w:rPr>
                <w:rFonts w:hint="eastAsia" w:ascii="宋体" w:hAnsi="宋体" w:cs="宋体"/>
                <w:color w:val="auto"/>
                <w:sz w:val="21"/>
                <w:szCs w:val="21"/>
                <w:highlight w:val="none"/>
                <w:lang w:val="en-US" w:eastAsia="zh-CN"/>
              </w:rPr>
              <w:t>已落实</w:t>
            </w:r>
          </w:p>
        </w:tc>
      </w:tr>
      <w:tr w14:paraId="64D296C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0EC8E8">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516917A">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招标范围</w:t>
            </w:r>
          </w:p>
        </w:tc>
        <w:tc>
          <w:tcPr>
            <w:tcW w:w="7251" w:type="dxa"/>
            <w:tcBorders>
              <w:top w:val="single" w:color="auto" w:sz="4" w:space="0"/>
              <w:left w:val="single" w:color="auto" w:sz="4" w:space="0"/>
              <w:bottom w:val="single" w:color="auto" w:sz="4" w:space="0"/>
              <w:right w:val="single" w:color="auto" w:sz="4" w:space="0"/>
            </w:tcBorders>
            <w:noWrap/>
            <w:vAlign w:val="center"/>
          </w:tcPr>
          <w:p w14:paraId="6B3CA562">
            <w:pPr>
              <w:keepNext w:val="0"/>
              <w:keepLines w:val="0"/>
              <w:pageBreakBefore w:val="0"/>
              <w:kinsoku/>
              <w:wordWrap/>
              <w:overflowPunct/>
              <w:autoSpaceDN/>
              <w:bidi w:val="0"/>
              <w:spacing w:line="380" w:lineRule="exact"/>
              <w:textAlignment w:val="auto"/>
              <w:rPr>
                <w:rFonts w:ascii="宋体" w:hAnsi="宋体" w:cs="宋体"/>
                <w:szCs w:val="21"/>
                <w:highlight w:val="none"/>
              </w:rPr>
            </w:pPr>
            <w:r>
              <w:rPr>
                <w:rFonts w:hint="eastAsia"/>
                <w:color w:val="000000"/>
                <w:szCs w:val="21"/>
                <w:highlight w:val="none"/>
              </w:rPr>
              <w:t>见招标公告</w:t>
            </w:r>
          </w:p>
        </w:tc>
      </w:tr>
      <w:tr w14:paraId="4195E0D5">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ABF706">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22F7482">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评标办法</w:t>
            </w:r>
          </w:p>
        </w:tc>
        <w:tc>
          <w:tcPr>
            <w:tcW w:w="7251" w:type="dxa"/>
            <w:tcBorders>
              <w:top w:val="single" w:color="auto" w:sz="4" w:space="0"/>
              <w:left w:val="single" w:color="auto" w:sz="4" w:space="0"/>
              <w:bottom w:val="single" w:color="auto" w:sz="4" w:space="0"/>
              <w:right w:val="single" w:color="auto" w:sz="4" w:space="0"/>
            </w:tcBorders>
            <w:noWrap/>
            <w:vAlign w:val="center"/>
          </w:tcPr>
          <w:p w14:paraId="340D66FF">
            <w:pPr>
              <w:pStyle w:val="93"/>
              <w:keepNext w:val="0"/>
              <w:keepLines w:val="0"/>
              <w:pageBreakBefore w:val="0"/>
              <w:kinsoku/>
              <w:wordWrap/>
              <w:overflowPunct/>
              <w:autoSpaceDN/>
              <w:bidi w:val="0"/>
              <w:spacing w:line="380" w:lineRule="exact"/>
              <w:textAlignment w:val="auto"/>
              <w:rPr>
                <w:rFonts w:ascii="宋体" w:hAnsi="宋体" w:cs="宋体"/>
                <w:highlight w:val="none"/>
              </w:rPr>
            </w:pPr>
            <w:r>
              <w:rPr>
                <w:rFonts w:hint="eastAsia" w:ascii="宋体" w:hAnsi="宋体" w:cs="宋体"/>
                <w:color w:val="auto"/>
                <w:sz w:val="21"/>
                <w:szCs w:val="21"/>
                <w:highlight w:val="none"/>
              </w:rPr>
              <w:t>见招标公告</w:t>
            </w:r>
          </w:p>
        </w:tc>
      </w:tr>
      <w:tr w14:paraId="6E44BA5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B12E6DA">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9F9D96F">
            <w:pPr>
              <w:keepNext w:val="0"/>
              <w:keepLines w:val="0"/>
              <w:pageBreakBefore w:val="0"/>
              <w:kinsoku/>
              <w:wordWrap/>
              <w:overflowPunct/>
              <w:autoSpaceDE/>
              <w:autoSpaceDN/>
              <w:bidi w:val="0"/>
              <w:adjustRightInd w:val="0"/>
              <w:snapToGrid w:val="0"/>
              <w:spacing w:line="380" w:lineRule="exact"/>
              <w:jc w:val="center"/>
              <w:textAlignment w:val="auto"/>
              <w:rPr>
                <w:rFonts w:ascii="宋体" w:hAnsi="宋体" w:cs="宋体"/>
                <w:color w:val="auto"/>
                <w:szCs w:val="21"/>
                <w:highlight w:val="none"/>
              </w:rPr>
            </w:pPr>
            <w:r>
              <w:rPr>
                <w:rFonts w:hint="eastAsia" w:ascii="宋体" w:hAnsi="宋体" w:eastAsia="宋体" w:cs="宋体"/>
                <w:color w:val="auto"/>
                <w:sz w:val="21"/>
                <w:szCs w:val="21"/>
                <w:highlight w:val="none"/>
              </w:rPr>
              <w:t>计划工期</w:t>
            </w:r>
          </w:p>
        </w:tc>
        <w:tc>
          <w:tcPr>
            <w:tcW w:w="7251" w:type="dxa"/>
            <w:tcBorders>
              <w:top w:val="single" w:color="auto" w:sz="4" w:space="0"/>
              <w:left w:val="single" w:color="auto" w:sz="4" w:space="0"/>
              <w:bottom w:val="single" w:color="auto" w:sz="4" w:space="0"/>
              <w:right w:val="single" w:color="auto" w:sz="4" w:space="0"/>
            </w:tcBorders>
            <w:noWrap/>
            <w:vAlign w:val="center"/>
          </w:tcPr>
          <w:p w14:paraId="12C09492">
            <w:pPr>
              <w:keepNext w:val="0"/>
              <w:keepLines w:val="0"/>
              <w:pageBreakBefore w:val="0"/>
              <w:kinsoku/>
              <w:wordWrap/>
              <w:overflowPunct/>
              <w:autoSpaceDE/>
              <w:autoSpaceDN/>
              <w:bidi w:val="0"/>
              <w:adjustRightInd w:val="0"/>
              <w:snapToGrid w:val="0"/>
              <w:spacing w:line="38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计划工</w:t>
            </w:r>
            <w:r>
              <w:rPr>
                <w:rFonts w:hint="eastAsia" w:ascii="宋体" w:hAnsi="宋体" w:eastAsia="宋体" w:cs="宋体"/>
                <w:b/>
                <w:color w:val="auto"/>
                <w:sz w:val="21"/>
                <w:szCs w:val="21"/>
                <w:highlight w:val="none"/>
                <w:lang w:eastAsia="zh-CN"/>
              </w:rPr>
              <w:t>期：</w:t>
            </w:r>
            <w:r>
              <w:rPr>
                <w:rFonts w:hint="eastAsia" w:ascii="宋体" w:hAnsi="宋体" w:eastAsia="宋体" w:cs="宋体"/>
                <w:b/>
                <w:color w:val="auto"/>
                <w:sz w:val="21"/>
                <w:szCs w:val="21"/>
                <w:highlight w:val="none"/>
                <w:lang w:val="en-US" w:eastAsia="zh-CN"/>
              </w:rPr>
              <w:t>不高于</w:t>
            </w:r>
            <w:r>
              <w:rPr>
                <w:rFonts w:hint="eastAsia" w:ascii="宋体" w:hAnsi="宋体" w:cs="宋体"/>
                <w:b/>
                <w:color w:val="auto"/>
                <w:sz w:val="21"/>
                <w:szCs w:val="21"/>
                <w:highlight w:val="none"/>
                <w:u w:val="single"/>
                <w:lang w:val="en-US" w:eastAsia="zh-CN"/>
              </w:rPr>
              <w:t>40</w:t>
            </w:r>
            <w:r>
              <w:rPr>
                <w:rFonts w:hint="eastAsia" w:ascii="宋体" w:hAnsi="宋体" w:eastAsia="宋体" w:cs="宋体"/>
                <w:b/>
                <w:color w:val="auto"/>
                <w:sz w:val="21"/>
                <w:szCs w:val="21"/>
                <w:highlight w:val="none"/>
                <w:lang w:val="en-US" w:eastAsia="zh-CN"/>
              </w:rPr>
              <w:t>个日历天</w:t>
            </w:r>
            <w:r>
              <w:rPr>
                <w:rFonts w:hint="eastAsia" w:ascii="宋体" w:hAnsi="宋体" w:eastAsia="宋体" w:cs="宋体"/>
                <w:b/>
                <w:color w:val="auto"/>
                <w:sz w:val="21"/>
                <w:szCs w:val="21"/>
                <w:highlight w:val="none"/>
                <w:lang w:eastAsia="zh-CN"/>
              </w:rPr>
              <w:t>。</w:t>
            </w:r>
          </w:p>
          <w:p w14:paraId="385FC43D">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计划开工日期：双方签订合同时明确</w:t>
            </w:r>
            <w:r>
              <w:rPr>
                <w:rFonts w:hint="eastAsia" w:ascii="宋体" w:hAnsi="宋体" w:cs="宋体"/>
                <w:color w:val="auto"/>
                <w:sz w:val="21"/>
                <w:szCs w:val="21"/>
                <w:highlight w:val="none"/>
                <w:lang w:val="en-US" w:eastAsia="zh-CN"/>
              </w:rPr>
              <w:t xml:space="preserve"> </w:t>
            </w:r>
          </w:p>
          <w:p w14:paraId="3594D4AC">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计划竣工日期：双方签订合同时明确</w:t>
            </w:r>
          </w:p>
          <w:p w14:paraId="7365FC3B">
            <w:pPr>
              <w:keepNext w:val="0"/>
              <w:keepLines w:val="0"/>
              <w:pageBreakBefore w:val="0"/>
              <w:kinsoku/>
              <w:wordWrap/>
              <w:overflowPunct/>
              <w:autoSpaceDE/>
              <w:autoSpaceDN/>
              <w:bidi w:val="0"/>
              <w:adjustRightInd w:val="0"/>
              <w:snapToGrid w:val="0"/>
              <w:spacing w:line="380" w:lineRule="exact"/>
              <w:textAlignment w:val="auto"/>
              <w:rPr>
                <w:rFonts w:ascii="宋体" w:hAnsi="宋体" w:cs="宋体"/>
                <w:color w:val="auto"/>
                <w:szCs w:val="21"/>
                <w:highlight w:val="none"/>
              </w:rPr>
            </w:pPr>
            <w:r>
              <w:rPr>
                <w:rFonts w:hint="eastAsia" w:ascii="宋体" w:hAnsi="宋体" w:cs="宋体"/>
                <w:color w:val="auto"/>
                <w:sz w:val="21"/>
                <w:szCs w:val="21"/>
                <w:highlight w:val="none"/>
              </w:rPr>
              <w:t>注：投标人自报的承诺工期为考核标准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工期每延误一天，处以</w:t>
            </w:r>
            <w:r>
              <w:rPr>
                <w:rFonts w:hint="eastAsia" w:ascii="宋体" w:hAnsi="宋体" w:cs="宋体"/>
                <w:color w:val="auto"/>
                <w:sz w:val="21"/>
                <w:szCs w:val="21"/>
                <w:highlight w:val="none"/>
                <w:u w:val="single"/>
                <w:lang w:val="en-US" w:eastAsia="zh-CN"/>
              </w:rPr>
              <w:t xml:space="preserve"> 1000 </w:t>
            </w:r>
            <w:r>
              <w:rPr>
                <w:rFonts w:hint="eastAsia" w:ascii="宋体" w:hAnsi="宋体" w:cs="宋体"/>
                <w:color w:val="auto"/>
                <w:sz w:val="21"/>
                <w:szCs w:val="21"/>
                <w:highlight w:val="none"/>
              </w:rPr>
              <w:t xml:space="preserve">元违约金，工期提前不奖励。 </w:t>
            </w:r>
            <w:r>
              <w:rPr>
                <w:rFonts w:hint="eastAsia" w:ascii="Times New Roman" w:hAnsi="Times New Roman" w:eastAsia="宋体" w:cs="Times New Roman"/>
                <w:color w:val="auto"/>
                <w:highlight w:val="none"/>
                <w:lang w:val="en-US" w:eastAsia="zh-CN"/>
              </w:rPr>
              <w:t xml:space="preserve">  </w:t>
            </w:r>
            <w:r>
              <w:rPr>
                <w:rFonts w:hint="eastAsia" w:ascii="宋体" w:hAnsi="宋体" w:eastAsia="宋体" w:cs="宋体"/>
                <w:color w:val="auto"/>
                <w:sz w:val="21"/>
                <w:szCs w:val="21"/>
                <w:highlight w:val="none"/>
              </w:rPr>
              <w:t xml:space="preserve">       </w:t>
            </w:r>
          </w:p>
        </w:tc>
      </w:tr>
      <w:tr w14:paraId="4024D16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52B29A18">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0FB8891">
            <w:pPr>
              <w:keepNext w:val="0"/>
              <w:keepLines w:val="0"/>
              <w:pageBreakBefore w:val="0"/>
              <w:kinsoku/>
              <w:wordWrap/>
              <w:overflowPunct/>
              <w:autoSpaceDN/>
              <w:bidi w:val="0"/>
              <w:spacing w:line="380" w:lineRule="exact"/>
              <w:jc w:val="center"/>
              <w:textAlignment w:val="auto"/>
              <w:rPr>
                <w:rFonts w:ascii="宋体" w:hAnsi="宋体" w:cs="宋体"/>
                <w:color w:val="FF0000"/>
                <w:szCs w:val="21"/>
                <w:highlight w:val="none"/>
              </w:rPr>
            </w:pPr>
            <w:r>
              <w:rPr>
                <w:rFonts w:hint="eastAsia" w:ascii="宋体" w:hAnsi="宋体" w:cs="宋体"/>
                <w:szCs w:val="21"/>
                <w:highlight w:val="none"/>
              </w:rPr>
              <w:t>质量要求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222B8DA3">
            <w:pPr>
              <w:keepNext w:val="0"/>
              <w:keepLines w:val="0"/>
              <w:pageBreakBefore w:val="0"/>
              <w:kinsoku/>
              <w:wordWrap/>
              <w:overflowPunct/>
              <w:autoSpaceDN/>
              <w:bidi w:val="0"/>
              <w:spacing w:line="380" w:lineRule="exact"/>
              <w:textAlignment w:val="auto"/>
              <w:rPr>
                <w:rFonts w:ascii="宋体" w:hAnsi="宋体" w:cs="宋体"/>
                <w:szCs w:val="21"/>
                <w:highlight w:val="none"/>
              </w:rPr>
            </w:pPr>
            <w:r>
              <w:rPr>
                <w:rFonts w:hint="eastAsia" w:ascii="宋体" w:hAnsi="宋体" w:cs="宋体"/>
                <w:kern w:val="0"/>
                <w:szCs w:val="21"/>
                <w:highlight w:val="none"/>
              </w:rPr>
              <w:t>必须达到国家工程施工质量验收</w:t>
            </w:r>
            <w:r>
              <w:rPr>
                <w:rFonts w:hint="eastAsia" w:ascii="宋体" w:hAnsi="宋体" w:cs="宋体"/>
                <w:kern w:val="0"/>
                <w:szCs w:val="21"/>
                <w:highlight w:val="none"/>
                <w:u w:val="single"/>
              </w:rPr>
              <w:t xml:space="preserve"> 合格 </w:t>
            </w:r>
            <w:r>
              <w:rPr>
                <w:rFonts w:hint="eastAsia" w:ascii="宋体" w:hAnsi="宋体" w:cs="宋体"/>
                <w:kern w:val="0"/>
                <w:szCs w:val="21"/>
                <w:highlight w:val="none"/>
              </w:rPr>
              <w:t>标准</w:t>
            </w:r>
            <w:r>
              <w:rPr>
                <w:rFonts w:hint="eastAsia" w:ascii="宋体" w:hAnsi="宋体" w:cs="宋体"/>
                <w:szCs w:val="21"/>
                <w:highlight w:val="none"/>
              </w:rPr>
              <w:t xml:space="preserve">。 </w:t>
            </w:r>
          </w:p>
        </w:tc>
      </w:tr>
      <w:tr w14:paraId="0610F1B6">
        <w:tblPrEx>
          <w:tblCellMar>
            <w:top w:w="0" w:type="dxa"/>
            <w:left w:w="108" w:type="dxa"/>
            <w:bottom w:w="0" w:type="dxa"/>
            <w:right w:w="108" w:type="dxa"/>
          </w:tblCellMar>
        </w:tblPrEx>
        <w:trPr>
          <w:trHeight w:val="90" w:hRule="atLeast"/>
          <w:jc w:val="center"/>
        </w:trPr>
        <w:tc>
          <w:tcPr>
            <w:tcW w:w="868" w:type="dxa"/>
            <w:vMerge w:val="restart"/>
            <w:tcBorders>
              <w:top w:val="single" w:color="auto" w:sz="4" w:space="0"/>
              <w:left w:val="single" w:color="auto" w:sz="4" w:space="0"/>
              <w:bottom w:val="single" w:color="auto" w:sz="4" w:space="0"/>
              <w:right w:val="single" w:color="auto" w:sz="4" w:space="0"/>
            </w:tcBorders>
            <w:noWrap/>
            <w:vAlign w:val="center"/>
          </w:tcPr>
          <w:p w14:paraId="6499B10A">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10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7F75B5F">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投标人资质条件、能力和信誉</w:t>
            </w:r>
          </w:p>
        </w:tc>
        <w:tc>
          <w:tcPr>
            <w:tcW w:w="7251" w:type="dxa"/>
            <w:tcBorders>
              <w:top w:val="single" w:color="auto" w:sz="4" w:space="0"/>
              <w:left w:val="single" w:color="auto" w:sz="4" w:space="0"/>
              <w:bottom w:val="single" w:color="auto" w:sz="4" w:space="0"/>
              <w:right w:val="single" w:color="auto" w:sz="4" w:space="0"/>
            </w:tcBorders>
            <w:noWrap/>
            <w:vAlign w:val="center"/>
          </w:tcPr>
          <w:p w14:paraId="79A1E5A2">
            <w:pPr>
              <w:pStyle w:val="14"/>
              <w:keepNext w:val="0"/>
              <w:keepLines w:val="0"/>
              <w:pageBreakBefore w:val="0"/>
              <w:kinsoku/>
              <w:wordWrap/>
              <w:overflowPunct/>
              <w:autoSpaceDN/>
              <w:bidi w:val="0"/>
              <w:spacing w:line="380" w:lineRule="exact"/>
              <w:ind w:left="0" w:leftChars="0" w:firstLine="0" w:firstLineChars="0"/>
              <w:jc w:val="left"/>
              <w:textAlignment w:val="auto"/>
              <w:rPr>
                <w:rFonts w:hAnsi="宋体" w:cs="宋体"/>
                <w:szCs w:val="21"/>
                <w:highlight w:val="none"/>
                <w:u w:val="single"/>
              </w:rPr>
            </w:pPr>
            <w:r>
              <w:rPr>
                <w:rFonts w:hint="eastAsia" w:hAnsi="宋体" w:cs="宋体"/>
                <w:szCs w:val="21"/>
                <w:highlight w:val="none"/>
                <w:u w:val="single"/>
              </w:rPr>
              <w:t>见招标公告信息</w:t>
            </w:r>
          </w:p>
        </w:tc>
      </w:tr>
      <w:tr w14:paraId="34CDA60C">
        <w:tblPrEx>
          <w:tblCellMar>
            <w:top w:w="0" w:type="dxa"/>
            <w:left w:w="108" w:type="dxa"/>
            <w:bottom w:w="0" w:type="dxa"/>
            <w:right w:w="108" w:type="dxa"/>
          </w:tblCellMar>
        </w:tblPrEx>
        <w:trPr>
          <w:trHeight w:val="575" w:hRule="atLeast"/>
          <w:jc w:val="center"/>
        </w:trPr>
        <w:tc>
          <w:tcPr>
            <w:tcW w:w="868" w:type="dxa"/>
            <w:vMerge w:val="continue"/>
            <w:tcBorders>
              <w:top w:val="single" w:color="auto" w:sz="4" w:space="0"/>
              <w:left w:val="single" w:color="auto" w:sz="4" w:space="0"/>
              <w:bottom w:val="single" w:color="auto" w:sz="4" w:space="0"/>
              <w:right w:val="single" w:color="auto" w:sz="4" w:space="0"/>
            </w:tcBorders>
            <w:noWrap/>
            <w:vAlign w:val="center"/>
          </w:tcPr>
          <w:p w14:paraId="193EBDFC">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BC1C102">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招标文件发布时间：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00E3B91B">
            <w:pPr>
              <w:keepNext w:val="0"/>
              <w:keepLines w:val="0"/>
              <w:pageBreakBefore w:val="0"/>
              <w:kinsoku/>
              <w:wordWrap/>
              <w:overflowPunct/>
              <w:autoSpaceDN/>
              <w:bidi w:val="0"/>
              <w:spacing w:line="380" w:lineRule="exact"/>
              <w:textAlignment w:val="auto"/>
              <w:rPr>
                <w:rFonts w:ascii="宋体" w:hAnsi="宋体" w:cs="宋体"/>
                <w:kern w:val="0"/>
                <w:szCs w:val="21"/>
                <w:highlight w:val="none"/>
              </w:rPr>
            </w:pPr>
            <w:r>
              <w:rPr>
                <w:rFonts w:hint="eastAsia" w:ascii="宋体" w:hAnsi="宋体" w:cs="宋体"/>
                <w:kern w:val="0"/>
                <w:szCs w:val="21"/>
                <w:highlight w:val="none"/>
              </w:rPr>
              <w:t>见招标公告信息</w:t>
            </w:r>
          </w:p>
        </w:tc>
      </w:tr>
      <w:tr w14:paraId="52E33D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2885CC7">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11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4E7DF90">
            <w:pPr>
              <w:keepNext w:val="0"/>
              <w:keepLines w:val="0"/>
              <w:pageBreakBefore w:val="0"/>
              <w:kinsoku/>
              <w:wordWrap/>
              <w:overflowPunct/>
              <w:autoSpaceDN/>
              <w:bidi w:val="0"/>
              <w:spacing w:line="38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踏勘现场</w:t>
            </w:r>
          </w:p>
        </w:tc>
        <w:tc>
          <w:tcPr>
            <w:tcW w:w="7251" w:type="dxa"/>
            <w:tcBorders>
              <w:top w:val="single" w:color="auto" w:sz="4" w:space="0"/>
              <w:left w:val="single" w:color="auto" w:sz="4" w:space="0"/>
              <w:bottom w:val="single" w:color="auto" w:sz="4" w:space="0"/>
              <w:right w:val="single" w:color="auto" w:sz="4" w:space="0"/>
            </w:tcBorders>
            <w:noWrap/>
            <w:vAlign w:val="center"/>
          </w:tcPr>
          <w:p w14:paraId="2EB7922D">
            <w:pPr>
              <w:pStyle w:val="19"/>
              <w:keepNext w:val="0"/>
              <w:keepLines w:val="0"/>
              <w:pageBreakBefore w:val="0"/>
              <w:kinsoku/>
              <w:wordWrap/>
              <w:overflowPunct/>
              <w:topLinePunct/>
              <w:autoSpaceDN/>
              <w:bidi w:val="0"/>
              <w:spacing w:line="38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不组织，投标人自行组织踏勘现场</w:t>
            </w:r>
            <w:r>
              <w:rPr>
                <w:rFonts w:hint="eastAsia" w:hAnsi="宋体" w:cs="宋体"/>
                <w:sz w:val="21"/>
                <w:szCs w:val="21"/>
                <w:highlight w:val="none"/>
              </w:rPr>
              <w:t>；□组织</w:t>
            </w:r>
          </w:p>
        </w:tc>
      </w:tr>
      <w:tr w14:paraId="5938BD5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C77D58C">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12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9FD36A4">
            <w:pPr>
              <w:keepNext w:val="0"/>
              <w:keepLines w:val="0"/>
              <w:pageBreakBefore w:val="0"/>
              <w:kinsoku/>
              <w:wordWrap/>
              <w:overflowPunct/>
              <w:autoSpaceDN/>
              <w:bidi w:val="0"/>
              <w:spacing w:line="38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投标预备会</w:t>
            </w:r>
          </w:p>
        </w:tc>
        <w:tc>
          <w:tcPr>
            <w:tcW w:w="7251" w:type="dxa"/>
            <w:tcBorders>
              <w:top w:val="single" w:color="auto" w:sz="4" w:space="0"/>
              <w:left w:val="single" w:color="auto" w:sz="4" w:space="0"/>
              <w:bottom w:val="single" w:color="auto" w:sz="4" w:space="0"/>
              <w:right w:val="single" w:color="auto" w:sz="4" w:space="0"/>
            </w:tcBorders>
            <w:noWrap/>
            <w:vAlign w:val="center"/>
          </w:tcPr>
          <w:p w14:paraId="3343207B">
            <w:pPr>
              <w:pStyle w:val="19"/>
              <w:keepNext w:val="0"/>
              <w:keepLines w:val="0"/>
              <w:pageBreakBefore w:val="0"/>
              <w:kinsoku/>
              <w:wordWrap/>
              <w:overflowPunct/>
              <w:topLinePunct/>
              <w:autoSpaceDN/>
              <w:bidi w:val="0"/>
              <w:spacing w:line="38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不召开</w:t>
            </w:r>
            <w:r>
              <w:rPr>
                <w:rFonts w:hint="eastAsia" w:hAnsi="宋体" w:cs="宋体"/>
                <w:sz w:val="21"/>
                <w:szCs w:val="21"/>
                <w:highlight w:val="none"/>
              </w:rPr>
              <w:t>；□召开</w:t>
            </w:r>
          </w:p>
        </w:tc>
      </w:tr>
      <w:tr w14:paraId="1A70631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418457">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13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11C62B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投标人提出问题的截止时间及方式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0FB0E6F2">
            <w:pPr>
              <w:pStyle w:val="24"/>
              <w:keepNext w:val="0"/>
              <w:keepLines w:val="0"/>
              <w:pageBreakBefore w:val="0"/>
              <w:kinsoku/>
              <w:wordWrap/>
              <w:overflowPunct/>
              <w:autoSpaceDN/>
              <w:bidi w:val="0"/>
              <w:spacing w:line="400" w:lineRule="exact"/>
              <w:textAlignment w:val="auto"/>
              <w:rPr>
                <w:rFonts w:hint="eastAsia" w:ascii="宋体" w:hAnsi="宋体" w:eastAsia="宋体" w:cs="宋体"/>
                <w:b w:val="0"/>
                <w:bCs w:val="0"/>
                <w:highlight w:val="none"/>
              </w:rPr>
            </w:pPr>
            <w:r>
              <w:rPr>
                <w:rFonts w:hint="eastAsia" w:ascii="宋体" w:hAnsi="宋体" w:cs="宋体"/>
                <w:kern w:val="0"/>
                <w:szCs w:val="21"/>
                <w:highlight w:val="none"/>
              </w:rPr>
              <w:t>如投标人对招标文件有疑问，</w:t>
            </w:r>
            <w:r>
              <w:rPr>
                <w:rFonts w:hint="eastAsia" w:ascii="宋体" w:hAnsi="宋体" w:eastAsia="宋体" w:cs="宋体"/>
                <w:kern w:val="0"/>
                <w:szCs w:val="21"/>
                <w:highlight w:val="none"/>
              </w:rPr>
              <w:t>请于</w:t>
            </w:r>
            <w:r>
              <w:rPr>
                <w:rFonts w:hint="eastAsia" w:ascii="宋体" w:hAnsi="宋体" w:cs="宋体"/>
                <w:kern w:val="0"/>
                <w:szCs w:val="21"/>
                <w:highlight w:val="none"/>
                <w:lang w:val="en-US" w:eastAsia="zh-CN"/>
              </w:rPr>
              <w:t>2026</w:t>
            </w:r>
            <w:r>
              <w:rPr>
                <w:rFonts w:hint="eastAsia" w:ascii="宋体" w:hAnsi="宋体" w:eastAsia="宋体" w:cs="宋体"/>
                <w:kern w:val="0"/>
                <w:szCs w:val="21"/>
                <w:highlight w:val="none"/>
              </w:rPr>
              <w:t>年</w:t>
            </w:r>
            <w:r>
              <w:rPr>
                <w:rFonts w:hint="eastAsia" w:ascii="宋体" w:hAnsi="宋体" w:cs="宋体"/>
                <w:kern w:val="0"/>
                <w:szCs w:val="21"/>
                <w:highlight w:val="none"/>
                <w:lang w:val="en-US" w:eastAsia="zh-CN"/>
              </w:rPr>
              <w:t>11</w:t>
            </w:r>
            <w:r>
              <w:rPr>
                <w:rFonts w:hint="eastAsia" w:ascii="宋体" w:hAnsi="宋体" w:eastAsia="宋体" w:cs="宋体"/>
                <w:kern w:val="0"/>
                <w:szCs w:val="21"/>
                <w:highlight w:val="none"/>
              </w:rPr>
              <w:t>月</w:t>
            </w:r>
            <w:r>
              <w:rPr>
                <w:rFonts w:hint="eastAsia" w:ascii="宋体" w:hAnsi="宋体" w:cs="宋体"/>
                <w:kern w:val="0"/>
                <w:szCs w:val="21"/>
                <w:highlight w:val="none"/>
                <w:lang w:val="en-US" w:eastAsia="zh-CN"/>
              </w:rPr>
              <w:t>1</w:t>
            </w:r>
            <w:r>
              <w:rPr>
                <w:rFonts w:hint="eastAsia" w:ascii="宋体" w:hAnsi="宋体" w:eastAsia="宋体" w:cs="宋体"/>
                <w:kern w:val="0"/>
                <w:szCs w:val="21"/>
                <w:highlight w:val="none"/>
              </w:rPr>
              <w:t>日17时前</w:t>
            </w:r>
            <w:r>
              <w:rPr>
                <w:rFonts w:hint="eastAsia" w:ascii="宋体" w:hAnsi="宋体" w:eastAsia="宋体" w:cs="宋体"/>
                <w:color w:val="auto"/>
                <w:szCs w:val="21"/>
                <w:highlight w:val="none"/>
                <w:lang w:val="en-US" w:eastAsia="zh-CN"/>
              </w:rPr>
              <w:t>登录新点电子交易平台【滁州专区】线上提出</w:t>
            </w:r>
            <w:r>
              <w:rPr>
                <w:rFonts w:ascii="宋体" w:hAnsi="宋体" w:eastAsia="宋体" w:cs="宋体"/>
                <w:color w:val="auto"/>
                <w:highlight w:val="none"/>
              </w:rPr>
              <w:t>。</w:t>
            </w:r>
          </w:p>
        </w:tc>
      </w:tr>
      <w:tr w14:paraId="2634A73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D7940DC">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14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F9A455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招标人澄清的时间及方式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3EA44CCA">
            <w:pPr>
              <w:keepNext w:val="0"/>
              <w:keepLines w:val="0"/>
              <w:pageBreakBefore w:val="0"/>
              <w:kinsoku/>
              <w:wordWrap/>
              <w:overflowPunct/>
              <w:autoSpaceDN/>
              <w:bidi w:val="0"/>
              <w:spacing w:line="400" w:lineRule="exact"/>
              <w:textAlignment w:val="auto"/>
              <w:rPr>
                <w:rFonts w:hint="eastAsia" w:ascii="宋体" w:hAnsi="宋体" w:eastAsia="宋体" w:cs="宋体"/>
                <w:b w:val="0"/>
                <w:bCs w:val="0"/>
                <w:highlight w:val="none"/>
              </w:rPr>
            </w:pPr>
            <w:r>
              <w:rPr>
                <w:rFonts w:hint="eastAsia" w:ascii="宋体" w:hAnsi="宋体" w:eastAsia="宋体" w:cs="宋体"/>
                <w:b w:val="0"/>
                <w:bCs w:val="0"/>
                <w:color w:val="000000"/>
                <w:kern w:val="2"/>
                <w:sz w:val="21"/>
                <w:szCs w:val="21"/>
                <w:highlight w:val="none"/>
                <w:u w:color="000000"/>
                <w:lang w:val="en-US" w:eastAsia="zh-CN" w:bidi="ar"/>
              </w:rPr>
              <w:t>招标人将在</w:t>
            </w:r>
            <w:r>
              <w:rPr>
                <w:rFonts w:hint="eastAsia" w:ascii="宋体" w:hAnsi="宋体" w:cs="宋体"/>
                <w:b w:val="0"/>
                <w:bCs w:val="0"/>
                <w:color w:val="000000"/>
                <w:kern w:val="2"/>
                <w:sz w:val="21"/>
                <w:szCs w:val="21"/>
                <w:highlight w:val="none"/>
                <w:u w:color="000000"/>
                <w:lang w:val="en-US" w:eastAsia="zh-CN" w:bidi="ar"/>
              </w:rPr>
              <w:t>2026</w:t>
            </w:r>
            <w:r>
              <w:rPr>
                <w:rFonts w:hint="eastAsia" w:ascii="宋体" w:hAnsi="宋体" w:eastAsia="宋体" w:cs="宋体"/>
                <w:b w:val="0"/>
                <w:bCs w:val="0"/>
                <w:color w:val="000000"/>
                <w:kern w:val="2"/>
                <w:sz w:val="21"/>
                <w:szCs w:val="21"/>
                <w:highlight w:val="none"/>
                <w:u w:color="000000"/>
                <w:lang w:val="en-US" w:eastAsia="zh-CN" w:bidi="ar"/>
              </w:rPr>
              <w:t>年</w:t>
            </w:r>
            <w:r>
              <w:rPr>
                <w:rFonts w:hint="eastAsia" w:ascii="宋体" w:hAnsi="宋体" w:cs="宋体"/>
                <w:b w:val="0"/>
                <w:bCs w:val="0"/>
                <w:color w:val="000000"/>
                <w:kern w:val="2"/>
                <w:sz w:val="21"/>
                <w:szCs w:val="21"/>
                <w:highlight w:val="none"/>
                <w:u w:color="000000"/>
                <w:lang w:val="en-US" w:eastAsia="zh-CN" w:bidi="ar"/>
              </w:rPr>
              <w:t>11</w:t>
            </w:r>
            <w:r>
              <w:rPr>
                <w:rFonts w:hint="eastAsia" w:ascii="宋体" w:hAnsi="宋体" w:eastAsia="宋体" w:cs="宋体"/>
                <w:b w:val="0"/>
                <w:bCs w:val="0"/>
                <w:color w:val="000000"/>
                <w:kern w:val="2"/>
                <w:sz w:val="21"/>
                <w:szCs w:val="21"/>
                <w:highlight w:val="none"/>
                <w:u w:color="000000"/>
                <w:lang w:val="en-US" w:eastAsia="zh-CN" w:bidi="ar"/>
              </w:rPr>
              <w:t>月</w:t>
            </w:r>
            <w:r>
              <w:rPr>
                <w:rFonts w:hint="eastAsia" w:ascii="宋体" w:hAnsi="宋体" w:cs="宋体"/>
                <w:b w:val="0"/>
                <w:bCs w:val="0"/>
                <w:color w:val="000000"/>
                <w:kern w:val="2"/>
                <w:sz w:val="21"/>
                <w:szCs w:val="21"/>
                <w:highlight w:val="none"/>
                <w:u w:color="000000"/>
                <w:lang w:val="en-US" w:eastAsia="zh-CN" w:bidi="ar"/>
              </w:rPr>
              <w:t xml:space="preserve">2 </w:t>
            </w:r>
            <w:r>
              <w:rPr>
                <w:rFonts w:hint="eastAsia" w:ascii="宋体" w:hAnsi="宋体" w:eastAsia="宋体" w:cs="宋体"/>
                <w:b w:val="0"/>
                <w:bCs w:val="0"/>
                <w:color w:val="000000"/>
                <w:kern w:val="2"/>
                <w:sz w:val="21"/>
                <w:szCs w:val="21"/>
                <w:highlight w:val="none"/>
                <w:u w:color="000000"/>
                <w:lang w:val="en-US" w:eastAsia="zh-CN" w:bidi="ar"/>
              </w:rPr>
              <w:t>日17时后以澄清公告形式在</w:t>
            </w:r>
            <w:r>
              <w:rPr>
                <w:rFonts w:hint="eastAsia" w:ascii="宋体" w:hAnsi="宋体" w:cs="宋体"/>
                <w:color w:val="auto"/>
                <w:szCs w:val="21"/>
                <w:highlight w:val="none"/>
                <w:lang w:eastAsia="zh-CN"/>
              </w:rPr>
              <w:t>滁州市扬子工业投资集团有限公司官网（https://czyzgtjt.com/）、</w:t>
            </w:r>
            <w:r>
              <w:rPr>
                <w:rFonts w:hint="eastAsia" w:ascii="宋体" w:hAnsi="宋体" w:eastAsia="宋体" w:cs="宋体"/>
                <w:b w:val="0"/>
                <w:bCs w:val="0"/>
                <w:color w:val="000000"/>
                <w:kern w:val="2"/>
                <w:sz w:val="21"/>
                <w:szCs w:val="21"/>
                <w:highlight w:val="none"/>
                <w:u w:color="000000"/>
                <w:lang w:val="en-US" w:eastAsia="zh-CN" w:bidi="ar"/>
              </w:rPr>
              <w:t>滁州市城投工程咨询管理有限公司网站（</w:t>
            </w:r>
            <w:r>
              <w:rPr>
                <w:rFonts w:hint="eastAsia" w:ascii="宋体" w:hAnsi="宋体" w:cs="宋体"/>
                <w:b w:val="0"/>
                <w:bCs w:val="0"/>
                <w:color w:val="000000"/>
                <w:kern w:val="2"/>
                <w:sz w:val="21"/>
                <w:szCs w:val="21"/>
                <w:highlight w:val="none"/>
                <w:u w:color="000000"/>
                <w:lang w:val="en-US" w:eastAsia="zh-CN" w:bidi="ar"/>
              </w:rPr>
              <w:t>https://www.czctgczx.com/</w:t>
            </w:r>
            <w:r>
              <w:rPr>
                <w:rFonts w:hint="eastAsia" w:ascii="宋体" w:hAnsi="宋体" w:eastAsia="宋体" w:cs="宋体"/>
                <w:b w:val="0"/>
                <w:bCs w:val="0"/>
                <w:color w:val="000000"/>
                <w:kern w:val="2"/>
                <w:sz w:val="21"/>
                <w:szCs w:val="21"/>
                <w:highlight w:val="none"/>
                <w:u w:color="000000"/>
                <w:lang w:val="en-US" w:eastAsia="zh-CN" w:bidi="ar"/>
              </w:rPr>
              <w:t>）发布，但不指明澄清问题的来源。如果澄清内容影响投标文件编制的，将相应延长投标截止时间。</w:t>
            </w:r>
          </w:p>
        </w:tc>
      </w:tr>
      <w:tr w14:paraId="5AD99380">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ACCAE51">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15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6712731">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偏离</w:t>
            </w:r>
          </w:p>
        </w:tc>
        <w:tc>
          <w:tcPr>
            <w:tcW w:w="7251" w:type="dxa"/>
            <w:tcBorders>
              <w:top w:val="single" w:color="auto" w:sz="4" w:space="0"/>
              <w:left w:val="single" w:color="auto" w:sz="4" w:space="0"/>
              <w:bottom w:val="single" w:color="auto" w:sz="4" w:space="0"/>
              <w:right w:val="single" w:color="auto" w:sz="4" w:space="0"/>
            </w:tcBorders>
            <w:noWrap/>
            <w:vAlign w:val="center"/>
          </w:tcPr>
          <w:p w14:paraId="6F323E2E">
            <w:pPr>
              <w:pStyle w:val="19"/>
              <w:keepNext w:val="0"/>
              <w:keepLines w:val="0"/>
              <w:pageBreakBefore w:val="0"/>
              <w:kinsoku/>
              <w:wordWrap/>
              <w:overflowPunct/>
              <w:topLinePunct/>
              <w:autoSpaceDN/>
              <w:bidi w:val="0"/>
              <w:spacing w:line="380" w:lineRule="exact"/>
              <w:textAlignment w:val="auto"/>
              <w:rPr>
                <w:rFonts w:hAnsi="宋体" w:cs="宋体"/>
                <w:sz w:val="21"/>
                <w:szCs w:val="21"/>
                <w:highlight w:val="none"/>
              </w:rPr>
            </w:pPr>
            <w:r>
              <w:rPr>
                <w:rFonts w:hint="eastAsia"/>
                <w:highlight w:val="none"/>
              </w:rPr>
              <w:t>☑</w:t>
            </w:r>
            <w:r>
              <w:rPr>
                <w:rFonts w:hint="eastAsia" w:hAnsi="宋体" w:cs="宋体"/>
                <w:sz w:val="21"/>
                <w:szCs w:val="21"/>
                <w:highlight w:val="none"/>
              </w:rPr>
              <w:t>不允许；□允许</w:t>
            </w:r>
          </w:p>
        </w:tc>
      </w:tr>
      <w:tr w14:paraId="462F3D5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61C0531">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16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7653BA3">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构成招标文件的其他材料</w:t>
            </w:r>
          </w:p>
        </w:tc>
        <w:tc>
          <w:tcPr>
            <w:tcW w:w="7251" w:type="dxa"/>
            <w:tcBorders>
              <w:top w:val="single" w:color="auto" w:sz="4" w:space="0"/>
              <w:left w:val="single" w:color="auto" w:sz="4" w:space="0"/>
              <w:bottom w:val="single" w:color="auto" w:sz="4" w:space="0"/>
              <w:right w:val="single" w:color="auto" w:sz="4" w:space="0"/>
            </w:tcBorders>
            <w:noWrap/>
            <w:vAlign w:val="center"/>
          </w:tcPr>
          <w:p w14:paraId="07A7DB3C">
            <w:pPr>
              <w:keepNext w:val="0"/>
              <w:keepLines w:val="0"/>
              <w:pageBreakBefore w:val="0"/>
              <w:kinsoku/>
              <w:wordWrap/>
              <w:overflowPunct/>
              <w:autoSpaceDN/>
              <w:bidi w:val="0"/>
              <w:spacing w:line="380" w:lineRule="exact"/>
              <w:textAlignment w:val="auto"/>
              <w:rPr>
                <w:rFonts w:ascii="宋体" w:hAnsi="宋体" w:cs="宋体"/>
                <w:szCs w:val="21"/>
                <w:highlight w:val="none"/>
              </w:rPr>
            </w:pPr>
            <w:r>
              <w:rPr>
                <w:rFonts w:hint="eastAsia" w:ascii="宋体" w:hAnsi="宋体" w:cs="宋体"/>
                <w:szCs w:val="21"/>
                <w:highlight w:val="none"/>
              </w:rPr>
              <w:t>招标澄清答疑文件等。</w:t>
            </w:r>
          </w:p>
        </w:tc>
      </w:tr>
      <w:tr w14:paraId="132ABAE6">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9A34F72">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17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C04F206">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投标人要求澄清招标文件的截止时间及方式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11154714">
            <w:pPr>
              <w:keepNext w:val="0"/>
              <w:keepLines w:val="0"/>
              <w:pageBreakBefore w:val="0"/>
              <w:kinsoku/>
              <w:wordWrap/>
              <w:overflowPunct/>
              <w:autoSpaceDN/>
              <w:bidi w:val="0"/>
              <w:spacing w:line="380" w:lineRule="exact"/>
              <w:textAlignment w:val="auto"/>
              <w:rPr>
                <w:rFonts w:ascii="宋体" w:hAnsi="宋体" w:cs="宋体"/>
                <w:szCs w:val="21"/>
                <w:highlight w:val="none"/>
              </w:rPr>
            </w:pPr>
            <w:r>
              <w:rPr>
                <w:rFonts w:hint="eastAsia" w:ascii="宋体" w:hAnsi="宋体" w:cs="宋体"/>
                <w:szCs w:val="21"/>
                <w:highlight w:val="none"/>
              </w:rPr>
              <w:t>同本表第13条</w:t>
            </w:r>
          </w:p>
        </w:tc>
      </w:tr>
      <w:tr w14:paraId="2A3378D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49441D8">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18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0782B1E">
            <w:pPr>
              <w:keepNext w:val="0"/>
              <w:keepLines w:val="0"/>
              <w:pageBreakBefore w:val="0"/>
              <w:kinsoku/>
              <w:wordWrap/>
              <w:overflowPunct/>
              <w:autoSpaceDE/>
              <w:autoSpaceDN/>
              <w:bidi w:val="0"/>
              <w:adjustRightInd w:val="0"/>
              <w:snapToGrid w:val="0"/>
              <w:spacing w:line="380" w:lineRule="exact"/>
              <w:jc w:val="center"/>
              <w:textAlignment w:val="auto"/>
              <w:rPr>
                <w:rFonts w:ascii="宋体" w:hAnsi="宋体" w:cs="宋体"/>
                <w:color w:val="auto"/>
                <w:szCs w:val="21"/>
                <w:highlight w:val="none"/>
              </w:rPr>
            </w:pPr>
            <w:r>
              <w:rPr>
                <w:rFonts w:hint="eastAsia" w:ascii="宋体" w:hAnsi="宋体" w:eastAsia="宋体" w:cs="宋体"/>
                <w:b/>
                <w:bCs/>
                <w:color w:val="auto"/>
                <w:sz w:val="21"/>
                <w:szCs w:val="21"/>
                <w:highlight w:val="none"/>
              </w:rPr>
              <w:t>最高投标限价</w:t>
            </w:r>
          </w:p>
        </w:tc>
        <w:tc>
          <w:tcPr>
            <w:tcW w:w="7251" w:type="dxa"/>
            <w:tcBorders>
              <w:top w:val="single" w:color="auto" w:sz="4" w:space="0"/>
              <w:left w:val="single" w:color="auto" w:sz="4" w:space="0"/>
              <w:bottom w:val="single" w:color="auto" w:sz="4" w:space="0"/>
              <w:right w:val="single" w:color="auto" w:sz="4" w:space="0"/>
            </w:tcBorders>
            <w:noWrap/>
            <w:vAlign w:val="center"/>
          </w:tcPr>
          <w:p w14:paraId="7FFE1B90">
            <w:pPr>
              <w:keepNext w:val="0"/>
              <w:keepLines w:val="0"/>
              <w:pageBreakBefore w:val="0"/>
              <w:kinsoku/>
              <w:wordWrap/>
              <w:overflowPunct/>
              <w:autoSpaceDE/>
              <w:autoSpaceDN/>
              <w:bidi w:val="0"/>
              <w:adjustRightInd w:val="0"/>
              <w:snapToGrid w:val="0"/>
              <w:spacing w:line="380" w:lineRule="exac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u w:val="single"/>
              </w:rPr>
              <w:t>有</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公布的最高投标限价：</w:t>
            </w:r>
            <w:r>
              <w:rPr>
                <w:rFonts w:hint="eastAsia" w:ascii="宋体" w:hAnsi="宋体" w:eastAsia="宋体" w:cs="宋体"/>
                <w:color w:val="auto"/>
                <w:sz w:val="21"/>
                <w:szCs w:val="21"/>
                <w:highlight w:val="none"/>
                <w:u w:val="single"/>
                <w:lang w:val="en-US" w:eastAsia="zh-CN"/>
              </w:rPr>
              <w:t>449477.99</w:t>
            </w:r>
            <w:r>
              <w:rPr>
                <w:rFonts w:hint="eastAsia" w:ascii="宋体" w:hAnsi="宋体" w:eastAsia="宋体" w:cs="宋体"/>
                <w:color w:val="auto"/>
                <w:sz w:val="21"/>
                <w:szCs w:val="21"/>
                <w:highlight w:val="none"/>
                <w:u w:val="single"/>
              </w:rPr>
              <w:t>元</w:t>
            </w:r>
            <w:r>
              <w:rPr>
                <w:rFonts w:hint="eastAsia" w:ascii="宋体" w:hAnsi="宋体" w:eastAsia="宋体" w:cs="宋体"/>
                <w:color w:val="auto"/>
                <w:sz w:val="21"/>
                <w:szCs w:val="21"/>
                <w:highlight w:val="none"/>
              </w:rPr>
              <w:t>。</w:t>
            </w:r>
          </w:p>
          <w:p w14:paraId="373D9980">
            <w:pPr>
              <w:keepNext w:val="0"/>
              <w:keepLines w:val="0"/>
              <w:pageBreakBefore w:val="0"/>
              <w:kinsoku/>
              <w:wordWrap/>
              <w:overflowPunct/>
              <w:autoSpaceDE/>
              <w:autoSpaceDN/>
              <w:bidi w:val="0"/>
              <w:adjustRightInd w:val="0"/>
              <w:snapToGrid w:val="0"/>
              <w:spacing w:line="380" w:lineRule="exact"/>
              <w:textAlignment w:val="auto"/>
              <w:rPr>
                <w:rFonts w:hint="eastAsia" w:ascii="宋体" w:hAnsi="宋体" w:eastAsia="宋体" w:cs="宋体"/>
                <w:b/>
                <w:color w:val="auto"/>
                <w:sz w:val="21"/>
                <w:szCs w:val="21"/>
                <w:highlight w:val="none"/>
                <w:u w:val="single"/>
              </w:rPr>
            </w:pPr>
            <w:r>
              <w:rPr>
                <w:rFonts w:hint="eastAsia" w:ascii="宋体" w:hAnsi="宋体" w:eastAsia="宋体" w:cs="宋体"/>
                <w:color w:val="auto"/>
                <w:sz w:val="21"/>
                <w:szCs w:val="21"/>
                <w:highlight w:val="none"/>
              </w:rPr>
              <w:t>应当</w:t>
            </w:r>
            <w:r>
              <w:rPr>
                <w:rFonts w:hint="eastAsia" w:ascii="宋体" w:hAnsi="宋体" w:eastAsia="宋体" w:cs="宋体"/>
                <w:b/>
                <w:bCs/>
                <w:color w:val="auto"/>
                <w:sz w:val="21"/>
                <w:szCs w:val="21"/>
                <w:highlight w:val="none"/>
                <w:u w:val="single"/>
              </w:rPr>
              <w:t>包括总价、各单位工程的分部分项工程费、措施项目费、其他项目费、不可竞争性费用和税金。</w:t>
            </w:r>
          </w:p>
          <w:p w14:paraId="1B2000CD">
            <w:pPr>
              <w:keepNext w:val="0"/>
              <w:keepLines w:val="0"/>
              <w:pageBreakBefore w:val="0"/>
              <w:kinsoku/>
              <w:wordWrap/>
              <w:overflowPunct/>
              <w:autoSpaceDE/>
              <w:autoSpaceDN/>
              <w:bidi w:val="0"/>
              <w:adjustRightInd w:val="0"/>
              <w:snapToGrid w:val="0"/>
              <w:spacing w:line="3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发布时间：</w:t>
            </w:r>
            <w:r>
              <w:rPr>
                <w:rFonts w:hint="eastAsia" w:ascii="宋体" w:hAnsi="宋体" w:cs="宋体"/>
                <w:color w:val="auto"/>
                <w:sz w:val="21"/>
                <w:szCs w:val="21"/>
                <w:highlight w:val="none"/>
                <w:u w:val="single"/>
                <w:lang w:val="en-US" w:eastAsia="zh-CN"/>
              </w:rPr>
              <w:t>2026年10月27</w:t>
            </w:r>
            <w:bookmarkStart w:id="965" w:name="_GoBack"/>
            <w:bookmarkEnd w:id="965"/>
            <w:r>
              <w:rPr>
                <w:rFonts w:hint="eastAsia" w:ascii="宋体" w:hAnsi="宋体" w:cs="宋体"/>
                <w:color w:val="auto"/>
                <w:sz w:val="21"/>
                <w:szCs w:val="21"/>
                <w:highlight w:val="none"/>
                <w:u w:val="single"/>
                <w:lang w:val="en-US" w:eastAsia="zh-CN"/>
              </w:rPr>
              <w:t>日</w:t>
            </w:r>
            <w:r>
              <w:rPr>
                <w:rFonts w:hint="eastAsia" w:ascii="宋体" w:hAnsi="宋体" w:eastAsia="宋体" w:cs="宋体"/>
                <w:color w:val="auto"/>
                <w:sz w:val="21"/>
                <w:szCs w:val="21"/>
                <w:highlight w:val="none"/>
              </w:rPr>
              <w:t>。</w:t>
            </w:r>
          </w:p>
          <w:p w14:paraId="62B51156">
            <w:pPr>
              <w:keepNext w:val="0"/>
              <w:keepLines w:val="0"/>
              <w:pageBreakBefore w:val="0"/>
              <w:widowControl/>
              <w:kinsoku/>
              <w:wordWrap w:val="0"/>
              <w:overflowPunct/>
              <w:topLinePunct w:val="0"/>
              <w:autoSpaceDE/>
              <w:autoSpaceDN/>
              <w:bidi w:val="0"/>
              <w:adjustRightInd/>
              <w:snapToGrid/>
              <w:spacing w:line="380" w:lineRule="exact"/>
              <w:jc w:val="left"/>
              <w:textAlignment w:val="auto"/>
              <w:rPr>
                <w:rFonts w:hint="eastAsia" w:ascii="宋体" w:hAnsi="宋体" w:eastAsia="宋体" w:cs="宋体"/>
                <w:b/>
                <w:color w:val="auto"/>
                <w:szCs w:val="21"/>
                <w:highlight w:val="none"/>
                <w:u w:val="single"/>
                <w:lang w:eastAsia="zh-CN"/>
              </w:rPr>
            </w:pPr>
            <w:r>
              <w:rPr>
                <w:rFonts w:hint="eastAsia" w:ascii="宋体" w:hAnsi="宋体" w:eastAsia="宋体" w:cs="宋体"/>
                <w:b/>
                <w:bCs/>
                <w:color w:val="auto"/>
                <w:sz w:val="21"/>
                <w:szCs w:val="21"/>
                <w:highlight w:val="none"/>
              </w:rPr>
              <w:t>发布媒介：</w:t>
            </w:r>
            <w:r>
              <w:rPr>
                <w:rFonts w:hint="eastAsia" w:ascii="宋体" w:hAnsi="宋体" w:cs="宋体"/>
                <w:color w:val="auto"/>
                <w:szCs w:val="21"/>
                <w:highlight w:val="none"/>
                <w:lang w:eastAsia="zh-CN"/>
              </w:rPr>
              <w:t>滁州市扬子工业投资集团有限公司官网（https://czyzgtjt.com/）、</w:t>
            </w:r>
            <w:r>
              <w:rPr>
                <w:rFonts w:hint="eastAsia" w:ascii="Times New Roman" w:hAnsi="Times New Roman" w:eastAsia="宋体" w:cs="Times New Roman"/>
                <w:highlight w:val="none"/>
                <w:lang w:val="en-US" w:eastAsia="zh-CN"/>
              </w:rPr>
              <w:t>滁州市城投工程咨询管理有限公司（https://www.czctgczx.com/）</w:t>
            </w:r>
          </w:p>
        </w:tc>
      </w:tr>
      <w:tr w14:paraId="6F126AF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A3375F5">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19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8366841">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投标有效期</w:t>
            </w:r>
          </w:p>
        </w:tc>
        <w:tc>
          <w:tcPr>
            <w:tcW w:w="7251" w:type="dxa"/>
            <w:tcBorders>
              <w:top w:val="single" w:color="auto" w:sz="4" w:space="0"/>
              <w:left w:val="single" w:color="auto" w:sz="4" w:space="0"/>
              <w:bottom w:val="single" w:color="auto" w:sz="4" w:space="0"/>
              <w:right w:val="single" w:color="auto" w:sz="4" w:space="0"/>
            </w:tcBorders>
            <w:noWrap/>
            <w:vAlign w:val="center"/>
          </w:tcPr>
          <w:p w14:paraId="3E143A0C">
            <w:pPr>
              <w:keepNext w:val="0"/>
              <w:keepLines w:val="0"/>
              <w:pageBreakBefore w:val="0"/>
              <w:kinsoku/>
              <w:wordWrap/>
              <w:overflowPunct/>
              <w:autoSpaceDN/>
              <w:bidi w:val="0"/>
              <w:spacing w:line="380" w:lineRule="exact"/>
              <w:textAlignment w:val="auto"/>
              <w:rPr>
                <w:rFonts w:ascii="宋体" w:hAnsi="宋体" w:cs="宋体"/>
                <w:szCs w:val="21"/>
                <w:highlight w:val="none"/>
              </w:rPr>
            </w:pPr>
            <w:r>
              <w:rPr>
                <w:rFonts w:hint="eastAsia" w:ascii="宋体" w:hAnsi="宋体" w:cs="宋体"/>
                <w:szCs w:val="21"/>
                <w:highlight w:val="none"/>
              </w:rPr>
              <w:t>投标有效期为</w:t>
            </w:r>
            <w:r>
              <w:rPr>
                <w:rFonts w:hint="eastAsia" w:ascii="宋体" w:hAnsi="宋体" w:cs="宋体"/>
                <w:szCs w:val="21"/>
                <w:highlight w:val="none"/>
                <w:u w:val="single"/>
              </w:rPr>
              <w:t>90</w:t>
            </w:r>
            <w:r>
              <w:rPr>
                <w:rFonts w:hint="eastAsia" w:ascii="宋体" w:hAnsi="宋体" w:cs="宋体"/>
                <w:szCs w:val="21"/>
                <w:highlight w:val="none"/>
              </w:rPr>
              <w:t>日历天（从投标截止之日算起）。在此期限内，凡符合本招标文件要求的投标文件均保持有效。</w:t>
            </w:r>
          </w:p>
        </w:tc>
      </w:tr>
      <w:tr w14:paraId="45AEDE17">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EB6B29F">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20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0129E91">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投标保证金</w:t>
            </w:r>
          </w:p>
        </w:tc>
        <w:tc>
          <w:tcPr>
            <w:tcW w:w="7251" w:type="dxa"/>
            <w:tcBorders>
              <w:top w:val="single" w:color="auto" w:sz="4" w:space="0"/>
              <w:left w:val="single" w:color="auto" w:sz="4" w:space="0"/>
              <w:bottom w:val="single" w:color="auto" w:sz="4" w:space="0"/>
              <w:right w:val="single" w:color="auto" w:sz="4" w:space="0"/>
            </w:tcBorders>
            <w:noWrap/>
            <w:vAlign w:val="center"/>
          </w:tcPr>
          <w:p w14:paraId="28186690">
            <w:pPr>
              <w:keepNext w:val="0"/>
              <w:keepLines w:val="0"/>
              <w:pageBreakBefore w:val="0"/>
              <w:kinsoku/>
              <w:wordWrap/>
              <w:overflowPunct/>
              <w:autoSpaceDN/>
              <w:bidi w:val="0"/>
              <w:spacing w:line="380" w:lineRule="exact"/>
              <w:textAlignment w:val="auto"/>
              <w:rPr>
                <w:rFonts w:ascii="宋体" w:hAnsi="宋体" w:cs="宋体"/>
                <w:szCs w:val="21"/>
                <w:highlight w:val="none"/>
              </w:rPr>
            </w:pPr>
            <w:r>
              <w:rPr>
                <w:rFonts w:hint="eastAsia" w:ascii="宋体" w:hAnsi="宋体" w:cs="宋体"/>
                <w:szCs w:val="21"/>
                <w:highlight w:val="none"/>
              </w:rPr>
              <w:t>详见招标公告信息</w:t>
            </w:r>
          </w:p>
        </w:tc>
      </w:tr>
      <w:tr w14:paraId="6E11FCA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7399921">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21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50DF28D">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签字或盖章要求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5AFD1E77">
            <w:pPr>
              <w:keepNext w:val="0"/>
              <w:keepLines w:val="0"/>
              <w:pageBreakBefore w:val="0"/>
              <w:kinsoku/>
              <w:wordWrap/>
              <w:overflowPunct/>
              <w:autoSpaceDN/>
              <w:bidi w:val="0"/>
              <w:spacing w:line="380" w:lineRule="exact"/>
              <w:textAlignment w:val="auto"/>
              <w:rPr>
                <w:rFonts w:ascii="宋体" w:hAnsi="宋体" w:cs="宋体"/>
                <w:szCs w:val="21"/>
                <w:highlight w:val="none"/>
              </w:rPr>
            </w:pPr>
            <w:r>
              <w:rPr>
                <w:rFonts w:hint="eastAsia" w:ascii="宋体" w:hAnsi="宋体" w:cs="宋体"/>
                <w:szCs w:val="21"/>
                <w:highlight w:val="none"/>
              </w:rPr>
              <w:t>投标文件须按格式文件要求签字或盖章。否则经评委会一致认定后，按照无效投标处理。</w:t>
            </w:r>
          </w:p>
        </w:tc>
      </w:tr>
      <w:tr w14:paraId="2A0476EF">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596DF02">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22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CA3299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投标文件份数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69F7993B">
            <w:pPr>
              <w:pStyle w:val="14"/>
              <w:keepNext w:val="0"/>
              <w:keepLines w:val="0"/>
              <w:pageBreakBefore w:val="0"/>
              <w:kinsoku/>
              <w:wordWrap/>
              <w:overflowPunct/>
              <w:autoSpaceDN/>
              <w:bidi w:val="0"/>
              <w:spacing w:line="400" w:lineRule="exact"/>
              <w:ind w:left="0" w:leftChars="0" w:firstLine="0" w:firstLineChars="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p w14:paraId="6C0386FE">
            <w:pPr>
              <w:pStyle w:val="14"/>
              <w:keepNext w:val="0"/>
              <w:keepLines w:val="0"/>
              <w:pageBreakBefore w:val="0"/>
              <w:kinsoku/>
              <w:wordWrap/>
              <w:overflowPunct/>
              <w:autoSpaceDN/>
              <w:bidi w:val="0"/>
              <w:spacing w:line="400" w:lineRule="exact"/>
              <w:ind w:left="0" w:leftChars="0" w:firstLine="0" w:firstLineChars="0"/>
              <w:textAlignment w:val="auto"/>
              <w:rPr>
                <w:highlight w:val="none"/>
              </w:rPr>
            </w:pPr>
            <w:r>
              <w:rPr>
                <w:rFonts w:hint="eastAsia" w:ascii="宋体" w:hAnsi="宋体" w:eastAsia="宋体" w:cs="宋体"/>
                <w:b/>
                <w:bCs/>
                <w:i w:val="0"/>
                <w:iCs w:val="0"/>
                <w:color w:val="auto"/>
                <w:kern w:val="0"/>
                <w:sz w:val="21"/>
                <w:szCs w:val="21"/>
                <w:highlight w:val="none"/>
                <w:u w:val="single"/>
              </w:rPr>
              <w:t>（投标人中标后须递交与网上电子投标文件完全一致的纸质版投标文件，并按要求加盖单位章；</w:t>
            </w:r>
            <w:r>
              <w:rPr>
                <w:rFonts w:hint="eastAsia" w:ascii="宋体" w:hAnsi="宋体" w:cs="宋体"/>
                <w:b/>
                <w:bCs/>
                <w:i w:val="0"/>
                <w:iCs w:val="0"/>
                <w:color w:val="auto"/>
                <w:kern w:val="0"/>
                <w:sz w:val="21"/>
                <w:szCs w:val="21"/>
                <w:highlight w:val="none"/>
                <w:u w:val="single"/>
              </w:rPr>
              <w:t>份数：正本1份，副本</w:t>
            </w:r>
            <w:r>
              <w:rPr>
                <w:rFonts w:hint="eastAsia" w:ascii="宋体" w:hAnsi="宋体" w:cs="宋体"/>
                <w:b/>
                <w:bCs/>
                <w:i w:val="0"/>
                <w:iCs w:val="0"/>
                <w:color w:val="auto"/>
                <w:kern w:val="0"/>
                <w:sz w:val="21"/>
                <w:szCs w:val="21"/>
                <w:highlight w:val="none"/>
                <w:u w:val="single"/>
                <w:lang w:val="en-US" w:eastAsia="zh-CN"/>
              </w:rPr>
              <w:t>2</w:t>
            </w:r>
            <w:r>
              <w:rPr>
                <w:rFonts w:hint="eastAsia" w:ascii="宋体" w:hAnsi="宋体" w:cs="宋体"/>
                <w:b/>
                <w:bCs/>
                <w:i w:val="0"/>
                <w:iCs w:val="0"/>
                <w:color w:val="auto"/>
                <w:kern w:val="0"/>
                <w:sz w:val="21"/>
                <w:szCs w:val="21"/>
                <w:highlight w:val="none"/>
                <w:u w:val="single"/>
              </w:rPr>
              <w:t>份；中标单位领取中标通知书时，一并递交给代理机构）</w:t>
            </w:r>
          </w:p>
        </w:tc>
      </w:tr>
      <w:tr w14:paraId="0DE33C57">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0C592D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8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54E8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center"/>
              <w:textAlignment w:val="auto"/>
              <w:rPr>
                <w:rFonts w:hint="eastAsia" w:ascii="宋体" w:hAnsi="宋体" w:cs="宋体"/>
                <w:szCs w:val="21"/>
                <w:highlight w:val="none"/>
              </w:rPr>
            </w:pPr>
            <w:r>
              <w:rPr>
                <w:rFonts w:hint="eastAsia" w:ascii="宋体"/>
                <w:color w:val="auto"/>
                <w:sz w:val="21"/>
                <w:szCs w:val="21"/>
                <w:highlight w:val="none"/>
              </w:rPr>
              <w:t>投标文件提交截止时间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49C7DBFE">
            <w:pPr>
              <w:keepNext w:val="0"/>
              <w:keepLines w:val="0"/>
              <w:pageBreakBefore w:val="0"/>
              <w:kinsoku/>
              <w:wordWrap/>
              <w:overflowPunct/>
              <w:autoSpaceDN/>
              <w:bidi w:val="0"/>
              <w:spacing w:line="380" w:lineRule="exac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202</w:t>
            </w:r>
            <w:r>
              <w:rPr>
                <w:rFonts w:hint="eastAsia" w:ascii="宋体" w:hAnsi="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11</w:t>
            </w:r>
            <w:r>
              <w:rPr>
                <w:rFonts w:hint="eastAsia" w:ascii="宋体" w:hAnsi="宋体" w:eastAsia="宋体" w:cs="宋体"/>
                <w:szCs w:val="21"/>
                <w:highlight w:val="none"/>
              </w:rPr>
              <w:t>月</w:t>
            </w:r>
            <w:r>
              <w:rPr>
                <w:rFonts w:hint="eastAsia" w:ascii="宋体" w:hAnsi="宋体" w:cs="宋体"/>
                <w:szCs w:val="21"/>
                <w:highlight w:val="none"/>
                <w:lang w:val="en-US" w:eastAsia="zh-CN"/>
              </w:rPr>
              <w:t>11</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时00分（北京时间）</w:t>
            </w:r>
          </w:p>
        </w:tc>
      </w:tr>
      <w:tr w14:paraId="13689E4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12D8F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8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C2F970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8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是否退还投标文件</w:t>
            </w:r>
          </w:p>
        </w:tc>
        <w:tc>
          <w:tcPr>
            <w:tcW w:w="7251" w:type="dxa"/>
            <w:tcBorders>
              <w:top w:val="single" w:color="auto" w:sz="4" w:space="0"/>
              <w:left w:val="single" w:color="auto" w:sz="4" w:space="0"/>
              <w:bottom w:val="single" w:color="auto" w:sz="4" w:space="0"/>
              <w:right w:val="single" w:color="auto" w:sz="4" w:space="0"/>
            </w:tcBorders>
            <w:noWrap/>
            <w:vAlign w:val="center"/>
          </w:tcPr>
          <w:p w14:paraId="49837F3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kern w:val="2"/>
                <w:sz w:val="21"/>
                <w:szCs w:val="21"/>
                <w:highlight w:val="none"/>
                <w:u w:color="000000"/>
                <w:lang w:val="en-US" w:eastAsia="zh-CN" w:bidi="ar"/>
              </w:rPr>
              <w:t>否</w:t>
            </w:r>
          </w:p>
        </w:tc>
      </w:tr>
      <w:tr w14:paraId="3E085A9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99301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8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7A3327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开标时间及地点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5DFFA2A7">
            <w:pPr>
              <w:adjustRightInd w:val="0"/>
              <w:snapToGrid w:val="0"/>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开标时间：同投标截止时间</w:t>
            </w:r>
          </w:p>
          <w:p w14:paraId="4C4D4339">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Times New Roman" w:hAnsi="Times New Roman" w:eastAsia="宋体" w:cs="Times New Roman"/>
                <w:highlight w:val="none"/>
                <w:lang w:val="en-US" w:eastAsia="zh-CN"/>
              </w:rPr>
            </w:pPr>
            <w:r>
              <w:rPr>
                <w:rFonts w:hint="eastAsia" w:ascii="宋体" w:hAnsi="宋体" w:eastAsia="宋体" w:cs="宋体"/>
                <w:color w:val="auto"/>
                <w:szCs w:val="21"/>
                <w:highlight w:val="none"/>
                <w:lang w:val="en-US" w:eastAsia="zh-CN"/>
              </w:rPr>
              <w:t>方式：</w:t>
            </w: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w:t>
            </w:r>
            <w:r>
              <w:rPr>
                <w:rFonts w:hint="eastAsia" w:ascii="Times New Roman" w:hAnsi="Times New Roman" w:eastAsia="宋体" w:cs="Times New Roman"/>
                <w:highlight w:val="none"/>
                <w:lang w:val="en-US" w:eastAsia="zh-CN"/>
              </w:rPr>
              <w:fldChar w:fldCharType="begin"/>
            </w:r>
            <w:r>
              <w:rPr>
                <w:rFonts w:hint="eastAsia" w:ascii="Times New Roman" w:hAnsi="Times New Roman" w:eastAsia="宋体" w:cs="Times New Roman"/>
                <w:highlight w:val="none"/>
                <w:lang w:val="en-US" w:eastAsia="zh-CN"/>
              </w:rPr>
              <w:instrText xml:space="preserve"> HYPERLINK "http://js.etrading.cn/EpointBidOpening/bidopeninghallaction/hall/login）。" </w:instrText>
            </w:r>
            <w:r>
              <w:rPr>
                <w:rFonts w:hint="eastAsia" w:ascii="Times New Roman" w:hAnsi="Times New Roman" w:eastAsia="宋体" w:cs="Times New Roman"/>
                <w:highlight w:val="none"/>
                <w:lang w:val="en-US" w:eastAsia="zh-CN"/>
              </w:rPr>
              <w:fldChar w:fldCharType="separate"/>
            </w:r>
            <w:r>
              <w:rPr>
                <w:rStyle w:val="58"/>
                <w:rFonts w:hint="eastAsia" w:ascii="Times New Roman" w:hAnsi="Times New Roman" w:eastAsia="宋体" w:cs="Times New Roman"/>
                <w:highlight w:val="none"/>
                <w:lang w:val="en-US" w:eastAsia="zh-CN"/>
              </w:rPr>
              <w:t>http://js.etrading.cn/EpointBidOpening/bidopeninghallaction/hall/login）。</w:t>
            </w:r>
            <w:r>
              <w:rPr>
                <w:rFonts w:hint="eastAsia" w:ascii="Times New Roman" w:hAnsi="Times New Roman" w:eastAsia="宋体" w:cs="Times New Roman"/>
                <w:highlight w:val="none"/>
                <w:lang w:val="en-US" w:eastAsia="zh-CN"/>
              </w:rPr>
              <w:fldChar w:fldCharType="end"/>
            </w:r>
          </w:p>
          <w:p w14:paraId="7CA67335">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解密时间：投标人须</w:t>
            </w:r>
            <w:r>
              <w:rPr>
                <w:rFonts w:hint="eastAsia" w:ascii="宋体" w:hAnsi="宋体" w:eastAsia="宋体" w:cs="宋体"/>
                <w:color w:val="auto"/>
                <w:szCs w:val="21"/>
                <w:highlight w:val="none"/>
              </w:rPr>
              <w:t>在</w:t>
            </w:r>
            <w:r>
              <w:rPr>
                <w:rFonts w:hint="eastAsia" w:ascii="宋体" w:hAnsi="宋体" w:cs="宋体"/>
                <w:color w:val="auto"/>
                <w:szCs w:val="21"/>
                <w:highlight w:val="none"/>
                <w:u w:val="single"/>
                <w:lang w:val="en-US" w:eastAsia="zh-CN"/>
              </w:rPr>
              <w:t>2026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11</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11</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lang w:eastAsia="zh-CN"/>
              </w:rPr>
              <w:t>时</w:t>
            </w:r>
            <w:r>
              <w:rPr>
                <w:rFonts w:hint="eastAsia" w:ascii="宋体" w:hAnsi="宋体" w:cs="宋体"/>
                <w:color w:val="auto"/>
                <w:szCs w:val="21"/>
                <w:highlight w:val="none"/>
                <w:u w:val="single"/>
                <w:lang w:val="en-US" w:eastAsia="zh-CN"/>
              </w:rPr>
              <w:t>00</w:t>
            </w:r>
            <w:r>
              <w:rPr>
                <w:rFonts w:hint="eastAsia" w:ascii="宋体" w:hAnsi="宋体" w:eastAsia="宋体" w:cs="宋体"/>
                <w:color w:val="auto"/>
                <w:szCs w:val="21"/>
                <w:highlight w:val="none"/>
                <w:u w:val="single"/>
                <w:lang w:eastAsia="zh-CN"/>
              </w:rPr>
              <w:t>分</w:t>
            </w:r>
            <w:r>
              <w:rPr>
                <w:rFonts w:hint="eastAsia" w:ascii="宋体" w:hAnsi="宋体" w:eastAsia="宋体" w:cs="宋体"/>
                <w:color w:val="auto"/>
                <w:szCs w:val="21"/>
                <w:highlight w:val="none"/>
                <w:u w:val="single"/>
                <w:lang w:val="en-US" w:eastAsia="zh-CN"/>
              </w:rPr>
              <w:t>至</w:t>
            </w:r>
            <w:r>
              <w:rPr>
                <w:rFonts w:hint="eastAsia" w:ascii="宋体" w:hAnsi="宋体" w:cs="宋体"/>
                <w:color w:val="auto"/>
                <w:szCs w:val="21"/>
                <w:highlight w:val="none"/>
                <w:u w:val="single"/>
                <w:lang w:val="en-US" w:eastAsia="zh-CN"/>
              </w:rPr>
              <w:t>2026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11</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11</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时</w:t>
            </w:r>
            <w:r>
              <w:rPr>
                <w:rFonts w:hint="eastAsia" w:ascii="宋体" w:hAnsi="宋体" w:eastAsia="宋体" w:cs="宋体"/>
                <w:color w:val="auto"/>
                <w:szCs w:val="21"/>
                <w:highlight w:val="none"/>
                <w:u w:val="single"/>
                <w:lang w:val="en-US" w:eastAsia="zh-CN"/>
              </w:rPr>
              <w:t>3</w:t>
            </w:r>
            <w:r>
              <w:rPr>
                <w:rFonts w:hint="eastAsia" w:ascii="宋体" w:hAnsi="宋体" w:eastAsia="宋体" w:cs="宋体"/>
                <w:color w:val="auto"/>
                <w:szCs w:val="21"/>
                <w:highlight w:val="none"/>
                <w:u w:val="single"/>
              </w:rPr>
              <w:t>0分</w:t>
            </w:r>
            <w:r>
              <w:rPr>
                <w:rFonts w:hint="eastAsia" w:ascii="宋体" w:hAnsi="宋体" w:eastAsia="宋体" w:cs="宋体"/>
                <w:color w:val="auto"/>
                <w:szCs w:val="21"/>
                <w:highlight w:val="none"/>
                <w:u w:val="single"/>
                <w:lang w:val="en-US" w:eastAsia="zh-CN"/>
              </w:rPr>
              <w:t>解密；未在规定时间内完成解密的，退回其投标文件；如有因系统因系统原因造成的故障，代理机构可申请延迟解密时间。</w:t>
            </w:r>
          </w:p>
        </w:tc>
      </w:tr>
      <w:tr w14:paraId="1992B37A">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95919A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8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C8E870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8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开标程序</w:t>
            </w:r>
          </w:p>
        </w:tc>
        <w:tc>
          <w:tcPr>
            <w:tcW w:w="7251" w:type="dxa"/>
            <w:tcBorders>
              <w:top w:val="single" w:color="auto" w:sz="4" w:space="0"/>
              <w:left w:val="single" w:color="auto" w:sz="4" w:space="0"/>
              <w:bottom w:val="single" w:color="auto" w:sz="4" w:space="0"/>
              <w:right w:val="single" w:color="auto" w:sz="4" w:space="0"/>
            </w:tcBorders>
            <w:noWrap/>
            <w:vAlign w:val="center"/>
          </w:tcPr>
          <w:p w14:paraId="4FB8EA5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由代理机构开启电子投标文件，报评标委员会评审。</w:t>
            </w:r>
          </w:p>
        </w:tc>
      </w:tr>
      <w:tr w14:paraId="5625472C">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F3A70F5">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27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68336E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评标委员会的组建</w:t>
            </w:r>
          </w:p>
        </w:tc>
        <w:tc>
          <w:tcPr>
            <w:tcW w:w="7251" w:type="dxa"/>
            <w:tcBorders>
              <w:top w:val="single" w:color="auto" w:sz="4" w:space="0"/>
              <w:left w:val="single" w:color="auto" w:sz="4" w:space="0"/>
              <w:bottom w:val="single" w:color="auto" w:sz="4" w:space="0"/>
              <w:right w:val="single" w:color="auto" w:sz="4" w:space="0"/>
            </w:tcBorders>
            <w:noWrap/>
            <w:vAlign w:val="center"/>
          </w:tcPr>
          <w:p w14:paraId="0856CC5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评标委员会构成：5人，其中招标人代表</w:t>
            </w:r>
            <w:r>
              <w:rPr>
                <w:rFonts w:hint="eastAsia" w:ascii="宋体" w:hAnsi="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lang w:val="en-US" w:eastAsia="zh-CN"/>
              </w:rPr>
              <w:t>人，评标专家</w:t>
            </w: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lang w:val="en-US" w:eastAsia="zh-CN"/>
              </w:rPr>
              <w:t>人。</w:t>
            </w:r>
          </w:p>
          <w:p w14:paraId="53FCB40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ascii="宋体" w:hAnsi="宋体" w:cs="宋体"/>
                <w:szCs w:val="21"/>
                <w:highlight w:val="none"/>
              </w:rPr>
            </w:pPr>
            <w:r>
              <w:rPr>
                <w:rFonts w:hint="eastAsia" w:ascii="宋体" w:hAnsi="宋体" w:eastAsia="宋体" w:cs="宋体"/>
                <w:b w:val="0"/>
                <w:bCs w:val="0"/>
                <w:color w:val="auto"/>
                <w:sz w:val="21"/>
                <w:szCs w:val="21"/>
                <w:highlight w:val="none"/>
                <w:lang w:val="en-US" w:eastAsia="zh-CN"/>
              </w:rPr>
              <w:t>评标专家确定方式：评标专家由招标人在开标前从专家库中随机抽取。</w:t>
            </w:r>
          </w:p>
        </w:tc>
      </w:tr>
      <w:tr w14:paraId="7BAECC9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3DBFFAA">
            <w:pPr>
              <w:keepNext w:val="0"/>
              <w:keepLines w:val="0"/>
              <w:pageBreakBefore w:val="0"/>
              <w:kinsoku/>
              <w:wordWrap/>
              <w:overflowPunct/>
              <w:autoSpaceDN/>
              <w:bidi w:val="0"/>
              <w:spacing w:line="380" w:lineRule="exact"/>
              <w:jc w:val="center"/>
              <w:textAlignment w:val="auto"/>
              <w:rPr>
                <w:rFonts w:ascii="宋体" w:hAnsi="宋体" w:cs="宋体"/>
                <w:b/>
                <w:bCs/>
                <w:szCs w:val="21"/>
                <w:highlight w:val="none"/>
              </w:rPr>
            </w:pPr>
            <w:r>
              <w:rPr>
                <w:rFonts w:hint="eastAsia" w:ascii="宋体" w:hAnsi="宋体" w:cs="宋体"/>
                <w:szCs w:val="21"/>
                <w:highlight w:val="none"/>
              </w:rPr>
              <w:t>28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E747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center"/>
              <w:textAlignment w:val="auto"/>
              <w:rPr>
                <w:rFonts w:ascii="宋体" w:hAnsi="宋体" w:cs="宋体"/>
                <w:bCs/>
                <w:color w:val="auto"/>
                <w:szCs w:val="21"/>
                <w:highlight w:val="none"/>
              </w:rPr>
            </w:pPr>
            <w:r>
              <w:rPr>
                <w:rFonts w:hint="eastAsia" w:ascii="宋体" w:hAnsi="宋体" w:eastAsia="宋体" w:cs="宋体"/>
                <w:b w:val="0"/>
                <w:bCs w:val="0"/>
                <w:color w:val="auto"/>
                <w:sz w:val="21"/>
                <w:szCs w:val="21"/>
                <w:highlight w:val="none"/>
              </w:rPr>
              <w:t>评标委员会确定中标候选人的人数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3FF3BC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textAlignment w:val="auto"/>
              <w:rPr>
                <w:rFonts w:ascii="宋体" w:hAnsi="宋体" w:cs="宋体"/>
                <w:bCs/>
                <w:color w:val="auto"/>
                <w:szCs w:val="21"/>
                <w:highlight w:val="none"/>
              </w:rPr>
            </w:pP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名，并标明排序。</w:t>
            </w:r>
          </w:p>
        </w:tc>
      </w:tr>
      <w:tr w14:paraId="0948E9B2">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CAD3EA1">
            <w:pPr>
              <w:keepNext w:val="0"/>
              <w:keepLines w:val="0"/>
              <w:pageBreakBefore w:val="0"/>
              <w:kinsoku/>
              <w:wordWrap/>
              <w:overflowPunct/>
              <w:autoSpaceDN/>
              <w:bidi w:val="0"/>
              <w:spacing w:line="38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29</w:t>
            </w:r>
          </w:p>
        </w:tc>
        <w:tc>
          <w:tcPr>
            <w:tcW w:w="2209" w:type="dxa"/>
            <w:gridSpan w:val="2"/>
            <w:tcBorders>
              <w:top w:val="single" w:color="auto" w:sz="4" w:space="0"/>
              <w:left w:val="single" w:color="auto" w:sz="4" w:space="0"/>
              <w:right w:val="single" w:color="auto" w:sz="4" w:space="0"/>
            </w:tcBorders>
            <w:noWrap/>
            <w:vAlign w:val="center"/>
          </w:tcPr>
          <w:p w14:paraId="397DB27E">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中标候选人公示媒介</w:t>
            </w:r>
          </w:p>
        </w:tc>
        <w:tc>
          <w:tcPr>
            <w:tcW w:w="7251" w:type="dxa"/>
            <w:tcBorders>
              <w:top w:val="single" w:color="auto" w:sz="4" w:space="0"/>
              <w:left w:val="single" w:color="auto" w:sz="4" w:space="0"/>
              <w:right w:val="single" w:color="auto" w:sz="4" w:space="0"/>
            </w:tcBorders>
            <w:noWrap/>
            <w:vAlign w:val="center"/>
          </w:tcPr>
          <w:p w14:paraId="5A0118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公示媒介：同招标公告发布媒介</w:t>
            </w:r>
          </w:p>
          <w:p w14:paraId="62635D2D">
            <w:pPr>
              <w:keepNext w:val="0"/>
              <w:keepLines w:val="0"/>
              <w:pageBreakBefore w:val="0"/>
              <w:kinsoku/>
              <w:wordWrap/>
              <w:overflowPunct/>
              <w:autoSpaceDE/>
              <w:autoSpaceDN/>
              <w:bidi w:val="0"/>
              <w:spacing w:line="380" w:lineRule="exact"/>
              <w:textAlignment w:val="auto"/>
              <w:rPr>
                <w:rFonts w:ascii="宋体" w:hAnsi="宋体" w:cs="宋体"/>
                <w:szCs w:val="21"/>
                <w:highlight w:val="none"/>
              </w:rPr>
            </w:pPr>
            <w:r>
              <w:rPr>
                <w:rFonts w:hint="eastAsia" w:ascii="宋体" w:hAnsi="宋体" w:eastAsia="宋体" w:cs="宋体"/>
                <w:b w:val="0"/>
                <w:bCs w:val="0"/>
                <w:color w:val="auto"/>
                <w:sz w:val="21"/>
                <w:szCs w:val="21"/>
                <w:highlight w:val="none"/>
              </w:rPr>
              <w:t>公示期限：公示发布次日起3日（如公示第三日为休息日或节假日，则顺延至休息日或节假日后第一个工作日）</w:t>
            </w:r>
          </w:p>
        </w:tc>
      </w:tr>
      <w:tr w14:paraId="5598C43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AF264B2">
            <w:pPr>
              <w:keepNext w:val="0"/>
              <w:keepLines w:val="0"/>
              <w:pageBreakBefore w:val="0"/>
              <w:kinsoku/>
              <w:wordWrap/>
              <w:overflowPunct/>
              <w:autoSpaceDN/>
              <w:bidi w:val="0"/>
              <w:spacing w:line="38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30</w:t>
            </w:r>
          </w:p>
        </w:tc>
        <w:tc>
          <w:tcPr>
            <w:tcW w:w="2209" w:type="dxa"/>
            <w:gridSpan w:val="2"/>
            <w:tcBorders>
              <w:top w:val="single" w:color="auto" w:sz="4" w:space="0"/>
              <w:left w:val="single" w:color="auto" w:sz="4" w:space="0"/>
              <w:right w:val="single" w:color="auto" w:sz="4" w:space="0"/>
            </w:tcBorders>
            <w:noWrap/>
            <w:vAlign w:val="center"/>
          </w:tcPr>
          <w:p w14:paraId="46AD0919">
            <w:pPr>
              <w:keepNext w:val="0"/>
              <w:keepLines w:val="0"/>
              <w:pageBreakBefore w:val="0"/>
              <w:kinsoku/>
              <w:wordWrap/>
              <w:overflowPunct/>
              <w:autoSpaceDE/>
              <w:autoSpaceDN/>
              <w:bidi w:val="0"/>
              <w:adjustRightInd w:val="0"/>
              <w:snapToGrid w:val="0"/>
              <w:spacing w:line="380" w:lineRule="exact"/>
              <w:textAlignment w:val="auto"/>
              <w:rPr>
                <w:rFonts w:hint="eastAsia" w:ascii="宋体" w:hAnsi="宋体" w:eastAsia="宋体" w:cs="宋体"/>
                <w:color w:val="000000"/>
                <w:kern w:val="2"/>
                <w:sz w:val="21"/>
                <w:szCs w:val="21"/>
                <w:highlight w:val="none"/>
                <w:lang w:val="en-US" w:eastAsia="zh-CN" w:bidi="ar-SA"/>
              </w:rPr>
            </w:pPr>
            <w:r>
              <w:rPr>
                <w:rFonts w:hint="eastAsia"/>
                <w:sz w:val="21"/>
                <w:szCs w:val="21"/>
                <w:highlight w:val="none"/>
              </w:rPr>
              <w:t>中标通知书发出形式</w:t>
            </w:r>
          </w:p>
        </w:tc>
        <w:tc>
          <w:tcPr>
            <w:tcW w:w="7251" w:type="dxa"/>
            <w:tcBorders>
              <w:top w:val="single" w:color="auto" w:sz="4" w:space="0"/>
              <w:left w:val="single" w:color="auto" w:sz="4" w:space="0"/>
              <w:right w:val="single" w:color="auto" w:sz="4" w:space="0"/>
            </w:tcBorders>
            <w:noWrap/>
            <w:vAlign w:val="center"/>
          </w:tcPr>
          <w:p w14:paraId="6F0D809A">
            <w:pPr>
              <w:keepNext w:val="0"/>
              <w:keepLines w:val="0"/>
              <w:pageBreakBefore w:val="0"/>
              <w:widowControl/>
              <w:kinsoku/>
              <w:wordWrap/>
              <w:overflowPunct/>
              <w:autoSpaceDE/>
              <w:autoSpaceDN/>
              <w:bidi w:val="0"/>
              <w:adjustRightInd w:val="0"/>
              <w:snapToGrid w:val="0"/>
              <w:spacing w:line="380" w:lineRule="exac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u w:color="000000"/>
                <w:lang w:val="en-US" w:eastAsia="zh-CN" w:bidi="ar"/>
              </w:rPr>
              <w:t>中标通知书须加盖招标人、招标代理公司公章后发出。</w:t>
            </w:r>
          </w:p>
        </w:tc>
      </w:tr>
      <w:tr w14:paraId="036C355A">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0D4AB66">
            <w:pPr>
              <w:keepNext w:val="0"/>
              <w:keepLines w:val="0"/>
              <w:pageBreakBefore w:val="0"/>
              <w:kinsoku/>
              <w:wordWrap/>
              <w:overflowPunct/>
              <w:autoSpaceDN/>
              <w:bidi w:val="0"/>
              <w:spacing w:line="38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BDAC4D">
            <w:pPr>
              <w:keepNext w:val="0"/>
              <w:keepLines w:val="0"/>
              <w:pageBreakBefore w:val="0"/>
              <w:kinsoku/>
              <w:wordWrap/>
              <w:overflowPunct/>
              <w:autoSpaceDN/>
              <w:bidi w:val="0"/>
              <w:spacing w:line="38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履约担保</w:t>
            </w:r>
          </w:p>
        </w:tc>
        <w:tc>
          <w:tcPr>
            <w:tcW w:w="7251" w:type="dxa"/>
            <w:tcBorders>
              <w:top w:val="single" w:color="auto" w:sz="4" w:space="0"/>
              <w:left w:val="single" w:color="auto" w:sz="4" w:space="0"/>
              <w:bottom w:val="single" w:color="auto" w:sz="4" w:space="0"/>
              <w:right w:val="single" w:color="auto" w:sz="4" w:space="0"/>
            </w:tcBorders>
            <w:noWrap/>
            <w:vAlign w:val="center"/>
          </w:tcPr>
          <w:p w14:paraId="57A14FB2">
            <w:pPr>
              <w:keepNext w:val="0"/>
              <w:keepLines w:val="0"/>
              <w:pageBreakBefore w:val="0"/>
              <w:kinsoku/>
              <w:wordWrap/>
              <w:overflowPunct/>
              <w:autoSpaceDE/>
              <w:autoSpaceDN/>
              <w:bidi w:val="0"/>
              <w:spacing w:line="380" w:lineRule="exact"/>
              <w:textAlignment w:val="auto"/>
              <w:rPr>
                <w:rFonts w:ascii="宋体" w:hAnsi="宋体" w:cs="宋体"/>
                <w:bCs/>
                <w:color w:val="auto"/>
                <w:szCs w:val="21"/>
                <w:highlight w:val="none"/>
              </w:rPr>
            </w:pPr>
            <w:r>
              <w:rPr>
                <w:rFonts w:hint="eastAsia" w:ascii="宋体" w:hAnsi="宋体" w:cs="宋体"/>
                <w:bCs/>
                <w:color w:val="auto"/>
                <w:szCs w:val="21"/>
                <w:highlight w:val="none"/>
              </w:rPr>
              <w:t>履约担保的形式：支持银行转账、银行保函（见索即付无条件保函）、担保保函、商业保险、第三方担保（无条件担保）使用</w:t>
            </w:r>
          </w:p>
          <w:p w14:paraId="64302322">
            <w:pPr>
              <w:keepNext w:val="0"/>
              <w:keepLines w:val="0"/>
              <w:pageBreakBefore w:val="0"/>
              <w:kinsoku/>
              <w:wordWrap/>
              <w:overflowPunct/>
              <w:autoSpaceDE/>
              <w:autoSpaceDN/>
              <w:bidi w:val="0"/>
              <w:spacing w:line="380" w:lineRule="exact"/>
              <w:textAlignment w:val="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rPr>
              <w:t>履约担保的金额：</w:t>
            </w:r>
            <w:r>
              <w:rPr>
                <w:rFonts w:hint="eastAsia" w:ascii="宋体" w:hAnsi="宋体" w:eastAsia="宋体" w:cs="宋体"/>
                <w:bCs/>
                <w:color w:val="auto"/>
                <w:szCs w:val="21"/>
                <w:highlight w:val="none"/>
              </w:rPr>
              <w:t>中标合同金额×2%</w:t>
            </w:r>
          </w:p>
          <w:p w14:paraId="4F22EBF8">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收款单位：中标后另行通知                 </w:t>
            </w:r>
          </w:p>
          <w:p w14:paraId="420B8239">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开户银行：中标后另行通知                   </w:t>
            </w:r>
          </w:p>
          <w:p w14:paraId="7A8F1231">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银行账号：中标后另行通知                   </w:t>
            </w:r>
          </w:p>
          <w:p w14:paraId="6A6E6589">
            <w:pPr>
              <w:keepNext w:val="0"/>
              <w:keepLines w:val="0"/>
              <w:pageBreakBefore w:val="0"/>
              <w:kinsoku/>
              <w:overflowPunct/>
              <w:autoSpaceDN/>
              <w:bidi w:val="0"/>
              <w:spacing w:line="38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缴纳时限：中标人须在中标通知书发出后30日内完成履约保证金缴纳及合同签订（先缴纳履约保证金后签合同）。中标单位原因造成合同延期签订的，延期签订情节严重的，招标人有权取消其中标资格。并承担给招标人造成的损失，同时依法承担相应法律责任。   </w:t>
            </w:r>
          </w:p>
          <w:p w14:paraId="7AD6BAEA">
            <w:pPr>
              <w:keepNext w:val="0"/>
              <w:keepLines w:val="0"/>
              <w:pageBreakBefore w:val="0"/>
              <w:kinsoku/>
              <w:overflowPunct/>
              <w:autoSpaceDN/>
              <w:bidi w:val="0"/>
              <w:spacing w:line="38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履约保证金退还时限：履约保证金在工程竣工验收合格后一个月内无息退还。</w:t>
            </w:r>
          </w:p>
          <w:p w14:paraId="1944A556">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其他相关要求：</w:t>
            </w:r>
          </w:p>
          <w:p w14:paraId="5A2E52CB">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1、采用银行保函的具体要求:按招标人要求提供</w:t>
            </w:r>
          </w:p>
          <w:p w14:paraId="0404B97A">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2、采用担保保函的具体要求：按招标人要求提供</w:t>
            </w:r>
          </w:p>
          <w:p w14:paraId="75072C65">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3、采用商业保险的具体要求：按招标人要求提供</w:t>
            </w:r>
          </w:p>
          <w:p w14:paraId="4FBB05F3">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4、采用第三方担保的具体要求：按招标人要求提供</w:t>
            </w:r>
          </w:p>
          <w:p w14:paraId="3E915FC8">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ascii="宋体" w:hAnsi="宋体" w:cs="宋体"/>
                <w:color w:val="auto"/>
                <w:szCs w:val="21"/>
                <w:highlight w:val="none"/>
              </w:rPr>
            </w:pPr>
            <w:r>
              <w:rPr>
                <w:rFonts w:hint="eastAsia" w:ascii="宋体" w:hAnsi="宋体" w:eastAsia="宋体" w:cs="宋体"/>
                <w:color w:val="auto"/>
                <w:sz w:val="21"/>
                <w:szCs w:val="21"/>
                <w:highlight w:val="none"/>
                <w:lang w:val="en-US" w:eastAsia="zh-CN"/>
              </w:rPr>
              <w:t>注：汇款务必注明缴款人名称及用途，切勿以现金存入。</w:t>
            </w:r>
          </w:p>
        </w:tc>
      </w:tr>
      <w:tr w14:paraId="1717AE69">
        <w:tblPrEx>
          <w:tblCellMar>
            <w:top w:w="0" w:type="dxa"/>
            <w:left w:w="108" w:type="dxa"/>
            <w:bottom w:w="0" w:type="dxa"/>
            <w:right w:w="108" w:type="dxa"/>
          </w:tblCellMar>
        </w:tblPrEx>
        <w:trPr>
          <w:trHeight w:val="9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4FFCA40">
            <w:pPr>
              <w:keepNext w:val="0"/>
              <w:keepLines w:val="0"/>
              <w:pageBreakBefore w:val="0"/>
              <w:kinsoku/>
              <w:wordWrap/>
              <w:overflowPunct/>
              <w:autoSpaceDN/>
              <w:bidi w:val="0"/>
              <w:spacing w:line="38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E6E11B">
            <w:pPr>
              <w:keepNext w:val="0"/>
              <w:keepLines w:val="0"/>
              <w:pageBreakBefore w:val="0"/>
              <w:kinsoku/>
              <w:wordWrap/>
              <w:overflowPunct/>
              <w:topLinePunct w:val="0"/>
              <w:autoSpaceDE/>
              <w:autoSpaceDN/>
              <w:bidi w:val="0"/>
              <w:adjustRightInd/>
              <w:snapToGrid/>
              <w:spacing w:line="380" w:lineRule="exact"/>
              <w:jc w:val="center"/>
              <w:textAlignment w:val="auto"/>
              <w:rPr>
                <w:rFonts w:ascii="宋体" w:hAnsi="宋体" w:cs="宋体"/>
                <w:color w:val="auto"/>
                <w:szCs w:val="21"/>
                <w:highlight w:val="none"/>
              </w:rPr>
            </w:pPr>
            <w:r>
              <w:rPr>
                <w:rFonts w:hint="eastAsia" w:ascii="宋体" w:hAnsi="宋体" w:eastAsia="宋体" w:cs="宋体"/>
                <w:b/>
                <w:bCs/>
                <w:color w:val="auto"/>
                <w:sz w:val="21"/>
                <w:szCs w:val="21"/>
                <w:highlight w:val="none"/>
              </w:rPr>
              <w:t>付款方式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4B2F89E6">
            <w:pPr>
              <w:keepNext w:val="0"/>
              <w:keepLines w:val="0"/>
              <w:pageBreakBefore w:val="0"/>
              <w:widowControl w:val="0"/>
              <w:kinsoku/>
              <w:wordWrap/>
              <w:overflowPunct/>
              <w:topLinePunct w:val="0"/>
              <w:autoSpaceDE/>
              <w:autoSpaceDN/>
              <w:bidi w:val="0"/>
              <w:adjustRightInd/>
              <w:snapToGrid/>
              <w:spacing w:beforeAutospacing="0" w:afterAutospacing="0" w:line="380" w:lineRule="exact"/>
              <w:jc w:val="left"/>
              <w:textAlignment w:val="auto"/>
              <w:rPr>
                <w:rFonts w:ascii="宋体" w:hAnsi="宋体" w:cs="宋体"/>
                <w:color w:val="auto"/>
                <w:szCs w:val="21"/>
                <w:highlight w:val="none"/>
              </w:rPr>
            </w:pPr>
            <w:r>
              <w:rPr>
                <w:rFonts w:hint="eastAsia" w:ascii="宋体" w:hAnsi="宋体" w:eastAsia="宋体" w:cs="宋体"/>
                <w:color w:val="auto"/>
                <w:szCs w:val="21"/>
                <w:highlight w:val="none"/>
                <w:lang w:val="en-US" w:eastAsia="zh-CN"/>
              </w:rPr>
              <w:t>工程竣工验收合格并经审计结算后支付审计结算价款的98%，剩余2%作为工程质量保证金。工程质量保证金在工程缺陷责任期（缺陷责任期两年，从验收合格之日起计算）满后一个月内付清。（采用工程质量保证担保、工程质量保险等其他保证方式的，发包人不再预留质量保证金。）</w:t>
            </w:r>
          </w:p>
        </w:tc>
      </w:tr>
      <w:tr w14:paraId="7129CE18">
        <w:tblPrEx>
          <w:tblCellMar>
            <w:top w:w="0" w:type="dxa"/>
            <w:left w:w="108" w:type="dxa"/>
            <w:bottom w:w="0" w:type="dxa"/>
            <w:right w:w="108" w:type="dxa"/>
          </w:tblCellMar>
        </w:tblPrEx>
        <w:trPr>
          <w:trHeight w:val="90" w:hRule="atLeast"/>
          <w:jc w:val="center"/>
        </w:trPr>
        <w:tc>
          <w:tcPr>
            <w:tcW w:w="10328" w:type="dxa"/>
            <w:gridSpan w:val="4"/>
            <w:tcBorders>
              <w:top w:val="single" w:color="auto" w:sz="4" w:space="0"/>
              <w:left w:val="single" w:color="auto" w:sz="4" w:space="0"/>
              <w:bottom w:val="single" w:color="auto" w:sz="4" w:space="0"/>
              <w:right w:val="single" w:color="auto" w:sz="4" w:space="0"/>
            </w:tcBorders>
            <w:noWrap/>
            <w:vAlign w:val="center"/>
          </w:tcPr>
          <w:p w14:paraId="3E3A6409">
            <w:pPr>
              <w:keepNext w:val="0"/>
              <w:keepLines w:val="0"/>
              <w:pageBreakBefore w:val="0"/>
              <w:kinsoku/>
              <w:wordWrap/>
              <w:overflowPunct/>
              <w:autoSpaceDN/>
              <w:bidi w:val="0"/>
              <w:spacing w:line="380" w:lineRule="exact"/>
              <w:jc w:val="center"/>
              <w:textAlignment w:val="auto"/>
              <w:rPr>
                <w:rFonts w:ascii="宋体" w:hAnsi="宋体" w:cs="宋体"/>
                <w:szCs w:val="21"/>
                <w:highlight w:val="none"/>
              </w:rPr>
            </w:pPr>
            <w:r>
              <w:rPr>
                <w:rFonts w:hint="eastAsia" w:ascii="宋体" w:hAnsi="宋体" w:cs="宋体"/>
                <w:szCs w:val="21"/>
                <w:highlight w:val="none"/>
              </w:rPr>
              <w:t>需要补充的其他内容</w:t>
            </w:r>
          </w:p>
        </w:tc>
      </w:tr>
      <w:tr w14:paraId="2AA9094C">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11490EC4">
            <w:pPr>
              <w:keepNext w:val="0"/>
              <w:keepLines w:val="0"/>
              <w:pageBreakBefore w:val="0"/>
              <w:kinsoku/>
              <w:wordWrap/>
              <w:overflowPunct/>
              <w:autoSpaceDN/>
              <w:bidi w:val="0"/>
              <w:adjustRightInd w:val="0"/>
              <w:snapToGrid w:val="0"/>
              <w:spacing w:line="38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招标代理服务费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2B12792">
            <w:pPr>
              <w:keepNext w:val="0"/>
              <w:keepLines w:val="0"/>
              <w:pageBreakBefore w:val="0"/>
              <w:kinsoku/>
              <w:wordWrap/>
              <w:overflowPunct/>
              <w:topLinePunct w:val="0"/>
              <w:autoSpaceDE/>
              <w:autoSpaceDN/>
              <w:bidi w:val="0"/>
              <w:adjustRightInd/>
              <w:snapToGrid/>
              <w:spacing w:line="380" w:lineRule="exact"/>
              <w:textAlignment w:val="auto"/>
              <w:rPr>
                <w:rFonts w:ascii="宋体" w:hAnsi="宋体" w:cs="宋体"/>
                <w:kern w:val="0"/>
                <w:szCs w:val="21"/>
                <w:highlight w:val="none"/>
              </w:rPr>
            </w:pPr>
            <w:r>
              <w:rPr>
                <w:rFonts w:hint="eastAsia" w:ascii="宋体" w:hAnsi="宋体" w:cs="宋体"/>
                <w:kern w:val="0"/>
                <w:szCs w:val="21"/>
                <w:highlight w:val="none"/>
              </w:rPr>
              <w:t>代理服务具体金额：</w:t>
            </w:r>
            <w:r>
              <w:rPr>
                <w:rFonts w:hint="eastAsia" w:ascii="宋体" w:hAnsi="宋体" w:cs="宋体"/>
                <w:kern w:val="0"/>
                <w:szCs w:val="21"/>
                <w:highlight w:val="none"/>
                <w:lang w:val="en-US" w:eastAsia="zh-CN"/>
              </w:rPr>
              <w:t>3000</w:t>
            </w:r>
            <w:r>
              <w:rPr>
                <w:rFonts w:hint="eastAsia" w:ascii="宋体" w:hAnsi="宋体" w:cs="宋体"/>
                <w:kern w:val="0"/>
                <w:szCs w:val="21"/>
                <w:highlight w:val="none"/>
              </w:rPr>
              <w:t>元</w:t>
            </w:r>
            <w:r>
              <w:rPr>
                <w:rFonts w:hint="eastAsia" w:ascii="宋体" w:hAnsi="宋体" w:cs="宋体"/>
                <w:bCs/>
                <w:kern w:val="0"/>
                <w:highlight w:val="none"/>
              </w:rPr>
              <w:t>。</w:t>
            </w:r>
          </w:p>
          <w:p w14:paraId="7550C2A5">
            <w:pPr>
              <w:keepNext w:val="0"/>
              <w:keepLines w:val="0"/>
              <w:pageBreakBefore w:val="0"/>
              <w:kinsoku/>
              <w:wordWrap/>
              <w:overflowPunct/>
              <w:topLinePunct w:val="0"/>
              <w:autoSpaceDE/>
              <w:autoSpaceDN/>
              <w:bidi w:val="0"/>
              <w:adjustRightInd/>
              <w:snapToGrid/>
              <w:spacing w:line="380" w:lineRule="exact"/>
              <w:textAlignment w:val="auto"/>
              <w:rPr>
                <w:rFonts w:ascii="宋体" w:hAnsi="宋体" w:cs="宋体"/>
                <w:szCs w:val="21"/>
                <w:highlight w:val="none"/>
              </w:rPr>
            </w:pPr>
            <w:r>
              <w:rPr>
                <w:rFonts w:hint="eastAsia" w:ascii="宋体" w:hAnsi="宋体" w:cs="宋体"/>
                <w:kern w:val="0"/>
                <w:szCs w:val="21"/>
                <w:highlight w:val="none"/>
              </w:rPr>
              <w:t>代理服务费支付主体</w:t>
            </w:r>
            <w:r>
              <w:rPr>
                <w:rFonts w:hint="eastAsia" w:ascii="宋体" w:hAnsi="宋体" w:cs="宋体"/>
                <w:szCs w:val="21"/>
                <w:highlight w:val="none"/>
              </w:rPr>
              <w:t>：</w:t>
            </w:r>
            <w:r>
              <w:rPr>
                <w:rFonts w:hint="eastAsia" w:ascii="宋体" w:hAnsi="宋体" w:cs="宋体"/>
                <w:kern w:val="0"/>
                <w:szCs w:val="21"/>
                <w:highlight w:val="none"/>
              </w:rPr>
              <w:t>由中标单位在领取中标通知书时，一次性支付给代理机构。</w:t>
            </w:r>
          </w:p>
        </w:tc>
      </w:tr>
      <w:tr w14:paraId="0E8F155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B3101E2">
            <w:pPr>
              <w:keepNext w:val="0"/>
              <w:keepLines w:val="0"/>
              <w:pageBreakBefore w:val="0"/>
              <w:kinsoku/>
              <w:wordWrap/>
              <w:overflowPunct/>
              <w:autoSpaceDN/>
              <w:bidi w:val="0"/>
              <w:adjustRightInd w:val="0"/>
              <w:snapToGrid w:val="0"/>
              <w:spacing w:line="380" w:lineRule="exact"/>
              <w:jc w:val="center"/>
              <w:textAlignment w:val="auto"/>
              <w:rPr>
                <w:rFonts w:hint="eastAsia" w:ascii="宋体" w:hAnsi="宋体" w:cs="宋体"/>
                <w:szCs w:val="21"/>
                <w:highlight w:val="none"/>
              </w:rPr>
            </w:pPr>
            <w:r>
              <w:rPr>
                <w:rFonts w:hint="eastAsia" w:ascii="宋体" w:hAnsi="宋体" w:cs="宋体"/>
                <w:color w:val="auto"/>
                <w:sz w:val="21"/>
                <w:szCs w:val="21"/>
                <w:highlight w:val="none"/>
              </w:rPr>
              <w:t>专家评审劳务费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F5FAE4A">
            <w:pPr>
              <w:keepNext w:val="0"/>
              <w:keepLines w:val="0"/>
              <w:pageBreakBefore w:val="0"/>
              <w:kinsoku/>
              <w:wordWrap/>
              <w:overflowPunct/>
              <w:autoSpaceDN/>
              <w:bidi w:val="0"/>
              <w:adjustRightInd w:val="0"/>
              <w:snapToGrid w:val="0"/>
              <w:spacing w:line="38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费用或支付标准：</w:t>
            </w:r>
            <w:r>
              <w:rPr>
                <w:rFonts w:hint="eastAsia" w:ascii="宋体" w:hAnsi="宋体" w:cs="宋体"/>
                <w:color w:val="auto"/>
                <w:sz w:val="21"/>
                <w:szCs w:val="21"/>
                <w:highlight w:val="none"/>
                <w:lang w:val="en-US" w:eastAsia="zh-CN"/>
              </w:rPr>
              <w:t>以实际发生为准。</w:t>
            </w:r>
          </w:p>
          <w:p w14:paraId="0376B137">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cs="宋体"/>
                <w:kern w:val="0"/>
                <w:szCs w:val="21"/>
                <w:highlight w:val="none"/>
              </w:rPr>
            </w:pPr>
            <w:r>
              <w:rPr>
                <w:rFonts w:hint="eastAsia"/>
                <w:color w:val="auto"/>
                <w:sz w:val="21"/>
                <w:szCs w:val="21"/>
                <w:highlight w:val="none"/>
              </w:rPr>
              <w:t>支付主体：</w:t>
            </w:r>
            <w:r>
              <w:rPr>
                <w:rFonts w:hint="eastAsia"/>
                <w:color w:val="auto"/>
                <w:sz w:val="21"/>
                <w:szCs w:val="21"/>
                <w:highlight w:val="none"/>
                <w:lang w:val="en-US" w:eastAsia="zh-CN"/>
              </w:rPr>
              <w:t>中标单位</w:t>
            </w:r>
          </w:p>
        </w:tc>
      </w:tr>
      <w:tr w14:paraId="57F9656B">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2F7C201">
            <w:pPr>
              <w:keepNext w:val="0"/>
              <w:keepLines w:val="0"/>
              <w:pageBreakBefore w:val="0"/>
              <w:kinsoku/>
              <w:wordWrap/>
              <w:overflowPunct/>
              <w:autoSpaceDN/>
              <w:bidi w:val="0"/>
              <w:adjustRightInd w:val="0"/>
              <w:snapToGrid w:val="0"/>
              <w:spacing w:line="3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电子招投标</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60CA3686">
            <w:pPr>
              <w:keepNext w:val="0"/>
              <w:keepLines w:val="0"/>
              <w:pageBreakBefore w:val="0"/>
              <w:kinsoku/>
              <w:wordWrap/>
              <w:overflowPunct/>
              <w:autoSpaceDN/>
              <w:bidi w:val="0"/>
              <w:adjustRightInd w:val="0"/>
              <w:snapToGrid w:val="0"/>
              <w:spacing w:line="3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本项目采用电子招标投标方式。</w:t>
            </w:r>
          </w:p>
        </w:tc>
      </w:tr>
      <w:tr w14:paraId="4E0E4E66">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6422C62F">
            <w:pPr>
              <w:keepNext w:val="0"/>
              <w:keepLines w:val="0"/>
              <w:pageBreakBefore w:val="0"/>
              <w:kinsoku/>
              <w:wordWrap/>
              <w:overflowPunct/>
              <w:autoSpaceDN/>
              <w:bidi w:val="0"/>
              <w:adjustRightInd w:val="0"/>
              <w:snapToGrid w:val="0"/>
              <w:spacing w:line="3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获取与查看通知</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69D8C30">
            <w:pPr>
              <w:keepNext w:val="0"/>
              <w:keepLines w:val="0"/>
              <w:pageBreakBefore w:val="0"/>
              <w:kinsoku/>
              <w:wordWrap/>
              <w:overflowPunct/>
              <w:autoSpaceDN/>
              <w:bidi w:val="0"/>
              <w:adjustRightInd w:val="0"/>
              <w:snapToGrid w:val="0"/>
              <w:spacing w:line="3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本项目的招标文件、</w:t>
            </w:r>
            <w:r>
              <w:rPr>
                <w:rFonts w:hint="eastAsia" w:ascii="宋体" w:hAnsi="宋体" w:eastAsia="宋体" w:cs="宋体"/>
                <w:color w:val="auto"/>
                <w:sz w:val="21"/>
                <w:szCs w:val="21"/>
                <w:highlight w:val="none"/>
                <w:lang w:val="en-US" w:eastAsia="zh-CN"/>
              </w:rPr>
              <w:t>图纸、</w:t>
            </w:r>
            <w:r>
              <w:rPr>
                <w:rFonts w:hint="eastAsia" w:ascii="宋体" w:hAnsi="宋体" w:eastAsia="宋体" w:cs="宋体"/>
                <w:color w:val="auto"/>
                <w:sz w:val="21"/>
                <w:szCs w:val="21"/>
                <w:highlight w:val="none"/>
                <w:lang w:eastAsia="zh-CN"/>
              </w:rPr>
              <w:t>工程量清单、最高投标限价、澄清及修改等相关资料均</w:t>
            </w:r>
            <w:r>
              <w:rPr>
                <w:rFonts w:hint="eastAsia" w:ascii="宋体" w:hAnsi="宋体" w:eastAsia="宋体" w:cs="宋体"/>
                <w:color w:val="auto"/>
                <w:sz w:val="21"/>
                <w:szCs w:val="21"/>
                <w:highlight w:val="none"/>
              </w:rPr>
              <w:t>通过</w:t>
            </w:r>
            <w:r>
              <w:rPr>
                <w:rFonts w:hint="eastAsia" w:ascii="宋体" w:hAnsi="宋体" w:eastAsia="宋体" w:cs="宋体"/>
                <w:color w:val="auto"/>
                <w:sz w:val="21"/>
                <w:szCs w:val="21"/>
                <w:highlight w:val="none"/>
                <w:lang w:eastAsia="zh-CN"/>
              </w:rPr>
              <w:t>滁州市扬子工业投资集团有限公司官网（https://czyzgtjt.com/）、</w:t>
            </w:r>
            <w:r>
              <w:rPr>
                <w:rFonts w:hint="eastAsia" w:ascii="宋体" w:hAnsi="宋体" w:eastAsia="宋体" w:cs="宋体"/>
                <w:color w:val="auto"/>
                <w:sz w:val="21"/>
                <w:szCs w:val="21"/>
                <w:highlight w:val="none"/>
                <w:lang w:val="en-US" w:eastAsia="zh-CN"/>
              </w:rPr>
              <w:t>滁州市城投工程咨询管理有限公司（https://www.czctgczx.com/）</w:t>
            </w:r>
            <w:r>
              <w:rPr>
                <w:rFonts w:hint="eastAsia" w:ascii="宋体" w:hAnsi="宋体" w:eastAsia="宋体" w:cs="宋体"/>
                <w:color w:val="auto"/>
                <w:sz w:val="21"/>
                <w:szCs w:val="21"/>
                <w:highlight w:val="none"/>
              </w:rPr>
              <w:t>发布，投标人应自行</w:t>
            </w:r>
            <w:r>
              <w:rPr>
                <w:rFonts w:hint="eastAsia" w:ascii="宋体" w:hAnsi="宋体" w:eastAsia="宋体" w:cs="宋体"/>
                <w:color w:val="auto"/>
                <w:sz w:val="21"/>
                <w:szCs w:val="21"/>
                <w:highlight w:val="none"/>
                <w:lang w:eastAsia="zh-CN"/>
              </w:rPr>
              <w:t>及时登录网站查看</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rPr>
              <w:t>下载。</w:t>
            </w:r>
          </w:p>
        </w:tc>
      </w:tr>
      <w:tr w14:paraId="338E9D53">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6912D828">
            <w:pPr>
              <w:keepNext w:val="0"/>
              <w:keepLines w:val="0"/>
              <w:pageBreakBefore w:val="0"/>
              <w:kinsoku/>
              <w:wordWrap/>
              <w:overflowPunct/>
              <w:autoSpaceDN/>
              <w:bidi w:val="0"/>
              <w:adjustRightInd w:val="0"/>
              <w:snapToGrid w:val="0"/>
              <w:spacing w:line="400" w:lineRule="exact"/>
              <w:jc w:val="center"/>
              <w:textAlignment w:val="auto"/>
              <w:rPr>
                <w:rFonts w:hint="eastAsia"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主要材料要求</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5AC21D1F">
            <w:pPr>
              <w:keepNext w:val="0"/>
              <w:keepLines w:val="0"/>
              <w:pageBreakBefore w:val="0"/>
              <w:kinsoku/>
              <w:wordWrap/>
              <w:overflowPunct/>
              <w:autoSpaceDN/>
              <w:bidi w:val="0"/>
              <w:adjustRightInd w:val="0"/>
              <w:snapToGrid w:val="0"/>
              <w:spacing w:line="400" w:lineRule="exac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rPr>
              <w:t>主要材料由中标人自行采购</w:t>
            </w:r>
            <w:r>
              <w:rPr>
                <w:rFonts w:hint="eastAsia" w:ascii="宋体" w:hAnsi="宋体" w:cs="宋体"/>
                <w:color w:val="auto"/>
                <w:sz w:val="21"/>
                <w:szCs w:val="21"/>
                <w:highlight w:val="none"/>
                <w:lang w:val="en-US" w:eastAsia="zh-CN"/>
              </w:rPr>
              <w:t>，应满足工程质量要求，经监理和招标人许可后进场。</w:t>
            </w:r>
          </w:p>
          <w:p w14:paraId="610667C5">
            <w:pPr>
              <w:keepNext w:val="0"/>
              <w:keepLines w:val="0"/>
              <w:pageBreakBefore w:val="0"/>
              <w:kinsoku/>
              <w:wordWrap/>
              <w:overflowPunct/>
              <w:autoSpaceDN/>
              <w:bidi w:val="0"/>
              <w:adjustRightInd w:val="0"/>
              <w:snapToGrid w:val="0"/>
              <w:spacing w:line="400" w:lineRule="exact"/>
              <w:textAlignment w:val="auto"/>
              <w:rPr>
                <w:rFonts w:hint="eastAsia" w:ascii="宋体" w:hAnsi="Times New Roman" w:eastAsia="宋体" w:cs="Times New Roman"/>
                <w:color w:val="auto"/>
                <w:sz w:val="21"/>
                <w:szCs w:val="21"/>
                <w:highlight w:val="none"/>
                <w:lang w:val="en-US" w:eastAsia="zh-CN"/>
              </w:rPr>
            </w:pPr>
            <w:r>
              <w:rPr>
                <w:rFonts w:hint="eastAsia" w:ascii="宋体" w:hAnsi="宋体" w:eastAsia="宋体" w:cs="宋体"/>
                <w:bCs/>
                <w:snapToGrid w:val="0"/>
                <w:color w:val="auto"/>
                <w:kern w:val="0"/>
                <w:sz w:val="21"/>
                <w:szCs w:val="21"/>
                <w:highlight w:val="none"/>
                <w:lang w:val="en-US"/>
              </w:rPr>
              <w:t>如招标人对主要材料、设备的技术性能指标有特殊要求，应在招标文件第</w:t>
            </w:r>
            <w:r>
              <w:rPr>
                <w:rFonts w:hint="eastAsia" w:ascii="宋体" w:hAnsi="宋体" w:eastAsia="宋体" w:cs="宋体"/>
                <w:bCs/>
                <w:snapToGrid w:val="0"/>
                <w:color w:val="auto"/>
                <w:kern w:val="0"/>
                <w:sz w:val="21"/>
                <w:szCs w:val="21"/>
                <w:highlight w:val="none"/>
                <w:lang w:val="en-US" w:eastAsia="zh-CN"/>
              </w:rPr>
              <w:t>八</w:t>
            </w:r>
            <w:r>
              <w:rPr>
                <w:rFonts w:hint="eastAsia" w:ascii="宋体" w:hAnsi="宋体" w:eastAsia="宋体" w:cs="宋体"/>
                <w:bCs/>
                <w:snapToGrid w:val="0"/>
                <w:color w:val="auto"/>
                <w:kern w:val="0"/>
                <w:sz w:val="21"/>
                <w:szCs w:val="21"/>
                <w:highlight w:val="none"/>
                <w:lang w:val="en-US"/>
              </w:rPr>
              <w:t>章“技术标准和要求”品牌推荐表中推荐不少于三个品牌。对于招标人推荐品牌的材料、设备，投标人可选用推荐品牌或不低于推荐品牌技术性能指标的其他品牌；采用其他品牌的应在报价文件《招标人推荐的材料品牌响应表》中注明并提供相关技术性能指标、业绩等供评标委员会评审，未在《招标人推荐的材料品牌响应表》中注明且未提供相关技术性能指标、业绩，或经评标委员会评审未通过的，中标后只能从招标人推荐品牌中进行选择，合同价格不予调整。</w:t>
            </w:r>
          </w:p>
        </w:tc>
      </w:tr>
      <w:tr w14:paraId="3FCF9E57">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5B8B5927">
            <w:pPr>
              <w:adjustRightInd w:val="0"/>
              <w:snapToGrid w:val="0"/>
              <w:spacing w:line="500" w:lineRule="exact"/>
              <w:jc w:val="center"/>
              <w:rPr>
                <w:rFonts w:hint="eastAsia" w:ascii="宋体" w:hAnsi="Times New Roman" w:eastAsia="宋体" w:cs="Times New Roman"/>
                <w:color w:val="auto"/>
                <w:sz w:val="21"/>
                <w:szCs w:val="21"/>
                <w:highlight w:val="none"/>
              </w:rPr>
            </w:pPr>
            <w:r>
              <w:rPr>
                <w:rFonts w:hint="eastAsia" w:ascii="宋体" w:hAnsi="宋体" w:cs="宋体"/>
                <w:color w:val="auto"/>
                <w:szCs w:val="21"/>
                <w:highlight w:val="none"/>
              </w:rPr>
              <w:t>评标过程中的澄清、说明或补正</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0BB161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lang w:val="en-US" w:eastAsia="zh-CN"/>
              </w:rPr>
            </w:pPr>
            <w:r>
              <w:rPr>
                <w:rFonts w:hint="eastAsia" w:ascii="宋体" w:hAnsi="Times New Roman" w:eastAsia="宋体" w:cs="Times New Roman"/>
                <w:color w:val="auto"/>
                <w:sz w:val="21"/>
                <w:szCs w:val="21"/>
                <w:highlight w:val="none"/>
                <w:lang w:val="en-US" w:eastAsia="zh-CN"/>
              </w:rPr>
              <w:t>1、评标委员会通过网上招投标系统将需要澄清、说明或补正的内容以询标函的形式发送给投标人，投标人应安排专人登录网上招投标系统并保持在线状态，并确保联系方式有效，以便及时接收评标委员会可能发出的询标函。</w:t>
            </w:r>
          </w:p>
          <w:p w14:paraId="05BAAA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eastAsia="zh-CN"/>
              </w:rPr>
            </w:pPr>
            <w:r>
              <w:rPr>
                <w:rFonts w:hint="eastAsia" w:ascii="宋体" w:hAnsi="Times New Roman" w:eastAsia="宋体" w:cs="Times New Roman"/>
                <w:color w:val="auto"/>
                <w:sz w:val="21"/>
                <w:szCs w:val="21"/>
                <w:highlight w:val="none"/>
                <w:lang w:val="en-US" w:eastAsia="zh-CN"/>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tc>
      </w:tr>
      <w:tr w14:paraId="48F0B8E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7F2E76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rPr>
              <w:t>解释权</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58654F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1、构成本招标文件的各个组成文件应互为解释，互为说明；</w:t>
            </w:r>
          </w:p>
          <w:p w14:paraId="21D749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2、同一组成文件中就同一事项的规定或约定不一致的，以编排顺序在后者为准；</w:t>
            </w:r>
          </w:p>
          <w:p w14:paraId="15C17D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3、如有不明确或不一致，构成合同文件组成内容的，以合同文件约定内容为准，且以专用合同条款约定的合同文件优先顺序解释；</w:t>
            </w:r>
          </w:p>
          <w:p w14:paraId="457756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lang w:val="en-US" w:eastAsia="zh-CN"/>
              </w:rPr>
              <w:t>4</w:t>
            </w:r>
            <w:r>
              <w:rPr>
                <w:rFonts w:hint="eastAsia" w:ascii="宋体" w:hAnsi="Times New Roman" w:eastAsia="宋体" w:cs="Times New Roman"/>
                <w:color w:val="auto"/>
                <w:sz w:val="21"/>
                <w:szCs w:val="21"/>
                <w:highlight w:val="none"/>
              </w:rPr>
              <w:t>、按本款前述规定仍不能形成结论的，由招标人负责解释。</w:t>
            </w:r>
          </w:p>
        </w:tc>
      </w:tr>
      <w:tr w14:paraId="7C15855D">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1F756D77">
            <w:pPr>
              <w:keepNext w:val="0"/>
              <w:keepLines w:val="0"/>
              <w:pageBreakBefore w:val="0"/>
              <w:kinsoku/>
              <w:wordWrap/>
              <w:overflowPunct/>
              <w:autoSpaceDN/>
              <w:bidi w:val="0"/>
              <w:adjustRightInd w:val="0"/>
              <w:snapToGrid w:val="0"/>
              <w:spacing w:line="400" w:lineRule="exact"/>
              <w:jc w:val="center"/>
              <w:textAlignment w:val="auto"/>
              <w:rPr>
                <w:rFonts w:hint="eastAsia"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相关要求</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5ED153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val="en-US" w:eastAsia="zh-CN"/>
              </w:rPr>
              <w:t>1</w:t>
            </w:r>
            <w:r>
              <w:rPr>
                <w:rFonts w:hint="eastAsia" w:ascii="宋体" w:hAnsi="Times New Roman" w:eastAsia="宋体" w:cs="Times New Roman"/>
                <w:color w:val="auto"/>
                <w:sz w:val="21"/>
                <w:szCs w:val="21"/>
                <w:highlight w:val="none"/>
                <w:lang w:val="en-US"/>
              </w:rPr>
              <w:t>、</w:t>
            </w:r>
            <w:r>
              <w:rPr>
                <w:rFonts w:hint="eastAsia" w:ascii="宋体" w:hAnsi="Times New Roman" w:eastAsia="宋体" w:cs="Times New Roman"/>
                <w:color w:val="auto"/>
                <w:sz w:val="21"/>
                <w:szCs w:val="21"/>
                <w:highlight w:val="none"/>
              </w:rPr>
              <w:t>承包人在工程实施过程中的用工行为，必须严格按照《保障农民工工资支付条例》（国务院令 第724号）、《安徽省人民政府办公厅关于全面治理拖欠农民工工资问题的实施意见》（皖政办〔2016〕22号）以及《贯彻落实&lt;工程建设领域农民工工资专用账户管理暂行办法&gt;的通知》（皖人社发〔2022〕5号）、《安徽省工程建设领域农民工工资保证金实施办法》（皖人社发〔2022〕8号）等文件精神的有关规定，依法与招用的农民工签订劳动合同，并按规定及时足额支付工资。</w:t>
            </w:r>
          </w:p>
          <w:p w14:paraId="0CA14A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为切实保障建筑行业农民工工资支付、加快培育新时代建筑产业工人队伍、有效破解拖欠工程款问题，承包人应严格落实安徽省住建厅《关于建立长效机制切实保障建筑行业农民工工资支付工作的通知》（建市函〔2022〕490号），《关于加快培育和壮大我省建筑产业工人队伍的意见》（建市规〔2023〕1号）以及《关于印发〈安徽省房屋建筑和市政基础设施工程施工过程结算管理办法〉 的通知》（建市规〔2023〕2号）等文件要求。</w:t>
            </w:r>
          </w:p>
          <w:p w14:paraId="7B7F5C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rPr>
              <w:t>《贯彻落实&lt;工程建设领域农民工工资专用账户管理暂行办法&gt;的通知》（皖人社发【2022】5号），其中工资保证金和工资专户由工程建设项目的施工总承包企业（包括直接承包建设单位发包工程的专业承包企业）缴存和开设。若为联合体中标，由联合体中牵头人缴存和开设专户。</w:t>
            </w:r>
          </w:p>
          <w:p w14:paraId="1A3A6B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eastAsia="zh-CN"/>
              </w:rPr>
              <w:t>2、</w:t>
            </w:r>
            <w:r>
              <w:rPr>
                <w:rFonts w:hint="eastAsia" w:ascii="宋体" w:hAnsi="Times New Roman" w:eastAsia="宋体" w:cs="Times New Roman"/>
                <w:color w:val="auto"/>
                <w:sz w:val="21"/>
                <w:szCs w:val="21"/>
                <w:highlight w:val="none"/>
                <w:lang w:val="en-US"/>
              </w:rPr>
              <w:t>保证保险产品应按《中国银保监会办公厅关于进一步加强和改进财产保险公司产品监管有关问题的通知》执行。</w:t>
            </w:r>
          </w:p>
          <w:p w14:paraId="321641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eastAsia="zh-CN"/>
              </w:rPr>
            </w:pPr>
            <w:r>
              <w:rPr>
                <w:rFonts w:hint="eastAsia" w:ascii="宋体" w:hAnsi="Times New Roman" w:eastAsia="宋体" w:cs="Times New Roman"/>
                <w:color w:val="auto"/>
                <w:sz w:val="21"/>
                <w:szCs w:val="21"/>
                <w:highlight w:val="none"/>
                <w:lang w:val="en-US" w:eastAsia="zh-CN"/>
              </w:rPr>
              <w:t>3、</w:t>
            </w:r>
            <w:r>
              <w:rPr>
                <w:rFonts w:hint="eastAsia" w:ascii="宋体" w:hAnsi="Times New Roman" w:eastAsia="宋体" w:cs="Times New Roman"/>
                <w:color w:val="auto"/>
                <w:sz w:val="21"/>
                <w:szCs w:val="21"/>
                <w:highlight w:val="none"/>
              </w:rPr>
              <w:t>我省行政区域内按照规定应办理建筑工程施工许可证的房屋建筑和市政工程建设项目，均应办理工程款支付担保。具体金额、担保方式等按《安徽省住房和城乡建设厅关于加强房屋建筑和市政基础设施工程建设领域工程款支付担保管理工作的通知》（建市〔2022〕54号）执行。</w:t>
            </w:r>
          </w:p>
        </w:tc>
      </w:tr>
      <w:tr w14:paraId="2FCA490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65FC73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lang w:val="en-US"/>
              </w:rPr>
              <w:t>同义词语</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3E729A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lang w:val="en-US"/>
              </w:rPr>
              <w:t>构成招标文件组成部分的“通用合同条款”、“专用合同条款”、“技术标准和要求”和“工程量清单”等章节中 “发包人”和“承包人”，等同于招标投标阶段的“招标人”和“投标人/中标人”。</w:t>
            </w:r>
          </w:p>
        </w:tc>
      </w:tr>
      <w:tr w14:paraId="047F48D0">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5BAE0A7F">
            <w:pPr>
              <w:keepNext w:val="0"/>
              <w:keepLines w:val="0"/>
              <w:pageBreakBefore w:val="0"/>
              <w:suppressLineNumbers w:val="0"/>
              <w:kinsoku/>
              <w:wordWrap/>
              <w:overflowPunct/>
              <w:autoSpaceDE/>
              <w:autoSpaceDN/>
              <w:bidi w:val="0"/>
              <w:adjustRightInd w:val="0"/>
              <w:snapToGrid w:val="0"/>
              <w:spacing w:before="0" w:beforeAutospacing="0" w:after="0" w:afterAutospacing="0" w:line="440" w:lineRule="exact"/>
              <w:ind w:left="0" w:leftChars="0" w:right="0" w:rightChars="0"/>
              <w:jc w:val="center"/>
              <w:textAlignment w:val="auto"/>
              <w:rPr>
                <w:rFonts w:hint="eastAsia"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关于招标最高投标限价及投标报价编制特别说明</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7082E9E8">
            <w:pPr>
              <w:pStyle w:val="92"/>
              <w:keepNext w:val="0"/>
              <w:keepLines w:val="0"/>
              <w:pageBreakBefore w:val="0"/>
              <w:suppressLineNumbers w:val="0"/>
              <w:kinsoku/>
              <w:wordWrap/>
              <w:overflowPunct/>
              <w:autoSpaceDE/>
              <w:autoSpaceDN/>
              <w:bidi w:val="0"/>
              <w:adjustRightInd w:val="0"/>
              <w:snapToGrid w:val="0"/>
              <w:spacing w:before="0" w:beforeAutospacing="0" w:after="0" w:afterAutospacing="0" w:line="440" w:lineRule="exact"/>
              <w:ind w:left="0" w:leftChars="0" w:right="0" w:rightChars="0"/>
              <w:textAlignment w:val="auto"/>
              <w:rPr>
                <w:rFonts w:hint="eastAsia"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本项目最高投标限价材料、设备价格结合市场实际价格综合考虑编制，投标人应根据补遗，并结合企业自身实力</w:t>
            </w:r>
            <w:r>
              <w:rPr>
                <w:rFonts w:hint="eastAsia" w:ascii="宋体" w:hAnsi="宋体" w:eastAsia="宋体" w:cs="宋体"/>
                <w:color w:val="auto"/>
                <w:sz w:val="21"/>
                <w:szCs w:val="21"/>
                <w:highlight w:val="none"/>
                <w:lang w:val="en-US" w:eastAsia="zh-CN"/>
              </w:rPr>
              <w:t>及所投方案</w:t>
            </w:r>
            <w:r>
              <w:rPr>
                <w:rFonts w:hint="eastAsia" w:ascii="宋体" w:hAnsi="宋体" w:eastAsia="宋体" w:cs="宋体"/>
                <w:color w:val="auto"/>
                <w:sz w:val="21"/>
                <w:szCs w:val="21"/>
                <w:highlight w:val="none"/>
              </w:rPr>
              <w:t>理性报价。</w:t>
            </w:r>
          </w:p>
        </w:tc>
      </w:tr>
      <w:tr w14:paraId="7DCE096A">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28CD44B0">
            <w:pPr>
              <w:keepNext w:val="0"/>
              <w:keepLines w:val="0"/>
              <w:pageBreakBefore w:val="0"/>
              <w:kinsoku/>
              <w:overflowPunct/>
              <w:autoSpaceDN/>
              <w:bidi w:val="0"/>
              <w:spacing w:line="380" w:lineRule="exact"/>
              <w:jc w:val="center"/>
              <w:textAlignment w:val="auto"/>
              <w:rPr>
                <w:rFonts w:hint="eastAsia" w:ascii="宋体" w:hAnsi="宋体" w:eastAsia="宋体" w:cs="宋体"/>
                <w:color w:val="auto"/>
                <w:sz w:val="21"/>
                <w:szCs w:val="21"/>
                <w:highlight w:val="none"/>
              </w:rPr>
            </w:pPr>
            <w:r>
              <w:rPr>
                <w:rFonts w:hint="eastAsia" w:ascii="宋体" w:hAnsi="宋体" w:cs="宋体"/>
                <w:b w:val="0"/>
                <w:bCs w:val="0"/>
                <w:color w:val="auto"/>
                <w:szCs w:val="21"/>
                <w:highlight w:val="none"/>
                <w:lang w:val="en-US" w:eastAsia="zh-CN"/>
              </w:rPr>
              <w:t>特别说明</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1902EBB3">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1、本项目审计基本费由发包人承担，工程造价审减率超过</w:t>
            </w:r>
            <w:r>
              <w:rPr>
                <w:rFonts w:hint="eastAsia" w:ascii="宋体" w:hAnsi="宋体" w:cs="宋体"/>
                <w:kern w:val="0"/>
                <w:szCs w:val="21"/>
                <w:highlight w:val="none"/>
                <w:lang w:val="en-US" w:eastAsia="zh-CN"/>
              </w:rPr>
              <w:t>7</w:t>
            </w:r>
            <w:r>
              <w:rPr>
                <w:rFonts w:hint="eastAsia" w:ascii="宋体" w:hAnsi="宋体" w:eastAsia="宋体" w:cs="宋体"/>
                <w:kern w:val="0"/>
                <w:szCs w:val="21"/>
                <w:highlight w:val="none"/>
                <w:lang w:val="en-US" w:eastAsia="zh-CN"/>
              </w:rPr>
              <w:t>%的，其超过部分审计服务费用由施工单位承担。</w:t>
            </w:r>
          </w:p>
          <w:p w14:paraId="17DBC199">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1"/>
                <w:szCs w:val="21"/>
                <w:highlight w:val="none"/>
              </w:rPr>
            </w:pPr>
            <w:r>
              <w:rPr>
                <w:rFonts w:hint="eastAsia" w:ascii="宋体" w:hAnsi="宋体" w:eastAsia="宋体" w:cs="宋体"/>
                <w:kern w:val="0"/>
                <w:szCs w:val="21"/>
                <w:highlight w:val="none"/>
                <w:lang w:val="en-US" w:eastAsia="zh-CN"/>
              </w:rPr>
              <w:t>2、承包人在项目交付前应做到工完场清，本项目须做到精保洁交付，否则发包人有权追究承包人1万元违约责任。</w:t>
            </w:r>
          </w:p>
        </w:tc>
      </w:tr>
      <w:tr w14:paraId="28675B89">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EF7C88F">
            <w:pPr>
              <w:keepNext w:val="0"/>
              <w:keepLines w:val="0"/>
              <w:pageBreakBefore w:val="0"/>
              <w:kinsoku/>
              <w:wordWrap/>
              <w:overflowPunct/>
              <w:autoSpaceDN/>
              <w:bidi w:val="0"/>
              <w:spacing w:line="400" w:lineRule="exact"/>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其他</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009655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rPr>
              <w:t>1、</w:t>
            </w:r>
            <w:r>
              <w:rPr>
                <w:rFonts w:hint="eastAsia" w:ascii="宋体" w:hAnsi="Times New Roman" w:eastAsia="宋体" w:cs="Times New Roman"/>
                <w:color w:val="auto"/>
                <w:sz w:val="21"/>
                <w:szCs w:val="21"/>
                <w:highlight w:val="none"/>
              </w:rPr>
              <w:t>如本项目招标文件中出现特定性、唯一性品牌的表述，该品牌仅作为参考，施工过程中不具有限定性。</w:t>
            </w:r>
          </w:p>
          <w:p w14:paraId="73578A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val="en-US"/>
              </w:rPr>
              <w:t>2、项目经理必须是投标人本单位工作人员，提供虚假资料谋取中标将被依法处罚。</w:t>
            </w:r>
            <w:r>
              <w:rPr>
                <w:rFonts w:hint="eastAsia" w:ascii="宋体" w:hAnsi="Times New Roman" w:eastAsia="宋体" w:cs="Times New Roman"/>
                <w:color w:val="auto"/>
                <w:sz w:val="21"/>
                <w:szCs w:val="21"/>
                <w:highlight w:val="none"/>
              </w:rPr>
              <w:t>投标人对所提交的投标人业绩、投标人资质等证明资料承担缔约过失责任和法律责任。若投诉人或举报人对前述资料或证明资料存在争议，进行有效投诉或举报，被投诉人、被举报人应当主动配合执法机关调查，并在规定的期限内举证，提供有关证明资料的原件；拒不配合执法机构调查，且未在规定期限内举证、提供证明资料原件的，执法机构依法处理。</w:t>
            </w:r>
          </w:p>
          <w:p w14:paraId="6A2B3A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val="en-US"/>
              </w:rPr>
              <w:t>3、</w:t>
            </w:r>
            <w:r>
              <w:rPr>
                <w:rFonts w:hint="eastAsia" w:ascii="宋体" w:hAnsi="Times New Roman" w:eastAsia="宋体" w:cs="Times New Roman"/>
                <w:color w:val="auto"/>
                <w:sz w:val="21"/>
                <w:szCs w:val="21"/>
                <w:highlight w:val="none"/>
              </w:rPr>
              <w:t>中标人未履行下述义务的，将依法对中标人追究相关责任：</w:t>
            </w:r>
          </w:p>
          <w:p w14:paraId="75999F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①中标人无正当理由不与招标人订立合同，在签订合同时向招标人提出附加条件，或者不按照招标文件要求提交履约保证金的，招标人有权取消中标人中标资格，并将相关违约行为报送监管部门处理；</w:t>
            </w:r>
          </w:p>
          <w:p w14:paraId="392690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②合同签订后，中标人存在规定时间内不组织人员进场开工、</w:t>
            </w:r>
            <w:r>
              <w:rPr>
                <w:rFonts w:hint="eastAsia" w:ascii="宋体" w:cs="Times New Roman"/>
                <w:color w:val="auto"/>
                <w:sz w:val="21"/>
                <w:szCs w:val="21"/>
                <w:highlight w:val="none"/>
                <w:lang w:eastAsia="zh-CN"/>
              </w:rPr>
              <w:t>或</w:t>
            </w:r>
            <w:r>
              <w:rPr>
                <w:rFonts w:hint="eastAsia" w:ascii="宋体" w:hAnsi="Times New Roman" w:eastAsia="宋体" w:cs="Times New Roman"/>
                <w:color w:val="auto"/>
                <w:sz w:val="21"/>
                <w:szCs w:val="21"/>
                <w:highlight w:val="none"/>
              </w:rPr>
              <w:t>不履行供货安装义务</w:t>
            </w:r>
            <w:r>
              <w:rPr>
                <w:rFonts w:hint="eastAsia" w:ascii="宋体" w:cs="Times New Roman"/>
                <w:color w:val="auto"/>
                <w:sz w:val="21"/>
                <w:szCs w:val="21"/>
                <w:highlight w:val="none"/>
                <w:lang w:eastAsia="zh-CN"/>
              </w:rPr>
              <w:t>、</w:t>
            </w:r>
            <w:r>
              <w:rPr>
                <w:rFonts w:hint="eastAsia" w:ascii="宋体" w:hAnsi="Times New Roman" w:eastAsia="宋体" w:cs="Times New Roman"/>
                <w:color w:val="auto"/>
                <w:sz w:val="21"/>
                <w:szCs w:val="21"/>
                <w:highlight w:val="none"/>
                <w:lang w:eastAsia="zh-CN"/>
              </w:rPr>
              <w:t>或按投标人须知第</w:t>
            </w:r>
            <w:r>
              <w:rPr>
                <w:rFonts w:hint="eastAsia" w:ascii="宋体" w:hAnsi="Times New Roman" w:eastAsia="宋体" w:cs="Times New Roman"/>
                <w:color w:val="auto"/>
                <w:sz w:val="21"/>
                <w:szCs w:val="21"/>
                <w:highlight w:val="none"/>
                <w:lang w:val="en-US" w:eastAsia="zh-CN"/>
              </w:rPr>
              <w:t>19项编制完成后经第三方复审单位审核的</w:t>
            </w:r>
            <w:r>
              <w:rPr>
                <w:rFonts w:hint="eastAsia" w:ascii="宋体" w:hAnsi="Times New Roman" w:eastAsia="宋体" w:cs="Times New Roman"/>
                <w:color w:val="auto"/>
                <w:sz w:val="21"/>
                <w:szCs w:val="21"/>
                <w:highlight w:val="none"/>
                <w:lang w:eastAsia="zh-CN"/>
              </w:rPr>
              <w:t>最高投标限价无法达成共识并经招标人催办，仍未实施等情况，</w:t>
            </w:r>
            <w:r>
              <w:rPr>
                <w:rFonts w:hint="eastAsia" w:ascii="宋体" w:hAnsi="Times New Roman" w:eastAsia="宋体" w:cs="Times New Roman"/>
                <w:color w:val="auto"/>
                <w:sz w:val="21"/>
                <w:szCs w:val="21"/>
                <w:highlight w:val="none"/>
              </w:rPr>
              <w:t>招标人有权</w:t>
            </w:r>
            <w:r>
              <w:rPr>
                <w:rFonts w:hint="eastAsia" w:ascii="宋体" w:cs="Times New Roman"/>
                <w:color w:val="auto"/>
                <w:sz w:val="21"/>
                <w:szCs w:val="21"/>
                <w:highlight w:val="none"/>
                <w:lang w:eastAsia="zh-CN"/>
              </w:rPr>
              <w:t>单方面</w:t>
            </w:r>
            <w:r>
              <w:rPr>
                <w:rFonts w:hint="eastAsia" w:ascii="宋体" w:hAnsi="Times New Roman" w:eastAsia="宋体" w:cs="Times New Roman"/>
                <w:color w:val="auto"/>
                <w:sz w:val="21"/>
                <w:szCs w:val="21"/>
                <w:highlight w:val="none"/>
              </w:rPr>
              <w:t>解除合同，并追究违约责任，同时将相关违约行为报送监管部门处理。</w:t>
            </w:r>
          </w:p>
          <w:p w14:paraId="6D357A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rPr>
              <w:t>4、</w:t>
            </w:r>
            <w:r>
              <w:rPr>
                <w:rFonts w:hint="eastAsia" w:ascii="宋体" w:hAnsi="Times New Roman" w:eastAsia="宋体" w:cs="Times New Roman"/>
                <w:color w:val="auto"/>
                <w:sz w:val="21"/>
                <w:szCs w:val="21"/>
                <w:highlight w:val="none"/>
                <w:lang w:val="en-US" w:eastAsia="zh-CN"/>
              </w:rPr>
              <w:t>项目经理（建造师）变更需经发包人同意</w:t>
            </w:r>
            <w:r>
              <w:rPr>
                <w:rFonts w:hint="eastAsia" w:ascii="宋体" w:hAnsi="Times New Roman" w:eastAsia="宋体" w:cs="Times New Roman"/>
                <w:color w:val="auto"/>
                <w:sz w:val="21"/>
                <w:szCs w:val="21"/>
                <w:highlight w:val="none"/>
                <w:lang w:val="en-US"/>
              </w:rPr>
              <w:t>。</w:t>
            </w:r>
          </w:p>
          <w:p w14:paraId="2C376A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rPr>
              <w:t>中标人因下列原因变更</w:t>
            </w:r>
            <w:r>
              <w:rPr>
                <w:rFonts w:hint="eastAsia" w:ascii="宋体" w:cs="Times New Roman"/>
                <w:color w:val="auto"/>
                <w:sz w:val="21"/>
                <w:szCs w:val="21"/>
                <w:highlight w:val="none"/>
                <w:lang w:val="en-US" w:eastAsia="zh-CN"/>
              </w:rPr>
              <w:t>项目经理</w:t>
            </w:r>
            <w:r>
              <w:rPr>
                <w:rFonts w:hint="eastAsia" w:ascii="宋体" w:hAnsi="Times New Roman" w:eastAsia="宋体" w:cs="Times New Roman"/>
                <w:color w:val="auto"/>
                <w:sz w:val="21"/>
                <w:szCs w:val="21"/>
                <w:highlight w:val="none"/>
                <w:lang w:val="en-US"/>
              </w:rPr>
              <w:t>，须缴纳违约金</w:t>
            </w:r>
            <w:r>
              <w:rPr>
                <w:rFonts w:hint="eastAsia" w:ascii="宋体" w:hAnsi="Times New Roman" w:eastAsia="宋体" w:cs="Times New Roman"/>
                <w:color w:val="auto"/>
                <w:sz w:val="21"/>
                <w:szCs w:val="21"/>
                <w:highlight w:val="none"/>
                <w:lang w:val="en-US" w:eastAsia="zh-CN"/>
              </w:rPr>
              <w:t>10万</w:t>
            </w:r>
            <w:r>
              <w:rPr>
                <w:rFonts w:hint="eastAsia" w:ascii="宋体" w:hAnsi="Times New Roman" w:eastAsia="宋体" w:cs="Times New Roman"/>
                <w:color w:val="auto"/>
                <w:sz w:val="21"/>
                <w:szCs w:val="21"/>
                <w:highlight w:val="none"/>
                <w:lang w:val="en-US"/>
              </w:rPr>
              <w:t>元</w:t>
            </w:r>
            <w:r>
              <w:rPr>
                <w:rFonts w:hint="eastAsia" w:ascii="宋体" w:hAnsi="Times New Roman" w:eastAsia="宋体" w:cs="Times New Roman"/>
                <w:color w:val="auto"/>
                <w:sz w:val="21"/>
                <w:szCs w:val="21"/>
                <w:highlight w:val="none"/>
                <w:lang w:val="en-US" w:eastAsia="zh-CN"/>
              </w:rPr>
              <w:t>：</w:t>
            </w:r>
            <w:r>
              <w:rPr>
                <w:rFonts w:hint="eastAsia" w:ascii="宋体" w:hAnsi="Times New Roman" w:eastAsia="宋体" w:cs="Times New Roman"/>
                <w:color w:val="auto"/>
                <w:sz w:val="21"/>
                <w:szCs w:val="21"/>
                <w:highlight w:val="none"/>
                <w:lang w:val="en-US"/>
              </w:rPr>
              <w:t>①患重病、发生意外等身体原因不能在现场进行管理的；②离职的；③违法违规行为不能继续从事现场管理工作的；④无能力履行合同责任义务被建设行政主管部门或建设单位责令更换的。</w:t>
            </w:r>
          </w:p>
          <w:p w14:paraId="5DAB19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val="en-US" w:eastAsia="zh-CN"/>
              </w:rPr>
              <w:t>5、</w:t>
            </w:r>
            <w:r>
              <w:rPr>
                <w:rFonts w:hint="eastAsia" w:ascii="宋体" w:hAnsi="Times New Roman" w:eastAsia="宋体" w:cs="Times New Roman"/>
                <w:color w:val="auto"/>
                <w:sz w:val="21"/>
                <w:szCs w:val="21"/>
                <w:highlight w:val="none"/>
              </w:rPr>
              <w:t>安全生产</w:t>
            </w:r>
          </w:p>
          <w:p w14:paraId="5678F5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①须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5983A2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eastAsia="zh-CN"/>
              </w:rPr>
            </w:pPr>
            <w:r>
              <w:rPr>
                <w:rFonts w:hint="eastAsia" w:ascii="宋体" w:hAnsi="Times New Roman" w:eastAsia="宋体" w:cs="Times New Roman"/>
                <w:color w:val="auto"/>
                <w:sz w:val="21"/>
                <w:szCs w:val="21"/>
                <w:highlight w:val="none"/>
              </w:rPr>
              <w:t>②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合同的各项规定，做到生产与安全工作同时计划、布置、检查、总结和评比。</w:t>
            </w:r>
          </w:p>
          <w:p w14:paraId="17C5FD0C">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strike/>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本项目严禁非法转包，一经发现，招标人依法处理。</w:t>
            </w:r>
          </w:p>
        </w:tc>
      </w:tr>
      <w:tr w14:paraId="440C74B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4024367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Cs w:val="21"/>
                <w:highlight w:val="none"/>
              </w:rPr>
            </w:pPr>
            <w:r>
              <w:rPr>
                <w:rFonts w:hint="eastAsia" w:ascii="宋体" w:hAnsi="宋体" w:cs="宋体"/>
                <w:sz w:val="21"/>
                <w:szCs w:val="21"/>
                <w:highlight w:val="none"/>
                <w:lang w:val="en-US" w:eastAsia="zh-CN"/>
              </w:rPr>
              <w:t>重要说明</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22A1A79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请于公告发布之日起从滁州市城投工程咨询管理有限公司网站（https://www.czctgczx.com/），点击项目招标公告下方【我要投标】，登录新点电子交易平台后在【滁州专区】（https://www.etrading.cn/BREpointSSO/login/oauth2login?regioncode=DQ_ChuZhou）下载本项目招标文件。投标人自行承担因未按要求获取招标文件导致无法上传电子投标文件的风险。</w:t>
            </w:r>
          </w:p>
          <w:p w14:paraId="7FDA9B7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投标人须登录新点电子交易平台【滁州专区】查询、获取招标文件。首次登录办理入库手续，办理入库不收取任何费用。新点电子招投标统一认证平台使用相关问题（如系统登录、信息登记、录入及提交、数字证书关联等）请拨打服务电话：</w:t>
            </w:r>
            <w:r>
              <w:rPr>
                <w:rFonts w:hint="eastAsia" w:ascii="宋体" w:hAnsi="宋体" w:cs="宋体"/>
                <w:kern w:val="0"/>
                <w:sz w:val="21"/>
                <w:szCs w:val="21"/>
                <w:highlight w:val="none"/>
                <w:lang w:val="en-US" w:eastAsia="zh-CN" w:bidi="ar-SA"/>
              </w:rPr>
              <w:t>0512-58151515</w:t>
            </w:r>
            <w:r>
              <w:rPr>
                <w:rFonts w:hint="eastAsia" w:ascii="宋体" w:hAnsi="宋体" w:eastAsia="宋体" w:cs="宋体"/>
                <w:kern w:val="0"/>
                <w:sz w:val="21"/>
                <w:szCs w:val="21"/>
                <w:highlight w:val="none"/>
                <w:lang w:val="en-US" w:eastAsia="zh-CN" w:bidi="ar-SA"/>
              </w:rPr>
              <w:t>（工作日）。 </w:t>
            </w:r>
          </w:p>
          <w:p w14:paraId="7ED9354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3.投标人登录新点电子交易平台【滁州专区】获取招标文件及其它资料（含澄清和补充说明等）。如在招标文件获取过程中遇到系统问题，请拨打技术支持服务热线4009280095或者网站首页在线客服。</w:t>
            </w:r>
          </w:p>
          <w:p w14:paraId="20A4A1F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4.本项目采用不见面开标，投标人登录滁州市城投工程咨询有限公司不见面开标系统参与网上开标（网址：http://js.etrading.cn/EpointBidOpening/bidopeninghallaction/hall/login）。</w:t>
            </w:r>
          </w:p>
          <w:p w14:paraId="37FE0F4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5.投标人应在投标截止时间之前，登录新点电子交易平台【滁州专区】上传投标文件。投标人逾期上传投标文件的，电子系统不予受理。</w:t>
            </w:r>
          </w:p>
          <w:p w14:paraId="7ED2ACC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6.投标人的联系人电话(手机)在开标过程中必须保持畅通，否则因上述原因造成的后果，责任自负。</w:t>
            </w:r>
          </w:p>
          <w:p w14:paraId="2FDEBB6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7.本项目采用电子招投标方式，请投标人在“新点电子交易平台”常用下载专区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0F059D31">
            <w:pPr>
              <w:keepNext w:val="0"/>
              <w:keepLines w:val="0"/>
              <w:pageBreakBefore w:val="0"/>
              <w:widowControl w:val="0"/>
              <w:kinsoku/>
              <w:wordWrap w:val="0"/>
              <w:overflowPunct/>
              <w:topLinePunct w:val="0"/>
              <w:autoSpaceDE/>
              <w:autoSpaceDN/>
              <w:bidi w:val="0"/>
              <w:adjustRightInd/>
              <w:snapToGrid/>
              <w:spacing w:line="400" w:lineRule="exact"/>
              <w:jc w:val="left"/>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 w:val="21"/>
                <w:szCs w:val="21"/>
                <w:highlight w:val="none"/>
                <w:lang w:val="en-US" w:eastAsia="zh-CN" w:bidi="ar-SA"/>
              </w:rPr>
              <w:t>8.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tc>
      </w:tr>
    </w:tbl>
    <w:p w14:paraId="735D540F">
      <w:pPr>
        <w:rPr>
          <w:rFonts w:hint="eastAsia" w:ascii="宋体" w:hAnsi="宋体" w:eastAsia="宋体" w:cs="宋体"/>
          <w:sz w:val="24"/>
          <w:szCs w:val="24"/>
          <w:highlight w:val="none"/>
        </w:rPr>
      </w:pPr>
      <w:bookmarkStart w:id="56" w:name="_Toc35425053"/>
      <w:bookmarkStart w:id="57" w:name="_Toc15058846"/>
      <w:bookmarkStart w:id="58" w:name="_Toc78803322"/>
      <w:bookmarkStart w:id="59" w:name="_Toc35424887"/>
      <w:bookmarkStart w:id="60" w:name="_Toc5813"/>
      <w:r>
        <w:rPr>
          <w:rFonts w:hint="eastAsia" w:ascii="宋体" w:hAnsi="宋体" w:eastAsia="宋体" w:cs="宋体"/>
          <w:sz w:val="24"/>
          <w:szCs w:val="24"/>
          <w:highlight w:val="none"/>
        </w:rPr>
        <w:br w:type="page"/>
      </w:r>
    </w:p>
    <w:p w14:paraId="6585086A">
      <w:pPr>
        <w:pStyle w:val="3"/>
        <w:spacing w:beforeLines="50" w:afterLines="50"/>
        <w:ind w:firstLine="482" w:firstLineChars="200"/>
        <w:rPr>
          <w:rFonts w:ascii="宋体" w:hAnsi="宋体" w:eastAsia="宋体" w:cs="宋体"/>
          <w:sz w:val="24"/>
          <w:szCs w:val="24"/>
          <w:highlight w:val="none"/>
        </w:rPr>
      </w:pPr>
      <w:r>
        <w:rPr>
          <w:rFonts w:hint="eastAsia" w:ascii="宋体" w:hAnsi="宋体" w:eastAsia="宋体" w:cs="宋体"/>
          <w:sz w:val="24"/>
          <w:szCs w:val="24"/>
          <w:highlight w:val="none"/>
        </w:rPr>
        <w:t>1. 总则</w:t>
      </w:r>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2AE7C8E8">
      <w:pPr>
        <w:pStyle w:val="3"/>
        <w:ind w:firstLine="422" w:firstLineChars="200"/>
        <w:rPr>
          <w:rFonts w:ascii="宋体" w:hAnsi="宋体" w:eastAsia="宋体" w:cs="宋体"/>
          <w:kern w:val="44"/>
          <w:highlight w:val="none"/>
        </w:rPr>
      </w:pPr>
      <w:bookmarkStart w:id="61" w:name="_Toc152042306"/>
      <w:bookmarkStart w:id="62" w:name="_Toc506107270"/>
      <w:bookmarkStart w:id="63" w:name="_Toc78803323"/>
      <w:bookmarkStart w:id="64" w:name="_Toc247085690"/>
      <w:bookmarkStart w:id="65" w:name="_Toc35425054"/>
      <w:bookmarkStart w:id="66" w:name="_Toc246996919"/>
      <w:bookmarkStart w:id="67" w:name="_Toc152045530"/>
      <w:bookmarkStart w:id="68" w:name="_Toc4678"/>
      <w:bookmarkStart w:id="69" w:name="_Toc324404816"/>
      <w:bookmarkStart w:id="70" w:name="_Toc35424888"/>
      <w:bookmarkStart w:id="71" w:name="_Toc144974498"/>
      <w:bookmarkStart w:id="72" w:name="_Toc15058847"/>
      <w:bookmarkStart w:id="73" w:name="_Toc296602421"/>
      <w:bookmarkStart w:id="74" w:name="_Toc179632547"/>
      <w:bookmarkStart w:id="75" w:name="_Toc246996176"/>
      <w:r>
        <w:rPr>
          <w:rFonts w:hint="eastAsia" w:ascii="宋体" w:hAnsi="宋体" w:eastAsia="宋体" w:cs="宋体"/>
          <w:kern w:val="44"/>
          <w:highlight w:val="none"/>
        </w:rPr>
        <w:t>1.1 项目概况</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07780BC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1.1.1根据《中华人民共和国招标投标法》《中华人民共和国招标投标法实施条例》等有关法律、法规和规章的规定，本招标项目已具备招标条件，现对本项目施工监理进行招标。</w:t>
      </w:r>
    </w:p>
    <w:p w14:paraId="5AB354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1.1.2 本招标项目招标人：见投标人须知前附表。</w:t>
      </w:r>
    </w:p>
    <w:p w14:paraId="7E46A0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1.1.3 本招标项目招标代理机构：见投标人须知前附表。</w:t>
      </w:r>
    </w:p>
    <w:p w14:paraId="77102B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1.1.4 本招标项目名称：见投标人须知前附表。</w:t>
      </w:r>
    </w:p>
    <w:p w14:paraId="6CBC327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1.1.5 本招标项目建设地点：见投标人须知前附表。</w:t>
      </w:r>
    </w:p>
    <w:p w14:paraId="036B2C8D">
      <w:pPr>
        <w:pStyle w:val="3"/>
        <w:ind w:firstLine="422" w:firstLineChars="200"/>
        <w:rPr>
          <w:rFonts w:ascii="宋体" w:hAnsi="宋体" w:eastAsia="宋体" w:cs="宋体"/>
          <w:highlight w:val="none"/>
        </w:rPr>
      </w:pPr>
      <w:bookmarkStart w:id="76" w:name="_Toc246996920"/>
      <w:bookmarkStart w:id="77" w:name="_Toc324404817"/>
      <w:bookmarkStart w:id="78" w:name="_Toc247085691"/>
      <w:bookmarkStart w:id="79" w:name="_Toc152042307"/>
      <w:bookmarkStart w:id="80" w:name="_Toc296602422"/>
      <w:bookmarkStart w:id="81" w:name="_Toc179632548"/>
      <w:bookmarkStart w:id="82" w:name="_Toc144974499"/>
      <w:bookmarkStart w:id="83" w:name="_Toc15058848"/>
      <w:bookmarkStart w:id="84" w:name="_Toc35424889"/>
      <w:bookmarkStart w:id="85" w:name="_Toc246996177"/>
      <w:bookmarkStart w:id="86" w:name="_Toc78803324"/>
      <w:bookmarkStart w:id="87" w:name="_Toc152045531"/>
      <w:bookmarkStart w:id="88" w:name="_Toc506107271"/>
      <w:bookmarkStart w:id="89" w:name="_Toc7142"/>
      <w:bookmarkStart w:id="90" w:name="_Toc35425055"/>
      <w:r>
        <w:rPr>
          <w:rFonts w:hint="eastAsia" w:ascii="宋体" w:hAnsi="宋体" w:eastAsia="宋体" w:cs="宋体"/>
          <w:highlight w:val="none"/>
        </w:rPr>
        <w:t>1.2 资金来源和落实情况</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662000A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1.2.1 本招标项目的资金来源及出资比例：见投标人须知前附表。</w:t>
      </w:r>
    </w:p>
    <w:p w14:paraId="2086A8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1.2.2 本招标项目的资金落实情况：见投标人须知前附表。</w:t>
      </w:r>
    </w:p>
    <w:p w14:paraId="77419EB9">
      <w:pPr>
        <w:pStyle w:val="3"/>
        <w:ind w:firstLine="422" w:firstLineChars="200"/>
        <w:rPr>
          <w:rFonts w:ascii="宋体" w:hAnsi="宋体" w:eastAsia="宋体" w:cs="宋体"/>
          <w:highlight w:val="none"/>
        </w:rPr>
      </w:pPr>
      <w:bookmarkStart w:id="91" w:name="_Toc324404818"/>
      <w:bookmarkStart w:id="92" w:name="_Toc144974500"/>
      <w:bookmarkStart w:id="93" w:name="_Toc15058849"/>
      <w:bookmarkStart w:id="94" w:name="_Toc152045532"/>
      <w:bookmarkStart w:id="95" w:name="_Toc296602423"/>
      <w:bookmarkStart w:id="96" w:name="_Toc35424890"/>
      <w:bookmarkStart w:id="97" w:name="_Toc35425056"/>
      <w:bookmarkStart w:id="98" w:name="_Toc78803325"/>
      <w:bookmarkStart w:id="99" w:name="_Toc506107272"/>
      <w:bookmarkStart w:id="100" w:name="_Toc6330"/>
      <w:bookmarkStart w:id="101" w:name="_Toc246996921"/>
      <w:bookmarkStart w:id="102" w:name="_Toc247085692"/>
      <w:bookmarkStart w:id="103" w:name="_Toc152042308"/>
      <w:bookmarkStart w:id="104" w:name="_Toc246996178"/>
      <w:bookmarkStart w:id="105" w:name="_Toc179632549"/>
      <w:r>
        <w:rPr>
          <w:rFonts w:hint="eastAsia" w:ascii="宋体" w:hAnsi="宋体" w:eastAsia="宋体" w:cs="宋体"/>
          <w:highlight w:val="none"/>
        </w:rPr>
        <w:t>1.3 招标范围、计划工期、质量要求</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4E6EC9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1.3.1 本次招标范围：见投标人须知前附表。</w:t>
      </w:r>
    </w:p>
    <w:p w14:paraId="4738494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1.3.2 本招标项目的监理服务期限：见投标人须知前附表。</w:t>
      </w:r>
    </w:p>
    <w:p w14:paraId="1CB8FAD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1.3.3 本招标项目的质量要求：见投标人须知前附表。</w:t>
      </w:r>
    </w:p>
    <w:p w14:paraId="26E33D0B">
      <w:pPr>
        <w:pStyle w:val="3"/>
        <w:ind w:firstLine="422" w:firstLineChars="200"/>
        <w:rPr>
          <w:rFonts w:ascii="宋体" w:hAnsi="宋体" w:eastAsia="宋体" w:cs="宋体"/>
          <w:highlight w:val="none"/>
        </w:rPr>
      </w:pPr>
      <w:bookmarkStart w:id="106" w:name="_Toc35425057"/>
      <w:bookmarkStart w:id="107" w:name="_Toc324404819"/>
      <w:bookmarkStart w:id="108" w:name="_Toc246996179"/>
      <w:bookmarkStart w:id="109" w:name="_Toc179632551"/>
      <w:bookmarkStart w:id="110" w:name="_Toc144974502"/>
      <w:bookmarkStart w:id="111" w:name="_Toc247085693"/>
      <w:bookmarkStart w:id="112" w:name="_Toc152042310"/>
      <w:bookmarkStart w:id="113" w:name="_Toc296602424"/>
      <w:bookmarkStart w:id="114" w:name="_Toc506107273"/>
      <w:bookmarkStart w:id="115" w:name="_Toc246996922"/>
      <w:bookmarkStart w:id="116" w:name="_Toc26897"/>
      <w:bookmarkStart w:id="117" w:name="_Toc35424891"/>
      <w:bookmarkStart w:id="118" w:name="_Toc15058850"/>
      <w:bookmarkStart w:id="119" w:name="_Toc78803326"/>
      <w:bookmarkStart w:id="120" w:name="_Toc152045534"/>
      <w:r>
        <w:rPr>
          <w:rFonts w:hint="eastAsia" w:ascii="宋体" w:hAnsi="宋体" w:eastAsia="宋体" w:cs="宋体"/>
          <w:highlight w:val="none"/>
        </w:rPr>
        <w:t>1.4 投标人资格要求</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473C4A8A">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1.4.1 投标人应具备承担本项目</w:t>
      </w:r>
      <w:r>
        <w:rPr>
          <w:rFonts w:hint="eastAsia" w:ascii="宋体" w:hAnsi="宋体" w:eastAsia="宋体" w:cs="宋体"/>
          <w:szCs w:val="21"/>
          <w:highlight w:val="none"/>
          <w:lang w:val="en-US" w:eastAsia="zh-CN"/>
        </w:rPr>
        <w:t>施工</w:t>
      </w:r>
      <w:r>
        <w:rPr>
          <w:rFonts w:hint="eastAsia" w:ascii="宋体" w:hAnsi="宋体" w:eastAsia="宋体" w:cs="宋体"/>
          <w:szCs w:val="21"/>
          <w:highlight w:val="none"/>
        </w:rPr>
        <w:t>的资质条件、能力和信誉。</w:t>
      </w:r>
    </w:p>
    <w:p w14:paraId="42CF7408">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（1）资质条件：见投标人须知前附表；</w:t>
      </w:r>
    </w:p>
    <w:p w14:paraId="213F5755">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（2）项目负责人资格：见投标人须知前附表；</w:t>
      </w:r>
    </w:p>
    <w:p w14:paraId="77975E2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（3）信誉要求：见投标人须知前附表；</w:t>
      </w:r>
    </w:p>
    <w:p w14:paraId="1C33B202">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）其他要求：见投标人须知前附表。</w:t>
      </w:r>
    </w:p>
    <w:p w14:paraId="66002C8A">
      <w:pPr>
        <w:spacing w:line="440" w:lineRule="exact"/>
        <w:ind w:firstLine="420" w:firstLineChars="200"/>
        <w:jc w:val="left"/>
        <w:rPr>
          <w:rFonts w:hint="eastAsia" w:ascii="宋体" w:hAnsi="宋体" w:eastAsia="宋体" w:cs="宋体"/>
          <w:szCs w:val="21"/>
          <w:highlight w:val="none"/>
        </w:rPr>
      </w:pPr>
      <w:bookmarkStart w:id="121" w:name="_Toc246996923"/>
      <w:bookmarkStart w:id="122" w:name="_Toc152042311"/>
      <w:bookmarkStart w:id="123" w:name="_Toc296602425"/>
      <w:bookmarkStart w:id="124" w:name="_Toc144974503"/>
      <w:bookmarkStart w:id="125" w:name="_Toc15058851"/>
      <w:bookmarkStart w:id="126" w:name="_Toc246996180"/>
      <w:bookmarkStart w:id="127" w:name="_Toc35425058"/>
      <w:bookmarkStart w:id="128" w:name="_Toc247085694"/>
      <w:bookmarkStart w:id="129" w:name="_Toc506107274"/>
      <w:bookmarkStart w:id="130" w:name="_Toc10179"/>
      <w:bookmarkStart w:id="131" w:name="_Toc35424892"/>
      <w:bookmarkStart w:id="132" w:name="_Toc179632552"/>
      <w:bookmarkStart w:id="133" w:name="_Toc152045535"/>
      <w:bookmarkStart w:id="134" w:name="_Toc324404820"/>
      <w:bookmarkStart w:id="135" w:name="_Toc78803327"/>
      <w:r>
        <w:rPr>
          <w:rFonts w:hint="eastAsia" w:ascii="宋体" w:hAnsi="宋体" w:eastAsia="宋体" w:cs="宋体"/>
          <w:szCs w:val="21"/>
          <w:highlight w:val="none"/>
        </w:rPr>
        <w:t>1.4.3投标人（包括联合体各成员）不得与本标段相关单位存在下列关联关系：</w:t>
      </w:r>
    </w:p>
    <w:p w14:paraId="5DE8D0B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（1）为招标人不具有独立法人资格的附属机构（单位）；</w:t>
      </w:r>
    </w:p>
    <w:p w14:paraId="09E6B8F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（2）与招标人存在利害关系且可能影响招标公正性；</w:t>
      </w:r>
    </w:p>
    <w:p w14:paraId="0505EF5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（3）与本标段的其他投标人同为一个单位负责人；</w:t>
      </w:r>
    </w:p>
    <w:p w14:paraId="36333F8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（4）与本标段的其他投标人存在控股、管理关系；</w:t>
      </w:r>
    </w:p>
    <w:p w14:paraId="4D18F6F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（5）为本标段前期准备提供设计或咨询服务的法人或其任何附属机构（单位）(本</w:t>
      </w:r>
      <w:r>
        <w:rPr>
          <w:rFonts w:hint="eastAsia" w:ascii="宋体" w:hAnsi="宋体" w:cs="宋体"/>
          <w:szCs w:val="21"/>
          <w:highlight w:val="none"/>
          <w:lang w:val="en-US" w:eastAsia="zh-CN"/>
        </w:rPr>
        <w:t>项目</w:t>
      </w:r>
      <w:r>
        <w:rPr>
          <w:rFonts w:hint="eastAsia" w:ascii="宋体" w:hAnsi="宋体" w:eastAsia="宋体" w:cs="宋体"/>
          <w:szCs w:val="21"/>
          <w:highlight w:val="none"/>
        </w:rPr>
        <w:t>不采用)；</w:t>
      </w:r>
    </w:p>
    <w:p w14:paraId="73E2482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（6）为本标段的监理人；</w:t>
      </w:r>
    </w:p>
    <w:p w14:paraId="43DEC31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（7）为本标段的代建人；</w:t>
      </w:r>
    </w:p>
    <w:p w14:paraId="5653615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（8）为本标段的招标代理机构；</w:t>
      </w:r>
    </w:p>
    <w:p w14:paraId="3407078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（9）与本标段的监理人或代建人或招标代理机构同为一个法定代表人；</w:t>
      </w:r>
    </w:p>
    <w:p w14:paraId="5B21E9B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（10）与本标段的监理人或代建人或招标代理机构存在控股或参股关系；</w:t>
      </w:r>
    </w:p>
    <w:p w14:paraId="552CFA51">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（11）法律法规或投标人须知前附表规定的其他情形。</w:t>
      </w:r>
    </w:p>
    <w:p w14:paraId="4D283291">
      <w:pPr>
        <w:pStyle w:val="3"/>
        <w:ind w:firstLine="422" w:firstLineChars="200"/>
        <w:rPr>
          <w:rFonts w:ascii="宋体" w:hAnsi="宋体" w:eastAsia="宋体" w:cs="宋体"/>
          <w:highlight w:val="none"/>
        </w:rPr>
      </w:pPr>
      <w:r>
        <w:rPr>
          <w:rFonts w:hint="eastAsia" w:ascii="宋体" w:hAnsi="宋体" w:eastAsia="宋体" w:cs="宋体"/>
          <w:highlight w:val="none"/>
        </w:rPr>
        <w:t>1.5 费用承担</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2CDB29E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投标人准备和参加投标活动发生的费用自理。</w:t>
      </w:r>
    </w:p>
    <w:p w14:paraId="6B9E8D17">
      <w:pPr>
        <w:pStyle w:val="3"/>
        <w:ind w:firstLine="422" w:firstLineChars="200"/>
        <w:rPr>
          <w:rFonts w:ascii="宋体" w:hAnsi="宋体" w:eastAsia="宋体" w:cs="宋体"/>
          <w:highlight w:val="none"/>
        </w:rPr>
      </w:pPr>
      <w:bookmarkStart w:id="136" w:name="_Toc35424893"/>
      <w:bookmarkStart w:id="137" w:name="_Toc152045536"/>
      <w:bookmarkStart w:id="138" w:name="_Toc506107275"/>
      <w:bookmarkStart w:id="139" w:name="_Toc296602426"/>
      <w:bookmarkStart w:id="140" w:name="_Toc78803328"/>
      <w:bookmarkStart w:id="141" w:name="_Toc246996924"/>
      <w:bookmarkStart w:id="142" w:name="_Toc179632553"/>
      <w:bookmarkStart w:id="143" w:name="_Toc4092"/>
      <w:bookmarkStart w:id="144" w:name="_Toc246996181"/>
      <w:bookmarkStart w:id="145" w:name="_Toc35425059"/>
      <w:bookmarkStart w:id="146" w:name="_Toc144974504"/>
      <w:bookmarkStart w:id="147" w:name="_Toc324404821"/>
      <w:bookmarkStart w:id="148" w:name="_Toc15058852"/>
      <w:bookmarkStart w:id="149" w:name="_Toc247085695"/>
      <w:bookmarkStart w:id="150" w:name="_Toc152042312"/>
      <w:r>
        <w:rPr>
          <w:rFonts w:hint="eastAsia" w:ascii="宋体" w:hAnsi="宋体" w:eastAsia="宋体" w:cs="宋体"/>
          <w:highlight w:val="none"/>
        </w:rPr>
        <w:t>1.6 保密</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709F25B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参与招标投标活动的各方应对招标文件和投标文件中的商业和技术等秘密保密，违者应对由此造成的后果承担法律责任。 </w:t>
      </w:r>
    </w:p>
    <w:p w14:paraId="17C94B32">
      <w:pPr>
        <w:pStyle w:val="3"/>
        <w:ind w:firstLine="422" w:firstLineChars="200"/>
        <w:rPr>
          <w:rFonts w:ascii="宋体" w:hAnsi="宋体" w:eastAsia="宋体" w:cs="宋体"/>
          <w:highlight w:val="none"/>
        </w:rPr>
      </w:pPr>
      <w:bookmarkStart w:id="151" w:name="_Toc144974505"/>
      <w:bookmarkStart w:id="152" w:name="_Toc506107276"/>
      <w:bookmarkStart w:id="153" w:name="_Toc296602427"/>
      <w:bookmarkStart w:id="154" w:name="_Toc152042313"/>
      <w:bookmarkStart w:id="155" w:name="_Toc247085696"/>
      <w:bookmarkStart w:id="156" w:name="_Toc179632554"/>
      <w:bookmarkStart w:id="157" w:name="_Toc246996925"/>
      <w:bookmarkStart w:id="158" w:name="_Toc35425060"/>
      <w:bookmarkStart w:id="159" w:name="_Toc324404822"/>
      <w:bookmarkStart w:id="160" w:name="_Toc78803329"/>
      <w:bookmarkStart w:id="161" w:name="_Toc15058853"/>
      <w:bookmarkStart w:id="162" w:name="_Toc4119"/>
      <w:bookmarkStart w:id="163" w:name="_Toc246996182"/>
      <w:bookmarkStart w:id="164" w:name="_Toc152045537"/>
      <w:bookmarkStart w:id="165" w:name="_Toc35424894"/>
      <w:r>
        <w:rPr>
          <w:rFonts w:hint="eastAsia" w:ascii="宋体" w:hAnsi="宋体" w:eastAsia="宋体" w:cs="宋体"/>
          <w:highlight w:val="none"/>
        </w:rPr>
        <w:t>1.7 语言</w:t>
      </w:r>
      <w:bookmarkEnd w:id="151"/>
      <w:r>
        <w:rPr>
          <w:rFonts w:hint="eastAsia" w:ascii="宋体" w:hAnsi="宋体" w:eastAsia="宋体" w:cs="宋体"/>
          <w:highlight w:val="none"/>
        </w:rPr>
        <w:t>文字</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13039B6C">
      <w:pPr>
        <w:spacing w:line="440" w:lineRule="exact"/>
        <w:ind w:firstLine="420" w:firstLineChars="200"/>
        <w:jc w:val="left"/>
        <w:rPr>
          <w:rFonts w:ascii="宋体" w:hAnsi="宋体" w:cs="宋体"/>
          <w:szCs w:val="21"/>
          <w:highlight w:val="none"/>
        </w:rPr>
      </w:pPr>
      <w:bookmarkStart w:id="166" w:name="_Toc152045538"/>
      <w:bookmarkStart w:id="167" w:name="_Toc152042314"/>
      <w:bookmarkStart w:id="168" w:name="_Toc246996926"/>
      <w:bookmarkStart w:id="169" w:name="_Toc246996183"/>
      <w:bookmarkStart w:id="170" w:name="_Toc179632555"/>
      <w:bookmarkStart w:id="171" w:name="_Toc247085697"/>
      <w:bookmarkStart w:id="172" w:name="_Toc144974506"/>
      <w:r>
        <w:rPr>
          <w:rFonts w:hint="eastAsia" w:ascii="宋体" w:hAnsi="宋体" w:cs="宋体"/>
          <w:szCs w:val="21"/>
          <w:highlight w:val="none"/>
        </w:rPr>
        <w:t>招标投标文件使用的语言文字为中文。专用术语使用外文的，应附有中文注释。</w:t>
      </w:r>
    </w:p>
    <w:p w14:paraId="07887133">
      <w:pPr>
        <w:pStyle w:val="3"/>
        <w:ind w:firstLine="422" w:firstLineChars="200"/>
        <w:rPr>
          <w:rFonts w:ascii="宋体" w:hAnsi="宋体" w:eastAsia="宋体" w:cs="宋体"/>
          <w:highlight w:val="none"/>
        </w:rPr>
      </w:pPr>
      <w:bookmarkStart w:id="173" w:name="_Toc35425061"/>
      <w:bookmarkStart w:id="174" w:name="_Toc296602428"/>
      <w:bookmarkStart w:id="175" w:name="_Toc13408"/>
      <w:bookmarkStart w:id="176" w:name="_Toc506107277"/>
      <w:bookmarkStart w:id="177" w:name="_Toc15058854"/>
      <w:bookmarkStart w:id="178" w:name="_Toc78803330"/>
      <w:bookmarkStart w:id="179" w:name="_Toc35424895"/>
      <w:bookmarkStart w:id="180" w:name="_Toc324404823"/>
      <w:r>
        <w:rPr>
          <w:rFonts w:hint="eastAsia" w:ascii="宋体" w:hAnsi="宋体" w:eastAsia="宋体" w:cs="宋体"/>
          <w:highlight w:val="none"/>
        </w:rPr>
        <w:t>1.8 计量单位</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3DEA88E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所有计量均采用中华人民共和国法定计量单位。</w:t>
      </w:r>
    </w:p>
    <w:p w14:paraId="6E75FA73">
      <w:pPr>
        <w:pStyle w:val="3"/>
        <w:ind w:firstLine="422" w:firstLineChars="200"/>
        <w:rPr>
          <w:rFonts w:ascii="宋体" w:hAnsi="宋体" w:eastAsia="宋体" w:cs="宋体"/>
          <w:highlight w:val="none"/>
        </w:rPr>
      </w:pPr>
      <w:bookmarkStart w:id="181" w:name="_Toc506107278"/>
      <w:bookmarkStart w:id="182" w:name="_Toc296602429"/>
      <w:bookmarkStart w:id="183" w:name="_Toc247513962"/>
      <w:bookmarkStart w:id="184" w:name="_Toc78803331"/>
      <w:bookmarkStart w:id="185" w:name="_Toc324404824"/>
      <w:bookmarkStart w:id="186" w:name="_Toc144974507"/>
      <w:bookmarkStart w:id="187" w:name="_Toc35424896"/>
      <w:bookmarkStart w:id="188" w:name="_Toc35425062"/>
      <w:bookmarkStart w:id="189" w:name="_Toc152042315"/>
      <w:bookmarkStart w:id="190" w:name="_Toc11493"/>
      <w:bookmarkStart w:id="191" w:name="_Toc247592876"/>
      <w:bookmarkStart w:id="192" w:name="_Toc15058855"/>
      <w:bookmarkStart w:id="193" w:name="_Toc247527563"/>
      <w:bookmarkStart w:id="194" w:name="_Toc152045539"/>
      <w:r>
        <w:rPr>
          <w:rFonts w:hint="eastAsia" w:ascii="宋体" w:hAnsi="宋体" w:eastAsia="宋体" w:cs="宋体"/>
          <w:highlight w:val="none"/>
        </w:rPr>
        <w:t>1.9 踏勘现场</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5AA9B494">
      <w:pPr>
        <w:spacing w:line="440" w:lineRule="exact"/>
        <w:ind w:firstLine="420" w:firstLineChars="200"/>
        <w:jc w:val="left"/>
        <w:rPr>
          <w:rFonts w:hint="eastAsia" w:ascii="宋体" w:hAnsi="宋体" w:eastAsia="宋体" w:cs="宋体"/>
          <w:szCs w:val="21"/>
          <w:highlight w:val="none"/>
        </w:rPr>
      </w:pPr>
      <w:bookmarkStart w:id="195" w:name="_Toc247592877"/>
      <w:bookmarkStart w:id="196" w:name="_Toc506107279"/>
      <w:bookmarkStart w:id="197" w:name="_Toc78803332"/>
      <w:bookmarkStart w:id="198" w:name="_Toc324404825"/>
      <w:bookmarkStart w:id="199" w:name="_Toc35425063"/>
      <w:bookmarkStart w:id="200" w:name="_Toc144974508"/>
      <w:bookmarkStart w:id="201" w:name="_Toc247513963"/>
      <w:bookmarkStart w:id="202" w:name="_Toc247527564"/>
      <w:bookmarkStart w:id="203" w:name="_Toc22954"/>
      <w:bookmarkStart w:id="204" w:name="_Toc296602430"/>
      <w:bookmarkStart w:id="205" w:name="_Toc152042316"/>
      <w:bookmarkStart w:id="206" w:name="_Toc152045540"/>
      <w:bookmarkStart w:id="207" w:name="_Toc15058856"/>
      <w:bookmarkStart w:id="208" w:name="_Toc35424897"/>
      <w:r>
        <w:rPr>
          <w:rFonts w:hint="eastAsia" w:ascii="宋体" w:hAnsi="宋体" w:eastAsia="宋体" w:cs="宋体"/>
          <w:szCs w:val="21"/>
          <w:highlight w:val="none"/>
        </w:rPr>
        <w:t xml:space="preserve">1.9.1前附表规定组织踏勘现场的，招标人按投标人须知前附表规定的时间、地点组织投标人踏勘项目现场。部分投标人未按时参加踏勘现场的，不影响踏勘现场的正常进行。招标人不得组织单个或部分投标人踏勘项目现场。 </w:t>
      </w:r>
    </w:p>
    <w:p w14:paraId="1D49473C">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1.9.2 投标人踏勘现场发生的费用自理。</w:t>
      </w:r>
    </w:p>
    <w:p w14:paraId="4EA3604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1.9.3 除招标人的原因外，投标人自行负责在踏勘现场中所发生的人员伤亡和财产损失。</w:t>
      </w:r>
    </w:p>
    <w:p w14:paraId="50FCC1C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1.9.4 招标人在踏勘现场中介绍的工程场地和相关的周边环境情况，供投标人在编制投标文件时参考，招标人不对投标人据此作出的判断和决策负责。</w:t>
      </w:r>
    </w:p>
    <w:p w14:paraId="024D6A4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1.9.5无论投标人是否到施工现场实地踏勘，中标后签订合同时和履约过程中，投标人不得以不完全了解现场情况或现场情况与招标文件描述不一致等为由，提出任何形式的增加工程造价或索赔的要求。</w:t>
      </w:r>
    </w:p>
    <w:p w14:paraId="179FDA06">
      <w:pPr>
        <w:pStyle w:val="3"/>
        <w:ind w:firstLine="422" w:firstLineChars="200"/>
        <w:rPr>
          <w:rFonts w:ascii="宋体" w:hAnsi="宋体" w:eastAsia="宋体" w:cs="宋体"/>
          <w:highlight w:val="none"/>
        </w:rPr>
      </w:pPr>
      <w:r>
        <w:rPr>
          <w:rFonts w:hint="eastAsia" w:ascii="宋体" w:hAnsi="宋体" w:eastAsia="宋体" w:cs="宋体"/>
          <w:highlight w:val="none"/>
        </w:rPr>
        <w:t>1.10 投标预备会</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59781F3B">
      <w:pPr>
        <w:spacing w:line="440" w:lineRule="exact"/>
        <w:ind w:firstLine="420" w:firstLineChars="200"/>
        <w:jc w:val="left"/>
        <w:rPr>
          <w:rFonts w:hint="eastAsia" w:ascii="宋体" w:hAnsi="宋体" w:eastAsia="宋体" w:cs="宋体"/>
          <w:szCs w:val="21"/>
          <w:highlight w:val="none"/>
        </w:rPr>
      </w:pPr>
      <w:bookmarkStart w:id="209" w:name="_Toc95223347"/>
      <w:bookmarkStart w:id="210" w:name="_Toc60061444"/>
      <w:bookmarkStart w:id="211" w:name="_Toc83301699"/>
      <w:bookmarkStart w:id="212" w:name="_Toc506107280"/>
      <w:bookmarkStart w:id="213" w:name="_Toc296602431"/>
      <w:bookmarkStart w:id="214" w:name="_Toc32016"/>
      <w:bookmarkStart w:id="215" w:name="_Toc78803333"/>
      <w:bookmarkStart w:id="216" w:name="_Toc35425064"/>
      <w:bookmarkStart w:id="217" w:name="_Toc15058857"/>
      <w:bookmarkStart w:id="218" w:name="_Toc35424898"/>
      <w:bookmarkStart w:id="219" w:name="_Toc324404826"/>
      <w:r>
        <w:rPr>
          <w:rFonts w:hint="eastAsia" w:ascii="宋体" w:hAnsi="宋体" w:eastAsia="宋体" w:cs="宋体"/>
          <w:szCs w:val="21"/>
          <w:highlight w:val="none"/>
        </w:rPr>
        <w:t>1.10.1投标人须知前附表规定召开投标预备会的，招标人按投标人须知前附表规定的时间和地点召开投标预备会，澄清投标人提出的问题。</w:t>
      </w:r>
    </w:p>
    <w:p w14:paraId="68E1CBD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1.10.2投标人应在投标人须知前附表规定的时间前，将提出的问题送达招标人，以便招标人澄清。</w:t>
      </w:r>
    </w:p>
    <w:p w14:paraId="77334C7F">
      <w:pPr>
        <w:pStyle w:val="3"/>
        <w:ind w:firstLine="422" w:firstLineChars="200"/>
        <w:rPr>
          <w:rFonts w:hint="eastAsia" w:ascii="宋体" w:hAnsi="宋体" w:eastAsia="宋体" w:cs="宋体"/>
          <w:highlight w:val="none"/>
        </w:rPr>
      </w:pPr>
      <w:r>
        <w:rPr>
          <w:rFonts w:hint="eastAsia" w:ascii="宋体" w:hAnsi="宋体" w:eastAsia="宋体" w:cs="宋体"/>
          <w:highlight w:val="none"/>
        </w:rPr>
        <w:t>1.11 分包</w:t>
      </w:r>
      <w:bookmarkEnd w:id="209"/>
      <w:bookmarkEnd w:id="210"/>
      <w:bookmarkEnd w:id="211"/>
    </w:p>
    <w:p w14:paraId="4C37D79E">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1.11.1投标人拟在中标后将中标项目的部分非主体、非关键性工作进行分包的，应符合以下规定：</w:t>
      </w:r>
    </w:p>
    <w:p w14:paraId="656917F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（1）分包内容要求：招标人允许分包或不允许分包的专业工程（如有）应在投标人须知前附表中载明；</w:t>
      </w:r>
    </w:p>
    <w:p w14:paraId="5CB3AEC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（2）接受分包的第三人资格要求：分包人的资格能力应与其分包工程的标准和规模相适应，且具备投标人须知前附表中规定的资格条件；</w:t>
      </w:r>
    </w:p>
    <w:p w14:paraId="4C9BC43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（3）其他要求：投标人如有分包计划，应按第九章“投标文件格式”的要求填写“拟分包项目情况表”，明确拟分包的工程及规模，且投标人中标后的分包应满足合同条款的相关要求。</w:t>
      </w:r>
    </w:p>
    <w:p w14:paraId="25700247">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rPr>
        <w:t>1.11.2中标人不得向他人转让中标项目，接受分包的人不得再次分包。中标人应就分包项目向招标人负责，接受分包的人就分包项目承担连带责任</w:t>
      </w:r>
      <w:r>
        <w:rPr>
          <w:rFonts w:hint="eastAsia" w:ascii="宋体" w:hAnsi="宋体" w:eastAsia="宋体" w:cs="宋体"/>
          <w:szCs w:val="21"/>
          <w:highlight w:val="none"/>
          <w:lang w:eastAsia="zh-CN"/>
        </w:rPr>
        <w:t>。</w:t>
      </w:r>
    </w:p>
    <w:p w14:paraId="01FA1CA0">
      <w:pPr>
        <w:pStyle w:val="3"/>
        <w:ind w:firstLine="422" w:firstLineChars="200"/>
        <w:rPr>
          <w:rFonts w:ascii="宋体" w:hAnsi="宋体" w:eastAsia="宋体" w:cs="宋体"/>
          <w:highlight w:val="none"/>
        </w:rPr>
      </w:pPr>
      <w:r>
        <w:rPr>
          <w:rFonts w:hint="eastAsia" w:ascii="宋体" w:hAnsi="宋体" w:eastAsia="宋体" w:cs="宋体"/>
          <w:highlight w:val="none"/>
        </w:rPr>
        <w:t>1.1</w:t>
      </w:r>
      <w:r>
        <w:rPr>
          <w:rFonts w:hint="eastAsia" w:ascii="宋体" w:hAnsi="宋体" w:eastAsia="宋体" w:cs="宋体"/>
          <w:highlight w:val="none"/>
          <w:lang w:val="en-US" w:eastAsia="zh-CN"/>
        </w:rPr>
        <w:t>2</w:t>
      </w:r>
      <w:r>
        <w:rPr>
          <w:rFonts w:hint="eastAsia" w:ascii="宋体" w:hAnsi="宋体" w:eastAsia="宋体" w:cs="宋体"/>
          <w:highlight w:val="none"/>
        </w:rPr>
        <w:t xml:space="preserve"> 偏离</w:t>
      </w:r>
      <w:bookmarkEnd w:id="212"/>
      <w:bookmarkEnd w:id="213"/>
      <w:bookmarkEnd w:id="214"/>
      <w:bookmarkEnd w:id="215"/>
      <w:bookmarkEnd w:id="216"/>
      <w:bookmarkEnd w:id="217"/>
      <w:bookmarkEnd w:id="218"/>
      <w:bookmarkEnd w:id="219"/>
    </w:p>
    <w:p w14:paraId="6C0210C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1.12.1投标文件偏离招标文件某些要求，视为投标文件存在偏差。偏差包括重大偏差和细微偏差。</w:t>
      </w:r>
    </w:p>
    <w:p w14:paraId="37CEA0B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1.12.2投标文件应对招标文件的实质性要求和条件作出满足性或更有利于招标人的响应，否则，视为投标文件存在重大偏差，投标人的投标将被否决。</w:t>
      </w:r>
    </w:p>
    <w:p w14:paraId="29D3BBD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投标文件存在第四章“评标办法”中所列任一无效投标情形的，均属于存在重大偏差。</w:t>
      </w:r>
    </w:p>
    <w:p w14:paraId="5FF54E7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1.12.3投标文件中的下列偏差为细微偏差：</w:t>
      </w:r>
    </w:p>
    <w:p w14:paraId="369FF23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在按照第四章“评标办法”的规定对投标价进行算术性错误修正及其他错误修正后，最终投标报价未超过最高投标限价（如有）或未被否决投标的情况下，出现第四章“评标办法”规定的算术性错误和投标报价的其他错误；</w:t>
      </w:r>
    </w:p>
    <w:p w14:paraId="0E80F0C1">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（2）投标文件个别文字有遗漏错误等不影响投标文件实质性内容的偏差。</w:t>
      </w:r>
    </w:p>
    <w:p w14:paraId="5169B9E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1.12.4评标委员会对投标文件中的细微偏差按如下规定处理：</w:t>
      </w:r>
    </w:p>
    <w:p w14:paraId="291A7C9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对于本章第 1.12.3 项（1）目所述的细微偏差，按照第四章“评标办法”的规定予以修正并要求投标人进行澄清；</w:t>
      </w:r>
    </w:p>
    <w:p w14:paraId="2BAB6D7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对于本章第 1.12.3 项（2）目所述的细微偏差，可要求投标人对细微偏差进行澄清。</w:t>
      </w:r>
    </w:p>
    <w:p w14:paraId="258F395D">
      <w:pPr>
        <w:pStyle w:val="3"/>
        <w:spacing w:beforeLines="50" w:afterLines="50"/>
        <w:ind w:firstLine="482" w:firstLineChars="200"/>
        <w:rPr>
          <w:rFonts w:ascii="宋体" w:hAnsi="宋体" w:eastAsia="宋体" w:cs="宋体"/>
          <w:sz w:val="24"/>
          <w:szCs w:val="24"/>
          <w:highlight w:val="none"/>
        </w:rPr>
      </w:pPr>
      <w:bookmarkStart w:id="220" w:name="_Toc152042318"/>
      <w:bookmarkStart w:id="221" w:name="_Toc35424899"/>
      <w:bookmarkStart w:id="222" w:name="_Toc179632560"/>
      <w:bookmarkStart w:id="223" w:name="_Toc324404827"/>
      <w:bookmarkStart w:id="224" w:name="_Toc15058858"/>
      <w:bookmarkStart w:id="225" w:name="_Toc4012"/>
      <w:bookmarkStart w:id="226" w:name="_Toc144974510"/>
      <w:bookmarkStart w:id="227" w:name="_Toc246996930"/>
      <w:bookmarkStart w:id="228" w:name="_Toc246996187"/>
      <w:bookmarkStart w:id="229" w:name="_Toc506107281"/>
      <w:bookmarkStart w:id="230" w:name="_Toc78803334"/>
      <w:bookmarkStart w:id="231" w:name="_Toc35425065"/>
      <w:bookmarkStart w:id="232" w:name="_Toc247085701"/>
      <w:bookmarkStart w:id="233" w:name="_Toc152045542"/>
      <w:r>
        <w:rPr>
          <w:rFonts w:hint="eastAsia" w:ascii="宋体" w:hAnsi="宋体" w:eastAsia="宋体" w:cs="宋体"/>
          <w:sz w:val="24"/>
          <w:szCs w:val="24"/>
          <w:highlight w:val="none"/>
        </w:rPr>
        <w:t>2. 招标文件</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1E9A892E">
      <w:pPr>
        <w:pStyle w:val="3"/>
        <w:ind w:firstLine="422" w:firstLineChars="200"/>
        <w:rPr>
          <w:rFonts w:ascii="宋体" w:hAnsi="宋体" w:eastAsia="宋体" w:cs="宋体"/>
          <w:highlight w:val="none"/>
        </w:rPr>
      </w:pPr>
      <w:bookmarkStart w:id="234" w:name="_Toc179632561"/>
      <w:bookmarkStart w:id="235" w:name="_Toc13213"/>
      <w:bookmarkStart w:id="236" w:name="_Toc247085702"/>
      <w:bookmarkStart w:id="237" w:name="_Toc78803335"/>
      <w:bookmarkStart w:id="238" w:name="_Toc296602433"/>
      <w:bookmarkStart w:id="239" w:name="_Toc144974511"/>
      <w:bookmarkStart w:id="240" w:name="_Toc35425066"/>
      <w:bookmarkStart w:id="241" w:name="_Toc15058859"/>
      <w:bookmarkStart w:id="242" w:name="_Toc324404828"/>
      <w:bookmarkStart w:id="243" w:name="_Toc35424900"/>
      <w:bookmarkStart w:id="244" w:name="_Toc152045543"/>
      <w:bookmarkStart w:id="245" w:name="_Toc246996931"/>
      <w:bookmarkStart w:id="246" w:name="_Toc152042319"/>
      <w:bookmarkStart w:id="247" w:name="_Toc246996188"/>
      <w:bookmarkStart w:id="248" w:name="_Toc506107282"/>
      <w:r>
        <w:rPr>
          <w:rFonts w:hint="eastAsia" w:ascii="宋体" w:hAnsi="宋体" w:eastAsia="宋体" w:cs="宋体"/>
          <w:highlight w:val="none"/>
        </w:rPr>
        <w:t>2.1 招标文件的组成</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2F335EA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2.1.1 本招标文件包括：</w:t>
      </w:r>
    </w:p>
    <w:p w14:paraId="17A25422">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（1）招标公告；</w:t>
      </w:r>
    </w:p>
    <w:p w14:paraId="309C973C">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（2）投标人须知；</w:t>
      </w:r>
    </w:p>
    <w:p w14:paraId="794E1BC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（3）资格审查办法</w:t>
      </w:r>
    </w:p>
    <w:p w14:paraId="0F96BD3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（4）评标办法；</w:t>
      </w:r>
    </w:p>
    <w:p w14:paraId="21E08D67">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rPr>
        <w:t>（5）工程量清单</w:t>
      </w:r>
      <w:r>
        <w:rPr>
          <w:rFonts w:hint="eastAsia" w:ascii="宋体" w:hAnsi="宋体" w:eastAsia="宋体" w:cs="宋体"/>
          <w:szCs w:val="21"/>
          <w:highlight w:val="none"/>
          <w:lang w:eastAsia="zh-CN"/>
        </w:rPr>
        <w:t>；</w:t>
      </w:r>
    </w:p>
    <w:p w14:paraId="66146639">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图纸</w:t>
      </w:r>
    </w:p>
    <w:p w14:paraId="70CE5832">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）合同条款及格式；</w:t>
      </w:r>
    </w:p>
    <w:p w14:paraId="3AB46C6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8</w:t>
      </w:r>
      <w:r>
        <w:rPr>
          <w:rFonts w:hint="eastAsia" w:ascii="宋体" w:hAnsi="宋体" w:eastAsia="宋体" w:cs="宋体"/>
          <w:szCs w:val="21"/>
          <w:highlight w:val="none"/>
        </w:rPr>
        <w:t>）投标文件格式；</w:t>
      </w:r>
    </w:p>
    <w:p w14:paraId="58EF797A">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）投标人须知前附表规定的其他材料。</w:t>
      </w:r>
    </w:p>
    <w:p w14:paraId="4A2A5929">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2.1.2 根据本章第1.10款、第2.2款和第2.3款对招标文件所作的澄清、修改，构成招标文件的组成部分。</w:t>
      </w:r>
    </w:p>
    <w:p w14:paraId="07992AB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2.1.3当招标文件、招标文件的澄清或修改等在同一内容的表述上不一致时，以最后发出的文件为准。</w:t>
      </w:r>
    </w:p>
    <w:p w14:paraId="3B513EA0">
      <w:pPr>
        <w:pStyle w:val="3"/>
        <w:ind w:firstLine="422" w:firstLineChars="200"/>
        <w:rPr>
          <w:rFonts w:hint="eastAsia" w:ascii="宋体" w:hAnsi="宋体" w:eastAsia="宋体" w:cs="宋体"/>
          <w:highlight w:val="none"/>
        </w:rPr>
      </w:pPr>
      <w:bookmarkStart w:id="249" w:name="_Toc152042320"/>
      <w:bookmarkStart w:id="250" w:name="_Toc179632562"/>
      <w:bookmarkStart w:id="251" w:name="_Toc506107283"/>
      <w:bookmarkStart w:id="252" w:name="_Toc296602434"/>
      <w:bookmarkStart w:id="253" w:name="_Toc246996189"/>
      <w:bookmarkStart w:id="254" w:name="_Toc35425067"/>
      <w:bookmarkStart w:id="255" w:name="_Toc144974512"/>
      <w:bookmarkStart w:id="256" w:name="_Toc247085703"/>
      <w:bookmarkStart w:id="257" w:name="_Toc15058860"/>
      <w:bookmarkStart w:id="258" w:name="_Toc324404829"/>
      <w:bookmarkStart w:id="259" w:name="_Toc78803336"/>
      <w:bookmarkStart w:id="260" w:name="_Toc35424901"/>
      <w:bookmarkStart w:id="261" w:name="_Toc152045544"/>
      <w:bookmarkStart w:id="262" w:name="_Toc32239"/>
      <w:bookmarkStart w:id="263" w:name="_Toc246996932"/>
      <w:r>
        <w:rPr>
          <w:rFonts w:hint="eastAsia" w:ascii="宋体" w:hAnsi="宋体" w:eastAsia="宋体" w:cs="宋体"/>
          <w:highlight w:val="none"/>
        </w:rPr>
        <w:t xml:space="preserve">2.2 </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Fonts w:hint="eastAsia" w:ascii="宋体" w:hAnsi="宋体" w:eastAsia="宋体" w:cs="宋体"/>
          <w:highlight w:val="none"/>
        </w:rPr>
        <w:t>招标文件的异议</w:t>
      </w:r>
    </w:p>
    <w:p w14:paraId="47165EF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投标人应仔细阅读和检查招标文件的全部内容。如有疑问，应在投标人须知前附表规定的时间</w:t>
      </w:r>
      <w:r>
        <w:rPr>
          <w:rFonts w:hint="eastAsia" w:ascii="宋体" w:hAnsi="宋体" w:cs="宋体"/>
          <w:szCs w:val="21"/>
          <w:highlight w:val="none"/>
          <w:lang w:val="en-US" w:eastAsia="zh-CN"/>
        </w:rPr>
        <w:t>和方式</w:t>
      </w:r>
      <w:r>
        <w:rPr>
          <w:rFonts w:hint="eastAsia" w:ascii="宋体" w:hAnsi="宋体" w:eastAsia="宋体" w:cs="宋体"/>
          <w:color w:val="auto"/>
          <w:szCs w:val="21"/>
          <w:highlight w:val="none"/>
          <w:lang w:val="en-US" w:eastAsia="zh-CN"/>
        </w:rPr>
        <w:t>提出</w:t>
      </w:r>
      <w:r>
        <w:rPr>
          <w:rFonts w:hint="eastAsia" w:ascii="宋体" w:hAnsi="宋体" w:cs="宋体"/>
          <w:szCs w:val="21"/>
          <w:highlight w:val="none"/>
        </w:rPr>
        <w:t>。</w:t>
      </w:r>
    </w:p>
    <w:p w14:paraId="5EC8A5BB">
      <w:pPr>
        <w:pStyle w:val="3"/>
        <w:ind w:firstLine="422" w:firstLineChars="200"/>
        <w:rPr>
          <w:rFonts w:hint="eastAsia" w:ascii="宋体" w:hAnsi="宋体" w:eastAsia="宋体" w:cs="宋体"/>
          <w:highlight w:val="none"/>
          <w:lang w:eastAsia="zh-CN"/>
        </w:rPr>
      </w:pPr>
      <w:bookmarkStart w:id="264" w:name="_Toc15058861"/>
      <w:bookmarkStart w:id="265" w:name="_Toc247085704"/>
      <w:bookmarkStart w:id="266" w:name="_Toc179632563"/>
      <w:bookmarkStart w:id="267" w:name="_Toc78803337"/>
      <w:bookmarkStart w:id="268" w:name="_Toc35424902"/>
      <w:bookmarkStart w:id="269" w:name="_Toc144974513"/>
      <w:bookmarkStart w:id="270" w:name="_Toc152045545"/>
      <w:bookmarkStart w:id="271" w:name="_Toc152042321"/>
      <w:bookmarkStart w:id="272" w:name="_Toc506107284"/>
      <w:bookmarkStart w:id="273" w:name="_Toc24633"/>
      <w:bookmarkStart w:id="274" w:name="_Toc246996933"/>
      <w:bookmarkStart w:id="275" w:name="_Toc296602435"/>
      <w:bookmarkStart w:id="276" w:name="_Toc35425068"/>
      <w:bookmarkStart w:id="277" w:name="_Toc246996190"/>
      <w:bookmarkStart w:id="278" w:name="_Toc324404830"/>
      <w:r>
        <w:rPr>
          <w:rFonts w:hint="eastAsia" w:ascii="宋体" w:hAnsi="宋体" w:eastAsia="宋体" w:cs="宋体"/>
          <w:highlight w:val="none"/>
        </w:rPr>
        <w:t>2.3 招标文件的</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Fonts w:hint="eastAsia" w:ascii="宋体" w:hAnsi="宋体" w:eastAsia="宋体" w:cs="宋体"/>
          <w:highlight w:val="none"/>
          <w:lang w:val="en-US" w:eastAsia="zh-CN"/>
        </w:rPr>
        <w:t>澄清</w:t>
      </w:r>
    </w:p>
    <w:p w14:paraId="47D94C5D">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szCs w:val="21"/>
          <w:highlight w:val="none"/>
        </w:rPr>
      </w:pPr>
      <w:bookmarkStart w:id="279" w:name="_Toc35424903"/>
      <w:bookmarkStart w:id="280" w:name="_Toc2696"/>
      <w:bookmarkStart w:id="281" w:name="_Toc35425069"/>
      <w:bookmarkStart w:id="282" w:name="_Toc15058862"/>
      <w:bookmarkStart w:id="283" w:name="_Toc78803338"/>
      <w:bookmarkStart w:id="284" w:name="_Toc324404831"/>
      <w:r>
        <w:rPr>
          <w:rFonts w:hint="eastAsia" w:ascii="宋体" w:hAnsi="宋体" w:eastAsia="宋体" w:cs="宋体"/>
          <w:szCs w:val="21"/>
          <w:highlight w:val="none"/>
        </w:rPr>
        <w:t>招标文件的澄清将在</w:t>
      </w:r>
      <w:r>
        <w:rPr>
          <w:rFonts w:hint="eastAsia" w:ascii="宋体" w:hAnsi="宋体" w:cs="宋体"/>
          <w:color w:val="auto"/>
          <w:szCs w:val="21"/>
          <w:highlight w:val="none"/>
          <w:lang w:eastAsia="zh-CN"/>
        </w:rPr>
        <w:t>滁州市扬子工业投资集团有限公司官网（https://czyzgtjt.com/）、</w:t>
      </w:r>
      <w:r>
        <w:rPr>
          <w:rFonts w:hint="eastAsia" w:ascii="宋体" w:hAnsi="宋体" w:eastAsia="宋体" w:cs="宋体"/>
          <w:szCs w:val="21"/>
          <w:highlight w:val="none"/>
          <w:lang w:val="en-US" w:eastAsia="zh-CN"/>
        </w:rPr>
        <w:t>滁州市城投工程咨询管理有限公司网站</w:t>
      </w:r>
      <w:r>
        <w:rPr>
          <w:rFonts w:hint="eastAsia" w:ascii="宋体" w:hAnsi="宋体" w:eastAsia="宋体" w:cs="宋体"/>
          <w:szCs w:val="21"/>
          <w:highlight w:val="none"/>
        </w:rPr>
        <w:t>（https://www.czctgczx.com/）发布，但不指明澄清问题的来源。</w:t>
      </w:r>
    </w:p>
    <w:bookmarkEnd w:id="279"/>
    <w:bookmarkEnd w:id="280"/>
    <w:bookmarkEnd w:id="281"/>
    <w:bookmarkEnd w:id="282"/>
    <w:bookmarkEnd w:id="283"/>
    <w:bookmarkEnd w:id="284"/>
    <w:p w14:paraId="5681C7DF">
      <w:pPr>
        <w:pStyle w:val="3"/>
        <w:spacing w:beforeLines="50" w:afterLines="50"/>
        <w:ind w:firstLine="482" w:firstLineChars="200"/>
        <w:rPr>
          <w:rFonts w:ascii="宋体" w:hAnsi="宋体" w:eastAsia="宋体" w:cs="宋体"/>
          <w:sz w:val="24"/>
          <w:szCs w:val="24"/>
          <w:highlight w:val="none"/>
        </w:rPr>
      </w:pPr>
      <w:bookmarkStart w:id="285" w:name="_Toc246996191"/>
      <w:bookmarkStart w:id="286" w:name="_Toc78803339"/>
      <w:bookmarkStart w:id="287" w:name="_Toc35425070"/>
      <w:bookmarkStart w:id="288" w:name="_Toc324404832"/>
      <w:bookmarkStart w:id="289" w:name="_Toc246996934"/>
      <w:bookmarkStart w:id="290" w:name="_Toc6464"/>
      <w:bookmarkStart w:id="291" w:name="_Toc506107285"/>
      <w:bookmarkStart w:id="292" w:name="_Toc179632564"/>
      <w:bookmarkStart w:id="293" w:name="_Toc152045546"/>
      <w:bookmarkStart w:id="294" w:name="_Toc247085705"/>
      <w:bookmarkStart w:id="295" w:name="_Toc35424904"/>
      <w:bookmarkStart w:id="296" w:name="_Toc15058863"/>
      <w:bookmarkStart w:id="297" w:name="_Toc152042322"/>
      <w:bookmarkStart w:id="298" w:name="_Toc144974514"/>
      <w:r>
        <w:rPr>
          <w:rFonts w:hint="eastAsia" w:ascii="宋体" w:hAnsi="宋体" w:eastAsia="宋体" w:cs="宋体"/>
          <w:sz w:val="24"/>
          <w:szCs w:val="24"/>
          <w:highlight w:val="none"/>
        </w:rPr>
        <w:t>3. 投标文件</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218225A2">
      <w:pPr>
        <w:pStyle w:val="3"/>
        <w:ind w:firstLine="422" w:firstLineChars="200"/>
        <w:rPr>
          <w:rFonts w:ascii="宋体" w:hAnsi="宋体" w:eastAsia="宋体" w:cs="宋体"/>
          <w:highlight w:val="none"/>
        </w:rPr>
      </w:pPr>
      <w:bookmarkStart w:id="299" w:name="_Toc144974515"/>
      <w:bookmarkStart w:id="300" w:name="_Toc324404833"/>
      <w:bookmarkStart w:id="301" w:name="_Toc296602437"/>
      <w:bookmarkStart w:id="302" w:name="_Toc35424905"/>
      <w:bookmarkStart w:id="303" w:name="_Toc506107286"/>
      <w:bookmarkStart w:id="304" w:name="_Toc246996935"/>
      <w:bookmarkStart w:id="305" w:name="_Toc247085706"/>
      <w:bookmarkStart w:id="306" w:name="_Toc152042323"/>
      <w:bookmarkStart w:id="307" w:name="_Toc246996192"/>
      <w:bookmarkStart w:id="308" w:name="_Toc35425071"/>
      <w:bookmarkStart w:id="309" w:name="_Toc78803340"/>
      <w:bookmarkStart w:id="310" w:name="_Toc152045547"/>
      <w:bookmarkStart w:id="311" w:name="_Toc15058864"/>
      <w:bookmarkStart w:id="312" w:name="_Toc157"/>
      <w:bookmarkStart w:id="313" w:name="_Toc179632565"/>
      <w:r>
        <w:rPr>
          <w:rFonts w:hint="eastAsia" w:ascii="宋体" w:hAnsi="宋体" w:eastAsia="宋体" w:cs="宋体"/>
          <w:highlight w:val="none"/>
        </w:rPr>
        <w:t>3.1 投标文件的组成</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6871D10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eastAsia="zh-CN"/>
        </w:rPr>
        <w:t>投标文件</w:t>
      </w:r>
      <w:r>
        <w:rPr>
          <w:rFonts w:hint="eastAsia" w:ascii="宋体" w:hAnsi="宋体" w:cs="宋体"/>
          <w:szCs w:val="21"/>
          <w:highlight w:val="none"/>
        </w:rPr>
        <w:t>由</w:t>
      </w:r>
      <w:r>
        <w:rPr>
          <w:rFonts w:hint="eastAsia" w:ascii="宋体" w:hAnsi="宋体" w:cs="宋体"/>
          <w:szCs w:val="21"/>
          <w:highlight w:val="none"/>
          <w:lang w:eastAsia="zh-CN"/>
        </w:rPr>
        <w:t>投标文件</w:t>
      </w:r>
      <w:r>
        <w:rPr>
          <w:rFonts w:hint="eastAsia" w:ascii="宋体" w:hAnsi="宋体" w:cs="宋体"/>
          <w:szCs w:val="21"/>
          <w:highlight w:val="none"/>
        </w:rPr>
        <w:t>一（资信证明文件）</w:t>
      </w:r>
      <w:r>
        <w:rPr>
          <w:rFonts w:hint="eastAsia" w:ascii="宋体" w:hAnsi="宋体" w:cs="宋体"/>
          <w:szCs w:val="21"/>
          <w:highlight w:val="none"/>
          <w:lang w:val="en-US" w:eastAsia="zh-CN"/>
        </w:rPr>
        <w:t>和</w:t>
      </w:r>
      <w:r>
        <w:rPr>
          <w:rFonts w:hint="eastAsia" w:ascii="宋体" w:hAnsi="宋体" w:cs="宋体"/>
          <w:szCs w:val="21"/>
          <w:highlight w:val="none"/>
          <w:lang w:eastAsia="zh-CN"/>
        </w:rPr>
        <w:t>投标文件</w:t>
      </w:r>
      <w:r>
        <w:rPr>
          <w:rFonts w:hint="eastAsia" w:ascii="宋体" w:hAnsi="宋体" w:cs="宋体"/>
          <w:szCs w:val="21"/>
          <w:highlight w:val="none"/>
          <w:lang w:val="en-US" w:eastAsia="zh-CN"/>
        </w:rPr>
        <w:t>二</w:t>
      </w:r>
      <w:r>
        <w:rPr>
          <w:rFonts w:hint="eastAsia" w:ascii="宋体" w:hAnsi="宋体" w:cs="宋体"/>
          <w:szCs w:val="21"/>
          <w:highlight w:val="none"/>
        </w:rPr>
        <w:t>（商务标</w:t>
      </w:r>
      <w:r>
        <w:rPr>
          <w:rFonts w:hint="eastAsia" w:ascii="宋体" w:hAnsi="宋体" w:cs="宋体"/>
          <w:szCs w:val="21"/>
          <w:highlight w:val="none"/>
          <w:lang w:val="en-US" w:eastAsia="zh-CN"/>
        </w:rPr>
        <w:t>文件</w:t>
      </w:r>
      <w:r>
        <w:rPr>
          <w:rFonts w:hint="eastAsia" w:ascii="宋体" w:hAnsi="宋体" w:cs="宋体"/>
          <w:szCs w:val="21"/>
          <w:highlight w:val="none"/>
        </w:rPr>
        <w:t>）</w:t>
      </w:r>
      <w:r>
        <w:rPr>
          <w:rFonts w:hint="eastAsia" w:ascii="宋体" w:hAnsi="宋体" w:cs="宋体"/>
          <w:szCs w:val="21"/>
          <w:highlight w:val="none"/>
          <w:lang w:val="en-US" w:eastAsia="zh-CN"/>
        </w:rPr>
        <w:t>两</w:t>
      </w:r>
      <w:r>
        <w:rPr>
          <w:rFonts w:hint="eastAsia" w:ascii="宋体" w:hAnsi="宋体" w:cs="宋体"/>
          <w:szCs w:val="21"/>
          <w:highlight w:val="none"/>
        </w:rPr>
        <w:t>部分组成</w:t>
      </w:r>
      <w:r>
        <w:rPr>
          <w:rFonts w:hint="eastAsia" w:ascii="宋体" w:hAnsi="宋体" w:cs="宋体"/>
          <w:szCs w:val="21"/>
          <w:highlight w:val="none"/>
          <w:lang w:eastAsia="zh-CN"/>
        </w:rPr>
        <w:t>。</w:t>
      </w:r>
      <w:r>
        <w:rPr>
          <w:rFonts w:hint="eastAsia" w:ascii="宋体" w:hAnsi="宋体" w:cs="宋体"/>
          <w:szCs w:val="21"/>
          <w:highlight w:val="none"/>
        </w:rPr>
        <w:t>具体要求详见本招标文件第</w:t>
      </w:r>
      <w:r>
        <w:rPr>
          <w:rFonts w:hint="eastAsia" w:ascii="宋体" w:hAnsi="宋体" w:cs="宋体"/>
          <w:szCs w:val="21"/>
          <w:highlight w:val="none"/>
          <w:lang w:val="en-US" w:eastAsia="zh-CN"/>
        </w:rPr>
        <w:t>九</w:t>
      </w:r>
      <w:r>
        <w:rPr>
          <w:rFonts w:hint="eastAsia" w:ascii="宋体" w:hAnsi="宋体" w:cs="宋体"/>
          <w:szCs w:val="21"/>
          <w:highlight w:val="none"/>
        </w:rPr>
        <w:t>章“投标文件格式”。</w:t>
      </w:r>
    </w:p>
    <w:p w14:paraId="68B92645">
      <w:pPr>
        <w:pStyle w:val="3"/>
        <w:ind w:firstLine="422" w:firstLineChars="200"/>
        <w:rPr>
          <w:rFonts w:ascii="宋体" w:hAnsi="宋体" w:eastAsia="宋体" w:cs="宋体"/>
          <w:highlight w:val="none"/>
        </w:rPr>
      </w:pPr>
      <w:bookmarkStart w:id="314" w:name="_Toc179632566"/>
      <w:bookmarkStart w:id="315" w:name="_Toc246996193"/>
      <w:bookmarkStart w:id="316" w:name="_Toc144974516"/>
      <w:bookmarkStart w:id="317" w:name="_Toc152045548"/>
      <w:bookmarkStart w:id="318" w:name="_Toc15058865"/>
      <w:bookmarkStart w:id="319" w:name="_Toc506107287"/>
      <w:bookmarkStart w:id="320" w:name="_Toc152042324"/>
      <w:bookmarkStart w:id="321" w:name="_Toc78803341"/>
      <w:bookmarkStart w:id="322" w:name="_Toc35424906"/>
      <w:bookmarkStart w:id="323" w:name="_Toc247085707"/>
      <w:bookmarkStart w:id="324" w:name="_Toc246996936"/>
      <w:bookmarkStart w:id="325" w:name="_Toc35425072"/>
      <w:bookmarkStart w:id="326" w:name="_Toc296602438"/>
      <w:bookmarkStart w:id="327" w:name="_Toc324404834"/>
      <w:bookmarkStart w:id="328" w:name="_Toc6829"/>
      <w:r>
        <w:rPr>
          <w:rFonts w:hint="eastAsia" w:ascii="宋体" w:hAnsi="宋体" w:eastAsia="宋体" w:cs="宋体"/>
          <w:highlight w:val="none"/>
        </w:rPr>
        <w:t>3.2 投标报价</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705FA1B6">
      <w:pPr>
        <w:spacing w:line="440" w:lineRule="exact"/>
        <w:ind w:firstLine="420" w:firstLineChars="200"/>
        <w:jc w:val="left"/>
        <w:rPr>
          <w:rFonts w:hint="eastAsia" w:ascii="宋体" w:hAnsi="宋体" w:eastAsia="宋体" w:cs="宋体"/>
          <w:szCs w:val="21"/>
          <w:highlight w:val="none"/>
          <w:lang w:eastAsia="zh-CN"/>
        </w:rPr>
      </w:pPr>
      <w:bookmarkStart w:id="329" w:name="_Toc324404835"/>
      <w:bookmarkStart w:id="330" w:name="_Toc35424907"/>
      <w:bookmarkStart w:id="331" w:name="_Toc15058866"/>
      <w:bookmarkStart w:id="332" w:name="_Toc31735"/>
      <w:bookmarkStart w:id="333" w:name="_Toc246996194"/>
      <w:bookmarkStart w:id="334" w:name="_Toc179632567"/>
      <w:bookmarkStart w:id="335" w:name="_Toc35425073"/>
      <w:bookmarkStart w:id="336" w:name="_Toc506107288"/>
      <w:bookmarkStart w:id="337" w:name="_Toc247085708"/>
      <w:bookmarkStart w:id="338" w:name="_Toc152042325"/>
      <w:bookmarkStart w:id="339" w:name="_Toc78803342"/>
      <w:bookmarkStart w:id="340" w:name="_Toc152045549"/>
      <w:bookmarkStart w:id="341" w:name="_Toc296602439"/>
      <w:bookmarkStart w:id="342" w:name="_Toc246996937"/>
      <w:bookmarkStart w:id="343" w:name="_Toc144974517"/>
      <w:r>
        <w:rPr>
          <w:rFonts w:hint="eastAsia" w:ascii="宋体" w:hAnsi="宋体" w:eastAsia="宋体" w:cs="宋体"/>
          <w:szCs w:val="21"/>
          <w:highlight w:val="none"/>
          <w:lang w:eastAsia="zh-CN"/>
        </w:rPr>
        <w:t>3.2.1投标报价应包括国家规定的增值税税金，除投标人须知前附表另有规定外，增值税税金按一般计税方法计算。投标人应按第</w:t>
      </w:r>
      <w:r>
        <w:rPr>
          <w:rFonts w:hint="eastAsia" w:ascii="宋体" w:hAnsi="宋体" w:eastAsia="宋体" w:cs="宋体"/>
          <w:szCs w:val="21"/>
          <w:highlight w:val="none"/>
          <w:lang w:val="en-US" w:eastAsia="zh-CN"/>
        </w:rPr>
        <w:t>九</w:t>
      </w:r>
      <w:r>
        <w:rPr>
          <w:rFonts w:hint="eastAsia" w:ascii="宋体" w:hAnsi="宋体" w:eastAsia="宋体" w:cs="宋体"/>
          <w:szCs w:val="21"/>
          <w:highlight w:val="none"/>
          <w:lang w:eastAsia="zh-CN"/>
        </w:rPr>
        <w:t>章“投标文件格式”的要求在投标函中进行报价并填写工程量清单相应表格。</w:t>
      </w:r>
    </w:p>
    <w:p w14:paraId="1192EB75">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3.2.2投标人应充分了解本项目的总体情况以及影响投标报价的其他要素。</w:t>
      </w:r>
    </w:p>
    <w:p w14:paraId="68694043">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3.2.3投标人在投标截止时间前修改投标函中的投标报价总额，应同时修改“已标价工程量清单”中的相应报价，投标报价总额为各分项金额之和。此修改须符合本章第4.4款的有关要求。</w:t>
      </w:r>
    </w:p>
    <w:p w14:paraId="037A7F96">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3.2.4招标人设有最高投标限价的，投标人的投标报价不得超过最高投标限价，最高投标限价在投标人须知前附表中载明。</w:t>
      </w:r>
    </w:p>
    <w:p w14:paraId="7C1D3D58">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3.2.5 投标报价的其他要求见投标人须知前附表。</w:t>
      </w:r>
    </w:p>
    <w:p w14:paraId="454C15E1">
      <w:pPr>
        <w:pStyle w:val="3"/>
        <w:ind w:firstLine="422" w:firstLineChars="200"/>
        <w:rPr>
          <w:rFonts w:ascii="宋体" w:hAnsi="宋体" w:eastAsia="宋体" w:cs="宋体"/>
          <w:highlight w:val="none"/>
        </w:rPr>
      </w:pPr>
      <w:r>
        <w:rPr>
          <w:rFonts w:hint="eastAsia" w:ascii="宋体" w:hAnsi="宋体" w:eastAsia="宋体" w:cs="宋体"/>
          <w:highlight w:val="none"/>
        </w:rPr>
        <w:t>3.3 投标有效期</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38E346F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3.3.1 除投标人须知前附表另有规定外，投标有效期为90天。</w:t>
      </w:r>
    </w:p>
    <w:p w14:paraId="19262D1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3.3.2在投标有效期内，投标人撤销或修改其投标文件的，应承担招标文件和法律规定的责任。</w:t>
      </w:r>
    </w:p>
    <w:p w14:paraId="10530AB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80A1DA0">
      <w:pPr>
        <w:pStyle w:val="3"/>
        <w:ind w:firstLine="422" w:firstLineChars="200"/>
        <w:rPr>
          <w:rFonts w:hint="eastAsia" w:ascii="宋体" w:hAnsi="宋体" w:eastAsia="宋体" w:cs="宋体"/>
          <w:highlight w:val="none"/>
        </w:rPr>
      </w:pPr>
      <w:bookmarkStart w:id="344" w:name="_Toc296602440"/>
      <w:bookmarkStart w:id="345" w:name="_Toc144974518"/>
      <w:bookmarkStart w:id="346" w:name="_Toc246996938"/>
      <w:bookmarkStart w:id="347" w:name="_Toc15058867"/>
      <w:bookmarkStart w:id="348" w:name="_Toc10714"/>
      <w:bookmarkStart w:id="349" w:name="_Toc152042326"/>
      <w:bookmarkStart w:id="350" w:name="_Toc246996195"/>
      <w:bookmarkStart w:id="351" w:name="_Toc506107289"/>
      <w:bookmarkStart w:id="352" w:name="_Toc35425074"/>
      <w:bookmarkStart w:id="353" w:name="_Toc78803343"/>
      <w:bookmarkStart w:id="354" w:name="_Toc152045550"/>
      <w:bookmarkStart w:id="355" w:name="_Toc247085709"/>
      <w:bookmarkStart w:id="356" w:name="_Toc179632568"/>
      <w:bookmarkStart w:id="357" w:name="_Toc35424908"/>
      <w:bookmarkStart w:id="358" w:name="_Toc324404836"/>
      <w:r>
        <w:rPr>
          <w:rFonts w:hint="eastAsia" w:ascii="宋体" w:hAnsi="宋体" w:eastAsia="宋体" w:cs="宋体"/>
          <w:highlight w:val="none"/>
        </w:rPr>
        <w:t>3.4 投标保证金</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63EACC6B">
      <w:pPr>
        <w:spacing w:line="440" w:lineRule="exact"/>
        <w:ind w:firstLine="420" w:firstLineChars="200"/>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3.4.1本项目不收取投标保证金。</w:t>
      </w:r>
    </w:p>
    <w:p w14:paraId="31A74824">
      <w:pPr>
        <w:pStyle w:val="3"/>
        <w:ind w:firstLine="422" w:firstLineChars="200"/>
        <w:rPr>
          <w:rFonts w:ascii="宋体" w:hAnsi="宋体" w:eastAsia="宋体" w:cs="宋体"/>
          <w:highlight w:val="none"/>
        </w:rPr>
      </w:pPr>
      <w:bookmarkStart w:id="359" w:name="_Toc506107290"/>
      <w:bookmarkStart w:id="360" w:name="_Toc15058868"/>
      <w:bookmarkStart w:id="361" w:name="_Toc19037"/>
      <w:bookmarkStart w:id="362" w:name="_Toc35424909"/>
      <w:bookmarkStart w:id="363" w:name="_Toc35425075"/>
      <w:bookmarkStart w:id="364" w:name="_Toc324404837"/>
      <w:bookmarkStart w:id="365" w:name="_Toc296602442"/>
      <w:bookmarkStart w:id="366" w:name="_Toc78803344"/>
      <w:bookmarkStart w:id="367" w:name="_Toc246996197"/>
      <w:bookmarkStart w:id="368" w:name="_Toc179632571"/>
      <w:bookmarkStart w:id="369" w:name="_Toc246996940"/>
      <w:bookmarkStart w:id="370" w:name="_Toc152045553"/>
      <w:bookmarkStart w:id="371" w:name="_Toc247085711"/>
      <w:bookmarkStart w:id="372" w:name="_Toc144974521"/>
      <w:bookmarkStart w:id="373" w:name="_Toc152042329"/>
      <w:r>
        <w:rPr>
          <w:rFonts w:hint="eastAsia" w:ascii="宋体" w:hAnsi="宋体" w:eastAsia="宋体" w:cs="宋体"/>
          <w:highlight w:val="none"/>
        </w:rPr>
        <w:t>3.5投标文件的编制</w:t>
      </w:r>
      <w:bookmarkEnd w:id="359"/>
      <w:bookmarkEnd w:id="360"/>
      <w:bookmarkEnd w:id="361"/>
      <w:bookmarkEnd w:id="362"/>
      <w:bookmarkEnd w:id="363"/>
      <w:bookmarkEnd w:id="364"/>
      <w:bookmarkEnd w:id="365"/>
      <w:bookmarkEnd w:id="366"/>
    </w:p>
    <w:bookmarkEnd w:id="367"/>
    <w:bookmarkEnd w:id="368"/>
    <w:bookmarkEnd w:id="369"/>
    <w:bookmarkEnd w:id="370"/>
    <w:bookmarkEnd w:id="371"/>
    <w:bookmarkEnd w:id="372"/>
    <w:bookmarkEnd w:id="373"/>
    <w:p w14:paraId="5BD1A4A0">
      <w:pPr>
        <w:spacing w:line="440" w:lineRule="exact"/>
        <w:ind w:firstLine="420" w:firstLineChars="200"/>
        <w:jc w:val="left"/>
        <w:rPr>
          <w:rFonts w:hint="eastAsia" w:ascii="宋体" w:hAnsi="宋体" w:eastAsia="宋体" w:cs="宋体"/>
          <w:szCs w:val="21"/>
          <w:highlight w:val="none"/>
          <w:lang w:val="en-US" w:eastAsia="zh-CN"/>
        </w:rPr>
      </w:pPr>
      <w:bookmarkStart w:id="374" w:name="_Toc247085713"/>
      <w:bookmarkStart w:id="375" w:name="_Toc246996942"/>
      <w:bookmarkStart w:id="376" w:name="_Toc324404838"/>
      <w:bookmarkStart w:id="377" w:name="_Toc144974523"/>
      <w:bookmarkStart w:id="378" w:name="_Toc246996199"/>
      <w:bookmarkStart w:id="379" w:name="_Toc152045555"/>
      <w:bookmarkStart w:id="380" w:name="_Toc152042331"/>
      <w:bookmarkStart w:id="381" w:name="_Toc179632573"/>
      <w:r>
        <w:rPr>
          <w:rFonts w:hint="eastAsia" w:ascii="宋体" w:hAnsi="宋体" w:eastAsia="宋体" w:cs="宋体"/>
          <w:szCs w:val="21"/>
          <w:highlight w:val="none"/>
          <w:lang w:val="en-US" w:eastAsia="zh-CN"/>
        </w:rPr>
        <w:t>3.5.1投标文件应按第九章“投标文件格式”进行编写，如有必要，可以增加附页，作为投标文件的组成部分。其中，投标函在满足招标文件实质性要求的基础上，可以提出比招标文件要求更有利于招标人的承诺。</w:t>
      </w:r>
    </w:p>
    <w:p w14:paraId="14F1B8C9">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3.5.2本次投标不需要提供纸质投标文件，投标人应按照</w:t>
      </w:r>
      <w:r>
        <w:rPr>
          <w:rFonts w:hint="eastAsia" w:ascii="宋体" w:hAnsi="宋体" w:cs="宋体"/>
          <w:szCs w:val="21"/>
          <w:highlight w:val="none"/>
          <w:lang w:val="en-US" w:eastAsia="zh-CN"/>
        </w:rPr>
        <w:t>招标文件</w:t>
      </w:r>
      <w:r>
        <w:rPr>
          <w:rFonts w:hint="eastAsia" w:ascii="宋体" w:hAnsi="宋体" w:eastAsia="宋体" w:cs="宋体"/>
          <w:szCs w:val="21"/>
          <w:highlight w:val="none"/>
          <w:lang w:val="en-US" w:eastAsia="zh-CN"/>
        </w:rPr>
        <w:t>的要求制作、签章、上传加密的电子投标文件。</w:t>
      </w:r>
    </w:p>
    <w:p w14:paraId="3C40A9D2">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3.5.3 投标文件应当对招标文件有关工期、投标有效期、质量要求、技术标准和要求、招标范围等实质性内容作出响应。</w:t>
      </w:r>
    </w:p>
    <w:p w14:paraId="5D83FF68">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3.5.4 投标人须知前附表规定接受联合体投标的，资格审查资料应包括联合体各方相关情况 。</w:t>
      </w:r>
    </w:p>
    <w:p w14:paraId="6A9887E1">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3.5.5招标人有权核查投标人在投标文件中提供的资料，若发现投标人以他人名义投标或者以其他方式弄虚作假骗取中标的，中标无效；如果签订合同后发现中标人提供了虚假材料，招标人有权解除合同。</w:t>
      </w:r>
    </w:p>
    <w:p w14:paraId="093D5520">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3.5.6投标文件的制作应满足以下规定：</w:t>
      </w:r>
    </w:p>
    <w:p w14:paraId="0727C6AC">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r>
        <w:rPr>
          <w:rFonts w:hint="eastAsia" w:ascii="宋体" w:hAnsi="宋体" w:cs="宋体"/>
          <w:szCs w:val="21"/>
          <w:highlight w:val="none"/>
          <w:lang w:val="en-US" w:eastAsia="zh-CN"/>
        </w:rPr>
        <w:t>1</w:t>
      </w:r>
      <w:r>
        <w:rPr>
          <w:rFonts w:hint="eastAsia" w:ascii="宋体" w:hAnsi="宋体" w:eastAsia="宋体" w:cs="宋体"/>
          <w:szCs w:val="21"/>
          <w:highlight w:val="none"/>
          <w:lang w:val="en-US" w:eastAsia="zh-CN"/>
        </w:rPr>
        <w:t>）招标文件中“签章”是指签字或盖章。在第九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30ECB0A9">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（3）投标文件制作完成后，投标人应对投标文件进行文件加密，形成加密的投标文件。</w:t>
      </w:r>
    </w:p>
    <w:p w14:paraId="318FCD41">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3.5.7 因投标人自身原因而导致</w:t>
      </w:r>
      <w:r>
        <w:rPr>
          <w:rFonts w:hint="eastAsia" w:ascii="宋体" w:hAnsi="宋体" w:cs="宋体"/>
          <w:szCs w:val="21"/>
          <w:highlight w:val="none"/>
          <w:lang w:val="en-US" w:eastAsia="zh-CN"/>
        </w:rPr>
        <w:t>邮箱无法显示其</w:t>
      </w:r>
      <w:r>
        <w:rPr>
          <w:rFonts w:hint="eastAsia" w:ascii="宋体" w:hAnsi="宋体" w:eastAsia="宋体" w:cs="宋体"/>
          <w:szCs w:val="21"/>
          <w:highlight w:val="none"/>
          <w:lang w:val="en-US" w:eastAsia="zh-CN"/>
        </w:rPr>
        <w:t>投标文件</w:t>
      </w:r>
      <w:r>
        <w:rPr>
          <w:rFonts w:hint="eastAsia" w:ascii="宋体" w:hAnsi="宋体" w:cs="宋体"/>
          <w:szCs w:val="21"/>
          <w:highlight w:val="none"/>
          <w:lang w:val="en-US" w:eastAsia="zh-CN"/>
        </w:rPr>
        <w:t>或无法打开投标文件的</w:t>
      </w:r>
      <w:r>
        <w:rPr>
          <w:rFonts w:hint="eastAsia" w:ascii="宋体" w:hAnsi="宋体" w:eastAsia="宋体" w:cs="宋体"/>
          <w:szCs w:val="21"/>
          <w:highlight w:val="none"/>
          <w:lang w:val="en-US" w:eastAsia="zh-CN"/>
        </w:rPr>
        <w:t>，该投标视为无效投标，投标人自行承担由此导致的全部责任。</w:t>
      </w:r>
    </w:p>
    <w:p w14:paraId="18B9F40D">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3.5.8 投标人中标后须递交与</w:t>
      </w:r>
      <w:r>
        <w:rPr>
          <w:rFonts w:hint="eastAsia" w:ascii="宋体" w:hAnsi="宋体" w:cs="宋体"/>
          <w:szCs w:val="21"/>
          <w:highlight w:val="none"/>
          <w:lang w:val="en-US" w:eastAsia="zh-CN"/>
        </w:rPr>
        <w:t>邮箱递交电子</w:t>
      </w:r>
      <w:r>
        <w:rPr>
          <w:rFonts w:hint="eastAsia" w:ascii="宋体" w:hAnsi="宋体" w:eastAsia="宋体" w:cs="宋体"/>
          <w:szCs w:val="21"/>
          <w:highlight w:val="none"/>
          <w:lang w:val="en-US" w:eastAsia="zh-CN"/>
        </w:rPr>
        <w:t>投标文件完全一致的纸质版投标文件，在领取中标通知书时，一并递交给招标代理机构。</w:t>
      </w:r>
    </w:p>
    <w:p w14:paraId="6D17F42F">
      <w:pPr>
        <w:pStyle w:val="3"/>
        <w:ind w:firstLine="422" w:firstLineChars="200"/>
        <w:rPr>
          <w:rFonts w:hint="eastAsia" w:ascii="宋体" w:hAnsi="宋体" w:eastAsia="宋体" w:cs="宋体"/>
          <w:highlight w:val="none"/>
        </w:rPr>
      </w:pPr>
      <w:r>
        <w:rPr>
          <w:rFonts w:hint="eastAsia" w:ascii="宋体" w:hAnsi="宋体" w:eastAsia="宋体" w:cs="宋体"/>
          <w:highlight w:val="none"/>
        </w:rPr>
        <w:t>3.6 备选投标方案</w:t>
      </w:r>
    </w:p>
    <w:p w14:paraId="1CD0EBA6">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3.6.1 除投标人须知前附表规定允许外，投标人不得递交备选投标方案，否则其投标将被否决。</w:t>
      </w:r>
    </w:p>
    <w:p w14:paraId="2E592F88">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11867869">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3.6.3 投标人提供两个或两个以上投标报价，或在投标文件中提供一个报价，但同时提供两个或两个以上施工组织设计的，视为提供备选方案。</w:t>
      </w:r>
    </w:p>
    <w:p w14:paraId="66C99F80">
      <w:pPr>
        <w:pStyle w:val="3"/>
        <w:spacing w:beforeLines="50" w:afterLines="50"/>
        <w:ind w:firstLine="482" w:firstLineChars="200"/>
        <w:rPr>
          <w:rFonts w:hint="eastAsia" w:ascii="宋体" w:hAnsi="宋体" w:eastAsia="宋体" w:cs="宋体"/>
          <w:sz w:val="24"/>
          <w:szCs w:val="24"/>
          <w:highlight w:val="none"/>
        </w:rPr>
      </w:pPr>
      <w:bookmarkStart w:id="382" w:name="_Toc19455"/>
      <w:bookmarkStart w:id="383" w:name="_Toc15058869"/>
      <w:bookmarkStart w:id="384" w:name="_Toc506107291"/>
      <w:bookmarkStart w:id="385" w:name="_Toc35424910"/>
      <w:bookmarkStart w:id="386" w:name="_Toc35425076"/>
      <w:bookmarkStart w:id="387" w:name="_Toc78803345"/>
      <w:r>
        <w:rPr>
          <w:rFonts w:hint="eastAsia" w:ascii="宋体" w:hAnsi="宋体" w:eastAsia="宋体" w:cs="宋体"/>
          <w:sz w:val="24"/>
          <w:szCs w:val="24"/>
          <w:highlight w:val="none"/>
        </w:rPr>
        <w:t>4.投标</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26D45DC4">
      <w:pPr>
        <w:pStyle w:val="3"/>
        <w:ind w:firstLine="422" w:firstLineChars="200"/>
        <w:rPr>
          <w:rFonts w:hint="eastAsia" w:ascii="宋体" w:hAnsi="宋体" w:eastAsia="宋体" w:cs="宋体"/>
          <w:highlight w:val="none"/>
        </w:rPr>
      </w:pPr>
      <w:bookmarkStart w:id="388" w:name="_Toc60061458"/>
      <w:bookmarkStart w:id="389" w:name="_Toc83301713"/>
      <w:bookmarkStart w:id="390" w:name="_Toc95223361"/>
      <w:bookmarkStart w:id="391" w:name="_Toc35424911"/>
      <w:bookmarkStart w:id="392" w:name="_Toc35425077"/>
      <w:bookmarkStart w:id="393" w:name="_Toc78803346"/>
      <w:bookmarkStart w:id="394" w:name="_Toc15058870"/>
      <w:bookmarkStart w:id="395" w:name="_Toc14473"/>
      <w:bookmarkStart w:id="396" w:name="_Toc60061461"/>
      <w:bookmarkStart w:id="397" w:name="_Toc83301716"/>
      <w:bookmarkStart w:id="398" w:name="_Toc95223364"/>
      <w:r>
        <w:rPr>
          <w:rFonts w:hint="eastAsia" w:ascii="宋体" w:hAnsi="宋体" w:eastAsia="宋体" w:cs="宋体"/>
          <w:highlight w:val="none"/>
        </w:rPr>
        <w:t>4.1投标文件上传</w:t>
      </w:r>
      <w:bookmarkEnd w:id="388"/>
      <w:bookmarkEnd w:id="389"/>
      <w:bookmarkEnd w:id="390"/>
    </w:p>
    <w:p w14:paraId="491611B7">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4.1.1请投标人通过系统下载投标工具制作投标文件，并利用CA数字证书进行上传投标文件，上传已加密的投标文件，务必通过此方式上传投标文件。</w:t>
      </w:r>
    </w:p>
    <w:p w14:paraId="55CE6F79">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4.1.2投标人在投标文件编制、签章、上传过程中如有任何操作的疑问请及时联系技术支持，</w:t>
      </w:r>
      <w:r>
        <w:rPr>
          <w:rFonts w:hint="eastAsia" w:ascii="宋体" w:hAnsi="宋体" w:eastAsia="宋体" w:cs="宋体"/>
          <w:kern w:val="0"/>
          <w:sz w:val="21"/>
          <w:szCs w:val="21"/>
          <w:highlight w:val="none"/>
          <w:lang w:val="en-US" w:eastAsia="zh-CN" w:bidi="ar-SA"/>
        </w:rPr>
        <w:t>请拨打服务电话：</w:t>
      </w:r>
      <w:r>
        <w:rPr>
          <w:rFonts w:hint="eastAsia" w:ascii="宋体" w:hAnsi="宋体" w:cs="宋体"/>
          <w:kern w:val="0"/>
          <w:sz w:val="21"/>
          <w:szCs w:val="21"/>
          <w:highlight w:val="none"/>
          <w:lang w:val="en-US" w:eastAsia="zh-CN" w:bidi="ar-SA"/>
        </w:rPr>
        <w:t>0512-58151515</w:t>
      </w:r>
      <w:r>
        <w:rPr>
          <w:rFonts w:hint="eastAsia" w:ascii="宋体" w:hAnsi="宋体" w:eastAsia="宋体" w:cs="宋体"/>
          <w:kern w:val="0"/>
          <w:sz w:val="21"/>
          <w:szCs w:val="21"/>
          <w:highlight w:val="none"/>
          <w:lang w:val="en-US" w:eastAsia="zh-CN" w:bidi="ar-SA"/>
        </w:rPr>
        <w:t>（工作日）。</w:t>
      </w:r>
    </w:p>
    <w:p w14:paraId="1CEF98C2">
      <w:pPr>
        <w:pStyle w:val="3"/>
        <w:ind w:firstLine="422" w:firstLineChars="200"/>
        <w:rPr>
          <w:rFonts w:hint="eastAsia" w:ascii="宋体" w:hAnsi="宋体" w:eastAsia="宋体" w:cs="宋体"/>
          <w:highlight w:val="none"/>
        </w:rPr>
      </w:pPr>
      <w:bookmarkStart w:id="399" w:name="_Toc246996943"/>
      <w:bookmarkStart w:id="400" w:name="_Toc95223362"/>
      <w:bookmarkStart w:id="401" w:name="_Toc324404839"/>
      <w:bookmarkStart w:id="402" w:name="_Toc152045556"/>
      <w:bookmarkStart w:id="403" w:name="_Toc506107292"/>
      <w:bookmarkStart w:id="404" w:name="_Toc15058871"/>
      <w:bookmarkStart w:id="405" w:name="_Toc152042332"/>
      <w:bookmarkStart w:id="406" w:name="_Toc60061459"/>
      <w:bookmarkStart w:id="407" w:name="_Toc144974524"/>
      <w:bookmarkStart w:id="408" w:name="_Toc179632574"/>
      <w:bookmarkStart w:id="409" w:name="_Toc296602444"/>
      <w:bookmarkStart w:id="410" w:name="_Toc247085714"/>
      <w:bookmarkStart w:id="411" w:name="_Toc83301714"/>
      <w:bookmarkStart w:id="412" w:name="_Toc246996200"/>
      <w:r>
        <w:rPr>
          <w:rFonts w:hint="eastAsia" w:ascii="宋体" w:hAnsi="宋体" w:eastAsia="宋体" w:cs="宋体"/>
          <w:highlight w:val="none"/>
        </w:rPr>
        <w:t>4.2投标文件的密封和标记</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14:paraId="39B65438">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4.2.1投标文件应按照本章第3.5.6项要求制作并加密，未按要求加密的投标文件将被拒绝接收。以投标人在投标截止时间前网上递交的电子投标文件为准。</w:t>
      </w:r>
    </w:p>
    <w:bookmarkEnd w:id="391"/>
    <w:bookmarkEnd w:id="392"/>
    <w:bookmarkEnd w:id="393"/>
    <w:bookmarkEnd w:id="394"/>
    <w:bookmarkEnd w:id="395"/>
    <w:bookmarkEnd w:id="396"/>
    <w:bookmarkEnd w:id="397"/>
    <w:bookmarkEnd w:id="398"/>
    <w:p w14:paraId="1C1625AE">
      <w:pPr>
        <w:pStyle w:val="3"/>
        <w:ind w:firstLine="422" w:firstLineChars="200"/>
        <w:rPr>
          <w:rFonts w:hint="eastAsia" w:ascii="宋体" w:hAnsi="宋体" w:eastAsia="宋体" w:cs="宋体"/>
          <w:highlight w:val="none"/>
        </w:rPr>
      </w:pPr>
      <w:bookmarkStart w:id="413" w:name="_Toc506107293"/>
      <w:bookmarkStart w:id="414" w:name="_Toc15058872"/>
      <w:bookmarkStart w:id="415" w:name="_Toc60061460"/>
      <w:bookmarkStart w:id="416" w:name="_Toc95223363"/>
      <w:bookmarkStart w:id="417" w:name="_Toc83301715"/>
      <w:bookmarkStart w:id="418" w:name="_Toc506107295"/>
      <w:bookmarkStart w:id="419" w:name="_Toc246996203"/>
      <w:bookmarkStart w:id="420" w:name="_Toc78803348"/>
      <w:bookmarkStart w:id="421" w:name="_Toc144974527"/>
      <w:bookmarkStart w:id="422" w:name="_Toc29639"/>
      <w:bookmarkStart w:id="423" w:name="_Toc246996946"/>
      <w:bookmarkStart w:id="424" w:name="_Toc152045559"/>
      <w:bookmarkStart w:id="425" w:name="_Toc152042335"/>
      <w:bookmarkStart w:id="426" w:name="_Toc324404842"/>
      <w:bookmarkStart w:id="427" w:name="_Toc247085717"/>
      <w:bookmarkStart w:id="428" w:name="_Toc35424915"/>
      <w:bookmarkStart w:id="429" w:name="_Toc15058874"/>
      <w:bookmarkStart w:id="430" w:name="_Toc35425081"/>
      <w:bookmarkStart w:id="431" w:name="_Toc179632577"/>
      <w:r>
        <w:rPr>
          <w:rFonts w:hint="eastAsia" w:ascii="宋体" w:hAnsi="宋体" w:eastAsia="宋体" w:cs="宋体"/>
          <w:highlight w:val="none"/>
        </w:rPr>
        <w:t>4.3 投标文件的递交</w:t>
      </w:r>
      <w:bookmarkEnd w:id="413"/>
      <w:bookmarkEnd w:id="414"/>
      <w:bookmarkEnd w:id="415"/>
      <w:bookmarkEnd w:id="416"/>
      <w:bookmarkEnd w:id="417"/>
    </w:p>
    <w:p w14:paraId="36874998">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4.3.1 投标人应当在第一章“招标公告”规定的投标截止时间前，将加密投标文件上传至</w:t>
      </w:r>
      <w:r>
        <w:rPr>
          <w:rFonts w:hint="eastAsia" w:ascii="Times New Roman" w:hAnsi="Times New Roman" w:eastAsia="宋体" w:cs="Times New Roman"/>
          <w:highlight w:val="none"/>
          <w:lang w:val="en-US" w:eastAsia="zh-CN"/>
        </w:rPr>
        <w:t>交易系统</w:t>
      </w:r>
      <w:r>
        <w:rPr>
          <w:rFonts w:hint="eastAsia" w:ascii="宋体" w:hAnsi="宋体" w:eastAsia="宋体" w:cs="宋体"/>
          <w:szCs w:val="21"/>
          <w:highlight w:val="none"/>
          <w:lang w:val="en-US" w:eastAsia="zh-CN"/>
        </w:rPr>
        <w:t>。</w:t>
      </w:r>
    </w:p>
    <w:p w14:paraId="267A96E6">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4.3.2 除投标人须知前附表另有规定外，投标人所递交的投标文件不予退还。</w:t>
      </w:r>
    </w:p>
    <w:p w14:paraId="1F9C95CD">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4.3.3 投标人应当在投标截止时间前完成投标文件的网上递交， 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22791F63">
      <w:pPr>
        <w:pStyle w:val="3"/>
        <w:ind w:firstLine="422" w:firstLineChars="200"/>
        <w:rPr>
          <w:rFonts w:hint="eastAsia" w:ascii="宋体" w:hAnsi="宋体" w:eastAsia="宋体" w:cs="宋体"/>
          <w:highlight w:val="none"/>
        </w:rPr>
      </w:pPr>
      <w:r>
        <w:rPr>
          <w:rFonts w:hint="eastAsia" w:ascii="宋体" w:hAnsi="宋体" w:eastAsia="宋体" w:cs="宋体"/>
          <w:highlight w:val="none"/>
        </w:rPr>
        <w:t>4.4 投标文件的修改与撤回</w:t>
      </w:r>
    </w:p>
    <w:p w14:paraId="640A6E7E">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4.4.1在第一章“招标公告”规定的投标截止时间前，投标人可以自行从网上交易系统撤回已递交的投标文件，并可修改后重新加密上传，开标时以投标截止时间前投标人最终上传的投标文件为准。</w:t>
      </w:r>
    </w:p>
    <w:p w14:paraId="7AF40F87">
      <w:pPr>
        <w:pStyle w:val="3"/>
        <w:spacing w:beforeLines="50" w:afterLines="50"/>
        <w:ind w:firstLine="482" w:firstLineChars="200"/>
        <w:rPr>
          <w:rFonts w:ascii="宋体" w:hAnsi="宋体" w:eastAsia="宋体" w:cs="宋体"/>
          <w:sz w:val="24"/>
          <w:szCs w:val="24"/>
          <w:highlight w:val="none"/>
        </w:rPr>
      </w:pPr>
      <w:r>
        <w:rPr>
          <w:rFonts w:hint="eastAsia" w:ascii="宋体" w:hAnsi="宋体" w:eastAsia="宋体" w:cs="宋体"/>
          <w:sz w:val="24"/>
          <w:szCs w:val="24"/>
          <w:highlight w:val="none"/>
        </w:rPr>
        <w:t>5. 开标</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44DFC292">
      <w:pPr>
        <w:pStyle w:val="3"/>
        <w:ind w:firstLine="422" w:firstLineChars="200"/>
        <w:rPr>
          <w:rFonts w:ascii="宋体" w:hAnsi="宋体" w:eastAsia="宋体" w:cs="宋体"/>
          <w:highlight w:val="none"/>
        </w:rPr>
      </w:pPr>
      <w:bookmarkStart w:id="432" w:name="_Toc78803349"/>
      <w:bookmarkStart w:id="433" w:name="_Toc35424916"/>
      <w:bookmarkStart w:id="434" w:name="_Toc15058875"/>
      <w:bookmarkStart w:id="435" w:name="_Toc247085718"/>
      <w:bookmarkStart w:id="436" w:name="_Toc246996204"/>
      <w:bookmarkStart w:id="437" w:name="_Toc324404843"/>
      <w:bookmarkStart w:id="438" w:name="_Toc144974528"/>
      <w:bookmarkStart w:id="439" w:name="_Toc179632578"/>
      <w:bookmarkStart w:id="440" w:name="_Toc13691"/>
      <w:bookmarkStart w:id="441" w:name="_Toc296602448"/>
      <w:bookmarkStart w:id="442" w:name="_Toc35425082"/>
      <w:bookmarkStart w:id="443" w:name="_Toc506107296"/>
      <w:bookmarkStart w:id="444" w:name="_Toc152045560"/>
      <w:bookmarkStart w:id="445" w:name="_Toc152042336"/>
      <w:bookmarkStart w:id="446" w:name="_Toc246996947"/>
      <w:r>
        <w:rPr>
          <w:rFonts w:hint="eastAsia" w:ascii="宋体" w:hAnsi="宋体" w:eastAsia="宋体" w:cs="宋体"/>
          <w:highlight w:val="none"/>
        </w:rPr>
        <w:t>5.1 开标时间和地点</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3EA480E2">
      <w:pPr>
        <w:adjustRightInd w:val="0"/>
        <w:snapToGrid w:val="0"/>
        <w:spacing w:line="560" w:lineRule="exact"/>
        <w:ind w:firstLine="420" w:firstLineChars="200"/>
        <w:rPr>
          <w:rFonts w:hint="eastAsia" w:ascii="宋体" w:hAnsi="宋体" w:cs="宋体"/>
          <w:color w:val="000000"/>
          <w:szCs w:val="21"/>
          <w:highlight w:val="none"/>
        </w:rPr>
      </w:pPr>
      <w:bookmarkStart w:id="447" w:name="_Toc296602449"/>
      <w:bookmarkStart w:id="448" w:name="_Toc78803350"/>
      <w:bookmarkStart w:id="449" w:name="_Toc179632579"/>
      <w:bookmarkStart w:id="450" w:name="_Toc35425083"/>
      <w:bookmarkStart w:id="451" w:name="_Toc32451"/>
      <w:bookmarkStart w:id="452" w:name="_Toc246996205"/>
      <w:bookmarkStart w:id="453" w:name="_Toc35424917"/>
      <w:bookmarkStart w:id="454" w:name="_Toc144974529"/>
      <w:bookmarkStart w:id="455" w:name="_Toc506107297"/>
      <w:bookmarkStart w:id="456" w:name="_Toc246996948"/>
      <w:bookmarkStart w:id="457" w:name="_Toc247085719"/>
      <w:bookmarkStart w:id="458" w:name="_Toc152045561"/>
      <w:bookmarkStart w:id="459" w:name="_Toc324404844"/>
      <w:bookmarkStart w:id="460" w:name="_Toc15058876"/>
      <w:bookmarkStart w:id="461" w:name="_Toc152042337"/>
      <w:r>
        <w:rPr>
          <w:rFonts w:hint="eastAsia" w:ascii="宋体" w:hAnsi="宋体" w:cs="宋体"/>
          <w:color w:val="000000"/>
          <w:szCs w:val="21"/>
          <w:highlight w:val="none"/>
        </w:rPr>
        <w:t>招标人在第一章“招标公告”规定的投标截止时间前（开标时间）和地点</w:t>
      </w:r>
      <w:r>
        <w:rPr>
          <w:color w:val="000000"/>
          <w:highlight w:val="none"/>
        </w:rPr>
        <w:t>公开开标</w:t>
      </w:r>
      <w:r>
        <w:rPr>
          <w:rFonts w:hint="eastAsia" w:ascii="宋体" w:hAnsi="宋体" w:cs="宋体"/>
          <w:color w:val="000000"/>
          <w:szCs w:val="21"/>
          <w:highlight w:val="none"/>
        </w:rPr>
        <w:t>。</w:t>
      </w:r>
    </w:p>
    <w:p w14:paraId="72027328">
      <w:pPr>
        <w:pStyle w:val="3"/>
        <w:ind w:firstLine="422" w:firstLineChars="200"/>
        <w:rPr>
          <w:rFonts w:ascii="宋体" w:hAnsi="宋体" w:eastAsia="宋体" w:cs="宋体"/>
          <w:highlight w:val="none"/>
        </w:rPr>
      </w:pPr>
      <w:r>
        <w:rPr>
          <w:rFonts w:hint="eastAsia" w:ascii="宋体" w:hAnsi="宋体" w:eastAsia="宋体" w:cs="宋体"/>
          <w:highlight w:val="none"/>
        </w:rPr>
        <w:t>5.2 开标程序</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14:paraId="0B511289">
      <w:pPr>
        <w:adjustRightInd w:val="0"/>
        <w:snapToGrid w:val="0"/>
        <w:spacing w:line="560" w:lineRule="exact"/>
        <w:ind w:firstLine="420" w:firstLineChars="200"/>
        <w:rPr>
          <w:rFonts w:hint="eastAsia" w:ascii="宋体" w:hAnsi="宋体" w:eastAsia="宋体" w:cs="宋体"/>
          <w:color w:val="000000"/>
          <w:szCs w:val="21"/>
          <w:highlight w:val="none"/>
          <w:lang w:val="en-US" w:eastAsia="zh-CN"/>
        </w:rPr>
      </w:pPr>
      <w:bookmarkStart w:id="462" w:name="_Toc144974530"/>
      <w:bookmarkStart w:id="463" w:name="_Toc324404846"/>
      <w:bookmarkStart w:id="464" w:name="_Toc246996206"/>
      <w:bookmarkStart w:id="465" w:name="_Toc247085720"/>
      <w:bookmarkStart w:id="466" w:name="_Toc179632580"/>
      <w:bookmarkStart w:id="467" w:name="_Toc152042338"/>
      <w:bookmarkStart w:id="468" w:name="_Toc15058884"/>
      <w:bookmarkStart w:id="469" w:name="_Toc35425085"/>
      <w:bookmarkStart w:id="470" w:name="_Toc20689"/>
      <w:bookmarkStart w:id="471" w:name="_Toc506107299"/>
      <w:bookmarkStart w:id="472" w:name="_Toc78803352"/>
      <w:bookmarkStart w:id="473" w:name="_Toc152045562"/>
      <w:bookmarkStart w:id="474" w:name="_Toc246996949"/>
      <w:bookmarkStart w:id="475" w:name="_Toc35424919"/>
      <w:r>
        <w:rPr>
          <w:rFonts w:hint="eastAsia" w:ascii="宋体" w:hAnsi="宋体" w:eastAsia="宋体" w:cs="宋体"/>
          <w:color w:val="000000"/>
          <w:szCs w:val="21"/>
          <w:highlight w:val="none"/>
          <w:lang w:val="en-US" w:eastAsia="zh-CN"/>
        </w:rPr>
        <w:t>主持人按下列程序进行开标：</w:t>
      </w:r>
    </w:p>
    <w:p w14:paraId="69335D40">
      <w:pPr>
        <w:adjustRightInd w:val="0"/>
        <w:snapToGrid w:val="0"/>
        <w:spacing w:line="560" w:lineRule="exact"/>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（1）公布在投标截止时间前通过电子交易系统完成投标文件递交的投标人名称；</w:t>
      </w:r>
    </w:p>
    <w:p w14:paraId="3FE3B9E5">
      <w:pPr>
        <w:adjustRightInd w:val="0"/>
        <w:snapToGrid w:val="0"/>
        <w:spacing w:line="560" w:lineRule="exact"/>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（2）投标人在投标截止时间后在投标人须知前附表规定的解密时间内完成投标文件的解密工作；</w:t>
      </w:r>
    </w:p>
    <w:p w14:paraId="09913E1C">
      <w:pPr>
        <w:adjustRightInd w:val="0"/>
        <w:snapToGrid w:val="0"/>
        <w:spacing w:line="560" w:lineRule="exact"/>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（3）招标人或招标代理机构完成解密工作，导入并读取所有成功解密的投标文件；</w:t>
      </w:r>
    </w:p>
    <w:p w14:paraId="3C9672BD">
      <w:pPr>
        <w:adjustRightInd w:val="0"/>
        <w:snapToGrid w:val="0"/>
        <w:spacing w:line="560" w:lineRule="exact"/>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（4）按投标人须知前附表规定公布投标人名称、标段名称、投标报价、质量目标、工期及其他内容；</w:t>
      </w:r>
    </w:p>
    <w:p w14:paraId="4611C8FD">
      <w:pPr>
        <w:adjustRightInd w:val="0"/>
        <w:snapToGrid w:val="0"/>
        <w:spacing w:line="560" w:lineRule="exact"/>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（5）开标结束。</w:t>
      </w:r>
    </w:p>
    <w:p w14:paraId="0FABB25E">
      <w:pPr>
        <w:pStyle w:val="3"/>
        <w:spacing w:beforeLines="50" w:afterLines="50"/>
        <w:ind w:firstLine="482" w:firstLineChars="200"/>
        <w:rPr>
          <w:rFonts w:ascii="宋体" w:hAnsi="宋体" w:eastAsia="宋体" w:cs="宋体"/>
          <w:sz w:val="24"/>
          <w:szCs w:val="24"/>
          <w:highlight w:val="none"/>
        </w:rPr>
      </w:pPr>
      <w:r>
        <w:rPr>
          <w:rFonts w:hint="eastAsia" w:ascii="宋体" w:hAnsi="宋体" w:eastAsia="宋体" w:cs="宋体"/>
          <w:sz w:val="24"/>
          <w:szCs w:val="24"/>
          <w:highlight w:val="none"/>
        </w:rPr>
        <w:t>6. 评标</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14:paraId="6D7B4E38">
      <w:pPr>
        <w:pStyle w:val="3"/>
        <w:ind w:firstLine="422" w:firstLineChars="200"/>
        <w:rPr>
          <w:rFonts w:hint="eastAsia" w:ascii="宋体" w:hAnsi="宋体" w:eastAsia="宋体" w:cs="宋体"/>
          <w:highlight w:val="none"/>
        </w:rPr>
      </w:pPr>
      <w:bookmarkStart w:id="476" w:name="_Toc152045563"/>
      <w:bookmarkStart w:id="477" w:name="_Toc15058885"/>
      <w:bookmarkStart w:id="478" w:name="_Toc95223370"/>
      <w:bookmarkStart w:id="479" w:name="_Toc324404847"/>
      <w:bookmarkStart w:id="480" w:name="_Toc179632581"/>
      <w:bookmarkStart w:id="481" w:name="_Toc246996207"/>
      <w:bookmarkStart w:id="482" w:name="_Toc152042339"/>
      <w:bookmarkStart w:id="483" w:name="_Toc144974531"/>
      <w:bookmarkStart w:id="484" w:name="_Toc506107300"/>
      <w:bookmarkStart w:id="485" w:name="_Toc247085721"/>
      <w:bookmarkStart w:id="486" w:name="_Toc60061467"/>
      <w:bookmarkStart w:id="487" w:name="_Toc246996950"/>
      <w:bookmarkStart w:id="488" w:name="_Toc296602452"/>
      <w:bookmarkStart w:id="489" w:name="_Toc83301722"/>
      <w:bookmarkStart w:id="490" w:name="_Toc144974532"/>
      <w:bookmarkStart w:id="491" w:name="_Toc152042340"/>
      <w:bookmarkStart w:id="492" w:name="_Toc506107301"/>
      <w:bookmarkStart w:id="493" w:name="_Toc12948"/>
      <w:bookmarkStart w:id="494" w:name="_Toc15058886"/>
      <w:bookmarkStart w:id="495" w:name="_Toc246996951"/>
      <w:bookmarkStart w:id="496" w:name="_Toc296602453"/>
      <w:bookmarkStart w:id="497" w:name="_Toc152045564"/>
      <w:bookmarkStart w:id="498" w:name="_Toc247085722"/>
      <w:bookmarkStart w:id="499" w:name="_Toc324404848"/>
      <w:bookmarkStart w:id="500" w:name="_Toc179632582"/>
      <w:bookmarkStart w:id="501" w:name="_Toc35425087"/>
      <w:bookmarkStart w:id="502" w:name="_Toc78803354"/>
      <w:bookmarkStart w:id="503" w:name="_Toc246996208"/>
      <w:bookmarkStart w:id="504" w:name="_Toc35424921"/>
      <w:r>
        <w:rPr>
          <w:rFonts w:hint="eastAsia" w:ascii="宋体" w:hAnsi="宋体" w:eastAsia="宋体" w:cs="宋体"/>
          <w:highlight w:val="none"/>
        </w:rPr>
        <w:t>6.1 评标委员会</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14:paraId="4E04D39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329F69B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6.1.2 评标委员会成员有下列情形之一的，应当回避：</w:t>
      </w:r>
    </w:p>
    <w:p w14:paraId="73C97D41">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（1）项目主管部门或行政监督管理部门的工作人员； </w:t>
      </w:r>
    </w:p>
    <w:p w14:paraId="2C74894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（2）与竞争主体主要负责人或者授权参与交易的代理人有近亲属关系的人员； </w:t>
      </w:r>
    </w:p>
    <w:p w14:paraId="2117A82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（3）竞争主体的工作人员或者退休人员； </w:t>
      </w:r>
    </w:p>
    <w:p w14:paraId="33843AD1">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（4）竞争主体的上级主管、控股或者被控股单位等相关利害关系的人员，或任职单位与竞争主体单位为同一法定代表人的。 </w:t>
      </w:r>
    </w:p>
    <w:p w14:paraId="0C395A6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（5）存在其他法定回避情形的</w:t>
      </w:r>
    </w:p>
    <w:p w14:paraId="175B40D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项目实施主体及其子公司、下属单位、上级主管部门或者控股公司的工作人员或者退休人员不得以专家身份参与本单位或者代理项目的评标评审。 </w:t>
      </w:r>
    </w:p>
    <w:p w14:paraId="3E7C33F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评标委员会或评审机构成员有前两款规定情形的，应当主动提出回避；已经进入的应当更换，被更换的成员评标评审意见无效。</w:t>
      </w:r>
    </w:p>
    <w:p w14:paraId="0DC1ABC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2C15BB0C">
      <w:pPr>
        <w:pStyle w:val="3"/>
        <w:ind w:firstLine="422" w:firstLineChars="200"/>
        <w:rPr>
          <w:rFonts w:ascii="宋体" w:hAnsi="宋体" w:eastAsia="宋体" w:cs="宋体"/>
          <w:highlight w:val="none"/>
        </w:rPr>
      </w:pPr>
      <w:r>
        <w:rPr>
          <w:rFonts w:hint="eastAsia" w:ascii="宋体" w:hAnsi="宋体" w:eastAsia="宋体" w:cs="宋体"/>
          <w:highlight w:val="none"/>
        </w:rPr>
        <w:t>6.2 评标原则</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14:paraId="47DBC71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评标活动遵循公平、公正、科学和择优的原则。</w:t>
      </w:r>
    </w:p>
    <w:p w14:paraId="298BCB48">
      <w:pPr>
        <w:pStyle w:val="3"/>
        <w:ind w:firstLine="422" w:firstLineChars="200"/>
        <w:rPr>
          <w:rFonts w:ascii="宋体" w:hAnsi="宋体" w:eastAsia="宋体" w:cs="宋体"/>
          <w:highlight w:val="none"/>
        </w:rPr>
      </w:pPr>
      <w:bookmarkStart w:id="505" w:name="_Toc78803355"/>
      <w:bookmarkStart w:id="506" w:name="_Toc15058887"/>
      <w:bookmarkStart w:id="507" w:name="_Toc296602454"/>
      <w:bookmarkStart w:id="508" w:name="_Toc144974533"/>
      <w:bookmarkStart w:id="509" w:name="_Toc152045565"/>
      <w:bookmarkStart w:id="510" w:name="_Toc506107302"/>
      <w:bookmarkStart w:id="511" w:name="_Toc35425088"/>
      <w:bookmarkStart w:id="512" w:name="_Toc246996209"/>
      <w:bookmarkStart w:id="513" w:name="_Toc179632583"/>
      <w:bookmarkStart w:id="514" w:name="_Toc35424922"/>
      <w:bookmarkStart w:id="515" w:name="_Toc152042341"/>
      <w:bookmarkStart w:id="516" w:name="_Toc324404849"/>
      <w:bookmarkStart w:id="517" w:name="_Toc247085723"/>
      <w:bookmarkStart w:id="518" w:name="_Toc14892"/>
      <w:bookmarkStart w:id="519" w:name="_Toc246996952"/>
      <w:r>
        <w:rPr>
          <w:rFonts w:hint="eastAsia" w:ascii="宋体" w:hAnsi="宋体" w:eastAsia="宋体" w:cs="宋体"/>
          <w:highlight w:val="none"/>
        </w:rPr>
        <w:t>6.3 评标</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4929DC3A">
      <w:pPr>
        <w:spacing w:line="440" w:lineRule="exact"/>
        <w:ind w:firstLine="420" w:firstLineChars="200"/>
        <w:jc w:val="left"/>
        <w:rPr>
          <w:rFonts w:ascii="宋体" w:hAnsi="宋体" w:cs="宋体"/>
          <w:szCs w:val="21"/>
          <w:highlight w:val="none"/>
        </w:rPr>
      </w:pPr>
      <w:bookmarkStart w:id="520" w:name="_Toc324404850"/>
      <w:bookmarkStart w:id="521" w:name="_Toc144974534"/>
      <w:bookmarkStart w:id="522" w:name="_Toc152042342"/>
      <w:bookmarkStart w:id="523" w:name="_Toc152045566"/>
      <w:bookmarkStart w:id="524" w:name="_Toc246996210"/>
      <w:bookmarkStart w:id="525" w:name="_Toc246996953"/>
      <w:bookmarkStart w:id="526" w:name="_Toc179632584"/>
      <w:bookmarkStart w:id="527" w:name="_Toc247085724"/>
      <w:r>
        <w:rPr>
          <w:rFonts w:hint="eastAsia" w:ascii="宋体" w:hAnsi="宋体" w:cs="宋体"/>
          <w:szCs w:val="21"/>
          <w:highlight w:val="none"/>
        </w:rPr>
        <w:t>6.3.1评标委员会按照第</w:t>
      </w:r>
      <w:r>
        <w:rPr>
          <w:rFonts w:hint="eastAsia" w:ascii="宋体" w:hAnsi="宋体" w:cs="宋体"/>
          <w:szCs w:val="21"/>
          <w:highlight w:val="none"/>
          <w:lang w:val="en-US" w:eastAsia="zh-CN"/>
        </w:rPr>
        <w:t>四</w:t>
      </w:r>
      <w:r>
        <w:rPr>
          <w:rFonts w:hint="eastAsia" w:ascii="宋体" w:hAnsi="宋体" w:cs="宋体"/>
          <w:szCs w:val="21"/>
          <w:highlight w:val="none"/>
        </w:rPr>
        <w:t>章“评标办法”规定的方法、评审因素、标准和程序对投标文件进行评审。第</w:t>
      </w:r>
      <w:r>
        <w:rPr>
          <w:rFonts w:hint="eastAsia" w:ascii="宋体" w:hAnsi="宋体" w:cs="宋体"/>
          <w:szCs w:val="21"/>
          <w:highlight w:val="none"/>
          <w:lang w:val="en-US" w:eastAsia="zh-CN"/>
        </w:rPr>
        <w:t>四</w:t>
      </w:r>
      <w:r>
        <w:rPr>
          <w:rFonts w:hint="eastAsia" w:ascii="宋体" w:hAnsi="宋体" w:cs="宋体"/>
          <w:szCs w:val="21"/>
          <w:highlight w:val="none"/>
        </w:rPr>
        <w:t>章“评标办法”没有规定的方法、评审因素和标准，不作为评标依据。</w:t>
      </w:r>
    </w:p>
    <w:p w14:paraId="7D4C11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6.3.2评标完成后，评标委员会应向招标人提交书面评标报告和中标候选人名单。评标委员会推荐中标候选人的人数见投标人须知前附表。</w:t>
      </w:r>
    </w:p>
    <w:p w14:paraId="1E17D868">
      <w:pPr>
        <w:pStyle w:val="3"/>
        <w:spacing w:beforeLines="50" w:afterLines="50"/>
        <w:ind w:firstLine="482" w:firstLineChars="200"/>
        <w:rPr>
          <w:rFonts w:ascii="宋体" w:hAnsi="宋体" w:eastAsia="宋体" w:cs="宋体"/>
          <w:sz w:val="24"/>
          <w:szCs w:val="24"/>
          <w:highlight w:val="none"/>
        </w:rPr>
      </w:pPr>
      <w:bookmarkStart w:id="528" w:name="_Toc506107303"/>
      <w:bookmarkStart w:id="529" w:name="_Toc78803356"/>
      <w:bookmarkStart w:id="530" w:name="_Toc26182"/>
      <w:bookmarkStart w:id="531" w:name="_Toc35424923"/>
      <w:bookmarkStart w:id="532" w:name="_Toc15058888"/>
      <w:bookmarkStart w:id="533" w:name="_Toc35425089"/>
      <w:r>
        <w:rPr>
          <w:rFonts w:hint="eastAsia" w:ascii="宋体" w:hAnsi="宋体" w:eastAsia="宋体" w:cs="宋体"/>
          <w:sz w:val="24"/>
          <w:szCs w:val="24"/>
          <w:highlight w:val="none"/>
        </w:rPr>
        <w:t>7. 合同授予</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070C7520">
      <w:pPr>
        <w:pStyle w:val="3"/>
        <w:ind w:firstLine="422" w:firstLineChars="200"/>
        <w:rPr>
          <w:rFonts w:hint="eastAsia" w:ascii="宋体" w:hAnsi="宋体" w:eastAsia="宋体" w:cs="宋体"/>
          <w:highlight w:val="none"/>
        </w:rPr>
      </w:pPr>
      <w:bookmarkStart w:id="534" w:name="_Toc15058890"/>
      <w:bookmarkStart w:id="535" w:name="_Toc506107305"/>
      <w:bookmarkStart w:id="536" w:name="_Toc83301726"/>
      <w:bookmarkStart w:id="537" w:name="_Toc95223374"/>
      <w:bookmarkStart w:id="538" w:name="_Toc324404852"/>
      <w:bookmarkStart w:id="539" w:name="_Toc296602457"/>
      <w:bookmarkStart w:id="540" w:name="_Toc60061472"/>
      <w:bookmarkStart w:id="541" w:name="_Toc27040"/>
      <w:bookmarkStart w:id="542" w:name="_Toc35424926"/>
      <w:bookmarkStart w:id="543" w:name="_Toc78803359"/>
      <w:bookmarkStart w:id="544" w:name="_Toc35425092"/>
      <w:bookmarkStart w:id="545" w:name="_Toc8261"/>
      <w:bookmarkStart w:id="546" w:name="_Toc247085726"/>
      <w:bookmarkStart w:id="547" w:name="_Toc35424927"/>
      <w:bookmarkStart w:id="548" w:name="_Toc246996955"/>
      <w:bookmarkStart w:id="549" w:name="_Toc35425093"/>
      <w:bookmarkStart w:id="550" w:name="_Toc324404853"/>
      <w:bookmarkStart w:id="551" w:name="_Toc179632586"/>
      <w:bookmarkStart w:id="552" w:name="_Toc246996212"/>
      <w:bookmarkStart w:id="553" w:name="_Toc152042344"/>
      <w:bookmarkStart w:id="554" w:name="_Toc296602458"/>
      <w:bookmarkStart w:id="555" w:name="_Toc144974536"/>
      <w:bookmarkStart w:id="556" w:name="_Toc506107306"/>
      <w:bookmarkStart w:id="557" w:name="_Toc152045568"/>
      <w:bookmarkStart w:id="558" w:name="_Toc15058891"/>
      <w:bookmarkStart w:id="559" w:name="_Toc14692"/>
      <w:r>
        <w:rPr>
          <w:rFonts w:hint="eastAsia" w:ascii="宋体" w:hAnsi="宋体" w:eastAsia="宋体" w:cs="宋体"/>
          <w:highlight w:val="none"/>
        </w:rPr>
        <w:t>7.1 中标候选人公示</w:t>
      </w:r>
      <w:bookmarkEnd w:id="534"/>
      <w:bookmarkEnd w:id="535"/>
      <w:bookmarkEnd w:id="536"/>
      <w:bookmarkEnd w:id="537"/>
      <w:bookmarkEnd w:id="538"/>
      <w:bookmarkEnd w:id="539"/>
      <w:bookmarkEnd w:id="540"/>
    </w:p>
    <w:p w14:paraId="3D3C9E8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招标人在收到评标报告之日起3日内，按照投标人须知前附表规定的公示媒介和期限依法公示。中标候选人公示期不得少于3日。</w:t>
      </w:r>
    </w:p>
    <w:p w14:paraId="02BCD838">
      <w:pPr>
        <w:pStyle w:val="3"/>
        <w:ind w:firstLine="422" w:firstLineChars="200"/>
        <w:rPr>
          <w:rFonts w:hint="eastAsia" w:ascii="宋体" w:hAnsi="宋体" w:eastAsia="宋体" w:cs="宋体"/>
          <w:highlight w:val="none"/>
        </w:rPr>
      </w:pPr>
      <w:r>
        <w:rPr>
          <w:rFonts w:hint="eastAsia" w:ascii="宋体" w:hAnsi="宋体" w:eastAsia="宋体" w:cs="宋体"/>
          <w:highlight w:val="none"/>
        </w:rPr>
        <w:t>7.2 评标结果异议</w:t>
      </w:r>
    </w:p>
    <w:p w14:paraId="6D874A6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投标人或其他利害关系人对评标结果有异议的，应在中标候选人公示期内提出。招标人将在收到异议之日起3日内作出答复；作出答复前，将暂停招标投标活动。</w:t>
      </w:r>
    </w:p>
    <w:p w14:paraId="1D0EB461">
      <w:pPr>
        <w:pStyle w:val="3"/>
        <w:ind w:firstLine="422" w:firstLineChars="200"/>
        <w:rPr>
          <w:rFonts w:ascii="宋体" w:hAnsi="宋体" w:eastAsia="宋体" w:cs="宋体"/>
          <w:highlight w:val="none"/>
        </w:rPr>
      </w:pPr>
      <w:r>
        <w:rPr>
          <w:rFonts w:hint="eastAsia" w:ascii="宋体" w:hAnsi="宋体" w:eastAsia="宋体" w:cs="宋体"/>
          <w:highlight w:val="none"/>
        </w:rPr>
        <w:t>7.</w:t>
      </w:r>
      <w:r>
        <w:rPr>
          <w:rFonts w:hint="eastAsia" w:ascii="宋体" w:hAnsi="宋体" w:eastAsia="宋体" w:cs="宋体"/>
          <w:highlight w:val="none"/>
          <w:lang w:val="en-US" w:eastAsia="zh-CN"/>
        </w:rPr>
        <w:t>3</w:t>
      </w:r>
      <w:r>
        <w:rPr>
          <w:rFonts w:hint="eastAsia" w:ascii="宋体" w:hAnsi="宋体" w:eastAsia="宋体" w:cs="宋体"/>
          <w:highlight w:val="none"/>
        </w:rPr>
        <w:t xml:space="preserve"> </w:t>
      </w:r>
      <w:bookmarkEnd w:id="541"/>
      <w:bookmarkEnd w:id="542"/>
      <w:bookmarkEnd w:id="543"/>
      <w:bookmarkEnd w:id="544"/>
      <w:bookmarkEnd w:id="545"/>
      <w:r>
        <w:rPr>
          <w:rFonts w:hint="eastAsia" w:ascii="宋体" w:hAnsi="宋体" w:eastAsia="宋体" w:cs="宋体"/>
          <w:highlight w:val="none"/>
        </w:rPr>
        <w:t>定标</w:t>
      </w:r>
    </w:p>
    <w:p w14:paraId="337C0E9C">
      <w:pPr>
        <w:spacing w:line="440" w:lineRule="exact"/>
        <w:ind w:firstLine="420" w:firstLineChars="200"/>
        <w:jc w:val="left"/>
        <w:rPr>
          <w:rFonts w:hint="eastAsia" w:ascii="宋体" w:hAnsi="宋体" w:eastAsia="宋体" w:cs="宋体"/>
          <w:szCs w:val="21"/>
          <w:highlight w:val="none"/>
        </w:rPr>
      </w:pPr>
      <w:bookmarkStart w:id="560" w:name="_Toc78803360"/>
      <w:bookmarkStart w:id="561" w:name="_Toc4204"/>
      <w:r>
        <w:rPr>
          <w:rFonts w:hint="eastAsia" w:ascii="宋体" w:hAnsi="宋体" w:eastAsia="宋体" w:cs="宋体"/>
          <w:szCs w:val="21"/>
          <w:highlight w:val="none"/>
        </w:rPr>
        <w:t>按照投标人须知前附表的规定，招标人或招标人授权的评标委员会依法确定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05B9A367">
      <w:pPr>
        <w:pStyle w:val="3"/>
        <w:ind w:firstLine="422" w:firstLineChars="200"/>
        <w:rPr>
          <w:rFonts w:hint="eastAsia" w:ascii="宋体" w:hAnsi="宋体" w:eastAsia="宋体" w:cs="宋体"/>
          <w:highlight w:val="none"/>
        </w:rPr>
      </w:pPr>
      <w:bookmarkStart w:id="562" w:name="_Toc95223376"/>
      <w:bookmarkStart w:id="563" w:name="_Toc83301728"/>
      <w:r>
        <w:rPr>
          <w:rFonts w:hint="eastAsia" w:ascii="宋体" w:hAnsi="宋体" w:eastAsia="宋体" w:cs="宋体"/>
          <w:highlight w:val="none"/>
        </w:rPr>
        <w:t>7.</w:t>
      </w:r>
      <w:r>
        <w:rPr>
          <w:rFonts w:hint="eastAsia" w:ascii="宋体" w:hAnsi="宋体" w:eastAsia="宋体" w:cs="宋体"/>
          <w:highlight w:val="none"/>
          <w:lang w:val="en-US" w:eastAsia="zh-CN"/>
        </w:rPr>
        <w:t>4</w:t>
      </w:r>
      <w:r>
        <w:rPr>
          <w:rFonts w:hint="eastAsia" w:ascii="宋体" w:hAnsi="宋体" w:eastAsia="宋体" w:cs="宋体"/>
          <w:highlight w:val="none"/>
        </w:rPr>
        <w:t xml:space="preserve"> 中标通知</w:t>
      </w:r>
      <w:bookmarkEnd w:id="562"/>
      <w:bookmarkEnd w:id="563"/>
    </w:p>
    <w:p w14:paraId="768E4E4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在本招标文件规定的投标有效期内，招标人向中标人发出中标通知书，同时将中标结果通知未中标的投标人。</w:t>
      </w:r>
    </w:p>
    <w:p w14:paraId="045D8AA7">
      <w:pPr>
        <w:pStyle w:val="3"/>
        <w:ind w:firstLine="422" w:firstLineChars="200"/>
        <w:rPr>
          <w:rFonts w:hint="eastAsia" w:ascii="宋体" w:hAnsi="宋体" w:eastAsia="宋体" w:cs="宋体"/>
          <w:highlight w:val="none"/>
        </w:rPr>
      </w:pPr>
      <w:bookmarkStart w:id="564" w:name="_Toc95223377"/>
      <w:r>
        <w:rPr>
          <w:rFonts w:hint="eastAsia" w:ascii="宋体" w:hAnsi="宋体" w:eastAsia="宋体" w:cs="宋体"/>
          <w:highlight w:val="none"/>
        </w:rPr>
        <w:t>7.</w:t>
      </w:r>
      <w:r>
        <w:rPr>
          <w:rFonts w:hint="eastAsia" w:ascii="宋体" w:hAnsi="宋体" w:eastAsia="宋体" w:cs="宋体"/>
          <w:highlight w:val="none"/>
          <w:lang w:val="en-US" w:eastAsia="zh-CN"/>
        </w:rPr>
        <w:t xml:space="preserve">5 </w:t>
      </w:r>
      <w:r>
        <w:rPr>
          <w:rFonts w:hint="eastAsia" w:ascii="宋体" w:hAnsi="宋体" w:eastAsia="宋体" w:cs="宋体"/>
          <w:highlight w:val="none"/>
        </w:rPr>
        <w:t>中标结果公示</w:t>
      </w:r>
      <w:bookmarkEnd w:id="564"/>
    </w:p>
    <w:p w14:paraId="0718115A">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招标人在确定中标人之日起3日内，按照投标人须知前附表规定的公示媒介和期限公示中标结果。</w:t>
      </w:r>
    </w:p>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14:paraId="76BD1912">
      <w:pPr>
        <w:pStyle w:val="3"/>
        <w:ind w:firstLine="422" w:firstLineChars="200"/>
        <w:rPr>
          <w:rFonts w:ascii="宋体" w:hAnsi="宋体" w:eastAsia="宋体" w:cs="宋体"/>
          <w:highlight w:val="none"/>
        </w:rPr>
      </w:pPr>
      <w:bookmarkStart w:id="565" w:name="_Toc25501"/>
      <w:bookmarkStart w:id="566" w:name="_Toc152042345"/>
      <w:bookmarkStart w:id="567" w:name="_Toc179632587"/>
      <w:bookmarkStart w:id="568" w:name="_Toc35425095"/>
      <w:bookmarkStart w:id="569" w:name="_Toc324404854"/>
      <w:bookmarkStart w:id="570" w:name="_Toc35424929"/>
      <w:bookmarkStart w:id="571" w:name="_Toc152045569"/>
      <w:bookmarkStart w:id="572" w:name="_Toc246996956"/>
      <w:bookmarkStart w:id="573" w:name="_Toc144974537"/>
      <w:bookmarkStart w:id="574" w:name="_Toc247085727"/>
      <w:bookmarkStart w:id="575" w:name="_Toc78803362"/>
      <w:bookmarkStart w:id="576" w:name="_Toc296602459"/>
      <w:bookmarkStart w:id="577" w:name="_Toc506107307"/>
      <w:bookmarkStart w:id="578" w:name="_Toc15058892"/>
      <w:bookmarkStart w:id="579" w:name="_Toc246996213"/>
      <w:r>
        <w:rPr>
          <w:rFonts w:hint="eastAsia" w:ascii="宋体" w:hAnsi="宋体" w:eastAsia="宋体" w:cs="宋体"/>
          <w:highlight w:val="none"/>
        </w:rPr>
        <w:t>7.</w:t>
      </w:r>
      <w:r>
        <w:rPr>
          <w:rFonts w:hint="eastAsia" w:ascii="宋体" w:hAnsi="宋体" w:eastAsia="宋体" w:cs="宋体"/>
          <w:highlight w:val="none"/>
          <w:lang w:val="en-US" w:eastAsia="zh-CN"/>
        </w:rPr>
        <w:t>6</w:t>
      </w:r>
      <w:r>
        <w:rPr>
          <w:rFonts w:hint="eastAsia" w:ascii="宋体" w:hAnsi="宋体" w:eastAsia="宋体" w:cs="宋体"/>
          <w:highlight w:val="none"/>
        </w:rPr>
        <w:t xml:space="preserve"> 履约担保</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612A633E">
      <w:pPr>
        <w:spacing w:line="440" w:lineRule="exact"/>
        <w:ind w:firstLine="420" w:firstLineChars="200"/>
        <w:jc w:val="left"/>
        <w:rPr>
          <w:rFonts w:hint="eastAsia" w:ascii="宋体" w:hAnsi="宋体" w:eastAsia="宋体" w:cs="宋体"/>
          <w:szCs w:val="21"/>
          <w:highlight w:val="none"/>
        </w:rPr>
      </w:pPr>
      <w:bookmarkStart w:id="580" w:name="_Toc246996957"/>
      <w:bookmarkStart w:id="581" w:name="_Toc296602460"/>
      <w:bookmarkStart w:id="582" w:name="_Toc247085728"/>
      <w:bookmarkStart w:id="583" w:name="_Toc15058893"/>
      <w:bookmarkStart w:id="584" w:name="_Toc246996214"/>
      <w:bookmarkStart w:id="585" w:name="_Toc78803363"/>
      <w:bookmarkStart w:id="586" w:name="_Toc152045570"/>
      <w:bookmarkStart w:id="587" w:name="_Toc11010"/>
      <w:bookmarkStart w:id="588" w:name="_Toc152042346"/>
      <w:bookmarkStart w:id="589" w:name="_Toc35424930"/>
      <w:bookmarkStart w:id="590" w:name="_Toc144974538"/>
      <w:bookmarkStart w:id="591" w:name="_Toc506107308"/>
      <w:bookmarkStart w:id="592" w:name="_Toc35425096"/>
      <w:bookmarkStart w:id="593" w:name="_Toc324404855"/>
      <w:bookmarkStart w:id="594" w:name="_Toc179632588"/>
      <w:r>
        <w:rPr>
          <w:rFonts w:hint="eastAsia" w:ascii="宋体" w:hAnsi="宋体" w:eastAsia="宋体" w:cs="宋体"/>
          <w:szCs w:val="21"/>
          <w:highlight w:val="none"/>
        </w:rPr>
        <w:t>7.</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1在签订合同前，中标人应按投标人须知前附表规定的担保形式和招标文件第五章“合同条款及格式”规定的或者事先经过招标人书面认可的履约担保格式向招标人提交履约担保。联合体中标的，其履约担保应符合投标人须知前附表规定的金额、担保形式和招标文件第五章“合同条款及格式”规定的履约担保格式要求。</w:t>
      </w:r>
    </w:p>
    <w:p w14:paraId="7C6B336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7.</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.2 中标人不能按本章第7.</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.1项要求提交履约担保的，视为放弃中标，其投标保证金不予退还，给招标人造成的损失超过投标保证金数额的，中标人还应当对超过部分予以赔偿。</w:t>
      </w:r>
    </w:p>
    <w:p w14:paraId="3B4E380F">
      <w:pPr>
        <w:pStyle w:val="3"/>
        <w:ind w:firstLine="422" w:firstLineChars="200"/>
        <w:rPr>
          <w:rFonts w:ascii="宋体" w:hAnsi="宋体" w:eastAsia="宋体" w:cs="宋体"/>
          <w:highlight w:val="none"/>
        </w:rPr>
      </w:pPr>
      <w:r>
        <w:rPr>
          <w:rFonts w:hint="eastAsia" w:ascii="宋体" w:hAnsi="宋体" w:eastAsia="宋体" w:cs="宋体"/>
          <w:highlight w:val="none"/>
        </w:rPr>
        <w:t>7.</w:t>
      </w:r>
      <w:r>
        <w:rPr>
          <w:rFonts w:hint="eastAsia" w:ascii="宋体" w:hAnsi="宋体" w:eastAsia="宋体" w:cs="宋体"/>
          <w:highlight w:val="none"/>
          <w:lang w:val="en-US" w:eastAsia="zh-CN"/>
        </w:rPr>
        <w:t>7</w:t>
      </w:r>
      <w:r>
        <w:rPr>
          <w:rFonts w:hint="eastAsia" w:ascii="宋体" w:hAnsi="宋体" w:eastAsia="宋体" w:cs="宋体"/>
          <w:highlight w:val="none"/>
        </w:rPr>
        <w:t xml:space="preserve"> 签订合同</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14:paraId="72DE0C53">
      <w:pPr>
        <w:wordWrap w:val="0"/>
        <w:spacing w:line="440" w:lineRule="exact"/>
        <w:ind w:firstLine="420" w:firstLineChars="200"/>
        <w:jc w:val="left"/>
        <w:rPr>
          <w:rFonts w:hint="eastAsia" w:ascii="宋体" w:hAnsi="宋体" w:eastAsia="宋体" w:cs="宋体"/>
          <w:bCs/>
          <w:szCs w:val="21"/>
          <w:highlight w:val="none"/>
        </w:rPr>
      </w:pPr>
      <w:bookmarkStart w:id="595" w:name="_Toc324404856"/>
      <w:bookmarkStart w:id="596" w:name="_Toc15058894"/>
      <w:bookmarkStart w:id="597" w:name="_Toc506107309"/>
      <w:r>
        <w:rPr>
          <w:rFonts w:hint="eastAsia" w:ascii="宋体" w:hAnsi="宋体" w:eastAsia="宋体" w:cs="宋体"/>
          <w:bCs/>
          <w:szCs w:val="21"/>
          <w:highlight w:val="none"/>
        </w:rPr>
        <w:t>7.</w:t>
      </w:r>
      <w:r>
        <w:rPr>
          <w:rFonts w:hint="eastAsia" w:ascii="宋体" w:hAnsi="宋体" w:eastAsia="宋体" w:cs="宋体"/>
          <w:bCs/>
          <w:szCs w:val="21"/>
          <w:highlight w:val="none"/>
          <w:lang w:val="en-US" w:eastAsia="zh-CN"/>
        </w:rPr>
        <w:t>7</w:t>
      </w:r>
      <w:r>
        <w:rPr>
          <w:rFonts w:hint="eastAsia" w:ascii="宋体" w:hAnsi="宋体" w:eastAsia="宋体" w:cs="宋体"/>
          <w:bCs/>
          <w:szCs w:val="21"/>
          <w:highlight w:val="none"/>
        </w:rPr>
        <w:t>.1本招标工程的施工合同将授予按本须知第7.</w:t>
      </w:r>
      <w:r>
        <w:rPr>
          <w:rFonts w:hint="eastAsia" w:ascii="宋体" w:hAnsi="宋体" w:eastAsia="宋体" w:cs="宋体"/>
          <w:bCs/>
          <w:szCs w:val="21"/>
          <w:highlight w:val="none"/>
          <w:lang w:val="en-US" w:eastAsia="zh-CN"/>
        </w:rPr>
        <w:t>4</w:t>
      </w:r>
      <w:r>
        <w:rPr>
          <w:rFonts w:hint="eastAsia" w:ascii="宋体" w:hAnsi="宋体" w:eastAsia="宋体" w:cs="宋体"/>
          <w:bCs/>
          <w:szCs w:val="21"/>
          <w:highlight w:val="none"/>
        </w:rPr>
        <w:t xml:space="preserve">条规定所确定的中标人。 </w:t>
      </w:r>
    </w:p>
    <w:p w14:paraId="01C1DF48">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7.</w:t>
      </w:r>
      <w:r>
        <w:rPr>
          <w:rFonts w:hint="eastAsia" w:ascii="宋体" w:hAnsi="宋体" w:eastAsia="宋体" w:cs="宋体"/>
          <w:bCs/>
          <w:szCs w:val="21"/>
          <w:highlight w:val="none"/>
          <w:lang w:val="en-US" w:eastAsia="zh-CN"/>
        </w:rPr>
        <w:t>7</w:t>
      </w:r>
      <w:r>
        <w:rPr>
          <w:rFonts w:hint="eastAsia" w:ascii="宋体" w:hAnsi="宋体" w:eastAsia="宋体" w:cs="宋体"/>
          <w:bCs/>
          <w:szCs w:val="21"/>
          <w:highlight w:val="none"/>
        </w:rPr>
        <w:t>.2招标人和中标人应当自中标通知书发出之日起30天内，根据招标文件和中标人的投标文件订立书面合同。中标人无正当理由拒签合同的，在签订合同时向招标人提出附加条件，或不按照招标文件要求提交履约保证金的，招标人取消其中标资格；给招标人造成的损失的，中标人应当予以赔偿。</w:t>
      </w:r>
    </w:p>
    <w:p w14:paraId="01E0BEC3">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7.</w:t>
      </w:r>
      <w:r>
        <w:rPr>
          <w:rFonts w:hint="eastAsia" w:ascii="宋体" w:hAnsi="宋体" w:eastAsia="宋体" w:cs="宋体"/>
          <w:bCs/>
          <w:szCs w:val="21"/>
          <w:highlight w:val="none"/>
          <w:lang w:val="en-US" w:eastAsia="zh-CN"/>
        </w:rPr>
        <w:t>7</w:t>
      </w:r>
      <w:r>
        <w:rPr>
          <w:rFonts w:hint="eastAsia" w:ascii="宋体" w:hAnsi="宋体" w:eastAsia="宋体" w:cs="宋体"/>
          <w:bCs/>
          <w:szCs w:val="21"/>
          <w:highlight w:val="none"/>
        </w:rPr>
        <w:t>.3发出中标通知书后，招标单位无正当理由拒签合同的，给中标人造成损失的，还应当赔偿损失。</w:t>
      </w:r>
    </w:p>
    <w:p w14:paraId="15321B34">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7.</w:t>
      </w:r>
      <w:r>
        <w:rPr>
          <w:rFonts w:hint="eastAsia" w:ascii="宋体" w:hAnsi="宋体" w:eastAsia="宋体" w:cs="宋体"/>
          <w:bCs/>
          <w:szCs w:val="21"/>
          <w:highlight w:val="none"/>
          <w:lang w:val="en-US" w:eastAsia="zh-CN"/>
        </w:rPr>
        <w:t>7</w:t>
      </w:r>
      <w:r>
        <w:rPr>
          <w:rFonts w:hint="eastAsia" w:ascii="宋体" w:hAnsi="宋体" w:eastAsia="宋体" w:cs="宋体"/>
          <w:bCs/>
          <w:szCs w:val="21"/>
          <w:highlight w:val="none"/>
        </w:rPr>
        <w:t>.4除法定情形外，建设工程合同履行期间项目经理（建造师）不得更换。项目经理（建造师）确需变更的，应根据招标文件要求，变更后的项目经理（建造师）不低于投标文件中拟派项目经理（建造师）的资格条件。</w:t>
      </w:r>
    </w:p>
    <w:bookmarkEnd w:id="595"/>
    <w:bookmarkEnd w:id="596"/>
    <w:bookmarkEnd w:id="597"/>
    <w:p w14:paraId="57E42931">
      <w:pPr>
        <w:pStyle w:val="3"/>
        <w:spacing w:beforeLines="50" w:afterLines="50"/>
        <w:ind w:firstLine="422" w:firstLineChars="200"/>
        <w:rPr>
          <w:rFonts w:hint="eastAsia" w:ascii="宋体" w:hAnsi="宋体" w:eastAsia="宋体" w:cs="宋体"/>
          <w:highlight w:val="none"/>
        </w:rPr>
      </w:pPr>
      <w:bookmarkStart w:id="598" w:name="_Toc144974539"/>
      <w:bookmarkStart w:id="599" w:name="_Toc179632589"/>
      <w:bookmarkStart w:id="600" w:name="_Toc60061478"/>
      <w:bookmarkStart w:id="601" w:name="_Toc95223381"/>
      <w:bookmarkStart w:id="602" w:name="_Toc152045571"/>
      <w:bookmarkStart w:id="603" w:name="_Toc152042347"/>
      <w:bookmarkStart w:id="604" w:name="_Toc83301732"/>
      <w:bookmarkStart w:id="605" w:name="_Toc31686"/>
      <w:bookmarkStart w:id="606" w:name="_Toc78803367"/>
      <w:bookmarkStart w:id="607" w:name="_Toc25375"/>
      <w:bookmarkStart w:id="608" w:name="_Toc26974"/>
      <w:bookmarkStart w:id="609" w:name="_Toc35425097"/>
      <w:bookmarkStart w:id="610" w:name="_Toc35424931"/>
      <w:bookmarkStart w:id="611" w:name="_Toc324404864"/>
      <w:bookmarkStart w:id="612" w:name="_Toc35424939"/>
      <w:bookmarkStart w:id="613" w:name="_Toc506107317"/>
      <w:bookmarkStart w:id="614" w:name="_Toc35425105"/>
      <w:bookmarkStart w:id="615" w:name="_Toc15058902"/>
      <w:bookmarkStart w:id="616" w:name="_Toc296602475"/>
      <w:r>
        <w:rPr>
          <w:rFonts w:hint="eastAsia" w:ascii="宋体" w:hAnsi="宋体" w:eastAsia="宋体" w:cs="宋体"/>
          <w:highlight w:val="none"/>
        </w:rPr>
        <w:t>8. 重新招标和不再招标</w:t>
      </w:r>
      <w:bookmarkEnd w:id="598"/>
      <w:bookmarkEnd w:id="599"/>
      <w:bookmarkEnd w:id="600"/>
      <w:bookmarkEnd w:id="601"/>
      <w:bookmarkEnd w:id="602"/>
      <w:bookmarkEnd w:id="603"/>
      <w:bookmarkEnd w:id="604"/>
    </w:p>
    <w:p w14:paraId="774B94FD">
      <w:pPr>
        <w:pStyle w:val="3"/>
        <w:ind w:firstLine="422" w:firstLineChars="200"/>
        <w:rPr>
          <w:rFonts w:hint="eastAsia" w:ascii="宋体" w:hAnsi="宋体" w:eastAsia="宋体" w:cs="宋体"/>
          <w:highlight w:val="none"/>
        </w:rPr>
      </w:pPr>
      <w:bookmarkStart w:id="617" w:name="_Toc179632590"/>
      <w:bookmarkStart w:id="618" w:name="_Toc144974540"/>
      <w:bookmarkStart w:id="619" w:name="_Toc60061479"/>
      <w:bookmarkStart w:id="620" w:name="_Toc83301733"/>
      <w:bookmarkStart w:id="621" w:name="_Toc95223382"/>
      <w:bookmarkStart w:id="622" w:name="_Toc152045572"/>
      <w:bookmarkStart w:id="623" w:name="_Toc152042348"/>
      <w:r>
        <w:rPr>
          <w:rFonts w:hint="eastAsia" w:ascii="宋体" w:hAnsi="宋体" w:eastAsia="宋体" w:cs="宋体"/>
          <w:highlight w:val="none"/>
        </w:rPr>
        <w:t>8.1 重新招标</w:t>
      </w:r>
      <w:bookmarkEnd w:id="617"/>
      <w:bookmarkEnd w:id="618"/>
      <w:bookmarkEnd w:id="619"/>
      <w:bookmarkEnd w:id="620"/>
      <w:bookmarkEnd w:id="621"/>
      <w:bookmarkEnd w:id="622"/>
      <w:bookmarkEnd w:id="623"/>
    </w:p>
    <w:p w14:paraId="243115F1">
      <w:pPr>
        <w:adjustRightInd w:val="0"/>
        <w:snapToGrid w:val="0"/>
        <w:spacing w:line="600" w:lineRule="exact"/>
        <w:ind w:firstLine="359" w:firstLineChars="171"/>
        <w:rPr>
          <w:rFonts w:hint="eastAsia" w:ascii="宋体" w:hAnsi="宋体" w:cs="宋体"/>
          <w:color w:val="000000"/>
          <w:highlight w:val="none"/>
        </w:rPr>
      </w:pPr>
      <w:r>
        <w:rPr>
          <w:rFonts w:hint="eastAsia" w:ascii="宋体" w:hAnsi="宋体" w:cs="宋体"/>
          <w:color w:val="000000"/>
          <w:highlight w:val="none"/>
        </w:rPr>
        <w:t>依法必须招标的项目有下列情形之一的，招标人将重新招标：</w:t>
      </w:r>
    </w:p>
    <w:p w14:paraId="71A327E5">
      <w:pPr>
        <w:adjustRightInd w:val="0"/>
        <w:snapToGrid w:val="0"/>
        <w:spacing w:line="600" w:lineRule="exact"/>
        <w:ind w:firstLine="359" w:firstLineChars="171"/>
        <w:rPr>
          <w:rFonts w:hint="eastAsia" w:ascii="宋体" w:hAnsi="宋体" w:cs="宋体"/>
          <w:color w:val="000000"/>
          <w:highlight w:val="none"/>
        </w:rPr>
      </w:pPr>
      <w:r>
        <w:rPr>
          <w:rFonts w:hint="eastAsia" w:ascii="宋体" w:hAnsi="宋体" w:cs="宋体"/>
          <w:color w:val="000000"/>
          <w:highlight w:val="none"/>
        </w:rPr>
        <w:t>（1）投标截止时间止，投标人少于3个的；</w:t>
      </w:r>
    </w:p>
    <w:p w14:paraId="53761C98">
      <w:pPr>
        <w:adjustRightInd w:val="0"/>
        <w:snapToGrid w:val="0"/>
        <w:spacing w:line="600" w:lineRule="exact"/>
        <w:ind w:firstLine="359" w:firstLineChars="171"/>
        <w:rPr>
          <w:rFonts w:hint="eastAsia" w:ascii="宋体" w:hAnsi="宋体" w:cs="宋体"/>
          <w:color w:val="000000"/>
          <w:highlight w:val="none"/>
        </w:rPr>
      </w:pPr>
      <w:r>
        <w:rPr>
          <w:rFonts w:hint="eastAsia" w:ascii="宋体" w:hAnsi="宋体" w:cs="宋体"/>
          <w:color w:val="000000"/>
          <w:highlight w:val="none"/>
        </w:rPr>
        <w:t>（2）经评标委员会评审后否决所有投标的；</w:t>
      </w:r>
    </w:p>
    <w:p w14:paraId="3412299B">
      <w:pPr>
        <w:adjustRightInd w:val="0"/>
        <w:snapToGrid w:val="0"/>
        <w:spacing w:line="600" w:lineRule="exact"/>
        <w:ind w:firstLine="359" w:firstLineChars="171"/>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（3）中标候选人均未与招标人签订合同的；</w:t>
      </w:r>
    </w:p>
    <w:p w14:paraId="4115D547">
      <w:pPr>
        <w:adjustRightInd w:val="0"/>
        <w:snapToGrid w:val="0"/>
        <w:spacing w:line="600" w:lineRule="exact"/>
        <w:ind w:firstLine="359" w:firstLineChars="171"/>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（4）法律、法规规定的其他情形。</w:t>
      </w:r>
    </w:p>
    <w:p w14:paraId="077F17AF">
      <w:pPr>
        <w:pStyle w:val="3"/>
        <w:ind w:firstLine="422" w:firstLineChars="200"/>
        <w:rPr>
          <w:rFonts w:hint="eastAsia" w:ascii="宋体" w:hAnsi="宋体" w:eastAsia="宋体" w:cs="宋体"/>
          <w:highlight w:val="none"/>
        </w:rPr>
      </w:pPr>
      <w:bookmarkStart w:id="624" w:name="_Toc83301734"/>
      <w:bookmarkStart w:id="625" w:name="_Toc144974541"/>
      <w:bookmarkStart w:id="626" w:name="_Toc152045573"/>
      <w:bookmarkStart w:id="627" w:name="_Toc95223383"/>
      <w:bookmarkStart w:id="628" w:name="_Toc179632591"/>
      <w:bookmarkStart w:id="629" w:name="_Toc152042349"/>
      <w:bookmarkStart w:id="630" w:name="_Toc60061480"/>
      <w:r>
        <w:rPr>
          <w:rFonts w:hint="eastAsia" w:ascii="宋体" w:hAnsi="宋体" w:eastAsia="宋体" w:cs="宋体"/>
          <w:highlight w:val="none"/>
        </w:rPr>
        <w:t>8.2 不再招标</w:t>
      </w:r>
      <w:bookmarkEnd w:id="624"/>
      <w:bookmarkEnd w:id="625"/>
      <w:bookmarkEnd w:id="626"/>
      <w:bookmarkEnd w:id="627"/>
      <w:bookmarkEnd w:id="628"/>
      <w:bookmarkEnd w:id="629"/>
      <w:bookmarkEnd w:id="630"/>
    </w:p>
    <w:p w14:paraId="79E8730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重新招标后投标人仍少于3个或者所有投标被否决的，属于必须审批或核准的工程建设项目，经原审批或核准部门批准后不再进行招标。</w:t>
      </w:r>
    </w:p>
    <w:p w14:paraId="31B2E77F">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9. 纪律和监督</w:t>
      </w:r>
      <w:bookmarkEnd w:id="605"/>
      <w:bookmarkEnd w:id="606"/>
      <w:bookmarkEnd w:id="607"/>
      <w:bookmarkEnd w:id="608"/>
      <w:bookmarkEnd w:id="609"/>
      <w:bookmarkEnd w:id="610"/>
    </w:p>
    <w:p w14:paraId="49CA1A8F">
      <w:pPr>
        <w:pStyle w:val="3"/>
        <w:ind w:firstLine="422" w:firstLineChars="200"/>
        <w:rPr>
          <w:rFonts w:ascii="宋体" w:hAnsi="宋体" w:eastAsia="宋体" w:cs="宋体"/>
          <w:highlight w:val="none"/>
        </w:rPr>
      </w:pPr>
      <w:bookmarkStart w:id="631" w:name="_Toc15058895"/>
      <w:bookmarkStart w:id="632" w:name="_Toc179632593"/>
      <w:bookmarkStart w:id="633" w:name="_Toc144974543"/>
      <w:bookmarkStart w:id="634" w:name="_Toc35425098"/>
      <w:bookmarkStart w:id="635" w:name="_Toc296590983"/>
      <w:bookmarkStart w:id="636" w:name="_Toc152042351"/>
      <w:bookmarkStart w:id="637" w:name="_Toc2855"/>
      <w:bookmarkStart w:id="638" w:name="_Toc15607"/>
      <w:bookmarkStart w:id="639" w:name="_Toc247085733"/>
      <w:bookmarkStart w:id="640" w:name="_Toc246996219"/>
      <w:bookmarkStart w:id="641" w:name="_Toc35424932"/>
      <w:bookmarkStart w:id="642" w:name="_Toc152045575"/>
      <w:bookmarkStart w:id="643" w:name="_Toc506107310"/>
      <w:bookmarkStart w:id="644" w:name="_Toc246996962"/>
      <w:bookmarkStart w:id="645" w:name="_Toc296602462"/>
      <w:bookmarkStart w:id="646" w:name="_Toc78803368"/>
      <w:bookmarkStart w:id="647" w:name="_Toc324404857"/>
      <w:r>
        <w:rPr>
          <w:rFonts w:hint="eastAsia" w:ascii="宋体" w:hAnsi="宋体" w:eastAsia="宋体" w:cs="宋体"/>
          <w:highlight w:val="none"/>
        </w:rPr>
        <w:t>9.1 对招标人的纪律要求</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25A9C8E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招标人不得泄漏招标投标活动中应当保密的情况和资料，不得与投标人串通损害国家利益、社会公共利益或者他人合法权益。</w:t>
      </w:r>
    </w:p>
    <w:p w14:paraId="6BA9BC3B">
      <w:pPr>
        <w:pStyle w:val="3"/>
        <w:ind w:firstLine="422" w:firstLineChars="200"/>
        <w:rPr>
          <w:rFonts w:ascii="宋体" w:hAnsi="宋体" w:eastAsia="宋体" w:cs="宋体"/>
          <w:highlight w:val="none"/>
        </w:rPr>
      </w:pPr>
      <w:bookmarkStart w:id="648" w:name="_Toc78803369"/>
      <w:bookmarkStart w:id="649" w:name="_Toc296602463"/>
      <w:bookmarkStart w:id="650" w:name="_Toc15058896"/>
      <w:bookmarkStart w:id="651" w:name="_Toc247085734"/>
      <w:bookmarkStart w:id="652" w:name="_Toc246996963"/>
      <w:bookmarkStart w:id="653" w:name="_Toc152045576"/>
      <w:bookmarkStart w:id="654" w:name="_Toc19779"/>
      <w:bookmarkStart w:id="655" w:name="_Toc144974544"/>
      <w:bookmarkStart w:id="656" w:name="_Toc324404858"/>
      <w:bookmarkStart w:id="657" w:name="_Toc246996220"/>
      <w:bookmarkStart w:id="658" w:name="_Toc506107311"/>
      <w:bookmarkStart w:id="659" w:name="_Toc35424933"/>
      <w:bookmarkStart w:id="660" w:name="_Toc152042352"/>
      <w:bookmarkStart w:id="661" w:name="_Toc179632594"/>
      <w:bookmarkStart w:id="662" w:name="_Toc35425099"/>
      <w:bookmarkStart w:id="663" w:name="_Toc32177"/>
      <w:r>
        <w:rPr>
          <w:rFonts w:hint="eastAsia" w:ascii="宋体" w:hAnsi="宋体" w:eastAsia="宋体" w:cs="宋体"/>
          <w:highlight w:val="none"/>
        </w:rPr>
        <w:t>9.2 对投标人的纪律要求</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14:paraId="1B7AC3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33A1F0E">
      <w:pPr>
        <w:pStyle w:val="3"/>
        <w:ind w:firstLine="422" w:firstLineChars="200"/>
        <w:rPr>
          <w:rFonts w:ascii="宋体" w:hAnsi="宋体" w:eastAsia="宋体" w:cs="宋体"/>
          <w:highlight w:val="none"/>
        </w:rPr>
      </w:pPr>
      <w:bookmarkStart w:id="664" w:name="_Toc35425100"/>
      <w:bookmarkStart w:id="665" w:name="_Toc324404859"/>
      <w:bookmarkStart w:id="666" w:name="_Toc296602464"/>
      <w:bookmarkStart w:id="667" w:name="_Toc78803370"/>
      <w:bookmarkStart w:id="668" w:name="_Toc15058897"/>
      <w:bookmarkStart w:id="669" w:name="_Toc35424934"/>
      <w:bookmarkStart w:id="670" w:name="_Toc12564"/>
      <w:bookmarkStart w:id="671" w:name="_Toc13043"/>
      <w:bookmarkStart w:id="672" w:name="_Toc247085735"/>
      <w:bookmarkStart w:id="673" w:name="_Toc152045577"/>
      <w:bookmarkStart w:id="674" w:name="_Toc152042353"/>
      <w:bookmarkStart w:id="675" w:name="_Toc179632595"/>
      <w:bookmarkStart w:id="676" w:name="_Toc506107312"/>
      <w:bookmarkStart w:id="677" w:name="_Toc144974545"/>
      <w:bookmarkStart w:id="678" w:name="_Toc246996964"/>
      <w:bookmarkStart w:id="679" w:name="_Toc246996221"/>
      <w:r>
        <w:rPr>
          <w:rFonts w:hint="eastAsia" w:ascii="宋体" w:hAnsi="宋体" w:eastAsia="宋体" w:cs="宋体"/>
          <w:highlight w:val="none"/>
        </w:rPr>
        <w:t>9.3 对评标委员会成员的纪律要求</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14:paraId="5256DC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6939E33C">
      <w:pPr>
        <w:pStyle w:val="3"/>
        <w:ind w:firstLine="422" w:firstLineChars="200"/>
        <w:rPr>
          <w:rFonts w:ascii="宋体" w:hAnsi="宋体" w:eastAsia="宋体" w:cs="宋体"/>
          <w:highlight w:val="none"/>
        </w:rPr>
      </w:pPr>
      <w:bookmarkStart w:id="680" w:name="_Toc247085736"/>
      <w:bookmarkStart w:id="681" w:name="_Toc152045578"/>
      <w:bookmarkStart w:id="682" w:name="_Toc152042354"/>
      <w:bookmarkStart w:id="683" w:name="_Toc296602465"/>
      <w:bookmarkStart w:id="684" w:name="_Toc246996222"/>
      <w:bookmarkStart w:id="685" w:name="_Toc35424935"/>
      <w:bookmarkStart w:id="686" w:name="_Toc506107313"/>
      <w:bookmarkStart w:id="687" w:name="_Toc179632596"/>
      <w:bookmarkStart w:id="688" w:name="_Toc15058898"/>
      <w:bookmarkStart w:id="689" w:name="_Toc32214"/>
      <w:bookmarkStart w:id="690" w:name="_Toc324404860"/>
      <w:bookmarkStart w:id="691" w:name="_Toc78803371"/>
      <w:bookmarkStart w:id="692" w:name="_Toc18329"/>
      <w:bookmarkStart w:id="693" w:name="_Toc246996965"/>
      <w:bookmarkStart w:id="694" w:name="_Toc35425101"/>
      <w:bookmarkStart w:id="695" w:name="_Toc144974546"/>
      <w:r>
        <w:rPr>
          <w:rFonts w:hint="eastAsia" w:ascii="宋体" w:hAnsi="宋体" w:eastAsia="宋体" w:cs="宋体"/>
          <w:highlight w:val="none"/>
        </w:rPr>
        <w:t>9.4 对与评标活动有关的工作人员的纪律要求</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14:paraId="766BE765">
      <w:pPr>
        <w:spacing w:line="440" w:lineRule="exact"/>
        <w:ind w:firstLine="420" w:firstLineChars="200"/>
        <w:jc w:val="left"/>
        <w:rPr>
          <w:rFonts w:ascii="宋体" w:hAnsi="宋体" w:cs="宋体"/>
          <w:szCs w:val="21"/>
          <w:highlight w:val="none"/>
        </w:rPr>
      </w:pPr>
      <w:bookmarkStart w:id="696" w:name="_Toc152042355"/>
      <w:r>
        <w:rPr>
          <w:rFonts w:hint="eastAsia" w:ascii="宋体" w:hAnsi="宋体" w:cs="宋体"/>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696"/>
    </w:p>
    <w:p w14:paraId="6EC5285F">
      <w:pPr>
        <w:pStyle w:val="3"/>
        <w:ind w:firstLine="422" w:firstLineChars="200"/>
        <w:rPr>
          <w:rFonts w:ascii="宋体" w:hAnsi="宋体" w:eastAsia="宋体" w:cs="宋体"/>
          <w:highlight w:val="none"/>
        </w:rPr>
      </w:pPr>
      <w:bookmarkStart w:id="697" w:name="_Toc506107314"/>
      <w:bookmarkStart w:id="698" w:name="_Toc152045579"/>
      <w:bookmarkStart w:id="699" w:name="_Toc247085737"/>
      <w:bookmarkStart w:id="700" w:name="_Toc35424936"/>
      <w:bookmarkStart w:id="701" w:name="_Toc246996223"/>
      <w:bookmarkStart w:id="702" w:name="_Toc152042356"/>
      <w:bookmarkStart w:id="703" w:name="_Toc78803372"/>
      <w:bookmarkStart w:id="704" w:name="_Toc2811"/>
      <w:bookmarkStart w:id="705" w:name="_Toc23607"/>
      <w:bookmarkStart w:id="706" w:name="_Toc246996966"/>
      <w:bookmarkStart w:id="707" w:name="_Toc324404861"/>
      <w:bookmarkStart w:id="708" w:name="_Toc15058899"/>
      <w:bookmarkStart w:id="709" w:name="_Toc35425102"/>
      <w:bookmarkStart w:id="710" w:name="_Toc179632597"/>
      <w:bookmarkStart w:id="711" w:name="_Toc296602466"/>
      <w:r>
        <w:rPr>
          <w:rFonts w:hint="eastAsia" w:ascii="宋体" w:hAnsi="宋体" w:eastAsia="宋体" w:cs="宋体"/>
          <w:highlight w:val="none"/>
        </w:rPr>
        <w:t>9.5 投诉</w:t>
      </w:r>
      <w:bookmarkEnd w:id="695"/>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14:paraId="18A92B0B">
      <w:pPr>
        <w:spacing w:line="440" w:lineRule="exact"/>
        <w:ind w:firstLine="420" w:firstLineChars="200"/>
        <w:jc w:val="left"/>
        <w:rPr>
          <w:rFonts w:hint="eastAsia" w:ascii="宋体" w:hAnsi="宋体" w:eastAsia="宋体" w:cs="宋体"/>
          <w:szCs w:val="21"/>
          <w:highlight w:val="none"/>
        </w:rPr>
      </w:pPr>
      <w:bookmarkStart w:id="712" w:name="_Toc16463"/>
      <w:bookmarkStart w:id="713" w:name="_Toc35425103"/>
      <w:bookmarkStart w:id="714" w:name="_Toc324404862"/>
      <w:bookmarkStart w:id="715" w:name="_Toc15058900"/>
      <w:bookmarkStart w:id="716" w:name="_Toc152045580"/>
      <w:bookmarkStart w:id="717" w:name="_Toc35424937"/>
      <w:bookmarkStart w:id="718" w:name="_Toc78803373"/>
      <w:bookmarkStart w:id="719" w:name="_Toc506107315"/>
      <w:bookmarkStart w:id="720" w:name="_Toc179632598"/>
      <w:bookmarkStart w:id="721" w:name="_Toc144974547"/>
      <w:bookmarkStart w:id="722" w:name="_Toc246996224"/>
      <w:bookmarkStart w:id="723" w:name="_Toc31643"/>
      <w:bookmarkStart w:id="724" w:name="_Toc246996967"/>
      <w:bookmarkStart w:id="725" w:name="_Toc247085738"/>
      <w:bookmarkStart w:id="726" w:name="_Toc152042357"/>
      <w:bookmarkStart w:id="727" w:name="_Toc20669"/>
      <w:r>
        <w:rPr>
          <w:rFonts w:hint="eastAsia" w:ascii="宋体" w:hAnsi="宋体" w:eastAsia="宋体" w:cs="宋体"/>
          <w:szCs w:val="21"/>
          <w:highlight w:val="none"/>
        </w:rPr>
        <w:t>9.5.1投标人或者其他利害关系人认为招标投标活动违反法律、法规和规章规定的，有权向相关行政监督部门投诉。投诉应当有明确的请求和必要的证明材料。</w:t>
      </w:r>
    </w:p>
    <w:p w14:paraId="64A3032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9.5.2投标人和其他利害关系人对招标文件、开标和评标结果事项投诉的，应当按照投标人须知的规定先向招标人提出异议。异议答复期间不计算在第9.5.1项规定的期限内。</w:t>
      </w:r>
    </w:p>
    <w:p w14:paraId="39FC7842">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10.需要补充的其他内容</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2610702A">
      <w:pPr>
        <w:spacing w:line="440" w:lineRule="exact"/>
        <w:ind w:firstLine="420" w:firstLineChars="200"/>
        <w:jc w:val="left"/>
        <w:rPr>
          <w:rFonts w:ascii="宋体" w:hAnsi="宋体" w:cs="宋体"/>
          <w:szCs w:val="21"/>
          <w:highlight w:val="none"/>
        </w:rPr>
      </w:pPr>
      <w:bookmarkStart w:id="728" w:name="_Toc15058901"/>
      <w:r>
        <w:rPr>
          <w:rFonts w:hint="eastAsia" w:ascii="宋体" w:hAnsi="宋体" w:cs="宋体"/>
          <w:szCs w:val="21"/>
          <w:highlight w:val="none"/>
        </w:rPr>
        <w:t>需要补充的其他内容：见投标人须知前附表。</w:t>
      </w:r>
      <w:bookmarkEnd w:id="728"/>
    </w:p>
    <w:p w14:paraId="13695F73">
      <w:pPr>
        <w:spacing w:line="440" w:lineRule="exact"/>
        <w:jc w:val="left"/>
        <w:rPr>
          <w:rFonts w:ascii="宋体" w:hAnsi="宋体" w:cs="宋体"/>
          <w:szCs w:val="21"/>
          <w:highlight w:val="none"/>
        </w:rPr>
      </w:pPr>
    </w:p>
    <w:p w14:paraId="146D6C50">
      <w:pPr>
        <w:pageBreakBefore/>
        <w:spacing w:beforeLines="80" w:afterLines="80" w:line="440" w:lineRule="exact"/>
        <w:jc w:val="center"/>
        <w:outlineLvl w:val="1"/>
        <w:rPr>
          <w:rFonts w:ascii="宋体"/>
          <w:b/>
          <w:sz w:val="32"/>
          <w:szCs w:val="32"/>
          <w:highlight w:val="none"/>
        </w:rPr>
      </w:pPr>
      <w:bookmarkStart w:id="729" w:name="_Toc78803375"/>
      <w:r>
        <w:rPr>
          <w:rFonts w:hint="eastAsia" w:ascii="宋体"/>
          <w:b/>
          <w:sz w:val="32"/>
          <w:szCs w:val="32"/>
          <w:highlight w:val="none"/>
        </w:rPr>
        <w:t>第</w:t>
      </w:r>
      <w:r>
        <w:rPr>
          <w:rFonts w:hint="eastAsia" w:ascii="宋体"/>
          <w:b/>
          <w:sz w:val="32"/>
          <w:szCs w:val="32"/>
          <w:highlight w:val="none"/>
          <w:lang w:val="en-US" w:eastAsia="zh-CN"/>
        </w:rPr>
        <w:t>三</w:t>
      </w:r>
      <w:r>
        <w:rPr>
          <w:rFonts w:hint="eastAsia" w:ascii="宋体"/>
          <w:b/>
          <w:sz w:val="32"/>
          <w:szCs w:val="32"/>
          <w:highlight w:val="none"/>
        </w:rPr>
        <w:t>章  资格审查</w:t>
      </w:r>
      <w:bookmarkEnd w:id="611"/>
      <w:r>
        <w:rPr>
          <w:rFonts w:hint="eastAsia" w:ascii="宋体"/>
          <w:b/>
          <w:sz w:val="32"/>
          <w:szCs w:val="32"/>
          <w:highlight w:val="none"/>
        </w:rPr>
        <w:t>办法</w:t>
      </w:r>
      <w:bookmarkEnd w:id="612"/>
      <w:bookmarkEnd w:id="613"/>
      <w:bookmarkEnd w:id="614"/>
      <w:bookmarkEnd w:id="615"/>
      <w:bookmarkEnd w:id="729"/>
    </w:p>
    <w:p w14:paraId="510BB1C6">
      <w:pPr>
        <w:spacing w:beforeLines="50" w:afterLines="50" w:line="440" w:lineRule="exact"/>
        <w:jc w:val="center"/>
        <w:rPr>
          <w:rFonts w:ascii="宋体" w:hAnsi="宋体" w:cs="宋体"/>
          <w:b/>
          <w:bCs/>
          <w:sz w:val="28"/>
          <w:szCs w:val="22"/>
          <w:highlight w:val="none"/>
        </w:rPr>
      </w:pPr>
      <w:bookmarkStart w:id="730" w:name="_Toc35424940"/>
      <w:bookmarkStart w:id="731" w:name="_Toc324404865"/>
      <w:bookmarkStart w:id="732" w:name="_Toc35425106"/>
      <w:bookmarkStart w:id="733" w:name="_Toc15058903"/>
      <w:bookmarkStart w:id="734" w:name="_Toc506107318"/>
      <w:r>
        <w:rPr>
          <w:rFonts w:hint="eastAsia" w:ascii="宋体" w:hAnsi="宋体" w:cs="宋体"/>
          <w:b/>
          <w:bCs/>
          <w:sz w:val="28"/>
          <w:szCs w:val="22"/>
          <w:highlight w:val="none"/>
        </w:rPr>
        <w:t>资格审查办法前附表</w:t>
      </w:r>
      <w:bookmarkEnd w:id="730"/>
      <w:bookmarkEnd w:id="731"/>
      <w:bookmarkEnd w:id="732"/>
      <w:bookmarkEnd w:id="733"/>
      <w:bookmarkEnd w:id="734"/>
    </w:p>
    <w:tbl>
      <w:tblPr>
        <w:tblStyle w:val="4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3443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noWrap/>
            <w:vAlign w:val="center"/>
          </w:tcPr>
          <w:p w14:paraId="21EA50D5">
            <w:pPr>
              <w:spacing w:line="440" w:lineRule="exact"/>
              <w:jc w:val="center"/>
              <w:rPr>
                <w:rFonts w:ascii="宋体" w:hAnsi="宋体" w:cs="宋体"/>
                <w:b/>
                <w:bCs/>
                <w:szCs w:val="21"/>
                <w:highlight w:val="none"/>
              </w:rPr>
            </w:pPr>
            <w:r>
              <w:rPr>
                <w:rFonts w:hint="eastAsia" w:ascii="宋体" w:hAnsi="宋体" w:cs="宋体"/>
                <w:b/>
                <w:bCs/>
                <w:szCs w:val="21"/>
                <w:highlight w:val="none"/>
              </w:rPr>
              <w:t>序号</w:t>
            </w:r>
          </w:p>
        </w:tc>
        <w:tc>
          <w:tcPr>
            <w:tcW w:w="6183" w:type="dxa"/>
            <w:noWrap/>
            <w:vAlign w:val="center"/>
          </w:tcPr>
          <w:p w14:paraId="737B946D">
            <w:pPr>
              <w:spacing w:line="440" w:lineRule="exact"/>
              <w:jc w:val="center"/>
              <w:rPr>
                <w:rFonts w:ascii="宋体" w:hAnsi="宋体" w:cs="宋体"/>
                <w:b/>
                <w:bCs/>
                <w:szCs w:val="21"/>
                <w:highlight w:val="none"/>
              </w:rPr>
            </w:pPr>
            <w:r>
              <w:rPr>
                <w:rFonts w:hint="eastAsia" w:ascii="宋体" w:hAnsi="宋体" w:cs="宋体"/>
                <w:b/>
                <w:bCs/>
                <w:szCs w:val="21"/>
                <w:highlight w:val="none"/>
              </w:rPr>
              <w:t>审查内容</w:t>
            </w:r>
          </w:p>
        </w:tc>
        <w:tc>
          <w:tcPr>
            <w:tcW w:w="1860" w:type="dxa"/>
            <w:noWrap/>
            <w:vAlign w:val="center"/>
          </w:tcPr>
          <w:p w14:paraId="10B4B499">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5E38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noWrap/>
            <w:vAlign w:val="center"/>
          </w:tcPr>
          <w:p w14:paraId="4867F738">
            <w:pPr>
              <w:spacing w:line="440" w:lineRule="exact"/>
              <w:jc w:val="center"/>
              <w:rPr>
                <w:rFonts w:ascii="宋体" w:hAnsi="宋体" w:cs="宋体"/>
                <w:szCs w:val="21"/>
                <w:highlight w:val="none"/>
              </w:rPr>
            </w:pPr>
            <w:r>
              <w:rPr>
                <w:rFonts w:hint="eastAsia" w:ascii="宋体" w:hAnsi="宋体" w:cs="宋体"/>
                <w:szCs w:val="21"/>
                <w:highlight w:val="none"/>
              </w:rPr>
              <w:t>1</w:t>
            </w:r>
          </w:p>
        </w:tc>
        <w:tc>
          <w:tcPr>
            <w:tcW w:w="1258" w:type="dxa"/>
            <w:vMerge w:val="restart"/>
            <w:noWrap/>
            <w:vAlign w:val="center"/>
          </w:tcPr>
          <w:p w14:paraId="12F9F292">
            <w:pPr>
              <w:spacing w:line="440" w:lineRule="exact"/>
              <w:jc w:val="center"/>
              <w:rPr>
                <w:rFonts w:ascii="宋体" w:hAnsi="宋体" w:cs="宋体"/>
                <w:b/>
                <w:bCs/>
                <w:szCs w:val="21"/>
                <w:highlight w:val="none"/>
              </w:rPr>
            </w:pPr>
            <w:r>
              <w:rPr>
                <w:rFonts w:hint="eastAsia" w:ascii="宋体" w:hAnsi="宋体" w:cs="宋体"/>
                <w:b/>
                <w:bCs/>
                <w:szCs w:val="21"/>
                <w:highlight w:val="none"/>
              </w:rPr>
              <w:t>审查资料</w:t>
            </w:r>
          </w:p>
        </w:tc>
        <w:tc>
          <w:tcPr>
            <w:tcW w:w="6183" w:type="dxa"/>
            <w:noWrap/>
            <w:vAlign w:val="center"/>
          </w:tcPr>
          <w:p w14:paraId="4223BCB8">
            <w:pPr>
              <w:spacing w:line="440" w:lineRule="exact"/>
              <w:rPr>
                <w:rFonts w:ascii="宋体" w:hAnsi="宋体" w:cs="宋体"/>
                <w:szCs w:val="21"/>
                <w:highlight w:val="none"/>
              </w:rPr>
            </w:pPr>
            <w:r>
              <w:rPr>
                <w:rFonts w:hint="eastAsia" w:ascii="宋体" w:hAnsi="宋体" w:cs="宋体"/>
                <w:szCs w:val="21"/>
                <w:highlight w:val="none"/>
              </w:rPr>
              <w:t>法定代表人身份证明文件和本人有效身份证(或法定代表人授权委托书和委托代理人有效身份证)</w:t>
            </w:r>
          </w:p>
        </w:tc>
        <w:tc>
          <w:tcPr>
            <w:tcW w:w="1860" w:type="dxa"/>
            <w:noWrap/>
            <w:vAlign w:val="center"/>
          </w:tcPr>
          <w:p w14:paraId="08425CC0">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0BB7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0CBF773D">
            <w:pPr>
              <w:spacing w:line="440" w:lineRule="exact"/>
              <w:jc w:val="center"/>
              <w:rPr>
                <w:rFonts w:ascii="宋体" w:hAnsi="宋体" w:cs="宋体"/>
                <w:szCs w:val="21"/>
                <w:highlight w:val="none"/>
              </w:rPr>
            </w:pPr>
          </w:p>
        </w:tc>
        <w:tc>
          <w:tcPr>
            <w:tcW w:w="1258" w:type="dxa"/>
            <w:vMerge w:val="continue"/>
            <w:noWrap/>
            <w:vAlign w:val="center"/>
          </w:tcPr>
          <w:p w14:paraId="5DD98737">
            <w:pPr>
              <w:spacing w:line="440" w:lineRule="exact"/>
              <w:jc w:val="center"/>
              <w:rPr>
                <w:rFonts w:ascii="宋体" w:hAnsi="宋体" w:cs="宋体"/>
                <w:b/>
                <w:bCs/>
                <w:szCs w:val="21"/>
                <w:highlight w:val="none"/>
              </w:rPr>
            </w:pPr>
          </w:p>
        </w:tc>
        <w:tc>
          <w:tcPr>
            <w:tcW w:w="6183" w:type="dxa"/>
            <w:noWrap/>
            <w:vAlign w:val="center"/>
          </w:tcPr>
          <w:p w14:paraId="356F4FA9">
            <w:pPr>
              <w:spacing w:line="440" w:lineRule="exact"/>
              <w:rPr>
                <w:rFonts w:ascii="宋体" w:hAnsi="宋体" w:cs="宋体"/>
                <w:szCs w:val="21"/>
                <w:highlight w:val="none"/>
              </w:rPr>
            </w:pPr>
            <w:r>
              <w:rPr>
                <w:rFonts w:hint="eastAsia" w:ascii="宋体" w:hAnsi="宋体" w:cs="宋体"/>
                <w:szCs w:val="21"/>
                <w:highlight w:val="none"/>
              </w:rPr>
              <w:t>诚信投标承诺书</w:t>
            </w:r>
          </w:p>
        </w:tc>
        <w:tc>
          <w:tcPr>
            <w:tcW w:w="1860" w:type="dxa"/>
            <w:vMerge w:val="restart"/>
            <w:noWrap/>
            <w:vAlign w:val="center"/>
          </w:tcPr>
          <w:p w14:paraId="1D178232">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6FB2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7D8563C4">
            <w:pPr>
              <w:spacing w:line="440" w:lineRule="exact"/>
              <w:jc w:val="center"/>
              <w:rPr>
                <w:rFonts w:ascii="宋体" w:hAnsi="宋体" w:cs="宋体"/>
                <w:szCs w:val="21"/>
                <w:highlight w:val="none"/>
              </w:rPr>
            </w:pPr>
          </w:p>
        </w:tc>
        <w:tc>
          <w:tcPr>
            <w:tcW w:w="1258" w:type="dxa"/>
            <w:vMerge w:val="continue"/>
            <w:noWrap/>
            <w:vAlign w:val="center"/>
          </w:tcPr>
          <w:p w14:paraId="04C1B076">
            <w:pPr>
              <w:spacing w:line="440" w:lineRule="exact"/>
              <w:jc w:val="center"/>
              <w:rPr>
                <w:rFonts w:ascii="宋体" w:hAnsi="宋体" w:cs="宋体"/>
                <w:b/>
                <w:bCs/>
                <w:szCs w:val="21"/>
                <w:highlight w:val="none"/>
              </w:rPr>
            </w:pPr>
          </w:p>
        </w:tc>
        <w:tc>
          <w:tcPr>
            <w:tcW w:w="6183" w:type="dxa"/>
            <w:noWrap/>
            <w:vAlign w:val="center"/>
          </w:tcPr>
          <w:p w14:paraId="7DE2EBA3">
            <w:pPr>
              <w:spacing w:line="440" w:lineRule="exact"/>
              <w:rPr>
                <w:rFonts w:ascii="宋体" w:hAnsi="宋体" w:cs="宋体"/>
                <w:szCs w:val="21"/>
                <w:highlight w:val="none"/>
              </w:rPr>
            </w:pPr>
            <w:r>
              <w:rPr>
                <w:rFonts w:hint="eastAsia" w:ascii="宋体" w:hAnsi="宋体" w:cs="宋体"/>
                <w:szCs w:val="21"/>
                <w:highlight w:val="none"/>
              </w:rPr>
              <w:t>企业法人营业执照</w:t>
            </w:r>
          </w:p>
        </w:tc>
        <w:tc>
          <w:tcPr>
            <w:tcW w:w="1860" w:type="dxa"/>
            <w:vMerge w:val="continue"/>
            <w:noWrap/>
            <w:vAlign w:val="center"/>
          </w:tcPr>
          <w:p w14:paraId="779E57B8">
            <w:pPr>
              <w:spacing w:line="440" w:lineRule="exact"/>
              <w:rPr>
                <w:rFonts w:ascii="宋体" w:hAnsi="宋体" w:cs="宋体"/>
                <w:b/>
                <w:szCs w:val="21"/>
                <w:highlight w:val="none"/>
              </w:rPr>
            </w:pPr>
          </w:p>
        </w:tc>
      </w:tr>
      <w:tr w14:paraId="25FC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65" w:type="dxa"/>
            <w:vMerge w:val="continue"/>
            <w:noWrap/>
            <w:vAlign w:val="center"/>
          </w:tcPr>
          <w:p w14:paraId="2D4982A9">
            <w:pPr>
              <w:spacing w:line="440" w:lineRule="exact"/>
              <w:jc w:val="center"/>
              <w:rPr>
                <w:rFonts w:ascii="宋体" w:hAnsi="宋体" w:cs="宋体"/>
                <w:szCs w:val="21"/>
                <w:highlight w:val="none"/>
              </w:rPr>
            </w:pPr>
          </w:p>
        </w:tc>
        <w:tc>
          <w:tcPr>
            <w:tcW w:w="1258" w:type="dxa"/>
            <w:vMerge w:val="continue"/>
            <w:noWrap/>
            <w:vAlign w:val="center"/>
          </w:tcPr>
          <w:p w14:paraId="0B3A3CE4">
            <w:pPr>
              <w:spacing w:line="440" w:lineRule="exact"/>
              <w:jc w:val="center"/>
              <w:rPr>
                <w:rFonts w:ascii="宋体" w:hAnsi="宋体" w:cs="宋体"/>
                <w:b/>
                <w:bCs/>
                <w:szCs w:val="21"/>
                <w:highlight w:val="none"/>
              </w:rPr>
            </w:pPr>
          </w:p>
        </w:tc>
        <w:tc>
          <w:tcPr>
            <w:tcW w:w="6183" w:type="dxa"/>
            <w:noWrap/>
            <w:vAlign w:val="center"/>
          </w:tcPr>
          <w:p w14:paraId="5DF3ACB3">
            <w:pPr>
              <w:spacing w:line="440" w:lineRule="exact"/>
              <w:rPr>
                <w:rFonts w:hint="eastAsia" w:ascii="宋体" w:hAnsi="宋体" w:eastAsia="宋体" w:cs="宋体"/>
                <w:szCs w:val="21"/>
                <w:highlight w:val="none"/>
                <w:lang w:val="en-US" w:eastAsia="zh-CN"/>
              </w:rPr>
            </w:pPr>
            <w:r>
              <w:rPr>
                <w:rFonts w:hint="eastAsia" w:ascii="宋体" w:hAnsi="宋体" w:cs="宋体"/>
                <w:szCs w:val="21"/>
                <w:highlight w:val="none"/>
              </w:rPr>
              <w:t>企业资质证书</w:t>
            </w:r>
            <w:r>
              <w:rPr>
                <w:rFonts w:hint="eastAsia" w:ascii="宋体" w:hAnsi="宋体" w:cs="宋体"/>
                <w:szCs w:val="21"/>
                <w:highlight w:val="none"/>
                <w:lang w:val="en-US" w:eastAsia="zh-CN"/>
              </w:rPr>
              <w:t>及</w:t>
            </w:r>
            <w:r>
              <w:rPr>
                <w:rFonts w:hint="eastAsia" w:ascii="宋体" w:hAnsi="宋体" w:cs="宋体"/>
                <w:color w:val="000000"/>
                <w:szCs w:val="21"/>
                <w:highlight w:val="none"/>
              </w:rPr>
              <w:t>企业安全生产许可证</w:t>
            </w:r>
          </w:p>
        </w:tc>
        <w:tc>
          <w:tcPr>
            <w:tcW w:w="1860" w:type="dxa"/>
            <w:vMerge w:val="continue"/>
            <w:noWrap/>
            <w:vAlign w:val="center"/>
          </w:tcPr>
          <w:p w14:paraId="2E943AB5">
            <w:pPr>
              <w:spacing w:line="440" w:lineRule="exact"/>
              <w:rPr>
                <w:rFonts w:ascii="宋体" w:hAnsi="宋体" w:cs="宋体"/>
                <w:szCs w:val="21"/>
                <w:highlight w:val="none"/>
              </w:rPr>
            </w:pPr>
          </w:p>
        </w:tc>
      </w:tr>
      <w:tr w14:paraId="5484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44F29A8D">
            <w:pPr>
              <w:spacing w:line="440" w:lineRule="exact"/>
              <w:jc w:val="center"/>
              <w:rPr>
                <w:rFonts w:ascii="宋体" w:hAnsi="宋体" w:cs="宋体"/>
                <w:szCs w:val="21"/>
                <w:highlight w:val="none"/>
              </w:rPr>
            </w:pPr>
          </w:p>
        </w:tc>
        <w:tc>
          <w:tcPr>
            <w:tcW w:w="1258" w:type="dxa"/>
            <w:vMerge w:val="continue"/>
            <w:noWrap/>
            <w:vAlign w:val="center"/>
          </w:tcPr>
          <w:p w14:paraId="5172F027">
            <w:pPr>
              <w:spacing w:line="440" w:lineRule="exact"/>
              <w:jc w:val="center"/>
              <w:rPr>
                <w:rFonts w:ascii="宋体" w:hAnsi="宋体" w:cs="宋体"/>
                <w:b/>
                <w:bCs/>
                <w:szCs w:val="21"/>
                <w:highlight w:val="none"/>
              </w:rPr>
            </w:pPr>
          </w:p>
        </w:tc>
        <w:tc>
          <w:tcPr>
            <w:tcW w:w="6183" w:type="dxa"/>
            <w:noWrap/>
            <w:vAlign w:val="top"/>
          </w:tcPr>
          <w:p w14:paraId="7910A869">
            <w:pPr>
              <w:keepNext w:val="0"/>
              <w:keepLines w:val="0"/>
              <w:pageBreakBefore w:val="0"/>
              <w:kinsoku/>
              <w:wordWrap/>
              <w:overflowPunct/>
              <w:topLinePunct w:val="0"/>
              <w:autoSpaceDN/>
              <w:bidi w:val="0"/>
              <w:adjustRightInd/>
              <w:snapToGrid/>
              <w:spacing w:line="440" w:lineRule="exact"/>
              <w:textAlignment w:val="auto"/>
              <w:rPr>
                <w:rFonts w:ascii="宋体" w:hAnsi="宋体" w:cs="宋体"/>
                <w:szCs w:val="21"/>
                <w:highlight w:val="none"/>
              </w:rPr>
            </w:pPr>
            <w:r>
              <w:rPr>
                <w:rFonts w:hint="eastAsia" w:ascii="宋体" w:hAnsi="宋体" w:cs="宋体"/>
                <w:color w:val="000000"/>
                <w:szCs w:val="21"/>
                <w:highlight w:val="none"/>
              </w:rPr>
              <w:t>项目经理（建造师）有效身份证、注册证书以及安全生产考核合格证书（B证）</w:t>
            </w:r>
          </w:p>
        </w:tc>
        <w:tc>
          <w:tcPr>
            <w:tcW w:w="1860" w:type="dxa"/>
            <w:vMerge w:val="continue"/>
            <w:noWrap/>
            <w:vAlign w:val="center"/>
          </w:tcPr>
          <w:p w14:paraId="2BFDCB77">
            <w:pPr>
              <w:spacing w:line="440" w:lineRule="exact"/>
              <w:rPr>
                <w:rFonts w:ascii="宋体" w:hAnsi="宋体" w:cs="宋体"/>
                <w:szCs w:val="21"/>
                <w:highlight w:val="none"/>
              </w:rPr>
            </w:pPr>
          </w:p>
        </w:tc>
      </w:tr>
      <w:tr w14:paraId="4C6A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765" w:type="dxa"/>
            <w:vMerge w:val="continue"/>
            <w:noWrap/>
            <w:vAlign w:val="center"/>
          </w:tcPr>
          <w:p w14:paraId="196A33EB">
            <w:pPr>
              <w:spacing w:line="440" w:lineRule="exact"/>
              <w:jc w:val="center"/>
              <w:rPr>
                <w:rFonts w:ascii="宋体" w:hAnsi="宋体" w:cs="宋体"/>
                <w:szCs w:val="21"/>
                <w:highlight w:val="none"/>
              </w:rPr>
            </w:pPr>
          </w:p>
        </w:tc>
        <w:tc>
          <w:tcPr>
            <w:tcW w:w="1258" w:type="dxa"/>
            <w:vMerge w:val="continue"/>
            <w:noWrap/>
            <w:vAlign w:val="center"/>
          </w:tcPr>
          <w:p w14:paraId="7D51B5B8">
            <w:pPr>
              <w:spacing w:line="440" w:lineRule="exact"/>
              <w:jc w:val="center"/>
              <w:rPr>
                <w:rFonts w:ascii="宋体" w:hAnsi="宋体" w:cs="宋体"/>
                <w:b/>
                <w:bCs/>
                <w:szCs w:val="21"/>
                <w:highlight w:val="none"/>
              </w:rPr>
            </w:pPr>
          </w:p>
        </w:tc>
        <w:tc>
          <w:tcPr>
            <w:tcW w:w="6183" w:type="dxa"/>
            <w:noWrap/>
            <w:vAlign w:val="top"/>
          </w:tcPr>
          <w:p w14:paraId="16C90B83">
            <w:pPr>
              <w:spacing w:line="440" w:lineRule="exac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拟任项目经理（建造师）须持有社保部门出具的本单位为其缴纳的</w:t>
            </w:r>
            <w:r>
              <w:rPr>
                <w:rFonts w:hint="eastAsia" w:ascii="宋体" w:hAnsi="宋体" w:eastAsia="宋体" w:cs="宋体"/>
                <w:color w:val="000000"/>
                <w:szCs w:val="21"/>
                <w:highlight w:val="none"/>
                <w:lang w:val="en-US" w:eastAsia="zh-CN"/>
              </w:rPr>
              <w:t>2026年</w:t>
            </w:r>
            <w:r>
              <w:rPr>
                <w:rFonts w:hint="eastAsia" w:ascii="宋体" w:hAnsi="宋体" w:cs="宋体"/>
                <w:color w:val="000000"/>
                <w:szCs w:val="21"/>
                <w:highlight w:val="none"/>
                <w:lang w:val="en-US" w:eastAsia="zh-CN"/>
              </w:rPr>
              <w:t>7</w:t>
            </w:r>
            <w:r>
              <w:rPr>
                <w:rFonts w:hint="eastAsia" w:ascii="宋体" w:hAnsi="宋体" w:eastAsia="宋体" w:cs="宋体"/>
                <w:color w:val="000000"/>
                <w:szCs w:val="21"/>
                <w:highlight w:val="none"/>
                <w:lang w:val="en-US" w:eastAsia="zh-CN"/>
              </w:rPr>
              <w:t>月至2026年</w:t>
            </w:r>
            <w:r>
              <w:rPr>
                <w:rFonts w:hint="eastAsia" w:ascii="宋体" w:hAnsi="宋体" w:cs="宋体"/>
                <w:color w:val="000000"/>
                <w:szCs w:val="21"/>
                <w:highlight w:val="none"/>
                <w:lang w:val="en-US" w:eastAsia="zh-CN"/>
              </w:rPr>
              <w:t>10</w:t>
            </w:r>
            <w:r>
              <w:rPr>
                <w:rFonts w:hint="eastAsia" w:ascii="宋体" w:hAnsi="宋体" w:eastAsia="宋体" w:cs="宋体"/>
                <w:color w:val="000000"/>
                <w:szCs w:val="21"/>
                <w:highlight w:val="none"/>
                <w:lang w:val="en-US" w:eastAsia="zh-CN"/>
              </w:rPr>
              <w:t>月范围内任意</w:t>
            </w:r>
            <w:r>
              <w:rPr>
                <w:rFonts w:hint="eastAsia" w:ascii="宋体" w:hAnsi="宋体" w:eastAsia="宋体" w:cs="宋体"/>
                <w:color w:val="000000"/>
                <w:szCs w:val="21"/>
                <w:highlight w:val="none"/>
              </w:rPr>
              <w:t>连续三个月的养老保险证明</w:t>
            </w:r>
            <w:r>
              <w:rPr>
                <w:rFonts w:hint="eastAsia" w:ascii="宋体" w:hAnsi="宋体" w:eastAsia="宋体" w:cs="宋体"/>
                <w:color w:val="000000"/>
                <w:szCs w:val="21"/>
                <w:highlight w:val="none"/>
                <w:lang w:eastAsia="zh-CN"/>
              </w:rPr>
              <w:t>。</w:t>
            </w:r>
          </w:p>
          <w:p w14:paraId="4C74DB8E">
            <w:pPr>
              <w:spacing w:line="440" w:lineRule="exact"/>
              <w:rPr>
                <w:rFonts w:ascii="宋体" w:hAnsi="宋体" w:cs="宋体"/>
                <w:highlight w:val="none"/>
              </w:rPr>
            </w:pPr>
            <w:r>
              <w:rPr>
                <w:rFonts w:hint="eastAsia" w:ascii="宋体" w:hAnsi="宋体" w:eastAsia="宋体" w:cs="宋体"/>
                <w:color w:val="000000"/>
                <w:szCs w:val="21"/>
                <w:highlight w:val="none"/>
                <w:lang w:eastAsia="zh-CN"/>
              </w:rPr>
              <w:t>注：</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投标人是事业单位的，暂未缴纳养老保险的，须由其主管部门出具证明</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lang w:eastAsia="zh-CN"/>
              </w:rPr>
              <w:t>如拟派项目经理为退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p>
        </w:tc>
        <w:tc>
          <w:tcPr>
            <w:tcW w:w="1860" w:type="dxa"/>
            <w:vMerge w:val="continue"/>
            <w:noWrap/>
            <w:vAlign w:val="center"/>
          </w:tcPr>
          <w:p w14:paraId="701C2C27">
            <w:pPr>
              <w:spacing w:line="440" w:lineRule="exact"/>
              <w:rPr>
                <w:rFonts w:ascii="宋体" w:hAnsi="宋体" w:cs="宋体"/>
                <w:szCs w:val="21"/>
                <w:highlight w:val="none"/>
              </w:rPr>
            </w:pPr>
          </w:p>
        </w:tc>
      </w:tr>
    </w:tbl>
    <w:p w14:paraId="44418C94">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重要提示：</w:t>
      </w:r>
    </w:p>
    <w:p w14:paraId="3BA6D76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zCs w:val="21"/>
          <w:highlight w:val="none"/>
        </w:rPr>
      </w:pPr>
      <w:r>
        <w:rPr>
          <w:rFonts w:hint="eastAsia" w:ascii="宋体" w:hAnsi="宋体" w:eastAsia="宋体" w:cs="宋体"/>
          <w:b/>
          <w:bCs/>
          <w:szCs w:val="21"/>
          <w:highlight w:val="none"/>
          <w:lang w:eastAsia="zh-CN"/>
        </w:rPr>
        <w:t>（</w:t>
      </w:r>
      <w:r>
        <w:rPr>
          <w:rFonts w:hint="eastAsia" w:ascii="宋体" w:hAnsi="宋体" w:eastAsia="宋体" w:cs="宋体"/>
          <w:b/>
          <w:bCs/>
          <w:szCs w:val="21"/>
          <w:highlight w:val="none"/>
          <w:lang w:val="en-US" w:eastAsia="zh-CN"/>
        </w:rPr>
        <w:t>1）</w:t>
      </w:r>
      <w:r>
        <w:rPr>
          <w:rFonts w:hint="eastAsia" w:ascii="宋体" w:hAnsi="宋体" w:eastAsia="宋体" w:cs="宋体"/>
          <w:b/>
          <w:bCs/>
          <w:szCs w:val="21"/>
          <w:highlight w:val="none"/>
        </w:rPr>
        <w:t>评标专家在检验电子投标文件过程中，如果由于投标人自身原因导致评标专家无法查看并检验电子投标文件中相关资料的，视为无效标处理。即使投标人将原件携带至现场的，同样按无效标处理。</w:t>
      </w:r>
    </w:p>
    <w:p w14:paraId="47D2EA3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zCs w:val="21"/>
          <w:highlight w:val="none"/>
        </w:rPr>
      </w:pPr>
      <w:bookmarkStart w:id="735" w:name="_Toc27127"/>
      <w:bookmarkStart w:id="736" w:name="_Toc78803376"/>
      <w:bookmarkStart w:id="737" w:name="_Toc35425107"/>
      <w:bookmarkStart w:id="738" w:name="_Toc35424941"/>
      <w:bookmarkStart w:id="739" w:name="_Toc15058904"/>
      <w:bookmarkStart w:id="740" w:name="_Toc506107319"/>
      <w:bookmarkStart w:id="741" w:name="_Toc324404866"/>
      <w:r>
        <w:rPr>
          <w:rFonts w:hint="eastAsia" w:ascii="宋体" w:hAnsi="宋体" w:eastAsia="宋体" w:cs="宋体"/>
          <w:b/>
          <w:bCs/>
          <w:szCs w:val="21"/>
          <w:highlight w:val="none"/>
          <w:lang w:eastAsia="zh-CN"/>
        </w:rPr>
        <w:t>（</w:t>
      </w:r>
      <w:r>
        <w:rPr>
          <w:rFonts w:hint="eastAsia" w:ascii="宋体" w:hAnsi="宋体" w:eastAsia="宋体" w:cs="宋体"/>
          <w:b/>
          <w:bCs/>
          <w:szCs w:val="21"/>
          <w:highlight w:val="none"/>
          <w:lang w:val="en-US" w:eastAsia="zh-CN"/>
        </w:rPr>
        <w:t>2）</w:t>
      </w:r>
      <w:r>
        <w:rPr>
          <w:rFonts w:hint="eastAsia" w:ascii="宋体" w:hAnsi="宋体" w:eastAsia="宋体" w:cs="宋体"/>
          <w:b/>
          <w:bCs/>
          <w:szCs w:val="21"/>
          <w:highlight w:val="none"/>
        </w:rPr>
        <w:t>投标人拟委任项目经理为注册建造师（含一级、二级）的，须提供在电子证书使用有效期内的纸质版电子证书。一级建造师打印电子证书后，应在个人签名处手写本人签名，未手写签名或与签名图像笔迹不一致的，该电子证书无效。</w:t>
      </w:r>
    </w:p>
    <w:p w14:paraId="5B4DF0B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投标人提供的安徽省新版二级建造师电子注册证书纸质版需在安徽省住房和城乡建设执业资格注册管理系统中打印，打印后应由二级建造师本人在证书的个人签名处手写本人签名，或在新版二级建造师电子注册证书纸质版后附其本人知情承诺（视为个人签名处的手写本人签名），格式自拟。未手写个人签名或未提供二级建造师本人知情承诺的，个人签名或知情承诺签字与签名图片笔迹不一致，此证书无效。其他省份按各省相关规定执行。</w:t>
      </w:r>
    </w:p>
    <w:p w14:paraId="4A8A3FCB">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1.审查资料</w:t>
      </w:r>
      <w:bookmarkEnd w:id="735"/>
      <w:bookmarkEnd w:id="736"/>
      <w:bookmarkEnd w:id="737"/>
      <w:bookmarkEnd w:id="738"/>
      <w:bookmarkEnd w:id="739"/>
      <w:bookmarkEnd w:id="740"/>
      <w:bookmarkEnd w:id="741"/>
    </w:p>
    <w:p w14:paraId="2DC377C4">
      <w:pPr>
        <w:spacing w:line="440" w:lineRule="exact"/>
        <w:ind w:firstLine="420" w:firstLineChars="200"/>
        <w:jc w:val="left"/>
        <w:rPr>
          <w:rFonts w:hint="eastAsia" w:ascii="宋体" w:hAnsi="宋体" w:cs="宋体"/>
          <w:szCs w:val="21"/>
          <w:highlight w:val="none"/>
        </w:rPr>
      </w:pPr>
      <w:bookmarkStart w:id="742" w:name="_Toc15058905"/>
      <w:bookmarkStart w:id="743" w:name="_Toc324404867"/>
      <w:r>
        <w:rPr>
          <w:rFonts w:hint="eastAsia" w:ascii="宋体" w:hAnsi="宋体" w:cs="宋体"/>
          <w:szCs w:val="21"/>
          <w:highlight w:val="none"/>
        </w:rPr>
        <w:t>（1）法定代表人身份证明文件和本人有效身份证(或法定代表人授权委托书和委托代理人有效身份证)；</w:t>
      </w:r>
    </w:p>
    <w:p w14:paraId="3F0E71B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（2）诚信投标承诺书；</w:t>
      </w:r>
    </w:p>
    <w:p w14:paraId="12618AFF">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（3）企业法人营业执照；</w:t>
      </w:r>
    </w:p>
    <w:p w14:paraId="45677E59">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（4）企业资质证书</w:t>
      </w:r>
      <w:r>
        <w:rPr>
          <w:rFonts w:hint="eastAsia" w:ascii="宋体" w:hAnsi="宋体" w:cs="宋体"/>
          <w:szCs w:val="21"/>
          <w:highlight w:val="none"/>
          <w:lang w:val="en-US" w:eastAsia="zh-CN"/>
        </w:rPr>
        <w:t>及</w:t>
      </w:r>
      <w:r>
        <w:rPr>
          <w:rFonts w:hint="eastAsia" w:ascii="宋体" w:hAnsi="宋体" w:cs="宋体"/>
          <w:color w:val="000000"/>
          <w:szCs w:val="21"/>
          <w:highlight w:val="none"/>
        </w:rPr>
        <w:t>企业安全生产许可证</w:t>
      </w:r>
      <w:r>
        <w:rPr>
          <w:rFonts w:hint="eastAsia" w:ascii="宋体" w:hAnsi="宋体" w:cs="宋体"/>
          <w:szCs w:val="21"/>
          <w:highlight w:val="none"/>
        </w:rPr>
        <w:t>；</w:t>
      </w:r>
    </w:p>
    <w:p w14:paraId="0ED50D49">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（5）</w:t>
      </w:r>
      <w:r>
        <w:rPr>
          <w:rFonts w:hint="eastAsia" w:ascii="宋体" w:hAnsi="宋体" w:cs="宋体"/>
          <w:color w:val="000000"/>
          <w:szCs w:val="21"/>
          <w:highlight w:val="none"/>
        </w:rPr>
        <w:t>项目经理（建造师）有效身份证、注册证书以及安全生产考核合格证书（B证）</w:t>
      </w:r>
      <w:r>
        <w:rPr>
          <w:rFonts w:hint="eastAsia" w:ascii="宋体" w:hAnsi="宋体" w:cs="宋体"/>
          <w:szCs w:val="21"/>
          <w:highlight w:val="none"/>
        </w:rPr>
        <w:t>；</w:t>
      </w:r>
    </w:p>
    <w:p w14:paraId="325011DD">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cs="宋体"/>
          <w:szCs w:val="21"/>
          <w:highlight w:val="none"/>
        </w:rPr>
        <w:t>（</w:t>
      </w:r>
      <w:r>
        <w:rPr>
          <w:rFonts w:hint="eastAsia" w:ascii="宋体" w:hAnsi="宋体" w:cs="宋体"/>
          <w:szCs w:val="21"/>
          <w:highlight w:val="none"/>
          <w:lang w:val="en-US" w:eastAsia="zh-CN"/>
        </w:rPr>
        <w:t>6</w:t>
      </w:r>
      <w:r>
        <w:rPr>
          <w:rFonts w:hint="eastAsia" w:ascii="宋体" w:hAnsi="宋体" w:cs="宋体"/>
          <w:szCs w:val="21"/>
          <w:highlight w:val="none"/>
        </w:rPr>
        <w:t>）</w:t>
      </w:r>
      <w:r>
        <w:rPr>
          <w:rFonts w:hint="eastAsia" w:ascii="宋体" w:hAnsi="宋体" w:eastAsia="宋体" w:cs="宋体"/>
          <w:color w:val="000000"/>
          <w:szCs w:val="21"/>
          <w:highlight w:val="none"/>
        </w:rPr>
        <w:t>拟任项目经理（建造师）须持有社保部门出具的本单位为其缴纳的</w:t>
      </w:r>
      <w:r>
        <w:rPr>
          <w:rFonts w:hint="eastAsia" w:ascii="宋体" w:hAnsi="宋体" w:eastAsia="宋体" w:cs="宋体"/>
          <w:color w:val="000000"/>
          <w:szCs w:val="21"/>
          <w:highlight w:val="none"/>
          <w:lang w:val="en-US" w:eastAsia="zh-CN"/>
        </w:rPr>
        <w:t>2026年</w:t>
      </w:r>
      <w:r>
        <w:rPr>
          <w:rFonts w:hint="eastAsia" w:ascii="宋体" w:hAnsi="宋体" w:cs="宋体"/>
          <w:color w:val="000000"/>
          <w:szCs w:val="21"/>
          <w:highlight w:val="none"/>
          <w:lang w:val="en-US" w:eastAsia="zh-CN"/>
        </w:rPr>
        <w:t>7</w:t>
      </w:r>
      <w:r>
        <w:rPr>
          <w:rFonts w:hint="eastAsia" w:ascii="宋体" w:hAnsi="宋体" w:eastAsia="宋体" w:cs="宋体"/>
          <w:color w:val="000000"/>
          <w:szCs w:val="21"/>
          <w:highlight w:val="none"/>
          <w:lang w:val="en-US" w:eastAsia="zh-CN"/>
        </w:rPr>
        <w:t>月至2026年</w:t>
      </w:r>
      <w:r>
        <w:rPr>
          <w:rFonts w:hint="eastAsia" w:ascii="宋体" w:hAnsi="宋体" w:cs="宋体"/>
          <w:color w:val="000000"/>
          <w:szCs w:val="21"/>
          <w:highlight w:val="none"/>
          <w:lang w:val="en-US" w:eastAsia="zh-CN"/>
        </w:rPr>
        <w:t>10</w:t>
      </w:r>
      <w:r>
        <w:rPr>
          <w:rFonts w:hint="eastAsia" w:ascii="宋体" w:hAnsi="宋体" w:eastAsia="宋体" w:cs="宋体"/>
          <w:color w:val="000000"/>
          <w:szCs w:val="21"/>
          <w:highlight w:val="none"/>
          <w:lang w:val="en-US" w:eastAsia="zh-CN"/>
        </w:rPr>
        <w:t>月范围内任意</w:t>
      </w:r>
      <w:r>
        <w:rPr>
          <w:rFonts w:hint="eastAsia" w:ascii="宋体" w:hAnsi="宋体" w:eastAsia="宋体" w:cs="宋体"/>
          <w:color w:val="000000"/>
          <w:szCs w:val="21"/>
          <w:highlight w:val="none"/>
        </w:rPr>
        <w:t>连续三个月的养老保险证明</w:t>
      </w:r>
      <w:r>
        <w:rPr>
          <w:rFonts w:hint="eastAsia" w:ascii="宋体" w:hAnsi="宋体" w:eastAsia="宋体" w:cs="宋体"/>
          <w:color w:val="000000"/>
          <w:szCs w:val="21"/>
          <w:highlight w:val="none"/>
          <w:lang w:eastAsia="zh-CN"/>
        </w:rPr>
        <w:t>。</w:t>
      </w:r>
    </w:p>
    <w:p w14:paraId="57EC5BE4">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color w:val="000000"/>
          <w:szCs w:val="21"/>
          <w:highlight w:val="none"/>
          <w:lang w:eastAsia="zh-CN"/>
        </w:rPr>
        <w:t>注：</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投标人是事业单位的，暂未缴纳养老保险的，须由其主管部门出具证明</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lang w:eastAsia="zh-CN"/>
        </w:rPr>
        <w:t>如拟派项目经理为退</w:t>
      </w:r>
      <w:r>
        <w:rPr>
          <w:rFonts w:hint="eastAsia" w:ascii="宋体" w:hAnsi="宋体" w:eastAsia="宋体" w:cs="宋体"/>
          <w:szCs w:val="21"/>
          <w:highlight w:val="none"/>
          <w:lang w:eastAsia="zh-CN"/>
        </w:rPr>
        <w:t>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r>
        <w:rPr>
          <w:rFonts w:hint="eastAsia" w:ascii="宋体" w:hAnsi="宋体" w:cs="宋体"/>
          <w:color w:val="000000"/>
          <w:szCs w:val="21"/>
          <w:highlight w:val="none"/>
          <w:lang w:eastAsia="zh-CN"/>
        </w:rPr>
        <w:t>。</w:t>
      </w:r>
    </w:p>
    <w:bookmarkEnd w:id="742"/>
    <w:p w14:paraId="5990719C">
      <w:pPr>
        <w:pStyle w:val="3"/>
        <w:spacing w:beforeLines="50" w:afterLines="50"/>
        <w:ind w:firstLine="422" w:firstLineChars="200"/>
        <w:rPr>
          <w:rFonts w:ascii="宋体" w:hAnsi="宋体" w:eastAsia="宋体" w:cs="宋体"/>
          <w:highlight w:val="none"/>
        </w:rPr>
      </w:pPr>
      <w:bookmarkStart w:id="744" w:name="_Toc15058909"/>
      <w:bookmarkStart w:id="745" w:name="_Toc12549"/>
      <w:bookmarkStart w:id="746" w:name="_Toc506107320"/>
      <w:bookmarkStart w:id="747" w:name="_Toc78803377"/>
      <w:bookmarkStart w:id="748" w:name="_Toc35425108"/>
      <w:bookmarkStart w:id="749" w:name="_Toc35424942"/>
      <w:r>
        <w:rPr>
          <w:rFonts w:hint="eastAsia" w:ascii="宋体" w:hAnsi="宋体" w:eastAsia="宋体" w:cs="宋体"/>
          <w:highlight w:val="none"/>
        </w:rPr>
        <w:t>2.审查办法</w:t>
      </w:r>
      <w:bookmarkEnd w:id="743"/>
      <w:bookmarkEnd w:id="744"/>
      <w:bookmarkEnd w:id="745"/>
      <w:bookmarkEnd w:id="746"/>
      <w:bookmarkEnd w:id="747"/>
      <w:bookmarkEnd w:id="748"/>
      <w:bookmarkEnd w:id="749"/>
    </w:p>
    <w:p w14:paraId="0B018554">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由资格审查委员会（评标委员会）按资格审查办法前附表中资格审查必要合格条件评审表要求对投标人审查资料进行核验。</w:t>
      </w:r>
    </w:p>
    <w:p w14:paraId="447D2762">
      <w:pPr>
        <w:pStyle w:val="3"/>
        <w:spacing w:beforeLines="50" w:afterLines="50"/>
        <w:ind w:firstLine="422" w:firstLineChars="200"/>
        <w:rPr>
          <w:rFonts w:ascii="宋体" w:hAnsi="宋体" w:eastAsia="宋体" w:cs="宋体"/>
          <w:highlight w:val="none"/>
        </w:rPr>
      </w:pPr>
      <w:bookmarkStart w:id="750" w:name="_Toc35425109"/>
      <w:bookmarkStart w:id="751" w:name="_Toc506107321"/>
      <w:bookmarkStart w:id="752" w:name="_Toc35424943"/>
      <w:bookmarkStart w:id="753" w:name="_Toc15058910"/>
      <w:bookmarkStart w:id="754" w:name="_Toc324404868"/>
      <w:bookmarkStart w:id="755" w:name="_Toc15626"/>
      <w:bookmarkStart w:id="756" w:name="_Toc78803378"/>
      <w:r>
        <w:rPr>
          <w:rFonts w:hint="eastAsia" w:ascii="宋体" w:hAnsi="宋体" w:eastAsia="宋体" w:cs="宋体"/>
          <w:highlight w:val="none"/>
        </w:rPr>
        <w:t>3.资格审查委员会和审查标准</w:t>
      </w:r>
      <w:bookmarkEnd w:id="750"/>
      <w:bookmarkEnd w:id="751"/>
      <w:bookmarkEnd w:id="752"/>
      <w:bookmarkEnd w:id="753"/>
      <w:bookmarkEnd w:id="754"/>
      <w:bookmarkEnd w:id="755"/>
      <w:bookmarkEnd w:id="756"/>
    </w:p>
    <w:p w14:paraId="48F20776">
      <w:pPr>
        <w:spacing w:line="440" w:lineRule="exact"/>
        <w:ind w:firstLine="420" w:firstLineChars="200"/>
        <w:jc w:val="left"/>
        <w:rPr>
          <w:rFonts w:hint="eastAsia" w:ascii="宋体" w:hAnsi="宋体" w:eastAsia="宋体" w:cs="宋体"/>
          <w:szCs w:val="21"/>
          <w:highlight w:val="none"/>
        </w:rPr>
      </w:pPr>
      <w:bookmarkStart w:id="757" w:name="_Toc35425110"/>
      <w:bookmarkStart w:id="758" w:name="_Toc10330"/>
      <w:bookmarkStart w:id="759" w:name="_Toc506107322"/>
      <w:bookmarkStart w:id="760" w:name="_Toc78803379"/>
      <w:bookmarkStart w:id="761" w:name="_Toc35424944"/>
      <w:bookmarkStart w:id="762" w:name="_Toc15058911"/>
      <w:bookmarkStart w:id="763" w:name="_Toc324404869"/>
      <w:r>
        <w:rPr>
          <w:rFonts w:hint="eastAsia" w:ascii="宋体" w:hAnsi="宋体" w:eastAsia="宋体" w:cs="宋体"/>
          <w:szCs w:val="21"/>
          <w:highlight w:val="none"/>
        </w:rPr>
        <w:t>3.1资格审查由招标人依法组建的资格审查委员会（或评标委员会）负责。审查标准见资格审查办法前附表。</w:t>
      </w:r>
    </w:p>
    <w:p w14:paraId="75FCAEF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3.2由资格审查委员会（评标委员会）按资格审查办法前附表要求对投标人的审查资料进行核验。投标申请人有下列情形之一的，其资格审查为不合格： </w:t>
      </w:r>
    </w:p>
    <w:p w14:paraId="170CFBE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（1）未上传电子标书或电子标书经审查不合格；</w:t>
      </w:r>
    </w:p>
    <w:p w14:paraId="2CFB6988">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（2）联合体投标人没有提交联合体协议书；</w:t>
      </w:r>
    </w:p>
    <w:p w14:paraId="7DB584A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（3）保证金不按</w:t>
      </w:r>
      <w:r>
        <w:rPr>
          <w:rFonts w:hint="eastAsia" w:ascii="宋体" w:hAnsi="宋体" w:eastAsia="宋体" w:cs="宋体"/>
          <w:szCs w:val="21"/>
          <w:highlight w:val="none"/>
          <w:lang w:val="en-US" w:eastAsia="zh-CN"/>
        </w:rPr>
        <w:t>招标公告</w:t>
      </w:r>
      <w:r>
        <w:rPr>
          <w:rFonts w:hint="eastAsia" w:ascii="宋体" w:hAnsi="宋体" w:eastAsia="宋体" w:cs="宋体"/>
          <w:szCs w:val="21"/>
          <w:highlight w:val="none"/>
        </w:rPr>
        <w:t xml:space="preserve">要求提交投标保证金的； </w:t>
      </w:r>
    </w:p>
    <w:p w14:paraId="5BD4972E">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）投标人申请开具电子保函 MAC 地址一致的；</w:t>
      </w:r>
    </w:p>
    <w:p w14:paraId="3ECC0E6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）投标人投标文件制作机器码、文件创建标识码及造价软件加密锁号信息雷同的；</w:t>
      </w:r>
    </w:p>
    <w:p w14:paraId="5EE2F401">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）法律、法规规定的其他情形。</w:t>
      </w:r>
    </w:p>
    <w:p w14:paraId="439F3B10">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4.审查结果</w:t>
      </w:r>
      <w:bookmarkEnd w:id="757"/>
      <w:bookmarkEnd w:id="758"/>
      <w:bookmarkEnd w:id="759"/>
      <w:bookmarkEnd w:id="760"/>
      <w:bookmarkEnd w:id="761"/>
      <w:bookmarkEnd w:id="762"/>
      <w:bookmarkEnd w:id="763"/>
    </w:p>
    <w:p w14:paraId="58D45548">
      <w:pPr>
        <w:spacing w:line="440" w:lineRule="exact"/>
        <w:ind w:firstLine="420" w:firstLineChars="200"/>
        <w:jc w:val="left"/>
        <w:rPr>
          <w:rFonts w:ascii="宋体" w:hAnsi="宋体" w:cs="宋体"/>
          <w:szCs w:val="21"/>
          <w:highlight w:val="none"/>
        </w:rPr>
      </w:pPr>
      <w:r>
        <w:rPr>
          <w:rFonts w:hint="eastAsia" w:ascii="宋体" w:hAnsi="宋体" w:cs="宋体"/>
          <w:highlight w:val="none"/>
        </w:rPr>
        <w:t>只有通过资格审查的投标人才能进入下一步的评标程序。</w:t>
      </w:r>
      <w:bookmarkStart w:id="764" w:name="_Toc506107323"/>
    </w:p>
    <w:p w14:paraId="500CB5F4">
      <w:pPr>
        <w:pStyle w:val="2"/>
        <w:numPr>
          <w:ilvl w:val="0"/>
          <w:numId w:val="1"/>
        </w:numPr>
        <w:spacing w:beforeLines="50" w:afterLines="50"/>
        <w:rPr>
          <w:rFonts w:hint="eastAsia" w:ascii="Arial" w:hAnsi="Arial" w:eastAsia="宋体" w:cs="Times New Roman"/>
          <w:kern w:val="0"/>
          <w:sz w:val="32"/>
          <w:szCs w:val="32"/>
          <w:highlight w:val="none"/>
        </w:rPr>
      </w:pPr>
      <w:bookmarkStart w:id="765" w:name="_Toc35424945"/>
      <w:bookmarkStart w:id="766" w:name="_Toc35425111"/>
      <w:bookmarkStart w:id="767" w:name="_Toc15058912"/>
      <w:r>
        <w:rPr>
          <w:rFonts w:hint="eastAsia"/>
          <w:highlight w:val="none"/>
        </w:rPr>
        <w:br w:type="page"/>
      </w:r>
      <w:bookmarkStart w:id="768" w:name="_Toc78803380"/>
      <w:r>
        <w:rPr>
          <w:rFonts w:hint="eastAsia" w:ascii="Arial" w:hAnsi="Arial" w:eastAsia="宋体" w:cs="Times New Roman"/>
          <w:kern w:val="0"/>
          <w:sz w:val="32"/>
          <w:szCs w:val="32"/>
          <w:highlight w:val="none"/>
        </w:rPr>
        <w:t>评标办法</w:t>
      </w:r>
      <w:bookmarkEnd w:id="616"/>
      <w:bookmarkEnd w:id="764"/>
      <w:bookmarkEnd w:id="765"/>
      <w:bookmarkEnd w:id="766"/>
      <w:bookmarkEnd w:id="767"/>
      <w:bookmarkEnd w:id="768"/>
    </w:p>
    <w:p w14:paraId="209DF429">
      <w:pPr>
        <w:pStyle w:val="14"/>
        <w:adjustRightInd w:val="0"/>
        <w:snapToGrid w:val="0"/>
        <w:spacing w:after="0" w:line="560" w:lineRule="exact"/>
        <w:ind w:left="0" w:leftChars="0" w:firstLine="0" w:firstLineChars="0"/>
        <w:jc w:val="center"/>
        <w:rPr>
          <w:rFonts w:hint="eastAsia" w:ascii="宋体" w:hAnsi="Times New Roman" w:eastAsia="宋体" w:cs="Times New Roman"/>
          <w:b/>
          <w:color w:val="000000"/>
          <w:sz w:val="28"/>
          <w:szCs w:val="21"/>
          <w:highlight w:val="none"/>
        </w:rPr>
      </w:pPr>
      <w:r>
        <w:rPr>
          <w:rFonts w:hint="eastAsia" w:ascii="宋体" w:hAnsi="Times New Roman" w:eastAsia="宋体" w:cs="Times New Roman"/>
          <w:b/>
          <w:color w:val="000000"/>
          <w:sz w:val="28"/>
          <w:szCs w:val="21"/>
          <w:highlight w:val="none"/>
          <w:lang w:eastAsia="zh-CN"/>
        </w:rPr>
        <w:t>（</w:t>
      </w:r>
      <w:r>
        <w:rPr>
          <w:rFonts w:hint="eastAsia" w:ascii="宋体" w:hAnsi="Times New Roman" w:eastAsia="宋体" w:cs="Times New Roman"/>
          <w:b/>
          <w:color w:val="000000"/>
          <w:sz w:val="28"/>
          <w:szCs w:val="21"/>
          <w:highlight w:val="none"/>
          <w:lang w:val="en-US" w:eastAsia="zh-CN"/>
        </w:rPr>
        <w:t>一）</w:t>
      </w:r>
      <w:r>
        <w:rPr>
          <w:rFonts w:hint="eastAsia" w:ascii="宋体" w:hAnsi="Times New Roman" w:eastAsia="宋体" w:cs="Times New Roman"/>
          <w:b/>
          <w:color w:val="000000"/>
          <w:sz w:val="28"/>
          <w:szCs w:val="21"/>
          <w:highlight w:val="none"/>
        </w:rPr>
        <w:t>中标候选人的确定</w:t>
      </w:r>
    </w:p>
    <w:p w14:paraId="5B6D2BA7">
      <w:pPr>
        <w:pStyle w:val="14"/>
        <w:spacing w:after="0" w:line="560" w:lineRule="exact"/>
        <w:ind w:left="0" w:leftChars="0"/>
        <w:rPr>
          <w:rFonts w:hint="eastAsia"/>
          <w:color w:val="000000"/>
          <w:highlight w:val="none"/>
        </w:rPr>
      </w:pPr>
      <w:r>
        <w:rPr>
          <w:rFonts w:hint="eastAsia"/>
          <w:color w:val="000000"/>
          <w:highlight w:val="none"/>
        </w:rPr>
        <w:t>评标委员会对投标人依次进行资信、商务文件审查，对均满足要求的投标人进行各项评审因素打分，合计的总得分按照从高到低进行排序，总得分第一的投标人为第一中标候选人。如总得分相等，以投标报价低的优先，投标报价仍相等，由评标委员会主任委员或招标人随机抽取确定排名。</w:t>
      </w:r>
    </w:p>
    <w:p w14:paraId="5ACF4081">
      <w:pPr>
        <w:pStyle w:val="14"/>
        <w:adjustRightInd w:val="0"/>
        <w:snapToGrid w:val="0"/>
        <w:spacing w:after="0" w:line="560" w:lineRule="exact"/>
        <w:ind w:left="0" w:leftChars="0" w:firstLine="0" w:firstLineChars="0"/>
        <w:jc w:val="center"/>
        <w:rPr>
          <w:rFonts w:hint="eastAsia"/>
          <w:b/>
          <w:color w:val="000000"/>
          <w:sz w:val="28"/>
          <w:szCs w:val="21"/>
          <w:highlight w:val="none"/>
        </w:rPr>
      </w:pPr>
      <w:r>
        <w:rPr>
          <w:rFonts w:hint="eastAsia"/>
          <w:b/>
          <w:color w:val="000000"/>
          <w:sz w:val="28"/>
          <w:szCs w:val="21"/>
          <w:highlight w:val="none"/>
        </w:rPr>
        <w:t>（</w:t>
      </w:r>
      <w:r>
        <w:rPr>
          <w:rFonts w:hint="eastAsia"/>
          <w:b/>
          <w:color w:val="000000"/>
          <w:sz w:val="28"/>
          <w:szCs w:val="21"/>
          <w:highlight w:val="none"/>
          <w:lang w:val="en-US" w:eastAsia="zh-CN"/>
        </w:rPr>
        <w:t>二</w:t>
      </w:r>
      <w:r>
        <w:rPr>
          <w:rFonts w:hint="eastAsia"/>
          <w:b/>
          <w:color w:val="000000"/>
          <w:sz w:val="28"/>
          <w:szCs w:val="21"/>
          <w:highlight w:val="none"/>
        </w:rPr>
        <w:t>）商务标评审</w:t>
      </w:r>
    </w:p>
    <w:p w14:paraId="69D279B4">
      <w:pPr>
        <w:rPr>
          <w:highlight w:val="none"/>
        </w:rPr>
      </w:pPr>
    </w:p>
    <w:tbl>
      <w:tblPr>
        <w:tblStyle w:val="47"/>
        <w:tblW w:w="10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780"/>
        <w:gridCol w:w="726"/>
        <w:gridCol w:w="2132"/>
        <w:gridCol w:w="5526"/>
      </w:tblGrid>
      <w:tr w14:paraId="7B94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60" w:type="dxa"/>
            <w:gridSpan w:val="2"/>
            <w:noWrap w:val="0"/>
            <w:vAlign w:val="center"/>
          </w:tcPr>
          <w:p w14:paraId="143D8C4E">
            <w:pPr>
              <w:adjustRightInd w:val="0"/>
              <w:snapToGrid w:val="0"/>
              <w:spacing w:line="560" w:lineRule="exact"/>
              <w:jc w:val="center"/>
              <w:rPr>
                <w:rFonts w:hint="eastAsia" w:ascii="宋体" w:hAnsi="宋体" w:cs="宋体"/>
                <w:color w:val="000000"/>
                <w:szCs w:val="21"/>
                <w:highlight w:val="none"/>
              </w:rPr>
            </w:pPr>
            <w:bookmarkStart w:id="769" w:name="_Toc152042366"/>
            <w:bookmarkStart w:id="770" w:name="_Toc246996232"/>
            <w:bookmarkStart w:id="771" w:name="_Toc324404872"/>
            <w:bookmarkStart w:id="772" w:name="_Toc35425113"/>
            <w:bookmarkStart w:id="773" w:name="_Toc152045589"/>
            <w:bookmarkStart w:id="774" w:name="_Toc179632607"/>
            <w:bookmarkStart w:id="775" w:name="_Toc6491"/>
            <w:bookmarkStart w:id="776" w:name="_Toc144974556"/>
            <w:bookmarkStart w:id="777" w:name="_Toc78803381"/>
            <w:bookmarkStart w:id="778" w:name="_Toc246996975"/>
            <w:bookmarkStart w:id="779" w:name="_Toc506107324"/>
            <w:bookmarkStart w:id="780" w:name="_Toc35424947"/>
            <w:bookmarkStart w:id="781" w:name="_Toc15058913"/>
            <w:bookmarkStart w:id="782" w:name="_Toc247085747"/>
            <w:r>
              <w:rPr>
                <w:rFonts w:hint="eastAsia" w:ascii="宋体" w:hAnsi="宋体" w:cs="宋体"/>
                <w:color w:val="000000"/>
                <w:szCs w:val="21"/>
                <w:highlight w:val="none"/>
              </w:rPr>
              <w:t>条款号</w:t>
            </w:r>
          </w:p>
        </w:tc>
        <w:tc>
          <w:tcPr>
            <w:tcW w:w="2858" w:type="dxa"/>
            <w:gridSpan w:val="2"/>
            <w:noWrap w:val="0"/>
            <w:vAlign w:val="center"/>
          </w:tcPr>
          <w:p w14:paraId="333E1D52">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评审因素</w:t>
            </w:r>
          </w:p>
        </w:tc>
        <w:tc>
          <w:tcPr>
            <w:tcW w:w="5526" w:type="dxa"/>
            <w:noWrap w:val="0"/>
            <w:vAlign w:val="center"/>
          </w:tcPr>
          <w:p w14:paraId="7FEED237">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评审标准</w:t>
            </w:r>
          </w:p>
        </w:tc>
      </w:tr>
      <w:tr w14:paraId="3305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80" w:type="dxa"/>
            <w:vMerge w:val="restart"/>
            <w:noWrap w:val="0"/>
            <w:vAlign w:val="center"/>
          </w:tcPr>
          <w:p w14:paraId="2ED09A3D">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4.</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.1</w:t>
            </w:r>
          </w:p>
        </w:tc>
        <w:tc>
          <w:tcPr>
            <w:tcW w:w="780" w:type="dxa"/>
            <w:vMerge w:val="restart"/>
            <w:noWrap w:val="0"/>
            <w:vAlign w:val="center"/>
          </w:tcPr>
          <w:p w14:paraId="60C7E2F2">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形式评审标准</w:t>
            </w:r>
          </w:p>
        </w:tc>
        <w:tc>
          <w:tcPr>
            <w:tcW w:w="2858" w:type="dxa"/>
            <w:gridSpan w:val="2"/>
            <w:noWrap w:val="0"/>
            <w:vAlign w:val="center"/>
          </w:tcPr>
          <w:p w14:paraId="017775B0">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投标函签字盖章</w:t>
            </w:r>
          </w:p>
        </w:tc>
        <w:tc>
          <w:tcPr>
            <w:tcW w:w="5526" w:type="dxa"/>
            <w:noWrap w:val="0"/>
            <w:vAlign w:val="center"/>
          </w:tcPr>
          <w:p w14:paraId="3F81F23C">
            <w:pPr>
              <w:adjustRightInd w:val="0"/>
              <w:snapToGrid w:val="0"/>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有投标人及其法定代表人签章。</w:t>
            </w:r>
          </w:p>
        </w:tc>
      </w:tr>
      <w:tr w14:paraId="6B0B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0" w:type="dxa"/>
            <w:vMerge w:val="continue"/>
            <w:noWrap w:val="0"/>
            <w:vAlign w:val="center"/>
          </w:tcPr>
          <w:p w14:paraId="3700C00D">
            <w:pPr>
              <w:widowControl/>
              <w:adjustRightInd w:val="0"/>
              <w:snapToGrid w:val="0"/>
              <w:spacing w:line="560" w:lineRule="exact"/>
              <w:jc w:val="center"/>
              <w:rPr>
                <w:rFonts w:hint="eastAsia" w:ascii="宋体" w:hAnsi="宋体" w:cs="宋体"/>
                <w:color w:val="000000"/>
                <w:szCs w:val="21"/>
                <w:highlight w:val="none"/>
              </w:rPr>
            </w:pPr>
          </w:p>
        </w:tc>
        <w:tc>
          <w:tcPr>
            <w:tcW w:w="780" w:type="dxa"/>
            <w:vMerge w:val="continue"/>
            <w:noWrap w:val="0"/>
            <w:vAlign w:val="center"/>
          </w:tcPr>
          <w:p w14:paraId="065B03CB">
            <w:pPr>
              <w:widowControl/>
              <w:adjustRightInd w:val="0"/>
              <w:snapToGrid w:val="0"/>
              <w:spacing w:line="560" w:lineRule="exact"/>
              <w:jc w:val="left"/>
              <w:rPr>
                <w:rFonts w:hint="eastAsia" w:ascii="宋体" w:hAnsi="宋体" w:cs="宋体"/>
                <w:color w:val="000000"/>
                <w:szCs w:val="21"/>
                <w:highlight w:val="none"/>
              </w:rPr>
            </w:pPr>
          </w:p>
        </w:tc>
        <w:tc>
          <w:tcPr>
            <w:tcW w:w="2858" w:type="dxa"/>
            <w:gridSpan w:val="2"/>
            <w:noWrap w:val="0"/>
            <w:vAlign w:val="center"/>
          </w:tcPr>
          <w:p w14:paraId="241FD3CA">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投标文件格式</w:t>
            </w:r>
          </w:p>
        </w:tc>
        <w:tc>
          <w:tcPr>
            <w:tcW w:w="5526" w:type="dxa"/>
            <w:noWrap w:val="0"/>
            <w:vAlign w:val="center"/>
          </w:tcPr>
          <w:p w14:paraId="01312F3B">
            <w:pPr>
              <w:adjustRightInd w:val="0"/>
              <w:snapToGrid w:val="0"/>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符合第九章“投标文件格式”的要求。</w:t>
            </w:r>
          </w:p>
        </w:tc>
      </w:tr>
      <w:tr w14:paraId="15BC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0" w:type="dxa"/>
            <w:vMerge w:val="continue"/>
            <w:noWrap w:val="0"/>
            <w:vAlign w:val="center"/>
          </w:tcPr>
          <w:p w14:paraId="2C5FBDDE">
            <w:pPr>
              <w:widowControl/>
              <w:adjustRightInd w:val="0"/>
              <w:snapToGrid w:val="0"/>
              <w:spacing w:line="560" w:lineRule="exact"/>
              <w:jc w:val="center"/>
              <w:rPr>
                <w:rFonts w:hint="eastAsia" w:ascii="宋体" w:hAnsi="宋体" w:cs="宋体"/>
                <w:color w:val="000000"/>
                <w:szCs w:val="21"/>
                <w:highlight w:val="none"/>
              </w:rPr>
            </w:pPr>
          </w:p>
        </w:tc>
        <w:tc>
          <w:tcPr>
            <w:tcW w:w="780" w:type="dxa"/>
            <w:vMerge w:val="continue"/>
            <w:noWrap w:val="0"/>
            <w:vAlign w:val="center"/>
          </w:tcPr>
          <w:p w14:paraId="329A8809">
            <w:pPr>
              <w:widowControl/>
              <w:adjustRightInd w:val="0"/>
              <w:snapToGrid w:val="0"/>
              <w:spacing w:line="560" w:lineRule="exact"/>
              <w:jc w:val="left"/>
              <w:rPr>
                <w:rFonts w:hint="eastAsia" w:ascii="宋体" w:hAnsi="宋体" w:cs="宋体"/>
                <w:color w:val="000000"/>
                <w:szCs w:val="21"/>
                <w:highlight w:val="none"/>
              </w:rPr>
            </w:pPr>
          </w:p>
        </w:tc>
        <w:tc>
          <w:tcPr>
            <w:tcW w:w="2858" w:type="dxa"/>
            <w:gridSpan w:val="2"/>
            <w:noWrap w:val="0"/>
            <w:vAlign w:val="center"/>
          </w:tcPr>
          <w:p w14:paraId="4DF4A6F3">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商务标签字盖章</w:t>
            </w:r>
          </w:p>
        </w:tc>
        <w:tc>
          <w:tcPr>
            <w:tcW w:w="5526" w:type="dxa"/>
            <w:noWrap w:val="0"/>
            <w:vAlign w:val="center"/>
          </w:tcPr>
          <w:p w14:paraId="1C8555C3">
            <w:pPr>
              <w:adjustRightInd w:val="0"/>
              <w:snapToGrid w:val="0"/>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按投标文件格式要求签章。</w:t>
            </w:r>
          </w:p>
        </w:tc>
      </w:tr>
      <w:tr w14:paraId="50CC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880" w:type="dxa"/>
            <w:vMerge w:val="continue"/>
            <w:noWrap w:val="0"/>
            <w:vAlign w:val="center"/>
          </w:tcPr>
          <w:p w14:paraId="6BBFE91B">
            <w:pPr>
              <w:widowControl/>
              <w:adjustRightInd w:val="0"/>
              <w:snapToGrid w:val="0"/>
              <w:spacing w:line="560" w:lineRule="exact"/>
              <w:jc w:val="center"/>
              <w:rPr>
                <w:rFonts w:hint="eastAsia" w:ascii="宋体" w:hAnsi="宋体" w:cs="宋体"/>
                <w:color w:val="000000"/>
                <w:szCs w:val="21"/>
                <w:highlight w:val="none"/>
              </w:rPr>
            </w:pPr>
          </w:p>
        </w:tc>
        <w:tc>
          <w:tcPr>
            <w:tcW w:w="780" w:type="dxa"/>
            <w:vMerge w:val="continue"/>
            <w:noWrap w:val="0"/>
            <w:vAlign w:val="center"/>
          </w:tcPr>
          <w:p w14:paraId="189EADC7">
            <w:pPr>
              <w:widowControl/>
              <w:adjustRightInd w:val="0"/>
              <w:snapToGrid w:val="0"/>
              <w:spacing w:line="560" w:lineRule="exact"/>
              <w:jc w:val="left"/>
              <w:rPr>
                <w:rFonts w:hint="eastAsia" w:ascii="宋体" w:hAnsi="宋体" w:cs="宋体"/>
                <w:color w:val="000000"/>
                <w:szCs w:val="21"/>
                <w:highlight w:val="none"/>
              </w:rPr>
            </w:pPr>
          </w:p>
        </w:tc>
        <w:tc>
          <w:tcPr>
            <w:tcW w:w="2858" w:type="dxa"/>
            <w:gridSpan w:val="2"/>
            <w:noWrap w:val="0"/>
            <w:vAlign w:val="center"/>
          </w:tcPr>
          <w:p w14:paraId="5F468EB6">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报价唯一</w:t>
            </w:r>
          </w:p>
        </w:tc>
        <w:tc>
          <w:tcPr>
            <w:tcW w:w="5526" w:type="dxa"/>
            <w:noWrap w:val="0"/>
            <w:vAlign w:val="center"/>
          </w:tcPr>
          <w:p w14:paraId="08DAAE97">
            <w:pPr>
              <w:adjustRightInd w:val="0"/>
              <w:snapToGrid w:val="0"/>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只能有一个报价。</w:t>
            </w:r>
          </w:p>
        </w:tc>
      </w:tr>
      <w:tr w14:paraId="74F2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80" w:type="dxa"/>
            <w:vMerge w:val="restart"/>
            <w:noWrap w:val="0"/>
            <w:vAlign w:val="center"/>
          </w:tcPr>
          <w:p w14:paraId="59F3DEE5">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4.</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.2</w:t>
            </w:r>
          </w:p>
        </w:tc>
        <w:tc>
          <w:tcPr>
            <w:tcW w:w="780" w:type="dxa"/>
            <w:vMerge w:val="restart"/>
            <w:noWrap w:val="0"/>
            <w:vAlign w:val="center"/>
          </w:tcPr>
          <w:p w14:paraId="1D89A365">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响应性评审标准</w:t>
            </w:r>
          </w:p>
          <w:p w14:paraId="1C9DD95C">
            <w:pPr>
              <w:adjustRightInd w:val="0"/>
              <w:snapToGrid w:val="0"/>
              <w:spacing w:line="560" w:lineRule="exact"/>
              <w:jc w:val="center"/>
              <w:rPr>
                <w:rFonts w:hint="eastAsia" w:ascii="宋体" w:hAnsi="宋体" w:cs="宋体"/>
                <w:color w:val="000000"/>
                <w:szCs w:val="21"/>
                <w:highlight w:val="none"/>
              </w:rPr>
            </w:pPr>
          </w:p>
        </w:tc>
        <w:tc>
          <w:tcPr>
            <w:tcW w:w="2858" w:type="dxa"/>
            <w:gridSpan w:val="2"/>
            <w:noWrap w:val="0"/>
            <w:vAlign w:val="center"/>
          </w:tcPr>
          <w:p w14:paraId="11A690D3">
            <w:pPr>
              <w:adjustRightInd w:val="0"/>
              <w:snapToGrid w:val="0"/>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工期</w:t>
            </w:r>
          </w:p>
        </w:tc>
        <w:tc>
          <w:tcPr>
            <w:tcW w:w="5526" w:type="dxa"/>
            <w:noWrap w:val="0"/>
            <w:vAlign w:val="center"/>
          </w:tcPr>
          <w:p w14:paraId="45957E2D">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符合投标须知前附表规定。</w:t>
            </w:r>
          </w:p>
        </w:tc>
      </w:tr>
      <w:tr w14:paraId="7E4E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80" w:type="dxa"/>
            <w:vMerge w:val="continue"/>
            <w:noWrap w:val="0"/>
            <w:vAlign w:val="center"/>
          </w:tcPr>
          <w:p w14:paraId="4913C3E4">
            <w:pPr>
              <w:widowControl/>
              <w:adjustRightInd w:val="0"/>
              <w:snapToGrid w:val="0"/>
              <w:spacing w:line="560" w:lineRule="exact"/>
              <w:jc w:val="center"/>
              <w:rPr>
                <w:rFonts w:hint="eastAsia" w:ascii="宋体" w:hAnsi="宋体" w:cs="宋体"/>
                <w:color w:val="000000"/>
                <w:szCs w:val="21"/>
                <w:highlight w:val="none"/>
              </w:rPr>
            </w:pPr>
          </w:p>
        </w:tc>
        <w:tc>
          <w:tcPr>
            <w:tcW w:w="780" w:type="dxa"/>
            <w:vMerge w:val="continue"/>
            <w:noWrap w:val="0"/>
            <w:vAlign w:val="center"/>
          </w:tcPr>
          <w:p w14:paraId="1E28DC8E">
            <w:pPr>
              <w:widowControl/>
              <w:adjustRightInd w:val="0"/>
              <w:snapToGrid w:val="0"/>
              <w:spacing w:line="560" w:lineRule="exact"/>
              <w:jc w:val="left"/>
              <w:rPr>
                <w:rFonts w:hint="eastAsia" w:ascii="宋体" w:hAnsi="宋体" w:cs="宋体"/>
                <w:color w:val="000000"/>
                <w:szCs w:val="21"/>
                <w:highlight w:val="none"/>
              </w:rPr>
            </w:pPr>
          </w:p>
        </w:tc>
        <w:tc>
          <w:tcPr>
            <w:tcW w:w="2858" w:type="dxa"/>
            <w:gridSpan w:val="2"/>
            <w:noWrap w:val="0"/>
            <w:vAlign w:val="center"/>
          </w:tcPr>
          <w:p w14:paraId="2072AC6F">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工程质量</w:t>
            </w:r>
          </w:p>
        </w:tc>
        <w:tc>
          <w:tcPr>
            <w:tcW w:w="5526" w:type="dxa"/>
            <w:noWrap w:val="0"/>
            <w:vAlign w:val="center"/>
          </w:tcPr>
          <w:p w14:paraId="249DF313">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符合投标须知前附表规定。</w:t>
            </w:r>
          </w:p>
        </w:tc>
      </w:tr>
      <w:tr w14:paraId="4025F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80" w:type="dxa"/>
            <w:vMerge w:val="continue"/>
            <w:noWrap w:val="0"/>
            <w:vAlign w:val="center"/>
          </w:tcPr>
          <w:p w14:paraId="46F9F4B0">
            <w:pPr>
              <w:widowControl/>
              <w:adjustRightInd w:val="0"/>
              <w:snapToGrid w:val="0"/>
              <w:spacing w:line="560" w:lineRule="exact"/>
              <w:jc w:val="center"/>
              <w:rPr>
                <w:rFonts w:hint="eastAsia" w:ascii="宋体" w:hAnsi="宋体" w:cs="宋体"/>
                <w:color w:val="000000"/>
                <w:szCs w:val="21"/>
                <w:highlight w:val="none"/>
              </w:rPr>
            </w:pPr>
          </w:p>
        </w:tc>
        <w:tc>
          <w:tcPr>
            <w:tcW w:w="780" w:type="dxa"/>
            <w:vMerge w:val="continue"/>
            <w:noWrap w:val="0"/>
            <w:vAlign w:val="center"/>
          </w:tcPr>
          <w:p w14:paraId="5B7E47B5">
            <w:pPr>
              <w:widowControl/>
              <w:adjustRightInd w:val="0"/>
              <w:snapToGrid w:val="0"/>
              <w:spacing w:line="560" w:lineRule="exact"/>
              <w:jc w:val="left"/>
              <w:rPr>
                <w:rFonts w:hint="eastAsia" w:ascii="宋体" w:hAnsi="宋体" w:cs="宋体"/>
                <w:color w:val="000000"/>
                <w:szCs w:val="21"/>
                <w:highlight w:val="none"/>
              </w:rPr>
            </w:pPr>
          </w:p>
        </w:tc>
        <w:tc>
          <w:tcPr>
            <w:tcW w:w="2858" w:type="dxa"/>
            <w:gridSpan w:val="2"/>
            <w:noWrap w:val="0"/>
            <w:vAlign w:val="center"/>
          </w:tcPr>
          <w:p w14:paraId="01A8BD8F">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投标有效期</w:t>
            </w:r>
          </w:p>
        </w:tc>
        <w:tc>
          <w:tcPr>
            <w:tcW w:w="5526" w:type="dxa"/>
            <w:noWrap w:val="0"/>
            <w:vAlign w:val="center"/>
          </w:tcPr>
          <w:p w14:paraId="74AE9B67">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符合投标须知前附表规定。</w:t>
            </w:r>
          </w:p>
        </w:tc>
      </w:tr>
      <w:tr w14:paraId="791B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880" w:type="dxa"/>
            <w:vMerge w:val="continue"/>
            <w:noWrap w:val="0"/>
            <w:vAlign w:val="center"/>
          </w:tcPr>
          <w:p w14:paraId="06476577">
            <w:pPr>
              <w:widowControl/>
              <w:adjustRightInd w:val="0"/>
              <w:snapToGrid w:val="0"/>
              <w:spacing w:line="560" w:lineRule="exact"/>
              <w:jc w:val="center"/>
              <w:rPr>
                <w:rFonts w:hint="eastAsia" w:ascii="宋体" w:hAnsi="宋体" w:cs="宋体"/>
                <w:color w:val="000000"/>
                <w:szCs w:val="21"/>
                <w:highlight w:val="none"/>
              </w:rPr>
            </w:pPr>
          </w:p>
        </w:tc>
        <w:tc>
          <w:tcPr>
            <w:tcW w:w="780" w:type="dxa"/>
            <w:vMerge w:val="continue"/>
            <w:noWrap w:val="0"/>
            <w:vAlign w:val="center"/>
          </w:tcPr>
          <w:p w14:paraId="77B19A98">
            <w:pPr>
              <w:widowControl/>
              <w:adjustRightInd w:val="0"/>
              <w:snapToGrid w:val="0"/>
              <w:spacing w:line="560" w:lineRule="exact"/>
              <w:jc w:val="left"/>
              <w:rPr>
                <w:rFonts w:hint="eastAsia" w:ascii="宋体" w:hAnsi="宋体" w:cs="宋体"/>
                <w:color w:val="000000"/>
                <w:szCs w:val="21"/>
                <w:highlight w:val="none"/>
              </w:rPr>
            </w:pPr>
          </w:p>
        </w:tc>
        <w:tc>
          <w:tcPr>
            <w:tcW w:w="2858" w:type="dxa"/>
            <w:gridSpan w:val="2"/>
            <w:noWrap w:val="0"/>
            <w:vAlign w:val="center"/>
          </w:tcPr>
          <w:p w14:paraId="07F08AC4">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已标价工程量清单</w:t>
            </w:r>
          </w:p>
        </w:tc>
        <w:tc>
          <w:tcPr>
            <w:tcW w:w="5526" w:type="dxa"/>
            <w:noWrap w:val="0"/>
            <w:vAlign w:val="center"/>
          </w:tcPr>
          <w:p w14:paraId="5A9D37A3">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与招标人发布的招标工程量清单（含需评审材料清单）排序一致。</w:t>
            </w:r>
          </w:p>
        </w:tc>
      </w:tr>
      <w:tr w14:paraId="13577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80" w:type="dxa"/>
            <w:vMerge w:val="continue"/>
            <w:noWrap w:val="0"/>
            <w:vAlign w:val="center"/>
          </w:tcPr>
          <w:p w14:paraId="591FD257">
            <w:pPr>
              <w:widowControl/>
              <w:adjustRightInd w:val="0"/>
              <w:snapToGrid w:val="0"/>
              <w:spacing w:line="560" w:lineRule="exact"/>
              <w:jc w:val="center"/>
              <w:rPr>
                <w:rFonts w:hint="eastAsia" w:ascii="宋体" w:hAnsi="宋体" w:cs="宋体"/>
                <w:color w:val="000000"/>
                <w:szCs w:val="21"/>
                <w:highlight w:val="none"/>
              </w:rPr>
            </w:pPr>
          </w:p>
        </w:tc>
        <w:tc>
          <w:tcPr>
            <w:tcW w:w="780" w:type="dxa"/>
            <w:vMerge w:val="continue"/>
            <w:noWrap w:val="0"/>
            <w:vAlign w:val="center"/>
          </w:tcPr>
          <w:p w14:paraId="777044C5">
            <w:pPr>
              <w:widowControl/>
              <w:adjustRightInd w:val="0"/>
              <w:snapToGrid w:val="0"/>
              <w:spacing w:line="560" w:lineRule="exact"/>
              <w:jc w:val="left"/>
              <w:rPr>
                <w:rFonts w:hint="eastAsia" w:ascii="宋体" w:hAnsi="宋体" w:cs="宋体"/>
                <w:color w:val="000000"/>
                <w:szCs w:val="21"/>
                <w:highlight w:val="none"/>
              </w:rPr>
            </w:pPr>
          </w:p>
        </w:tc>
        <w:tc>
          <w:tcPr>
            <w:tcW w:w="2858" w:type="dxa"/>
            <w:gridSpan w:val="2"/>
            <w:noWrap w:val="0"/>
            <w:vAlign w:val="center"/>
          </w:tcPr>
          <w:p w14:paraId="05FAB150">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投标总价评审</w:t>
            </w:r>
          </w:p>
        </w:tc>
        <w:tc>
          <w:tcPr>
            <w:tcW w:w="5526" w:type="dxa"/>
            <w:noWrap w:val="0"/>
            <w:vAlign w:val="center"/>
          </w:tcPr>
          <w:p w14:paraId="2D6FC50A">
            <w:pPr>
              <w:adjustRightInd w:val="0"/>
              <w:snapToGrid w:val="0"/>
              <w:spacing w:line="560" w:lineRule="exact"/>
              <w:rPr>
                <w:rFonts w:hint="eastAsia" w:ascii="宋体" w:hAnsi="宋体" w:cs="宋体"/>
                <w:color w:val="000000"/>
                <w:spacing w:val="-6"/>
                <w:szCs w:val="21"/>
                <w:highlight w:val="none"/>
              </w:rPr>
            </w:pPr>
            <w:r>
              <w:rPr>
                <w:rFonts w:hint="eastAsia" w:ascii="宋体" w:hAnsi="宋体" w:cs="宋体"/>
                <w:color w:val="000000"/>
                <w:spacing w:val="-6"/>
                <w:szCs w:val="21"/>
                <w:highlight w:val="none"/>
              </w:rPr>
              <w:t>不得高于最高投标限价，也不得低于工程成本价。</w:t>
            </w:r>
          </w:p>
        </w:tc>
      </w:tr>
      <w:tr w14:paraId="3984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80" w:type="dxa"/>
            <w:vMerge w:val="continue"/>
            <w:noWrap w:val="0"/>
            <w:vAlign w:val="center"/>
          </w:tcPr>
          <w:p w14:paraId="79ABFBDD">
            <w:pPr>
              <w:widowControl/>
              <w:adjustRightInd w:val="0"/>
              <w:snapToGrid w:val="0"/>
              <w:spacing w:line="560" w:lineRule="exact"/>
              <w:jc w:val="center"/>
              <w:rPr>
                <w:rFonts w:hint="eastAsia" w:ascii="宋体" w:hAnsi="宋体" w:cs="宋体"/>
                <w:color w:val="000000"/>
                <w:szCs w:val="21"/>
                <w:highlight w:val="none"/>
              </w:rPr>
            </w:pPr>
          </w:p>
        </w:tc>
        <w:tc>
          <w:tcPr>
            <w:tcW w:w="780" w:type="dxa"/>
            <w:vMerge w:val="continue"/>
            <w:noWrap w:val="0"/>
            <w:vAlign w:val="center"/>
          </w:tcPr>
          <w:p w14:paraId="68A09FDB">
            <w:pPr>
              <w:widowControl/>
              <w:adjustRightInd w:val="0"/>
              <w:snapToGrid w:val="0"/>
              <w:spacing w:line="560" w:lineRule="exact"/>
              <w:jc w:val="left"/>
              <w:rPr>
                <w:rFonts w:hint="eastAsia" w:ascii="宋体" w:hAnsi="宋体" w:cs="宋体"/>
                <w:color w:val="000000"/>
                <w:szCs w:val="21"/>
                <w:highlight w:val="none"/>
              </w:rPr>
            </w:pPr>
          </w:p>
        </w:tc>
        <w:tc>
          <w:tcPr>
            <w:tcW w:w="2858" w:type="dxa"/>
            <w:gridSpan w:val="2"/>
            <w:noWrap w:val="0"/>
            <w:vAlign w:val="center"/>
          </w:tcPr>
          <w:p w14:paraId="794CFD2A">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暂列金额、专业工程暂估价、分部分项工程材料及设备暂估价</w:t>
            </w:r>
          </w:p>
        </w:tc>
        <w:tc>
          <w:tcPr>
            <w:tcW w:w="5526" w:type="dxa"/>
            <w:noWrap w:val="0"/>
            <w:vAlign w:val="center"/>
          </w:tcPr>
          <w:p w14:paraId="758224C5">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与招标人发布的招标工程量清单一致。</w:t>
            </w:r>
          </w:p>
        </w:tc>
      </w:tr>
      <w:tr w14:paraId="63E2B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0" w:type="dxa"/>
            <w:vMerge w:val="restart"/>
            <w:noWrap w:val="0"/>
            <w:vAlign w:val="center"/>
          </w:tcPr>
          <w:p w14:paraId="73EFED65">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4.</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.3</w:t>
            </w:r>
          </w:p>
        </w:tc>
        <w:tc>
          <w:tcPr>
            <w:tcW w:w="780" w:type="dxa"/>
            <w:vMerge w:val="restart"/>
            <w:noWrap w:val="0"/>
            <w:vAlign w:val="center"/>
          </w:tcPr>
          <w:p w14:paraId="7D8BD968">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详细评审标准</w:t>
            </w:r>
          </w:p>
          <w:p w14:paraId="58DF61B8">
            <w:pPr>
              <w:adjustRightInd w:val="0"/>
              <w:snapToGrid w:val="0"/>
              <w:spacing w:line="560" w:lineRule="exact"/>
              <w:jc w:val="center"/>
              <w:rPr>
                <w:rFonts w:hint="eastAsia" w:ascii="宋体" w:hAnsi="宋体" w:cs="宋体"/>
                <w:color w:val="000000"/>
                <w:szCs w:val="21"/>
                <w:highlight w:val="none"/>
              </w:rPr>
            </w:pPr>
          </w:p>
        </w:tc>
        <w:tc>
          <w:tcPr>
            <w:tcW w:w="726" w:type="dxa"/>
            <w:vMerge w:val="restart"/>
            <w:noWrap w:val="0"/>
            <w:vAlign w:val="center"/>
          </w:tcPr>
          <w:p w14:paraId="2DF5E7EB">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工程成本评审</w:t>
            </w:r>
          </w:p>
        </w:tc>
        <w:tc>
          <w:tcPr>
            <w:tcW w:w="7658" w:type="dxa"/>
            <w:gridSpan w:val="2"/>
            <w:noWrap w:val="0"/>
            <w:vAlign w:val="center"/>
          </w:tcPr>
          <w:p w14:paraId="32DD8D41">
            <w:pPr>
              <w:adjustRightInd w:val="0"/>
              <w:snapToGrid w:val="0"/>
              <w:spacing w:line="560" w:lineRule="exact"/>
              <w:rPr>
                <w:rFonts w:hint="eastAsia" w:ascii="宋体" w:hAnsi="宋体" w:cs="宋体"/>
                <w:color w:val="000000"/>
                <w:spacing w:val="-6"/>
                <w:szCs w:val="21"/>
                <w:highlight w:val="none"/>
              </w:rPr>
            </w:pPr>
            <w:r>
              <w:rPr>
                <w:rFonts w:hint="eastAsia" w:ascii="宋体" w:hAnsi="宋体" w:cs="宋体"/>
                <w:color w:val="000000"/>
                <w:spacing w:val="-6"/>
                <w:szCs w:val="21"/>
                <w:highlight w:val="none"/>
              </w:rPr>
              <w:t>投标报价出现下列情形之一的，由评标委员会重点评审后界定其报价是否低于工程成本：</w:t>
            </w:r>
          </w:p>
        </w:tc>
      </w:tr>
      <w:tr w14:paraId="54FF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0" w:type="dxa"/>
            <w:vMerge w:val="continue"/>
            <w:noWrap w:val="0"/>
            <w:vAlign w:val="center"/>
          </w:tcPr>
          <w:p w14:paraId="51566DF5">
            <w:pPr>
              <w:widowControl/>
              <w:adjustRightInd w:val="0"/>
              <w:snapToGrid w:val="0"/>
              <w:spacing w:line="560" w:lineRule="exact"/>
              <w:jc w:val="left"/>
              <w:rPr>
                <w:rFonts w:hint="eastAsia" w:ascii="宋体" w:hAnsi="宋体" w:cs="宋体"/>
                <w:color w:val="000000"/>
                <w:szCs w:val="21"/>
                <w:highlight w:val="none"/>
              </w:rPr>
            </w:pPr>
          </w:p>
        </w:tc>
        <w:tc>
          <w:tcPr>
            <w:tcW w:w="780" w:type="dxa"/>
            <w:vMerge w:val="continue"/>
            <w:noWrap w:val="0"/>
            <w:vAlign w:val="center"/>
          </w:tcPr>
          <w:p w14:paraId="01F3AA38">
            <w:pPr>
              <w:widowControl/>
              <w:adjustRightInd w:val="0"/>
              <w:snapToGrid w:val="0"/>
              <w:spacing w:line="560" w:lineRule="exact"/>
              <w:jc w:val="left"/>
              <w:rPr>
                <w:rFonts w:hint="eastAsia" w:ascii="宋体" w:hAnsi="宋体" w:cs="宋体"/>
                <w:color w:val="000000"/>
                <w:szCs w:val="21"/>
                <w:highlight w:val="none"/>
              </w:rPr>
            </w:pPr>
          </w:p>
        </w:tc>
        <w:tc>
          <w:tcPr>
            <w:tcW w:w="726" w:type="dxa"/>
            <w:vMerge w:val="continue"/>
            <w:noWrap w:val="0"/>
            <w:vAlign w:val="center"/>
          </w:tcPr>
          <w:p w14:paraId="19D79C0D">
            <w:pPr>
              <w:adjustRightInd w:val="0"/>
              <w:snapToGrid w:val="0"/>
              <w:spacing w:line="560" w:lineRule="exact"/>
              <w:rPr>
                <w:rFonts w:hint="eastAsia" w:ascii="宋体" w:hAnsi="宋体" w:cs="宋体"/>
                <w:color w:val="000000"/>
                <w:szCs w:val="21"/>
                <w:highlight w:val="none"/>
              </w:rPr>
            </w:pPr>
          </w:p>
        </w:tc>
        <w:tc>
          <w:tcPr>
            <w:tcW w:w="2132" w:type="dxa"/>
            <w:noWrap w:val="0"/>
            <w:vAlign w:val="center"/>
          </w:tcPr>
          <w:p w14:paraId="5AC781F5">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投标报价</w:t>
            </w:r>
          </w:p>
        </w:tc>
        <w:tc>
          <w:tcPr>
            <w:tcW w:w="5526" w:type="dxa"/>
            <w:noWrap w:val="0"/>
            <w:vAlign w:val="center"/>
          </w:tcPr>
          <w:p w14:paraId="420023CD">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投标报价低于本项目通过资信评审且商务标初步评审合格的有效投标报价平均值10%以上【有效投标报价平均值*（1-10%）】。</w:t>
            </w:r>
          </w:p>
        </w:tc>
      </w:tr>
      <w:tr w14:paraId="6276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0" w:type="dxa"/>
            <w:vMerge w:val="continue"/>
            <w:noWrap w:val="0"/>
            <w:vAlign w:val="center"/>
          </w:tcPr>
          <w:p w14:paraId="71C10CE6">
            <w:pPr>
              <w:widowControl/>
              <w:adjustRightInd w:val="0"/>
              <w:snapToGrid w:val="0"/>
              <w:spacing w:line="560" w:lineRule="exact"/>
              <w:jc w:val="left"/>
              <w:rPr>
                <w:rFonts w:hint="eastAsia" w:ascii="宋体" w:hAnsi="宋体" w:cs="宋体"/>
                <w:color w:val="000000"/>
                <w:szCs w:val="21"/>
                <w:highlight w:val="none"/>
              </w:rPr>
            </w:pPr>
          </w:p>
        </w:tc>
        <w:tc>
          <w:tcPr>
            <w:tcW w:w="780" w:type="dxa"/>
            <w:vMerge w:val="continue"/>
            <w:noWrap w:val="0"/>
            <w:vAlign w:val="center"/>
          </w:tcPr>
          <w:p w14:paraId="1B3CE21E">
            <w:pPr>
              <w:widowControl/>
              <w:adjustRightInd w:val="0"/>
              <w:snapToGrid w:val="0"/>
              <w:spacing w:line="560" w:lineRule="exact"/>
              <w:jc w:val="left"/>
              <w:rPr>
                <w:rFonts w:hint="eastAsia" w:ascii="宋体" w:hAnsi="宋体" w:cs="宋体"/>
                <w:color w:val="000000"/>
                <w:szCs w:val="21"/>
                <w:highlight w:val="none"/>
              </w:rPr>
            </w:pPr>
          </w:p>
        </w:tc>
        <w:tc>
          <w:tcPr>
            <w:tcW w:w="726" w:type="dxa"/>
            <w:vMerge w:val="continue"/>
            <w:noWrap w:val="0"/>
            <w:vAlign w:val="center"/>
          </w:tcPr>
          <w:p w14:paraId="76003544">
            <w:pPr>
              <w:adjustRightInd w:val="0"/>
              <w:snapToGrid w:val="0"/>
              <w:spacing w:line="560" w:lineRule="exact"/>
              <w:rPr>
                <w:rFonts w:hint="eastAsia" w:ascii="宋体" w:hAnsi="宋体" w:cs="宋体"/>
                <w:color w:val="000000"/>
                <w:szCs w:val="21"/>
                <w:highlight w:val="none"/>
              </w:rPr>
            </w:pPr>
          </w:p>
        </w:tc>
        <w:tc>
          <w:tcPr>
            <w:tcW w:w="2132" w:type="dxa"/>
            <w:noWrap w:val="0"/>
            <w:vAlign w:val="center"/>
          </w:tcPr>
          <w:p w14:paraId="2EB8AAFF">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报价内容完整性</w:t>
            </w:r>
          </w:p>
        </w:tc>
        <w:tc>
          <w:tcPr>
            <w:tcW w:w="5526" w:type="dxa"/>
            <w:noWrap w:val="0"/>
            <w:vAlign w:val="center"/>
          </w:tcPr>
          <w:p w14:paraId="3929F4E0">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因投标人原因造成投标报价清单缺漏，缺漏项总额（多算或多报总额不得抵消缺漏项目总额）累计占本项目通过资信、技术评审且商务标初步评审合格</w:t>
            </w:r>
            <w:r>
              <w:rPr>
                <w:rFonts w:hint="eastAsia" w:ascii="宋体" w:hAnsi="宋体" w:cs="宋体"/>
                <w:color w:val="000000"/>
                <w:spacing w:val="-6"/>
                <w:szCs w:val="21"/>
                <w:highlight w:val="none"/>
              </w:rPr>
              <w:t>有效投标总报价平均值5%以上。</w:t>
            </w:r>
          </w:p>
        </w:tc>
      </w:tr>
      <w:tr w14:paraId="16FD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80" w:type="dxa"/>
            <w:vMerge w:val="continue"/>
            <w:noWrap w:val="0"/>
            <w:vAlign w:val="center"/>
          </w:tcPr>
          <w:p w14:paraId="3A000D0E">
            <w:pPr>
              <w:widowControl/>
              <w:adjustRightInd w:val="0"/>
              <w:snapToGrid w:val="0"/>
              <w:spacing w:line="560" w:lineRule="exact"/>
              <w:jc w:val="left"/>
              <w:rPr>
                <w:rFonts w:hint="eastAsia" w:ascii="宋体" w:hAnsi="宋体" w:cs="宋体"/>
                <w:color w:val="000000"/>
                <w:szCs w:val="21"/>
                <w:highlight w:val="none"/>
              </w:rPr>
            </w:pPr>
          </w:p>
        </w:tc>
        <w:tc>
          <w:tcPr>
            <w:tcW w:w="780" w:type="dxa"/>
            <w:vMerge w:val="continue"/>
            <w:noWrap w:val="0"/>
            <w:vAlign w:val="center"/>
          </w:tcPr>
          <w:p w14:paraId="0A1E4DE7">
            <w:pPr>
              <w:widowControl/>
              <w:adjustRightInd w:val="0"/>
              <w:snapToGrid w:val="0"/>
              <w:spacing w:line="560" w:lineRule="exact"/>
              <w:jc w:val="left"/>
              <w:rPr>
                <w:rFonts w:hint="eastAsia" w:ascii="宋体" w:hAnsi="宋体" w:cs="宋体"/>
                <w:color w:val="000000"/>
                <w:szCs w:val="21"/>
                <w:highlight w:val="none"/>
              </w:rPr>
            </w:pPr>
          </w:p>
        </w:tc>
        <w:tc>
          <w:tcPr>
            <w:tcW w:w="726" w:type="dxa"/>
            <w:vMerge w:val="continue"/>
            <w:noWrap w:val="0"/>
            <w:vAlign w:val="center"/>
          </w:tcPr>
          <w:p w14:paraId="731DAB72">
            <w:pPr>
              <w:adjustRightInd w:val="0"/>
              <w:snapToGrid w:val="0"/>
              <w:spacing w:line="560" w:lineRule="exact"/>
              <w:rPr>
                <w:rFonts w:hint="eastAsia" w:ascii="宋体" w:hAnsi="宋体" w:cs="宋体"/>
                <w:color w:val="000000"/>
                <w:szCs w:val="21"/>
                <w:highlight w:val="none"/>
              </w:rPr>
            </w:pPr>
          </w:p>
        </w:tc>
        <w:tc>
          <w:tcPr>
            <w:tcW w:w="2132" w:type="dxa"/>
            <w:noWrap w:val="0"/>
            <w:vAlign w:val="center"/>
          </w:tcPr>
          <w:p w14:paraId="619F9A52">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人工工日单价</w:t>
            </w:r>
          </w:p>
        </w:tc>
        <w:tc>
          <w:tcPr>
            <w:tcW w:w="5526" w:type="dxa"/>
            <w:noWrap w:val="0"/>
            <w:vAlign w:val="center"/>
          </w:tcPr>
          <w:p w14:paraId="683A246D">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不得低于招标人发布的最高投标限价中的人工工日单价。</w:t>
            </w:r>
          </w:p>
        </w:tc>
      </w:tr>
      <w:tr w14:paraId="4C15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80" w:type="dxa"/>
            <w:vMerge w:val="continue"/>
            <w:noWrap w:val="0"/>
            <w:vAlign w:val="center"/>
          </w:tcPr>
          <w:p w14:paraId="04E70ACA">
            <w:pPr>
              <w:widowControl/>
              <w:adjustRightInd w:val="0"/>
              <w:snapToGrid w:val="0"/>
              <w:spacing w:line="560" w:lineRule="exact"/>
              <w:jc w:val="left"/>
              <w:rPr>
                <w:rFonts w:hint="eastAsia" w:ascii="宋体" w:hAnsi="宋体" w:cs="宋体"/>
                <w:color w:val="000000"/>
                <w:szCs w:val="21"/>
                <w:highlight w:val="none"/>
              </w:rPr>
            </w:pPr>
          </w:p>
        </w:tc>
        <w:tc>
          <w:tcPr>
            <w:tcW w:w="780" w:type="dxa"/>
            <w:vMerge w:val="continue"/>
            <w:noWrap w:val="0"/>
            <w:vAlign w:val="center"/>
          </w:tcPr>
          <w:p w14:paraId="65EBCBB5">
            <w:pPr>
              <w:widowControl/>
              <w:adjustRightInd w:val="0"/>
              <w:snapToGrid w:val="0"/>
              <w:spacing w:line="560" w:lineRule="exact"/>
              <w:jc w:val="left"/>
              <w:rPr>
                <w:rFonts w:hint="eastAsia" w:ascii="宋体" w:hAnsi="宋体" w:cs="宋体"/>
                <w:color w:val="000000"/>
                <w:szCs w:val="21"/>
                <w:highlight w:val="none"/>
              </w:rPr>
            </w:pPr>
          </w:p>
        </w:tc>
        <w:tc>
          <w:tcPr>
            <w:tcW w:w="726" w:type="dxa"/>
            <w:vMerge w:val="continue"/>
            <w:noWrap w:val="0"/>
            <w:vAlign w:val="center"/>
          </w:tcPr>
          <w:p w14:paraId="1D147603">
            <w:pPr>
              <w:adjustRightInd w:val="0"/>
              <w:snapToGrid w:val="0"/>
              <w:spacing w:line="560" w:lineRule="exact"/>
              <w:rPr>
                <w:rFonts w:hint="eastAsia" w:ascii="宋体" w:hAnsi="宋体" w:cs="宋体"/>
                <w:color w:val="000000"/>
                <w:szCs w:val="21"/>
                <w:highlight w:val="none"/>
              </w:rPr>
            </w:pPr>
          </w:p>
        </w:tc>
        <w:tc>
          <w:tcPr>
            <w:tcW w:w="2132" w:type="dxa"/>
            <w:noWrap w:val="0"/>
            <w:vAlign w:val="center"/>
          </w:tcPr>
          <w:p w14:paraId="6A47ABF1">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需评审材料数量</w:t>
            </w:r>
          </w:p>
        </w:tc>
        <w:tc>
          <w:tcPr>
            <w:tcW w:w="5526" w:type="dxa"/>
            <w:noWrap w:val="0"/>
            <w:vAlign w:val="center"/>
          </w:tcPr>
          <w:p w14:paraId="31DFAFEF">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需评审的主要材料消耗量低于最高投标限价相应材料数量的5%以上，且低于本项目通过资信、技术评审且商务标初步评审合格有效投标报价相应材料消耗量平均值的3%以上。</w:t>
            </w:r>
          </w:p>
        </w:tc>
      </w:tr>
      <w:tr w14:paraId="2CB2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880" w:type="dxa"/>
            <w:vMerge w:val="continue"/>
            <w:noWrap w:val="0"/>
            <w:vAlign w:val="center"/>
          </w:tcPr>
          <w:p w14:paraId="30BA451C">
            <w:pPr>
              <w:widowControl/>
              <w:adjustRightInd w:val="0"/>
              <w:snapToGrid w:val="0"/>
              <w:spacing w:line="560" w:lineRule="exact"/>
              <w:jc w:val="left"/>
              <w:rPr>
                <w:rFonts w:hint="eastAsia" w:ascii="宋体" w:hAnsi="宋体" w:cs="宋体"/>
                <w:color w:val="000000"/>
                <w:szCs w:val="21"/>
                <w:highlight w:val="none"/>
              </w:rPr>
            </w:pPr>
          </w:p>
        </w:tc>
        <w:tc>
          <w:tcPr>
            <w:tcW w:w="780" w:type="dxa"/>
            <w:vMerge w:val="continue"/>
            <w:noWrap w:val="0"/>
            <w:vAlign w:val="center"/>
          </w:tcPr>
          <w:p w14:paraId="51C93CCD">
            <w:pPr>
              <w:widowControl/>
              <w:adjustRightInd w:val="0"/>
              <w:snapToGrid w:val="0"/>
              <w:spacing w:line="560" w:lineRule="exact"/>
              <w:jc w:val="left"/>
              <w:rPr>
                <w:rFonts w:hint="eastAsia" w:ascii="宋体" w:hAnsi="宋体" w:cs="宋体"/>
                <w:color w:val="000000"/>
                <w:szCs w:val="21"/>
                <w:highlight w:val="none"/>
              </w:rPr>
            </w:pPr>
          </w:p>
        </w:tc>
        <w:tc>
          <w:tcPr>
            <w:tcW w:w="726" w:type="dxa"/>
            <w:vMerge w:val="continue"/>
            <w:noWrap w:val="0"/>
            <w:vAlign w:val="center"/>
          </w:tcPr>
          <w:p w14:paraId="0063FD85">
            <w:pPr>
              <w:adjustRightInd w:val="0"/>
              <w:snapToGrid w:val="0"/>
              <w:spacing w:line="560" w:lineRule="exact"/>
              <w:rPr>
                <w:rFonts w:hint="eastAsia" w:ascii="宋体" w:hAnsi="宋体" w:cs="宋体"/>
                <w:color w:val="000000"/>
                <w:szCs w:val="21"/>
                <w:highlight w:val="none"/>
              </w:rPr>
            </w:pPr>
          </w:p>
        </w:tc>
        <w:tc>
          <w:tcPr>
            <w:tcW w:w="2132" w:type="dxa"/>
            <w:noWrap w:val="0"/>
            <w:vAlign w:val="center"/>
          </w:tcPr>
          <w:p w14:paraId="6A09C48E">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施工机具使用费</w:t>
            </w:r>
          </w:p>
        </w:tc>
        <w:tc>
          <w:tcPr>
            <w:tcW w:w="5526" w:type="dxa"/>
            <w:noWrap w:val="0"/>
            <w:vAlign w:val="center"/>
          </w:tcPr>
          <w:p w14:paraId="51313799">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施工机具使用费低于本项目通过资信、技术评审且商务标初步评审合格有效投标报价施工机具使用费平均值的10%以上。</w:t>
            </w:r>
          </w:p>
        </w:tc>
      </w:tr>
      <w:tr w14:paraId="5FF1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0" w:type="dxa"/>
            <w:vMerge w:val="continue"/>
            <w:noWrap w:val="0"/>
            <w:vAlign w:val="center"/>
          </w:tcPr>
          <w:p w14:paraId="49A1683D">
            <w:pPr>
              <w:widowControl/>
              <w:adjustRightInd w:val="0"/>
              <w:snapToGrid w:val="0"/>
              <w:spacing w:line="560" w:lineRule="exact"/>
              <w:jc w:val="left"/>
              <w:rPr>
                <w:rFonts w:hint="eastAsia" w:ascii="宋体" w:hAnsi="宋体" w:cs="宋体"/>
                <w:color w:val="000000"/>
                <w:szCs w:val="21"/>
                <w:highlight w:val="none"/>
              </w:rPr>
            </w:pPr>
          </w:p>
        </w:tc>
        <w:tc>
          <w:tcPr>
            <w:tcW w:w="780" w:type="dxa"/>
            <w:vMerge w:val="continue"/>
            <w:noWrap w:val="0"/>
            <w:vAlign w:val="center"/>
          </w:tcPr>
          <w:p w14:paraId="0B1E25CF">
            <w:pPr>
              <w:widowControl/>
              <w:adjustRightInd w:val="0"/>
              <w:snapToGrid w:val="0"/>
              <w:spacing w:line="560" w:lineRule="exact"/>
              <w:jc w:val="left"/>
              <w:rPr>
                <w:rFonts w:hint="eastAsia" w:ascii="宋体" w:hAnsi="宋体" w:cs="宋体"/>
                <w:color w:val="000000"/>
                <w:szCs w:val="21"/>
                <w:highlight w:val="none"/>
              </w:rPr>
            </w:pPr>
          </w:p>
        </w:tc>
        <w:tc>
          <w:tcPr>
            <w:tcW w:w="726" w:type="dxa"/>
            <w:vMerge w:val="continue"/>
            <w:noWrap w:val="0"/>
            <w:vAlign w:val="center"/>
          </w:tcPr>
          <w:p w14:paraId="6B38FF5F">
            <w:pPr>
              <w:adjustRightInd w:val="0"/>
              <w:snapToGrid w:val="0"/>
              <w:spacing w:line="560" w:lineRule="exact"/>
              <w:rPr>
                <w:rFonts w:hint="eastAsia" w:ascii="宋体" w:hAnsi="宋体" w:cs="宋体"/>
                <w:color w:val="000000"/>
                <w:szCs w:val="21"/>
                <w:highlight w:val="none"/>
              </w:rPr>
            </w:pPr>
          </w:p>
        </w:tc>
        <w:tc>
          <w:tcPr>
            <w:tcW w:w="2132" w:type="dxa"/>
            <w:noWrap w:val="0"/>
            <w:vAlign w:val="center"/>
          </w:tcPr>
          <w:p w14:paraId="66DDDDDE">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管理费和利润费率</w:t>
            </w:r>
          </w:p>
        </w:tc>
        <w:tc>
          <w:tcPr>
            <w:tcW w:w="5526" w:type="dxa"/>
            <w:noWrap w:val="0"/>
            <w:vAlign w:val="center"/>
          </w:tcPr>
          <w:p w14:paraId="509628F3">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管理费、利润投标费率低于0%。</w:t>
            </w:r>
          </w:p>
        </w:tc>
      </w:tr>
      <w:tr w14:paraId="7033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80" w:type="dxa"/>
            <w:vMerge w:val="continue"/>
            <w:noWrap w:val="0"/>
            <w:vAlign w:val="center"/>
          </w:tcPr>
          <w:p w14:paraId="41990130">
            <w:pPr>
              <w:widowControl/>
              <w:adjustRightInd w:val="0"/>
              <w:snapToGrid w:val="0"/>
              <w:spacing w:line="560" w:lineRule="exact"/>
              <w:jc w:val="left"/>
              <w:rPr>
                <w:rFonts w:hint="eastAsia" w:ascii="宋体" w:hAnsi="宋体" w:cs="宋体"/>
                <w:color w:val="000000"/>
                <w:szCs w:val="21"/>
                <w:highlight w:val="none"/>
              </w:rPr>
            </w:pPr>
          </w:p>
        </w:tc>
        <w:tc>
          <w:tcPr>
            <w:tcW w:w="780" w:type="dxa"/>
            <w:vMerge w:val="continue"/>
            <w:noWrap w:val="0"/>
            <w:vAlign w:val="center"/>
          </w:tcPr>
          <w:p w14:paraId="432BA945">
            <w:pPr>
              <w:widowControl/>
              <w:adjustRightInd w:val="0"/>
              <w:snapToGrid w:val="0"/>
              <w:spacing w:line="560" w:lineRule="exact"/>
              <w:jc w:val="left"/>
              <w:rPr>
                <w:rFonts w:hint="eastAsia" w:ascii="宋体" w:hAnsi="宋体" w:cs="宋体"/>
                <w:color w:val="000000"/>
                <w:szCs w:val="21"/>
                <w:highlight w:val="none"/>
              </w:rPr>
            </w:pPr>
          </w:p>
        </w:tc>
        <w:tc>
          <w:tcPr>
            <w:tcW w:w="726" w:type="dxa"/>
            <w:vMerge w:val="restart"/>
            <w:noWrap w:val="0"/>
            <w:vAlign w:val="center"/>
          </w:tcPr>
          <w:p w14:paraId="2B24A4EC">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无效报价</w:t>
            </w:r>
          </w:p>
        </w:tc>
        <w:tc>
          <w:tcPr>
            <w:tcW w:w="2132" w:type="dxa"/>
            <w:noWrap w:val="0"/>
            <w:vAlign w:val="center"/>
          </w:tcPr>
          <w:p w14:paraId="363CA32C">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暂估价材料、设备</w:t>
            </w:r>
          </w:p>
        </w:tc>
        <w:tc>
          <w:tcPr>
            <w:tcW w:w="5526" w:type="dxa"/>
            <w:noWrap w:val="0"/>
            <w:vAlign w:val="center"/>
          </w:tcPr>
          <w:p w14:paraId="25E3D995">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材料、设备暂估价未按要求计入分部分项工程费。</w:t>
            </w:r>
          </w:p>
        </w:tc>
      </w:tr>
      <w:tr w14:paraId="5EAF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0" w:type="dxa"/>
            <w:vMerge w:val="continue"/>
            <w:noWrap w:val="0"/>
            <w:vAlign w:val="center"/>
          </w:tcPr>
          <w:p w14:paraId="07CBC926">
            <w:pPr>
              <w:widowControl/>
              <w:adjustRightInd w:val="0"/>
              <w:snapToGrid w:val="0"/>
              <w:spacing w:line="560" w:lineRule="exact"/>
              <w:jc w:val="left"/>
              <w:rPr>
                <w:rFonts w:hint="eastAsia" w:ascii="宋体" w:hAnsi="宋体" w:cs="宋体"/>
                <w:color w:val="000000"/>
                <w:szCs w:val="21"/>
                <w:highlight w:val="none"/>
              </w:rPr>
            </w:pPr>
          </w:p>
        </w:tc>
        <w:tc>
          <w:tcPr>
            <w:tcW w:w="780" w:type="dxa"/>
            <w:vMerge w:val="continue"/>
            <w:noWrap w:val="0"/>
            <w:vAlign w:val="center"/>
          </w:tcPr>
          <w:p w14:paraId="62AF491C">
            <w:pPr>
              <w:widowControl/>
              <w:adjustRightInd w:val="0"/>
              <w:snapToGrid w:val="0"/>
              <w:spacing w:line="560" w:lineRule="exact"/>
              <w:jc w:val="left"/>
              <w:rPr>
                <w:rFonts w:hint="eastAsia" w:ascii="宋体" w:hAnsi="宋体" w:cs="宋体"/>
                <w:color w:val="000000"/>
                <w:szCs w:val="21"/>
                <w:highlight w:val="none"/>
              </w:rPr>
            </w:pPr>
          </w:p>
        </w:tc>
        <w:tc>
          <w:tcPr>
            <w:tcW w:w="726" w:type="dxa"/>
            <w:vMerge w:val="continue"/>
            <w:noWrap w:val="0"/>
            <w:vAlign w:val="center"/>
          </w:tcPr>
          <w:p w14:paraId="541E5D99">
            <w:pPr>
              <w:adjustRightInd w:val="0"/>
              <w:snapToGrid w:val="0"/>
              <w:spacing w:line="560" w:lineRule="exact"/>
              <w:rPr>
                <w:rFonts w:hint="eastAsia" w:ascii="宋体" w:hAnsi="宋体" w:cs="宋体"/>
                <w:color w:val="000000"/>
                <w:szCs w:val="21"/>
                <w:highlight w:val="none"/>
              </w:rPr>
            </w:pPr>
          </w:p>
        </w:tc>
        <w:tc>
          <w:tcPr>
            <w:tcW w:w="2132" w:type="dxa"/>
            <w:noWrap w:val="0"/>
            <w:vAlign w:val="center"/>
          </w:tcPr>
          <w:p w14:paraId="2B98A86E">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不可竞争项目费费率</w:t>
            </w:r>
          </w:p>
        </w:tc>
        <w:tc>
          <w:tcPr>
            <w:tcW w:w="5526" w:type="dxa"/>
            <w:noWrap w:val="0"/>
            <w:vAlign w:val="center"/>
          </w:tcPr>
          <w:p w14:paraId="135D3123">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低于建标〔2021〕42号文规定的费率。</w:t>
            </w:r>
          </w:p>
        </w:tc>
      </w:tr>
      <w:tr w14:paraId="6B98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0" w:type="dxa"/>
            <w:vMerge w:val="continue"/>
            <w:noWrap w:val="0"/>
            <w:vAlign w:val="center"/>
          </w:tcPr>
          <w:p w14:paraId="1EBE9E12">
            <w:pPr>
              <w:widowControl/>
              <w:adjustRightInd w:val="0"/>
              <w:snapToGrid w:val="0"/>
              <w:spacing w:line="560" w:lineRule="exact"/>
              <w:jc w:val="left"/>
              <w:rPr>
                <w:rFonts w:hint="eastAsia" w:ascii="宋体" w:hAnsi="宋体" w:cs="宋体"/>
                <w:color w:val="000000"/>
                <w:szCs w:val="21"/>
                <w:highlight w:val="none"/>
              </w:rPr>
            </w:pPr>
          </w:p>
        </w:tc>
        <w:tc>
          <w:tcPr>
            <w:tcW w:w="780" w:type="dxa"/>
            <w:vMerge w:val="continue"/>
            <w:noWrap w:val="0"/>
            <w:vAlign w:val="center"/>
          </w:tcPr>
          <w:p w14:paraId="34C068CC">
            <w:pPr>
              <w:widowControl/>
              <w:adjustRightInd w:val="0"/>
              <w:snapToGrid w:val="0"/>
              <w:spacing w:line="560" w:lineRule="exact"/>
              <w:jc w:val="left"/>
              <w:rPr>
                <w:rFonts w:hint="eastAsia" w:ascii="宋体" w:hAnsi="宋体" w:cs="宋体"/>
                <w:color w:val="000000"/>
                <w:szCs w:val="21"/>
                <w:highlight w:val="none"/>
              </w:rPr>
            </w:pPr>
          </w:p>
        </w:tc>
        <w:tc>
          <w:tcPr>
            <w:tcW w:w="726" w:type="dxa"/>
            <w:vMerge w:val="continue"/>
            <w:noWrap w:val="0"/>
            <w:vAlign w:val="center"/>
          </w:tcPr>
          <w:p w14:paraId="5268274B">
            <w:pPr>
              <w:adjustRightInd w:val="0"/>
              <w:snapToGrid w:val="0"/>
              <w:spacing w:line="560" w:lineRule="exact"/>
              <w:rPr>
                <w:rFonts w:hint="eastAsia" w:ascii="宋体" w:hAnsi="宋体" w:cs="宋体"/>
                <w:color w:val="000000"/>
                <w:szCs w:val="21"/>
                <w:highlight w:val="none"/>
              </w:rPr>
            </w:pPr>
          </w:p>
        </w:tc>
        <w:tc>
          <w:tcPr>
            <w:tcW w:w="2132" w:type="dxa"/>
            <w:noWrap w:val="0"/>
            <w:vAlign w:val="center"/>
          </w:tcPr>
          <w:p w14:paraId="23D0979A">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税率</w:t>
            </w:r>
          </w:p>
        </w:tc>
        <w:tc>
          <w:tcPr>
            <w:tcW w:w="5526" w:type="dxa"/>
            <w:noWrap w:val="0"/>
            <w:vAlign w:val="center"/>
          </w:tcPr>
          <w:p w14:paraId="2A51043A">
            <w:pPr>
              <w:adjustRightInd w:val="0"/>
              <w:snapToGrid w:val="0"/>
              <w:spacing w:line="560" w:lineRule="exact"/>
              <w:rPr>
                <w:rFonts w:hint="eastAsia" w:ascii="宋体" w:hAnsi="宋体" w:cs="宋体"/>
                <w:color w:val="000000"/>
                <w:szCs w:val="21"/>
                <w:highlight w:val="none"/>
              </w:rPr>
            </w:pPr>
            <w:r>
              <w:rPr>
                <w:rFonts w:hint="eastAsia" w:ascii="宋体" w:hAnsi="宋体"/>
                <w:color w:val="000000"/>
                <w:szCs w:val="21"/>
                <w:highlight w:val="none"/>
              </w:rPr>
              <w:t>低于《关于调整我省现行建设工程计价依据增值税税率的通知》（皖造价〔2019〕7号）规定的费率。</w:t>
            </w:r>
          </w:p>
        </w:tc>
      </w:tr>
      <w:tr w14:paraId="6974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0" w:type="dxa"/>
            <w:noWrap w:val="0"/>
            <w:vAlign w:val="center"/>
          </w:tcPr>
          <w:p w14:paraId="0E624049">
            <w:pPr>
              <w:widowControl/>
              <w:adjustRightInd w:val="0"/>
              <w:snapToGrid w:val="0"/>
              <w:spacing w:line="560" w:lineRule="exact"/>
              <w:jc w:val="center"/>
              <w:rPr>
                <w:rFonts w:hint="default"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7.1</w:t>
            </w:r>
          </w:p>
        </w:tc>
        <w:tc>
          <w:tcPr>
            <w:tcW w:w="780" w:type="dxa"/>
            <w:noWrap w:val="0"/>
            <w:vAlign w:val="center"/>
          </w:tcPr>
          <w:p w14:paraId="065F517E">
            <w:pPr>
              <w:adjustRightInd w:val="0"/>
              <w:snapToGrid w:val="0"/>
              <w:spacing w:line="560" w:lineRule="exact"/>
              <w:jc w:val="center"/>
              <w:rPr>
                <w:rFonts w:ascii="宋体" w:hAnsi="宋体"/>
                <w:color w:val="000000"/>
                <w:szCs w:val="21"/>
                <w:highlight w:val="none"/>
              </w:rPr>
            </w:pPr>
            <w:r>
              <w:rPr>
                <w:rFonts w:ascii="宋体" w:hAnsi="宋体"/>
                <w:color w:val="000000"/>
                <w:szCs w:val="21"/>
                <w:highlight w:val="none"/>
              </w:rPr>
              <w:t>商务</w:t>
            </w:r>
          </w:p>
          <w:p w14:paraId="57EE8150">
            <w:pPr>
              <w:adjustRightInd w:val="0"/>
              <w:snapToGrid w:val="0"/>
              <w:spacing w:line="560" w:lineRule="exact"/>
              <w:jc w:val="center"/>
              <w:rPr>
                <w:rFonts w:ascii="宋体" w:hAnsi="宋体"/>
                <w:color w:val="000000"/>
                <w:szCs w:val="21"/>
                <w:highlight w:val="none"/>
              </w:rPr>
            </w:pPr>
            <w:r>
              <w:rPr>
                <w:rFonts w:ascii="宋体" w:hAnsi="宋体"/>
                <w:color w:val="000000"/>
                <w:szCs w:val="21"/>
                <w:highlight w:val="none"/>
              </w:rPr>
              <w:t>评分</w:t>
            </w:r>
          </w:p>
          <w:p w14:paraId="16C228FD">
            <w:pPr>
              <w:adjustRightInd w:val="0"/>
              <w:snapToGrid w:val="0"/>
              <w:spacing w:line="560" w:lineRule="exact"/>
              <w:jc w:val="center"/>
              <w:rPr>
                <w:rFonts w:hint="eastAsia" w:ascii="宋体" w:hAnsi="宋体" w:cs="宋体"/>
                <w:color w:val="000000"/>
                <w:szCs w:val="21"/>
                <w:highlight w:val="none"/>
              </w:rPr>
            </w:pPr>
            <w:r>
              <w:rPr>
                <w:rFonts w:ascii="宋体" w:hAnsi="宋体"/>
                <w:color w:val="000000"/>
                <w:szCs w:val="21"/>
                <w:highlight w:val="none"/>
              </w:rPr>
              <w:t>（</w:t>
            </w:r>
            <w:r>
              <w:rPr>
                <w:rFonts w:hint="eastAsia" w:ascii="宋体" w:hAnsi="宋体"/>
                <w:color w:val="000000"/>
                <w:szCs w:val="21"/>
                <w:highlight w:val="none"/>
                <w:lang w:val="en-US" w:eastAsia="zh-CN"/>
              </w:rPr>
              <w:t>100</w:t>
            </w:r>
            <w:r>
              <w:rPr>
                <w:rFonts w:ascii="宋体" w:hAnsi="宋体"/>
                <w:color w:val="000000"/>
                <w:szCs w:val="21"/>
                <w:highlight w:val="none"/>
              </w:rPr>
              <w:t>分）</w:t>
            </w:r>
          </w:p>
        </w:tc>
        <w:tc>
          <w:tcPr>
            <w:tcW w:w="8384" w:type="dxa"/>
            <w:gridSpan w:val="3"/>
            <w:noWrap w:val="0"/>
            <w:vAlign w:val="center"/>
          </w:tcPr>
          <w:p w14:paraId="5007B21C">
            <w:pPr>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color w:val="000000"/>
                <w:highlight w:val="none"/>
              </w:rPr>
            </w:pPr>
            <w:r>
              <w:rPr>
                <w:rFonts w:hint="eastAsia" w:ascii="宋体" w:hAnsi="宋体" w:cs="宋体"/>
                <w:color w:val="000000"/>
                <w:highlight w:val="none"/>
              </w:rPr>
              <w:t>商务标评分按下列步骤计算：</w:t>
            </w:r>
          </w:p>
          <w:p w14:paraId="1AC768F0">
            <w:pPr>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color w:val="000000"/>
                <w:highlight w:val="none"/>
              </w:rPr>
            </w:pPr>
            <w:r>
              <w:rPr>
                <w:rFonts w:hint="eastAsia" w:ascii="宋体" w:hAnsi="宋体" w:cs="宋体"/>
                <w:color w:val="000000"/>
                <w:highlight w:val="none"/>
              </w:rPr>
              <w:t>第一步：计算B值。</w:t>
            </w:r>
          </w:p>
          <w:p w14:paraId="5E998438">
            <w:pPr>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color w:val="000000"/>
                <w:szCs w:val="21"/>
                <w:highlight w:val="none"/>
              </w:rPr>
            </w:pPr>
            <w:r>
              <w:rPr>
                <w:rFonts w:hint="eastAsia" w:ascii="宋体" w:hAnsi="宋体" w:cs="宋体"/>
                <w:color w:val="000000"/>
                <w:szCs w:val="21"/>
                <w:highlight w:val="none"/>
              </w:rPr>
              <w:t>①B</w:t>
            </w:r>
            <w:r>
              <w:rPr>
                <w:rFonts w:hint="eastAsia" w:ascii="宋体" w:hAnsi="宋体" w:cs="宋体"/>
                <w:color w:val="000000"/>
                <w:kern w:val="0"/>
                <w:szCs w:val="21"/>
                <w:highlight w:val="none"/>
              </w:rPr>
              <w:t>值</w:t>
            </w:r>
            <w:r>
              <w:rPr>
                <w:rFonts w:hint="eastAsia" w:ascii="宋体" w:hAnsi="宋体" w:cs="宋体"/>
                <w:color w:val="000000"/>
                <w:szCs w:val="21"/>
                <w:highlight w:val="none"/>
              </w:rPr>
              <w:t>为计算范围内有效投标人报价的算术平均值。</w:t>
            </w:r>
          </w:p>
          <w:p w14:paraId="2CD917D9">
            <w:pPr>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color w:val="000000"/>
                <w:szCs w:val="21"/>
                <w:highlight w:val="none"/>
              </w:rPr>
            </w:pPr>
            <w:r>
              <w:rPr>
                <w:rFonts w:hint="eastAsia" w:ascii="宋体" w:hAnsi="宋体" w:cs="宋体"/>
                <w:color w:val="000000"/>
                <w:szCs w:val="21"/>
                <w:highlight w:val="none"/>
              </w:rPr>
              <w:t>第二步：计算评标基准价F值。</w:t>
            </w:r>
          </w:p>
          <w:p w14:paraId="061B8F6B">
            <w:pPr>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color w:val="000000"/>
                <w:szCs w:val="21"/>
                <w:highlight w:val="none"/>
              </w:rPr>
            </w:pPr>
            <w:r>
              <w:rPr>
                <w:rFonts w:hint="eastAsia" w:ascii="宋体" w:hAnsi="宋体" w:cs="宋体"/>
                <w:color w:val="000000"/>
                <w:szCs w:val="21"/>
                <w:highlight w:val="none"/>
              </w:rPr>
              <w:t>①F=B×（1-K），其中K为调整系数，K的取值为-0.5%（1号），0%（2号），0.5%（3号），1.0%（4号），1.5%（5号）。</w:t>
            </w:r>
          </w:p>
          <w:p w14:paraId="3ADF50F6">
            <w:pPr>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color w:val="000000"/>
                <w:szCs w:val="21"/>
                <w:highlight w:val="none"/>
              </w:rPr>
            </w:pPr>
            <w:r>
              <w:rPr>
                <w:rFonts w:hint="eastAsia" w:ascii="宋体" w:hAnsi="宋体" w:cs="宋体"/>
                <w:color w:val="000000"/>
                <w:szCs w:val="21"/>
                <w:highlight w:val="none"/>
              </w:rPr>
              <w:t>第三步：计算报价偏差率。</w:t>
            </w:r>
          </w:p>
          <w:p w14:paraId="0626EADD">
            <w:pPr>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color w:val="000000"/>
                <w:szCs w:val="21"/>
                <w:highlight w:val="none"/>
              </w:rPr>
            </w:pPr>
            <w:r>
              <w:rPr>
                <w:rFonts w:hint="eastAsia" w:ascii="宋体" w:hAnsi="宋体" w:cs="宋体"/>
                <w:color w:val="000000"/>
                <w:szCs w:val="21"/>
                <w:highlight w:val="none"/>
              </w:rPr>
              <w:t>①偏差率=|（投标报价-评标基准价）/评标基准价|×100%</w:t>
            </w:r>
          </w:p>
          <w:p w14:paraId="0AD87820">
            <w:pPr>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color w:val="000000"/>
                <w:szCs w:val="21"/>
                <w:highlight w:val="none"/>
              </w:rPr>
            </w:pPr>
            <w:r>
              <w:rPr>
                <w:rFonts w:hint="eastAsia" w:ascii="宋体" w:hAnsi="宋体" w:cs="宋体"/>
                <w:color w:val="000000"/>
                <w:szCs w:val="21"/>
                <w:highlight w:val="none"/>
              </w:rPr>
              <w:t>第四步：计算报价得分</w:t>
            </w:r>
          </w:p>
          <w:p w14:paraId="7965C447">
            <w:pPr>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color w:val="000000"/>
                <w:szCs w:val="21"/>
                <w:highlight w:val="none"/>
              </w:rPr>
            </w:pPr>
            <w:r>
              <w:rPr>
                <w:rFonts w:hint="eastAsia" w:ascii="宋体" w:hAnsi="宋体" w:cs="宋体"/>
                <w:color w:val="000000"/>
                <w:szCs w:val="21"/>
                <w:highlight w:val="none"/>
              </w:rPr>
              <w:t>①投标报价等于评标基准价的得满分。</w:t>
            </w:r>
          </w:p>
          <w:p w14:paraId="39305A57">
            <w:pPr>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color w:val="000000"/>
                <w:szCs w:val="21"/>
                <w:highlight w:val="none"/>
              </w:rPr>
            </w:pPr>
            <w:r>
              <w:rPr>
                <w:rFonts w:hint="eastAsia" w:ascii="宋体" w:hAnsi="宋体" w:cs="宋体"/>
                <w:color w:val="000000"/>
                <w:szCs w:val="21"/>
                <w:highlight w:val="none"/>
              </w:rPr>
              <w:t>②投标报价高于评标基准价的，投标报价得分=报价满分值-偏差率×100×1</w:t>
            </w:r>
          </w:p>
          <w:p w14:paraId="41E9390B">
            <w:pPr>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color w:val="000000"/>
                <w:szCs w:val="21"/>
                <w:highlight w:val="none"/>
              </w:rPr>
            </w:pPr>
            <w:r>
              <w:rPr>
                <w:rFonts w:hint="eastAsia" w:ascii="宋体" w:hAnsi="宋体" w:cs="宋体"/>
                <w:color w:val="000000"/>
                <w:szCs w:val="21"/>
                <w:highlight w:val="none"/>
              </w:rPr>
              <w:t>③投标报价低于评标基准价的，投标报价得分=报价满分值-偏差率×100×0.5</w:t>
            </w:r>
          </w:p>
          <w:p w14:paraId="42378A73">
            <w:pPr>
              <w:pStyle w:val="14"/>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0" w:firstLineChars="0"/>
              <w:jc w:val="left"/>
              <w:textAlignment w:val="auto"/>
              <w:rPr>
                <w:rFonts w:hint="eastAsia" w:ascii="宋体" w:hAnsi="宋体"/>
                <w:color w:val="000000"/>
                <w:szCs w:val="21"/>
                <w:highlight w:val="none"/>
              </w:rPr>
            </w:pPr>
            <w:r>
              <w:rPr>
                <w:rFonts w:hint="eastAsia" w:ascii="宋体" w:hAnsi="宋体" w:cs="宋体"/>
                <w:b/>
                <w:color w:val="000000"/>
                <w:szCs w:val="21"/>
                <w:highlight w:val="none"/>
              </w:rPr>
              <w:t>注：计算过程中，B值、评标基准价F值、偏差率、报价得分均保留两位小数，小数点后第三位四舍五入。</w:t>
            </w:r>
          </w:p>
        </w:tc>
      </w:tr>
    </w:tbl>
    <w:p w14:paraId="22B6A5E0">
      <w:pPr>
        <w:adjustRightInd w:val="0"/>
        <w:snapToGrid w:val="0"/>
        <w:spacing w:line="560" w:lineRule="exact"/>
        <w:ind w:firstLine="316" w:firstLineChars="150"/>
        <w:rPr>
          <w:rFonts w:hint="eastAsia" w:ascii="黑体" w:hAnsi="黑体" w:eastAsia="黑体" w:cs="黑体"/>
          <w:b/>
          <w:color w:val="000000"/>
          <w:szCs w:val="21"/>
          <w:highlight w:val="none"/>
        </w:rPr>
      </w:pPr>
      <w:r>
        <w:rPr>
          <w:rFonts w:hint="eastAsia" w:ascii="黑体" w:hAnsi="黑体" w:eastAsia="黑体" w:cs="黑体"/>
          <w:b/>
          <w:color w:val="000000"/>
          <w:szCs w:val="21"/>
          <w:highlight w:val="none"/>
        </w:rPr>
        <w:t>商务标评审表注：</w:t>
      </w:r>
    </w:p>
    <w:p w14:paraId="127AAEE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、只有通过详细评审的投标人才能参加评分。</w:t>
      </w:r>
    </w:p>
    <w:p w14:paraId="6B9B330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val="en-US" w:eastAsia="zh-CN"/>
        </w:rPr>
        <w:t>2</w:t>
      </w:r>
      <w:r>
        <w:rPr>
          <w:rFonts w:hint="eastAsia" w:ascii="宋体" w:hAnsi="宋体" w:cs="宋体"/>
          <w:color w:val="000000"/>
          <w:szCs w:val="21"/>
          <w:highlight w:val="none"/>
        </w:rPr>
        <w:t>、本表所称投标报价是指按招标文件规定修正后的投标总报价（多算投标报价、多报费用不扣减），报价以元为单位，保留两位小数，小数点后第三位四舍五入。</w:t>
      </w:r>
    </w:p>
    <w:p w14:paraId="25DC506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val="en-US" w:eastAsia="zh-CN"/>
        </w:rPr>
        <w:t>3</w:t>
      </w:r>
      <w:r>
        <w:rPr>
          <w:rFonts w:hint="eastAsia" w:ascii="宋体" w:hAnsi="宋体" w:cs="宋体"/>
          <w:color w:val="000000"/>
          <w:szCs w:val="21"/>
          <w:highlight w:val="none"/>
        </w:rPr>
        <w:t>、B值为</w:t>
      </w:r>
      <w:r>
        <w:rPr>
          <w:rFonts w:hint="eastAsia" w:ascii="宋体" w:hAnsi="宋体" w:cs="宋体"/>
          <w:color w:val="000000"/>
          <w:szCs w:val="21"/>
          <w:highlight w:val="none"/>
          <w:lang w:val="en-US" w:eastAsia="zh-CN"/>
        </w:rPr>
        <w:t>全部</w:t>
      </w:r>
      <w:r>
        <w:rPr>
          <w:rFonts w:hint="eastAsia" w:ascii="宋体" w:hAnsi="宋体" w:cs="宋体"/>
          <w:color w:val="000000"/>
          <w:szCs w:val="21"/>
          <w:highlight w:val="none"/>
        </w:rPr>
        <w:t>投标人的有效投标报价的算术平均值。</w:t>
      </w:r>
    </w:p>
    <w:p w14:paraId="5FC365A5">
      <w:pPr>
        <w:adjustRightInd w:val="0"/>
        <w:snapToGrid w:val="0"/>
        <w:spacing w:line="560" w:lineRule="exact"/>
        <w:ind w:firstLine="420" w:firstLineChars="200"/>
        <w:rPr>
          <w:rFonts w:hint="eastAsia" w:ascii="宋体" w:hAnsi="宋体" w:eastAsia="宋体" w:cs="宋体"/>
          <w:highlight w:val="none"/>
        </w:rPr>
      </w:pPr>
      <w:r>
        <w:rPr>
          <w:rFonts w:hint="eastAsia" w:ascii="宋体" w:hAnsi="宋体" w:cs="宋体"/>
          <w:color w:val="000000"/>
          <w:szCs w:val="21"/>
          <w:highlight w:val="none"/>
          <w:lang w:val="en-US" w:eastAsia="zh-CN"/>
        </w:rPr>
        <w:t>4</w:t>
      </w:r>
      <w:r>
        <w:rPr>
          <w:rFonts w:ascii="宋体" w:hAnsi="宋体" w:cs="宋体"/>
          <w:color w:val="000000"/>
          <w:szCs w:val="21"/>
          <w:highlight w:val="none"/>
        </w:rPr>
        <w:t>、K值（评标基准价系数）的抽取：资信标、商务标详细评审完成后，</w:t>
      </w:r>
      <w:r>
        <w:rPr>
          <w:rFonts w:hint="eastAsia"/>
          <w:color w:val="000000"/>
          <w:highlight w:val="none"/>
        </w:rPr>
        <w:t>由评标委员会主任委员或招标人</w:t>
      </w:r>
      <w:r>
        <w:rPr>
          <w:rFonts w:hint="eastAsia"/>
          <w:color w:val="000000"/>
          <w:highlight w:val="none"/>
          <w:lang w:val="en-US" w:eastAsia="zh-CN"/>
        </w:rPr>
        <w:t>现场</w:t>
      </w:r>
      <w:r>
        <w:rPr>
          <w:rFonts w:ascii="宋体" w:hAnsi="宋体" w:cs="宋体"/>
          <w:color w:val="000000"/>
          <w:szCs w:val="21"/>
          <w:highlight w:val="none"/>
        </w:rPr>
        <w:t>抽取K值，并根据抽取的K值计算F值，</w:t>
      </w:r>
      <w:r>
        <w:rPr>
          <w:rFonts w:ascii="宋体" w:hAnsi="宋体" w:cs="宋体"/>
          <w:b/>
          <w:color w:val="000000"/>
          <w:szCs w:val="21"/>
          <w:highlight w:val="none"/>
          <w:u w:val="single"/>
        </w:rPr>
        <w:t>评标办法中的评标基准价计算出来后，除数字计算错误外，其他情况均不再调整。</w:t>
      </w:r>
    </w:p>
    <w:p w14:paraId="310B992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、其他</w:t>
      </w:r>
    </w:p>
    <w:p w14:paraId="31BCEB0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.1 缺漏项金额是指投标人漏计招标人发布的清单项目，按最高投标限价对应清单综合单价计算缺漏金额。</w:t>
      </w:r>
    </w:p>
    <w:p w14:paraId="71580C6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.2 本表所述累计投标报价缺漏错总额占原投标报价格 5%以下者，视为投标人主动让利或包含在其他项目中，不修正总价，工程结算时亦不予调整。</w:t>
      </w:r>
    </w:p>
    <w:p w14:paraId="585A3CBD">
      <w:pPr>
        <w:widowControl/>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highlight w:val="none"/>
          <w:lang w:val="en-US" w:eastAsia="zh-CN"/>
        </w:rPr>
        <w:t>6</w:t>
      </w:r>
      <w:r>
        <w:rPr>
          <w:rFonts w:hint="eastAsia"/>
          <w:highlight w:val="none"/>
        </w:rPr>
        <w:t>、</w:t>
      </w:r>
      <w:r>
        <w:rPr>
          <w:rFonts w:hint="eastAsia" w:ascii="宋体" w:hAnsi="宋体" w:cs="宋体"/>
          <w:color w:val="000000"/>
          <w:szCs w:val="21"/>
          <w:highlight w:val="none"/>
        </w:rPr>
        <w:t>投标人（如投标人为联合体，联合体各方均需提供）</w:t>
      </w:r>
      <w:r>
        <w:rPr>
          <w:rFonts w:hint="default" w:ascii="宋体" w:hAnsi="宋体" w:eastAsia="宋体" w:cs="宋体"/>
          <w:b w:val="0"/>
          <w:bCs w:val="0"/>
          <w:color w:val="000000"/>
          <w:sz w:val="21"/>
          <w:szCs w:val="21"/>
          <w:highlight w:val="none"/>
          <w:lang w:val="en-US" w:eastAsia="zh-CN"/>
        </w:rPr>
        <w:t>的注册建造师必须满足相应建筑业企业资质标准要求，评标委员会在评审时，将对此进行评审。投标单位（如投标人为联合体，</w:t>
      </w:r>
      <w:r>
        <w:rPr>
          <w:rFonts w:hint="eastAsia" w:ascii="宋体" w:hAnsi="宋体" w:cs="宋体"/>
          <w:color w:val="000000"/>
          <w:szCs w:val="21"/>
          <w:highlight w:val="none"/>
        </w:rPr>
        <w:t>联合体各方均需提供</w:t>
      </w:r>
      <w:r>
        <w:rPr>
          <w:rFonts w:hint="default" w:ascii="宋体" w:hAnsi="宋体" w:eastAsia="宋体" w:cs="宋体"/>
          <w:b w:val="0"/>
          <w:bCs w:val="0"/>
          <w:color w:val="000000"/>
          <w:sz w:val="21"/>
          <w:szCs w:val="21"/>
          <w:highlight w:val="none"/>
          <w:lang w:val="en-US" w:eastAsia="zh-CN"/>
        </w:rPr>
        <w:t>）应在商务标文件中提供全国建筑市场监管公共服务平台(四库一平台)企业注册人员网页截图，并在投标函中承诺，</w:t>
      </w:r>
      <w:r>
        <w:rPr>
          <w:rFonts w:hint="eastAsia" w:ascii="宋体" w:hAnsi="宋体" w:eastAsia="宋体" w:cs="宋体"/>
          <w:b w:val="0"/>
          <w:bCs w:val="0"/>
          <w:color w:val="000000"/>
          <w:sz w:val="21"/>
          <w:szCs w:val="21"/>
          <w:highlight w:val="none"/>
          <w:lang w:val="en-US" w:eastAsia="zh-CN"/>
        </w:rPr>
        <w:t>承诺本单位（如投标人为联合体，联合体各方）现有注册建造师专业、数量满足《建筑业企业资质标准》及有关文件中对应资质等级标准要求等内容。</w:t>
      </w:r>
      <w:r>
        <w:rPr>
          <w:rFonts w:hint="eastAsia" w:ascii="宋体" w:hAnsi="宋体" w:eastAsia="宋体" w:cs="宋体"/>
          <w:b/>
          <w:bCs/>
          <w:color w:val="000000"/>
          <w:sz w:val="21"/>
          <w:szCs w:val="21"/>
          <w:highlight w:val="none"/>
          <w:lang w:val="en-US" w:eastAsia="zh-CN"/>
        </w:rPr>
        <w:t>未提供相关截图或承诺的，提供的相关截图或承诺未体现注册建造师满足相应建筑业企业资质标准要求的，按无效标处理。</w:t>
      </w:r>
    </w:p>
    <w:p w14:paraId="59E5148A">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1.评标方法</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4F91B52D">
      <w:pPr>
        <w:adjustRightInd w:val="0"/>
        <w:snapToGrid w:val="0"/>
        <w:spacing w:line="560" w:lineRule="exact"/>
        <w:ind w:firstLine="420" w:firstLineChars="200"/>
        <w:jc w:val="left"/>
        <w:rPr>
          <w:rFonts w:hint="eastAsia" w:ascii="宋体" w:hAnsi="宋体" w:cs="宋体"/>
          <w:color w:val="000000"/>
          <w:szCs w:val="21"/>
          <w:highlight w:val="none"/>
        </w:rPr>
      </w:pPr>
      <w:bookmarkStart w:id="783" w:name="_Toc15058914"/>
      <w:bookmarkStart w:id="784" w:name="_Toc506107325"/>
      <w:bookmarkStart w:id="785" w:name="_Toc11945"/>
      <w:bookmarkStart w:id="786" w:name="_Toc324404873"/>
      <w:bookmarkStart w:id="787" w:name="_Toc78803382"/>
      <w:bookmarkStart w:id="788" w:name="_Toc35425114"/>
      <w:bookmarkStart w:id="789" w:name="_Toc35424948"/>
      <w:bookmarkStart w:id="790" w:name="_Toc296602478"/>
      <w:bookmarkStart w:id="791" w:name="_Toc246996976"/>
      <w:bookmarkStart w:id="792" w:name="_Toc179632608"/>
      <w:bookmarkStart w:id="793" w:name="_Toc152045590"/>
      <w:bookmarkStart w:id="794" w:name="_Toc247085748"/>
      <w:bookmarkStart w:id="795" w:name="_Toc152042367"/>
      <w:bookmarkStart w:id="796" w:name="_Toc246996233"/>
      <w:bookmarkStart w:id="797" w:name="_Toc144974557"/>
      <w:r>
        <w:rPr>
          <w:rFonts w:hint="eastAsia" w:ascii="宋体" w:hAnsi="宋体" w:cs="宋体"/>
          <w:color w:val="000000"/>
          <w:szCs w:val="21"/>
          <w:highlight w:val="none"/>
        </w:rPr>
        <w:t>本次评标采用综合评估法。评标委员会对满足招标文件实质性要求的投标文件，按照本章规定的评分标准计算得分，并按总得分由高到低顺序推荐中标候选人（</w:t>
      </w:r>
      <w:r>
        <w:rPr>
          <w:rFonts w:hint="eastAsia" w:ascii="宋体" w:hAnsi="宋体" w:cs="宋体"/>
          <w:color w:val="000000"/>
          <w:szCs w:val="21"/>
          <w:highlight w:val="none"/>
          <w:lang w:val="en-US" w:eastAsia="zh-CN"/>
        </w:rPr>
        <w:t>2</w:t>
      </w:r>
      <w:r>
        <w:rPr>
          <w:rFonts w:hint="eastAsia" w:ascii="宋体" w:hAnsi="宋体" w:cs="宋体"/>
          <w:color w:val="000000"/>
          <w:szCs w:val="21"/>
          <w:highlight w:val="none"/>
        </w:rPr>
        <w:t>名），并标明排序，但投标报价低于其成本的除外。如总得分相等，以投标报价低的优先，投标报价仍相等，由评标委员会主任委员或招标人随机抽取确定排名。</w:t>
      </w:r>
    </w:p>
    <w:p w14:paraId="2DAB305A">
      <w:pPr>
        <w:adjustRightInd w:val="0"/>
        <w:snapToGrid w:val="0"/>
        <w:spacing w:line="560" w:lineRule="exact"/>
        <w:ind w:firstLine="420" w:firstLineChars="200"/>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rPr>
        <w:t>（1）根据评标委员会评审初步结论，项目单位（代理机构）对预中标候选人、法定代表人及其项目经理（建造师）是否存在招标文件要求查询的失信行为进行网上核查后，提交网站截图等查询记录给评标委员会复核。若核查结果不符合招标文件规定的投标人资格条件信誉要求，由评标委员会取消其预中标候选人资格，并依次替补，再次对替补单位进行核查。如评标现场未发现问题但标后质疑（异议）、投诉发现中标候选人存在信誉问题，则组织评标委员会重新启动复核程序。核查结果不改变原评标基准价。</w:t>
      </w:r>
    </w:p>
    <w:p w14:paraId="1D1EFB61">
      <w:pPr>
        <w:wordWrap w:val="0"/>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cs="宋体"/>
          <w:color w:val="000000"/>
          <w:szCs w:val="21"/>
          <w:highlight w:val="none"/>
        </w:rPr>
        <w:t>（2）评标委员会登录全国建筑市场监管公共服务平台 ( 四库</w:t>
      </w:r>
      <w:r>
        <w:rPr>
          <w:rFonts w:hint="eastAsia" w:ascii="宋体" w:hAnsi="宋体" w:cs="宋体"/>
          <w:color w:val="000000"/>
          <w:szCs w:val="21"/>
          <w:highlight w:val="none"/>
          <w:lang w:eastAsia="zh-CN"/>
        </w:rPr>
        <w:t>一</w:t>
      </w:r>
      <w:r>
        <w:rPr>
          <w:rFonts w:hint="eastAsia" w:ascii="宋体" w:hAnsi="宋体" w:cs="宋体"/>
          <w:color w:val="000000"/>
          <w:szCs w:val="21"/>
          <w:highlight w:val="none"/>
        </w:rPr>
        <w:t>平台)https://jzsc.mohurd.gov.cn/home 进行实时查询，并结合《住房城乡建设部关于进一步加强建设工程企业资质审批管理工作的通知》（建市规〔2023〕3 号）、《住房和城乡建设部办公厅关于建设工程企业资质有关事项的通知》（建办市函〔2022〕361 号）和安徽省住建厅《关于建设工程企业资质有关事宜的通知》（建市函〔2022〕748 号），对中标候选人的关系企业履约能力的建造师数量进行评审：</w:t>
      </w:r>
    </w:p>
    <w:p w14:paraId="385D7827">
      <w:pPr>
        <w:widowControl/>
        <w:adjustRightInd w:val="0"/>
        <w:snapToGrid w:val="0"/>
        <w:spacing w:line="560" w:lineRule="exact"/>
        <w:ind w:firstLine="420" w:firstLineChars="200"/>
        <w:jc w:val="left"/>
        <w:rPr>
          <w:rFonts w:ascii="宋体" w:hAnsi="宋体" w:cs="宋体"/>
          <w:color w:val="auto"/>
          <w:szCs w:val="21"/>
          <w:highlight w:val="none"/>
        </w:rPr>
      </w:pPr>
      <w:r>
        <w:rPr>
          <w:rFonts w:hint="eastAsia" w:ascii="仿宋_GB2312" w:hAnsi="宋体" w:eastAsia="仿宋_GB2312" w:cs="宋体"/>
          <w:color w:val="auto"/>
          <w:szCs w:val="21"/>
          <w:highlight w:val="none"/>
        </w:rPr>
        <w:t>①</w:t>
      </w:r>
      <w:r>
        <w:rPr>
          <w:rFonts w:hint="eastAsia" w:ascii="宋体" w:hAnsi="宋体" w:eastAsia="宋体" w:cs="宋体"/>
          <w:color w:val="auto"/>
          <w:szCs w:val="21"/>
          <w:highlight w:val="none"/>
        </w:rPr>
        <w:t>电力工程施工总承包</w:t>
      </w:r>
      <w:r>
        <w:rPr>
          <w:rFonts w:hint="eastAsia" w:ascii="宋体" w:hAnsi="宋体" w:cs="宋体"/>
          <w:color w:val="auto"/>
          <w:szCs w:val="21"/>
          <w:highlight w:val="none"/>
        </w:rPr>
        <w:t>特级资质企业：注册一级建造师 50人以上。</w:t>
      </w:r>
    </w:p>
    <w:p w14:paraId="7BA92AD1">
      <w:pPr>
        <w:widowControl/>
        <w:adjustRightInd w:val="0"/>
        <w:snapToGrid w:val="0"/>
        <w:spacing w:line="560" w:lineRule="exact"/>
        <w:ind w:firstLine="420" w:firstLineChars="200"/>
        <w:jc w:val="left"/>
        <w:rPr>
          <w:rFonts w:ascii="宋体" w:hAnsi="宋体" w:cs="宋体"/>
          <w:color w:val="auto"/>
          <w:szCs w:val="21"/>
          <w:highlight w:val="none"/>
        </w:rPr>
      </w:pPr>
      <w:r>
        <w:rPr>
          <w:rFonts w:hint="eastAsia" w:ascii="仿宋_GB2312" w:hAnsi="宋体" w:eastAsia="仿宋_GB2312" w:cs="宋体"/>
          <w:color w:val="auto"/>
          <w:szCs w:val="21"/>
          <w:highlight w:val="none"/>
        </w:rPr>
        <w:t>②</w:t>
      </w:r>
      <w:r>
        <w:rPr>
          <w:rFonts w:hint="eastAsia" w:ascii="宋体" w:hAnsi="宋体" w:eastAsia="宋体" w:cs="宋体"/>
          <w:color w:val="auto"/>
          <w:szCs w:val="21"/>
          <w:highlight w:val="none"/>
        </w:rPr>
        <w:t>电力工程施工总承包</w:t>
      </w:r>
      <w:r>
        <w:rPr>
          <w:rFonts w:hint="eastAsia" w:ascii="宋体" w:hAnsi="宋体" w:cs="宋体"/>
          <w:color w:val="auto"/>
          <w:szCs w:val="21"/>
          <w:highlight w:val="none"/>
        </w:rPr>
        <w:t>壹级资质企业：</w:t>
      </w:r>
      <w:r>
        <w:rPr>
          <w:rFonts w:hint="eastAsia" w:ascii="宋体" w:hAnsi="宋体" w:eastAsia="宋体" w:cs="宋体"/>
          <w:color w:val="auto"/>
          <w:szCs w:val="21"/>
          <w:highlight w:val="none"/>
          <w:lang w:val="en-US" w:eastAsia="zh-CN"/>
        </w:rPr>
        <w:t>机电工程专业一级注册建造师不少于1</w:t>
      </w:r>
      <w:r>
        <w:rPr>
          <w:rFonts w:hint="eastAsia" w:ascii="宋体" w:hAnsi="宋体" w:eastAsia="宋体" w:cs="宋体"/>
          <w:color w:val="auto"/>
          <w:szCs w:val="21"/>
          <w:highlight w:val="none"/>
        </w:rPr>
        <w:t>5人</w:t>
      </w:r>
      <w:r>
        <w:rPr>
          <w:rFonts w:hint="eastAsia" w:ascii="宋体" w:hAnsi="宋体" w:cs="宋体"/>
          <w:color w:val="auto"/>
          <w:szCs w:val="21"/>
          <w:highlight w:val="none"/>
        </w:rPr>
        <w:t>。</w:t>
      </w:r>
    </w:p>
    <w:p w14:paraId="1C68D453">
      <w:pPr>
        <w:widowControl/>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仿宋_GB2312" w:hAnsi="宋体" w:eastAsia="仿宋_GB2312" w:cs="宋体"/>
          <w:color w:val="auto"/>
          <w:szCs w:val="21"/>
          <w:highlight w:val="none"/>
        </w:rPr>
        <w:t>③</w:t>
      </w:r>
      <w:r>
        <w:rPr>
          <w:rFonts w:hint="eastAsia" w:ascii="宋体" w:hAnsi="宋体" w:eastAsia="宋体" w:cs="宋体"/>
          <w:color w:val="auto"/>
          <w:szCs w:val="21"/>
          <w:highlight w:val="none"/>
        </w:rPr>
        <w:t>电力工程施工总承包</w:t>
      </w:r>
      <w:r>
        <w:rPr>
          <w:rFonts w:hint="eastAsia" w:ascii="宋体" w:hAnsi="宋体" w:cs="宋体"/>
          <w:color w:val="auto"/>
          <w:szCs w:val="21"/>
          <w:highlight w:val="none"/>
        </w:rPr>
        <w:t>贰级、叁级资质企业：</w:t>
      </w:r>
      <w:r>
        <w:rPr>
          <w:rFonts w:hint="eastAsia" w:ascii="宋体" w:hAnsi="宋体" w:eastAsia="宋体" w:cs="宋体"/>
          <w:color w:val="auto"/>
          <w:szCs w:val="21"/>
          <w:highlight w:val="none"/>
          <w:lang w:val="en-US" w:eastAsia="zh-CN"/>
        </w:rPr>
        <w:t>机电工程专业注册建造师不少于</w:t>
      </w:r>
      <w:r>
        <w:rPr>
          <w:rFonts w:hint="eastAsia" w:ascii="宋体" w:hAnsi="宋体" w:eastAsia="宋体" w:cs="宋体"/>
          <w:color w:val="auto"/>
          <w:szCs w:val="21"/>
          <w:highlight w:val="none"/>
        </w:rPr>
        <w:t>5人</w:t>
      </w:r>
      <w:r>
        <w:rPr>
          <w:rFonts w:hint="eastAsia" w:ascii="宋体" w:hAnsi="宋体" w:cs="宋体"/>
          <w:color w:val="auto"/>
          <w:szCs w:val="21"/>
          <w:highlight w:val="none"/>
        </w:rPr>
        <w:t>。</w:t>
      </w:r>
    </w:p>
    <w:p w14:paraId="6A161807">
      <w:pPr>
        <w:widowControl/>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中标候选人的注册建造师不满足上述要求的，评标委员会对该投标不予认可，并将该情形报送相关行政主管部门。中标候选人依次替补，评标委员会再次对替补单位进行核查。</w:t>
      </w:r>
    </w:p>
    <w:p w14:paraId="3F12DD3B">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2.评标委员会的职责</w:t>
      </w:r>
      <w:bookmarkEnd w:id="783"/>
      <w:bookmarkEnd w:id="784"/>
      <w:bookmarkEnd w:id="785"/>
      <w:bookmarkEnd w:id="786"/>
      <w:bookmarkEnd w:id="787"/>
      <w:bookmarkEnd w:id="788"/>
      <w:bookmarkEnd w:id="789"/>
    </w:p>
    <w:p w14:paraId="2366AE8E">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bookmarkStart w:id="798" w:name="_Toc15058915"/>
      <w:bookmarkStart w:id="799" w:name="_Toc35425115"/>
      <w:bookmarkStart w:id="800" w:name="_Toc35424949"/>
      <w:bookmarkStart w:id="801" w:name="_Toc324404874"/>
      <w:bookmarkStart w:id="802" w:name="_Toc78803384"/>
      <w:bookmarkStart w:id="803" w:name="_Toc17377"/>
      <w:bookmarkStart w:id="804" w:name="_Toc506107326"/>
      <w:r>
        <w:rPr>
          <w:rFonts w:hint="eastAsia" w:ascii="宋体" w:hAnsi="宋体" w:eastAsia="宋体" w:cs="宋体"/>
          <w:color w:val="auto"/>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3220F0DC">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应加强对报价合理性审查。评标评审委员会认为拟推荐的中标候选人的报价明显低于其他通过符合性审查投标人的报价，存在异常低价，有可能影响项目质量或者不能诚信履约的，应当要求投标人在评标现场合理的时间内提供书面说明，必要时提交相关证明材料；投标人不能证明其报价合理性的，或评标委员会认定其存在履约及质量安全风险的，评标评审委员会应当将其作为无效投标处理。</w:t>
      </w:r>
    </w:p>
    <w:p w14:paraId="2EE942C7">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3.评标程序</w:t>
      </w:r>
      <w:bookmarkEnd w:id="798"/>
      <w:bookmarkEnd w:id="799"/>
      <w:bookmarkEnd w:id="800"/>
      <w:bookmarkEnd w:id="801"/>
      <w:bookmarkEnd w:id="802"/>
      <w:bookmarkEnd w:id="803"/>
      <w:bookmarkEnd w:id="804"/>
    </w:p>
    <w:p w14:paraId="609184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评标先做准备工作，先进行资信评审，然后进行商务标评审。</w:t>
      </w:r>
    </w:p>
    <w:p w14:paraId="6E980930">
      <w:pPr>
        <w:pStyle w:val="3"/>
        <w:ind w:firstLine="422" w:firstLineChars="200"/>
        <w:rPr>
          <w:rFonts w:ascii="宋体" w:hAnsi="宋体" w:eastAsia="宋体" w:cs="宋体"/>
          <w:highlight w:val="none"/>
        </w:rPr>
      </w:pPr>
      <w:bookmarkStart w:id="805" w:name="_Toc35425116"/>
      <w:bookmarkStart w:id="806" w:name="_Toc35424950"/>
      <w:bookmarkStart w:id="807" w:name="_Toc27389"/>
      <w:bookmarkStart w:id="808" w:name="_Toc78803385"/>
      <w:bookmarkStart w:id="809" w:name="_Toc15058916"/>
      <w:r>
        <w:rPr>
          <w:rFonts w:hint="eastAsia" w:ascii="宋体" w:hAnsi="宋体" w:eastAsia="宋体" w:cs="宋体"/>
          <w:highlight w:val="none"/>
        </w:rPr>
        <w:t>3.1评标准备工作</w:t>
      </w:r>
      <w:bookmarkEnd w:id="805"/>
      <w:bookmarkEnd w:id="806"/>
      <w:bookmarkEnd w:id="807"/>
      <w:bookmarkEnd w:id="808"/>
      <w:bookmarkEnd w:id="809"/>
    </w:p>
    <w:p w14:paraId="12DD11E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评标委员会熟悉评标工作情况：</w:t>
      </w:r>
    </w:p>
    <w:p w14:paraId="61A767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（1）阅读由招标人或者其委托的工程代理机构编制的招标项目情况材料。</w:t>
      </w:r>
    </w:p>
    <w:p w14:paraId="3327388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（2）阅读、研究招标文件和相关评标资料，获取评标所需要的重要信息和数据，至少应了解和熟悉以下内容：招标项目的范围和性质，招标文件规定的主要技术要求、标准和商务条款。</w:t>
      </w:r>
    </w:p>
    <w:p w14:paraId="3514C3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（3）熟悉招标文件规定的评标标准和评标方法及在评标过程中需要考虑的相关因素。</w:t>
      </w:r>
    </w:p>
    <w:p w14:paraId="0377C0C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（4）核对评标工作用表。</w:t>
      </w:r>
    </w:p>
    <w:p w14:paraId="6912EA5D">
      <w:pPr>
        <w:pStyle w:val="3"/>
        <w:ind w:firstLine="422" w:firstLineChars="200"/>
        <w:rPr>
          <w:rFonts w:ascii="宋体" w:hAnsi="宋体" w:eastAsia="宋体" w:cs="宋体"/>
          <w:highlight w:val="none"/>
        </w:rPr>
      </w:pPr>
      <w:bookmarkStart w:id="810" w:name="_Toc11990"/>
      <w:bookmarkStart w:id="811" w:name="_Toc15058918"/>
      <w:bookmarkStart w:id="812" w:name="_Toc35425118"/>
      <w:bookmarkStart w:id="813" w:name="_Toc78803387"/>
      <w:bookmarkStart w:id="814" w:name="_Toc17468"/>
      <w:bookmarkStart w:id="815" w:name="_Toc35424952"/>
      <w:bookmarkStart w:id="816" w:name="_Toc12200"/>
      <w:bookmarkStart w:id="817" w:name="_Toc506107327"/>
      <w:bookmarkStart w:id="818" w:name="_Toc35425120"/>
      <w:bookmarkStart w:id="819" w:name="_Toc35424954"/>
      <w:bookmarkStart w:id="820" w:name="_Toc324404875"/>
      <w:bookmarkStart w:id="821" w:name="_Toc15058919"/>
      <w:r>
        <w:rPr>
          <w:rFonts w:hint="eastAsia" w:ascii="宋体" w:hAnsi="宋体" w:eastAsia="宋体" w:cs="宋体"/>
          <w:highlight w:val="none"/>
        </w:rPr>
        <w:t>3.</w:t>
      </w:r>
      <w:r>
        <w:rPr>
          <w:rFonts w:hint="eastAsia" w:ascii="宋体" w:hAnsi="宋体" w:eastAsia="宋体" w:cs="宋体"/>
          <w:highlight w:val="none"/>
          <w:lang w:val="en-US" w:eastAsia="zh-CN"/>
        </w:rPr>
        <w:t>2</w:t>
      </w:r>
      <w:r>
        <w:rPr>
          <w:rFonts w:hint="eastAsia" w:ascii="宋体" w:hAnsi="宋体" w:eastAsia="宋体" w:cs="宋体"/>
          <w:highlight w:val="none"/>
        </w:rPr>
        <w:t>商务标评审</w:t>
      </w:r>
      <w:bookmarkEnd w:id="810"/>
      <w:bookmarkEnd w:id="811"/>
      <w:bookmarkEnd w:id="812"/>
      <w:bookmarkEnd w:id="813"/>
      <w:bookmarkEnd w:id="814"/>
      <w:bookmarkEnd w:id="815"/>
    </w:p>
    <w:p w14:paraId="686CA6CF">
      <w:pPr>
        <w:spacing w:line="440" w:lineRule="exact"/>
        <w:ind w:firstLine="420" w:firstLineChars="200"/>
        <w:rPr>
          <w:rFonts w:ascii="宋体" w:hAnsi="宋体" w:cs="宋体"/>
          <w:szCs w:val="21"/>
          <w:highlight w:val="none"/>
        </w:rPr>
      </w:pPr>
      <w:r>
        <w:rPr>
          <w:rFonts w:hint="eastAsia" w:ascii="宋体" w:hAnsi="宋体" w:cs="宋体"/>
          <w:szCs w:val="21"/>
          <w:highlight w:val="none"/>
        </w:rPr>
        <w:t>详见商务标评审表。</w:t>
      </w:r>
    </w:p>
    <w:p w14:paraId="42A5B5F2">
      <w:pPr>
        <w:adjustRightInd w:val="0"/>
        <w:snapToGrid w:val="0"/>
        <w:spacing w:line="560" w:lineRule="exact"/>
        <w:ind w:firstLine="422" w:firstLineChars="200"/>
        <w:rPr>
          <w:rStyle w:val="197"/>
          <w:rFonts w:hint="eastAsia" w:ascii="宋体" w:hAnsi="宋体" w:eastAsia="宋体" w:cs="宋体"/>
          <w:highlight w:val="none"/>
        </w:rPr>
      </w:pPr>
      <w:bookmarkStart w:id="822" w:name="_Toc78803388"/>
      <w:bookmarkStart w:id="823" w:name="_Toc18087"/>
      <w:bookmarkStart w:id="824" w:name="_Toc26895"/>
      <w:bookmarkStart w:id="825" w:name="_Toc35425119"/>
      <w:bookmarkStart w:id="826" w:name="_Toc35424953"/>
      <w:r>
        <w:rPr>
          <w:rStyle w:val="197"/>
          <w:rFonts w:hint="eastAsia" w:ascii="宋体" w:hAnsi="宋体" w:eastAsia="宋体" w:cs="宋体"/>
          <w:highlight w:val="none"/>
        </w:rPr>
        <w:t>3.</w:t>
      </w:r>
      <w:r>
        <w:rPr>
          <w:rStyle w:val="197"/>
          <w:rFonts w:hint="eastAsia" w:ascii="宋体" w:hAnsi="宋体" w:cs="宋体"/>
          <w:highlight w:val="none"/>
          <w:lang w:val="en-US"/>
        </w:rPr>
        <w:t>3</w:t>
      </w:r>
      <w:r>
        <w:rPr>
          <w:rStyle w:val="197"/>
          <w:rFonts w:hint="eastAsia" w:ascii="宋体" w:hAnsi="宋体" w:eastAsia="宋体" w:cs="宋体"/>
          <w:highlight w:val="none"/>
        </w:rPr>
        <w:t>推荐中标候选人</w:t>
      </w:r>
      <w:bookmarkEnd w:id="822"/>
      <w:bookmarkEnd w:id="823"/>
      <w:bookmarkEnd w:id="824"/>
      <w:bookmarkEnd w:id="825"/>
      <w:bookmarkEnd w:id="826"/>
    </w:p>
    <w:p w14:paraId="56AFC15C">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资信评审、商务标评审后，推荐中标候选人，并标明排序。</w:t>
      </w:r>
    </w:p>
    <w:p w14:paraId="3113A55A">
      <w:pPr>
        <w:pStyle w:val="3"/>
        <w:spacing w:beforeLines="50" w:afterLines="50"/>
        <w:ind w:firstLine="422" w:firstLineChars="200"/>
        <w:rPr>
          <w:rFonts w:ascii="宋体" w:hAnsi="宋体" w:eastAsia="宋体" w:cs="宋体"/>
          <w:highlight w:val="none"/>
        </w:rPr>
      </w:pPr>
      <w:bookmarkStart w:id="827" w:name="_Toc78803389"/>
      <w:r>
        <w:rPr>
          <w:rFonts w:hint="eastAsia" w:ascii="宋体" w:hAnsi="宋体" w:eastAsia="宋体" w:cs="宋体"/>
          <w:highlight w:val="none"/>
        </w:rPr>
        <w:t>4.评审内容</w:t>
      </w:r>
      <w:bookmarkEnd w:id="816"/>
      <w:bookmarkEnd w:id="817"/>
      <w:bookmarkEnd w:id="818"/>
      <w:bookmarkEnd w:id="819"/>
      <w:bookmarkEnd w:id="820"/>
      <w:bookmarkEnd w:id="821"/>
      <w:bookmarkEnd w:id="827"/>
    </w:p>
    <w:p w14:paraId="0F1392E9">
      <w:pPr>
        <w:pStyle w:val="3"/>
        <w:ind w:firstLine="422" w:firstLineChars="200"/>
        <w:rPr>
          <w:rFonts w:ascii="宋体" w:hAnsi="宋体" w:eastAsia="宋体" w:cs="宋体"/>
          <w:highlight w:val="none"/>
        </w:rPr>
      </w:pPr>
      <w:bookmarkStart w:id="828" w:name="_Toc9630"/>
      <w:bookmarkStart w:id="829" w:name="_Toc78803390"/>
      <w:r>
        <w:rPr>
          <w:rFonts w:hint="eastAsia" w:ascii="宋体" w:hAnsi="宋体" w:eastAsia="宋体" w:cs="宋体"/>
          <w:highlight w:val="none"/>
        </w:rPr>
        <w:t>4.1</w:t>
      </w:r>
      <w:bookmarkEnd w:id="828"/>
      <w:bookmarkEnd w:id="829"/>
      <w:bookmarkStart w:id="830" w:name="_Toc15058921"/>
      <w:bookmarkStart w:id="831" w:name="_Toc78803391"/>
      <w:bookmarkStart w:id="832" w:name="_Toc3531"/>
      <w:bookmarkStart w:id="833" w:name="_Toc35425122"/>
      <w:bookmarkStart w:id="834" w:name="_Toc35424956"/>
      <w:bookmarkStart w:id="835" w:name="_Toc324404876"/>
      <w:r>
        <w:rPr>
          <w:rFonts w:hint="eastAsia" w:ascii="宋体" w:hAnsi="宋体" w:eastAsia="宋体" w:cs="宋体"/>
          <w:highlight w:val="none"/>
        </w:rPr>
        <w:t>商务标评审</w:t>
      </w:r>
      <w:bookmarkEnd w:id="830"/>
      <w:bookmarkEnd w:id="831"/>
      <w:bookmarkEnd w:id="832"/>
      <w:bookmarkEnd w:id="833"/>
      <w:bookmarkEnd w:id="834"/>
    </w:p>
    <w:p w14:paraId="7908D5C2">
      <w:pPr>
        <w:spacing w:line="440" w:lineRule="exact"/>
        <w:ind w:firstLine="420" w:firstLineChars="200"/>
        <w:jc w:val="left"/>
        <w:rPr>
          <w:rFonts w:ascii="宋体" w:hAnsi="宋体" w:cs="宋体"/>
          <w:highlight w:val="none"/>
        </w:rPr>
      </w:pPr>
      <w:r>
        <w:rPr>
          <w:rFonts w:hint="eastAsia" w:ascii="宋体" w:hAnsi="宋体" w:cs="宋体"/>
          <w:highlight w:val="none"/>
        </w:rPr>
        <w:t>4.1.1形式性评审标准：见商务标评审表。</w:t>
      </w:r>
    </w:p>
    <w:p w14:paraId="5FDB8153">
      <w:pPr>
        <w:spacing w:line="440" w:lineRule="exact"/>
        <w:ind w:firstLine="420" w:firstLineChars="200"/>
        <w:jc w:val="left"/>
        <w:rPr>
          <w:rFonts w:ascii="宋体" w:hAnsi="宋体" w:cs="宋体"/>
          <w:highlight w:val="none"/>
        </w:rPr>
      </w:pPr>
      <w:r>
        <w:rPr>
          <w:rFonts w:hint="eastAsia" w:ascii="宋体" w:hAnsi="宋体" w:cs="宋体"/>
          <w:highlight w:val="none"/>
        </w:rPr>
        <w:t>4.1.2响应性评审标准：见商务标评审表。</w:t>
      </w:r>
    </w:p>
    <w:p w14:paraId="5104F405">
      <w:pPr>
        <w:spacing w:line="440" w:lineRule="exact"/>
        <w:ind w:firstLine="420" w:firstLineChars="200"/>
        <w:jc w:val="left"/>
        <w:rPr>
          <w:rFonts w:ascii="宋体" w:hAnsi="宋体" w:cs="宋体"/>
          <w:highlight w:val="none"/>
        </w:rPr>
      </w:pPr>
      <w:r>
        <w:rPr>
          <w:rFonts w:hint="eastAsia" w:ascii="宋体" w:hAnsi="宋体" w:cs="宋体"/>
          <w:highlight w:val="none"/>
        </w:rPr>
        <w:t>评标委员会依据上述标准对投标文件进行初步评审。有一项不符合评审标准的，作无效投标处理。</w:t>
      </w:r>
    </w:p>
    <w:p w14:paraId="407A1839">
      <w:pPr>
        <w:adjustRightInd w:val="0"/>
        <w:snapToGrid w:val="0"/>
        <w:spacing w:line="560" w:lineRule="exact"/>
        <w:ind w:firstLine="420" w:firstLineChars="200"/>
        <w:rPr>
          <w:rFonts w:hint="eastAsia" w:ascii="宋体" w:hAnsi="宋体" w:cs="宋体"/>
          <w:color w:val="000000"/>
          <w:szCs w:val="21"/>
          <w:highlight w:val="none"/>
        </w:rPr>
      </w:pPr>
      <w:bookmarkStart w:id="836" w:name="_Toc35425123"/>
      <w:bookmarkStart w:id="837" w:name="_Toc35424957"/>
      <w:bookmarkStart w:id="838" w:name="_Toc506107328"/>
      <w:bookmarkStart w:id="839" w:name="_Toc15058922"/>
      <w:bookmarkStart w:id="840" w:name="_Toc78803392"/>
      <w:bookmarkStart w:id="841" w:name="_Toc13125"/>
      <w:r>
        <w:rPr>
          <w:rFonts w:hint="eastAsia" w:ascii="宋体" w:hAnsi="宋体" w:cs="宋体"/>
          <w:color w:val="000000"/>
          <w:szCs w:val="21"/>
          <w:highlight w:val="none"/>
        </w:rPr>
        <w:t>4.2.3详细评审标准：见商务标评审表。</w:t>
      </w:r>
    </w:p>
    <w:p w14:paraId="645BFB2B">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4.2.3.1投标报价清标：</w:t>
      </w:r>
    </w:p>
    <w:p w14:paraId="002069EB">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（1）清标是指通过对需要评审的工程量清单投标报价采用核对、比较、筛选等方法，对基础性数据进行分析和整理。其目的是找出投标文件中可能存在疑义或者显著异常的数据，为评审中的质疑工作提供基础。</w:t>
      </w:r>
    </w:p>
    <w:p w14:paraId="2E19869D">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cs="宋体"/>
          <w:highlight w:val="none"/>
          <w:lang w:val="en-US" w:eastAsia="zh-CN"/>
        </w:rPr>
        <w:t>2</w:t>
      </w:r>
      <w:r>
        <w:rPr>
          <w:rFonts w:hint="eastAsia" w:ascii="宋体" w:hAnsi="宋体" w:eastAsia="宋体" w:cs="宋体"/>
          <w:highlight w:val="none"/>
        </w:rPr>
        <w:t>）清标的内容和步骤：</w:t>
      </w:r>
    </w:p>
    <w:p w14:paraId="09FBA449">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① 投标文件在符合性、响应性等方面存在的偏差。</w:t>
      </w:r>
    </w:p>
    <w:p w14:paraId="7F032035">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② 投标文件存在的算术计算错误和修正结果。</w:t>
      </w:r>
    </w:p>
    <w:p w14:paraId="1B413537">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③ 在列出的所有偏差中，属于重大偏差的情形和相关依据；在列出的所有偏差中、属于细微偏差的情形。</w:t>
      </w:r>
    </w:p>
    <w:p w14:paraId="3A2D7DA7">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④ 列出投标价格过高或过低等的清单项目的序号、项目编码、项目名称、项目特征、与招标文件规定的标准之间存在的偏差幅度和产生原因的摘录。</w:t>
      </w:r>
    </w:p>
    <w:p w14:paraId="5D984954">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4.2.4评标委员会审查投标文件，审核并确认清标结果，包括工程投标报价的校核、审查全部数据计算的正确性、分析各种费用构成的合理性和正确性等内容，看其是否有计算或表达上的错误，投标报价有错误的，评标委员会按以下原则对投标报价进行修正。</w:t>
      </w:r>
    </w:p>
    <w:p w14:paraId="3588E17A">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（1）投标文件中的大写金额与小写金额不一致的，以大写金额为准。</w:t>
      </w:r>
    </w:p>
    <w:p w14:paraId="48583295">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（2）总价金额与依据单价计算出的结果不一致的，以单价金额为准修正总价，但单价金额小数点有明显错误的除外。</w:t>
      </w:r>
    </w:p>
    <w:p w14:paraId="69728021">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（3）工程量清单报价表中综合单价与工程量清单项目价格分析表相对应综合单价不一致时，以工程量清单项目价格分析表中标出的综合单价为准。</w:t>
      </w:r>
    </w:p>
    <w:p w14:paraId="66441996">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0D8AA3CD">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5.无效投标条款</w:t>
      </w:r>
      <w:bookmarkEnd w:id="835"/>
      <w:bookmarkEnd w:id="836"/>
      <w:bookmarkEnd w:id="837"/>
      <w:bookmarkEnd w:id="838"/>
      <w:bookmarkEnd w:id="839"/>
      <w:bookmarkEnd w:id="840"/>
      <w:bookmarkEnd w:id="841"/>
    </w:p>
    <w:p w14:paraId="3E3E65E8">
      <w:pPr>
        <w:spacing w:line="440" w:lineRule="exact"/>
        <w:ind w:firstLine="420" w:firstLineChars="200"/>
        <w:jc w:val="left"/>
        <w:rPr>
          <w:rFonts w:hint="eastAsia" w:ascii="宋体" w:hAnsi="宋体" w:eastAsia="宋体" w:cs="宋体"/>
          <w:highlight w:val="none"/>
        </w:rPr>
      </w:pPr>
      <w:bookmarkStart w:id="842" w:name="_Toc35425124"/>
      <w:bookmarkStart w:id="843" w:name="_Toc27846"/>
      <w:bookmarkStart w:id="844" w:name="_Toc15058923"/>
      <w:bookmarkStart w:id="845" w:name="_Toc35424958"/>
      <w:bookmarkStart w:id="846" w:name="_Toc506107329"/>
      <w:bookmarkStart w:id="847" w:name="_Toc324404877"/>
      <w:bookmarkStart w:id="848" w:name="_Toc78803393"/>
      <w:r>
        <w:rPr>
          <w:rFonts w:hint="eastAsia" w:ascii="宋体" w:hAnsi="宋体" w:eastAsia="宋体" w:cs="宋体"/>
          <w:highlight w:val="none"/>
        </w:rPr>
        <w:t>5.1投标人存在下列情形的招标人将拒收投标文件：</w:t>
      </w:r>
    </w:p>
    <w:p w14:paraId="7C3A9FFB">
      <w:pPr>
        <w:adjustRightInd w:val="0"/>
        <w:snapToGrid w:val="0"/>
        <w:spacing w:line="560" w:lineRule="exact"/>
        <w:ind w:firstLine="420" w:firstLineChars="200"/>
        <w:rPr>
          <w:rFonts w:hint="eastAsia" w:ascii="宋体" w:hAnsi="宋体" w:eastAsia="宋体" w:cs="宋体"/>
          <w:color w:val="000000"/>
          <w:szCs w:val="21"/>
          <w:highlight w:val="none"/>
          <w:lang w:eastAsia="zh-CN"/>
        </w:rPr>
      </w:pPr>
      <w:bookmarkStart w:id="849" w:name="_Toc60061505"/>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）未在投标截止时</w:t>
      </w:r>
      <w:bookmarkEnd w:id="849"/>
      <w:r>
        <w:rPr>
          <w:rFonts w:hint="eastAsia" w:ascii="宋体" w:hAnsi="宋体" w:eastAsia="宋体" w:cs="宋体"/>
          <w:color w:val="000000"/>
          <w:szCs w:val="21"/>
          <w:highlight w:val="none"/>
        </w:rPr>
        <w:t>间前通过网上招标投标系统递交有效电子投标文件的，开标系统不予接收，投标将被拒绝</w:t>
      </w:r>
      <w:r>
        <w:rPr>
          <w:rFonts w:hint="eastAsia" w:ascii="宋体" w:hAnsi="宋体" w:eastAsia="宋体" w:cs="宋体"/>
          <w:color w:val="000000"/>
          <w:szCs w:val="21"/>
          <w:highlight w:val="none"/>
          <w:lang w:eastAsia="zh-CN"/>
        </w:rPr>
        <w:t>。</w:t>
      </w:r>
    </w:p>
    <w:p w14:paraId="7D46AC71">
      <w:pPr>
        <w:adjustRightInd w:val="0"/>
        <w:snapToGrid w:val="0"/>
        <w:spacing w:line="560" w:lineRule="exact"/>
        <w:ind w:firstLine="420" w:firstLineChars="200"/>
        <w:rPr>
          <w:rFonts w:ascii="宋体" w:hAnsi="宋体" w:cs="宋体"/>
          <w:color w:val="auto"/>
          <w:highlight w:val="none"/>
        </w:rPr>
      </w:pPr>
      <w:r>
        <w:rPr>
          <w:rFonts w:hint="eastAsia" w:ascii="宋体" w:hAnsi="宋体" w:eastAsia="宋体" w:cs="宋体"/>
          <w:color w:val="000000"/>
          <w:szCs w:val="21"/>
          <w:highlight w:val="none"/>
        </w:rPr>
        <w:t>（2）所有投标人应在规定时间里完成投标文件的解密工作【投标企业接到远程解密指令后，须在规定时间内解密（以网上开评标系统解密倒计时为准）。因投标人自身原因导致投标文件在规定时间内未能解密、解密失败或解密超时，投标文件无效</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w:t>
      </w:r>
    </w:p>
    <w:p w14:paraId="19B71362">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5.2投标人有下列情形的，经评审后其投标作无效投标处理：</w:t>
      </w:r>
    </w:p>
    <w:p w14:paraId="14839BB2">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5.2.</w:t>
      </w:r>
      <w:r>
        <w:rPr>
          <w:rFonts w:hint="eastAsia" w:ascii="宋体" w:hAnsi="宋体" w:eastAsia="宋体" w:cs="宋体"/>
          <w:highlight w:val="none"/>
          <w:lang w:val="en-US" w:eastAsia="zh-CN"/>
        </w:rPr>
        <w:t>1</w:t>
      </w:r>
      <w:r>
        <w:rPr>
          <w:rFonts w:hint="eastAsia" w:ascii="宋体" w:hAnsi="宋体" w:eastAsia="宋体" w:cs="宋体"/>
          <w:highlight w:val="none"/>
        </w:rPr>
        <w:t>商务标评审</w:t>
      </w:r>
    </w:p>
    <w:p w14:paraId="2A080AD7">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(1)评标委员会依据《商务标评审表》进行形式性评审和响应性评审。有一项不符合评审标准的，做无效投标处理；</w:t>
      </w:r>
    </w:p>
    <w:p w14:paraId="5769FB6D">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（2）商务标详细评审标准中有任何一项不能通过评审的，作无效投标处理。</w:t>
      </w:r>
    </w:p>
    <w:p w14:paraId="11B68C29">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5.3其他无效投标情况</w:t>
      </w:r>
    </w:p>
    <w:p w14:paraId="5D501451">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214A4A89">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（2）按第四章“评标方法”第4.2.4项修正错误的原则及方法调整或修正投标文件的投标报价，调整或修正的价格经投标人书面确认后具有约束力。投标人不接受修正价格的，其投标将被拒绝。</w:t>
      </w:r>
    </w:p>
    <w:p w14:paraId="7C1D2B26">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（3）第二章“投标人须知”第1.4.3项规定的任何一种情形的。</w:t>
      </w:r>
    </w:p>
    <w:p w14:paraId="48DD6505">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（4）投标人有串通投标、视为串通投标、弄虚作假、行贿等违法行为。</w:t>
      </w:r>
    </w:p>
    <w:p w14:paraId="7AE90BB0">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（5）投标文件没有对招标文件的实质性要求和条件作出响应。</w:t>
      </w:r>
    </w:p>
    <w:p w14:paraId="08A90169">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（6）未按规定的格式填写导致实质性内容不全以及实质上不响应，或者关键字迹模糊、无法辨认。</w:t>
      </w:r>
    </w:p>
    <w:p w14:paraId="00808C1E">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（7）同一投标人提交两个以上不同的投标文件或者投标报价，但招标文件规定提交备选投标的除外。</w:t>
      </w:r>
    </w:p>
    <w:p w14:paraId="2533827A">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（8）投标文件中存在招标人不能接受的其他实质性条件。</w:t>
      </w:r>
    </w:p>
    <w:p w14:paraId="524D53D9">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（9）投标文件中填报的拟任项目经理（建造师）与资格审查通过的项目经理（建造师）前后不一致的。</w:t>
      </w:r>
    </w:p>
    <w:p w14:paraId="3D744B31">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（10）投标人拒不按照要求对投标文件进行澄清、说明、补正的，或评标委员会根据招标文件的规定对招标文件的计算错误进行修正后，投标人不接受修正的投标报价的。</w:t>
      </w:r>
    </w:p>
    <w:p w14:paraId="687CDF04">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（11）投标人投标MAC地址一致。</w:t>
      </w:r>
    </w:p>
    <w:p w14:paraId="2C767D1D">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（12）投标人单方面出现其他投标人材料。</w:t>
      </w:r>
    </w:p>
    <w:p w14:paraId="76E1A2B9">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（13）评标时查询投标文件制作机器码、文件创建标识码及造价软件加密锁号。若存在投标文件制作机器码或创建标识码或造价软件加密锁号信息与其他投标人雷同的，投标无效。</w:t>
      </w:r>
    </w:p>
    <w:p w14:paraId="7C442CAD">
      <w:pPr>
        <w:spacing w:line="440" w:lineRule="exact"/>
        <w:ind w:firstLine="420" w:firstLineChars="200"/>
        <w:jc w:val="left"/>
        <w:rPr>
          <w:rFonts w:hint="eastAsia" w:ascii="宋体" w:hAnsi="宋体" w:eastAsia="宋体" w:cs="宋体"/>
          <w:highlight w:val="none"/>
        </w:rPr>
      </w:pPr>
      <w:bookmarkStart w:id="850" w:name="_Toc95223409"/>
      <w:r>
        <w:rPr>
          <w:rFonts w:hint="eastAsia" w:ascii="宋体" w:hAnsi="宋体" w:eastAsia="宋体" w:cs="宋体"/>
          <w:highlight w:val="none"/>
        </w:rPr>
        <w:t>（1</w:t>
      </w:r>
      <w:r>
        <w:rPr>
          <w:rFonts w:hint="eastAsia" w:ascii="宋体" w:hAnsi="宋体" w:eastAsia="宋体" w:cs="宋体"/>
          <w:highlight w:val="none"/>
          <w:lang w:val="en-US" w:eastAsia="zh-CN"/>
        </w:rPr>
        <w:t>4</w:t>
      </w:r>
      <w:r>
        <w:rPr>
          <w:rFonts w:hint="eastAsia" w:ascii="宋体" w:hAnsi="宋体" w:eastAsia="宋体" w:cs="宋体"/>
          <w:highlight w:val="none"/>
        </w:rPr>
        <w:t>）投标人联系人或联系电话相同的。</w:t>
      </w:r>
    </w:p>
    <w:p w14:paraId="178C70F9">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5</w:t>
      </w:r>
      <w:r>
        <w:rPr>
          <w:rFonts w:hint="eastAsia" w:ascii="宋体" w:hAnsi="宋体" w:eastAsia="宋体" w:cs="宋体"/>
          <w:highlight w:val="none"/>
        </w:rPr>
        <w:t>）法律、法规规定的其他情形。</w:t>
      </w:r>
    </w:p>
    <w:p w14:paraId="5A018EF6">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6.投标文件的澄清和补正</w:t>
      </w:r>
      <w:bookmarkEnd w:id="850"/>
    </w:p>
    <w:p w14:paraId="4C9D7324">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6.1在评标过程中，评标委员会可以书面形式要求投标</w:t>
      </w:r>
      <w:bookmarkStart w:id="851" w:name="_Toc60061506"/>
      <w:r>
        <w:rPr>
          <w:rFonts w:hint="eastAsia" w:ascii="宋体" w:hAnsi="宋体" w:eastAsia="宋体" w:cs="宋体"/>
          <w:highlight w:val="none"/>
        </w:rPr>
        <w:t>人对所提交的投标文件中含</w:t>
      </w:r>
      <w:bookmarkEnd w:id="851"/>
      <w:r>
        <w:rPr>
          <w:rFonts w:hint="eastAsia" w:ascii="宋体" w:hAnsi="宋体" w:eastAsia="宋体" w:cs="宋体"/>
          <w:highlight w:val="none"/>
        </w:rPr>
        <w:t>义不明确、对同类问题表述不一致或者有明显文字和计算错误的内容进行书面澄清或说明，或者对细微偏差进行补正。评标委员会不接受投标人主动提出的澄清、说明或补正。</w:t>
      </w:r>
    </w:p>
    <w:p w14:paraId="4AF5F2BE">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6.2澄清、说明和补正不得改变投标文件的实质性内容（算术性错误修正的除外）。投标人的书面澄清、说明和补正属于投标文件的组成部分。</w:t>
      </w:r>
    </w:p>
    <w:p w14:paraId="5067B074">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6.3评标委员会对投标人提交的澄清、说明和补正有疑问的，可以要求投标人进一步澄清、说明或补正、直至满足评标委员会的要求。</w:t>
      </w:r>
    </w:p>
    <w:p w14:paraId="42BDF8A3">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按照投标文件规定进行澄清、补正后的投标报价经投标人的法定代表人或其委托代理人确认后即为该投标人的最终投标报价。投标人一旦中标，此报价即为中标价。</w:t>
      </w:r>
    </w:p>
    <w:bookmarkEnd w:id="790"/>
    <w:bookmarkEnd w:id="791"/>
    <w:bookmarkEnd w:id="792"/>
    <w:bookmarkEnd w:id="793"/>
    <w:bookmarkEnd w:id="794"/>
    <w:bookmarkEnd w:id="795"/>
    <w:bookmarkEnd w:id="796"/>
    <w:bookmarkEnd w:id="797"/>
    <w:bookmarkEnd w:id="842"/>
    <w:bookmarkEnd w:id="843"/>
    <w:bookmarkEnd w:id="844"/>
    <w:bookmarkEnd w:id="845"/>
    <w:bookmarkEnd w:id="846"/>
    <w:bookmarkEnd w:id="847"/>
    <w:bookmarkEnd w:id="848"/>
    <w:p w14:paraId="7BC20C8A">
      <w:pPr>
        <w:pStyle w:val="3"/>
        <w:spacing w:beforeLines="50" w:afterLines="50"/>
        <w:ind w:firstLine="422" w:firstLineChars="200"/>
        <w:rPr>
          <w:rFonts w:hint="eastAsia" w:ascii="宋体" w:hAnsi="宋体" w:eastAsia="宋体" w:cs="宋体"/>
          <w:highlight w:val="none"/>
        </w:rPr>
      </w:pPr>
      <w:bookmarkStart w:id="852" w:name="_Toc95223410"/>
      <w:bookmarkStart w:id="853" w:name="_Toc506107333"/>
      <w:bookmarkStart w:id="854" w:name="_Toc35425128"/>
      <w:bookmarkStart w:id="855" w:name="_Toc15058927"/>
      <w:bookmarkStart w:id="856" w:name="_Toc35424962"/>
      <w:bookmarkStart w:id="857" w:name="_Toc144974826"/>
      <w:bookmarkStart w:id="858" w:name="_Toc152045767"/>
      <w:bookmarkStart w:id="859" w:name="_Toc152042546"/>
      <w:bookmarkStart w:id="860" w:name="_Toc179632785"/>
      <w:r>
        <w:rPr>
          <w:rFonts w:hint="eastAsia" w:ascii="宋体" w:hAnsi="宋体" w:eastAsia="宋体" w:cs="宋体"/>
          <w:highlight w:val="none"/>
        </w:rPr>
        <w:t>7.评分标准</w:t>
      </w:r>
      <w:bookmarkEnd w:id="852"/>
    </w:p>
    <w:p w14:paraId="1CE63C2D">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7.1商务标评分标准：见商务标评审表。</w:t>
      </w:r>
    </w:p>
    <w:p w14:paraId="1ED9F886">
      <w:pPr>
        <w:pStyle w:val="3"/>
        <w:spacing w:beforeLines="50" w:afterLines="50"/>
        <w:ind w:firstLine="422" w:firstLineChars="200"/>
        <w:rPr>
          <w:rFonts w:hint="eastAsia" w:ascii="宋体" w:hAnsi="宋体" w:eastAsia="宋体" w:cs="宋体"/>
          <w:highlight w:val="none"/>
        </w:rPr>
      </w:pPr>
      <w:bookmarkStart w:id="861" w:name="_Toc95223411"/>
      <w:r>
        <w:rPr>
          <w:rFonts w:hint="eastAsia" w:ascii="宋体" w:hAnsi="宋体" w:eastAsia="宋体" w:cs="宋体"/>
          <w:highlight w:val="none"/>
        </w:rPr>
        <w:t>8.评审结果</w:t>
      </w:r>
      <w:bookmarkEnd w:id="861"/>
    </w:p>
    <w:p w14:paraId="5A148736">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8.1除第二章“投标人须知”及其前附表授权直接确定中标人外，评</w:t>
      </w:r>
      <w:bookmarkStart w:id="862" w:name="_Toc60061508"/>
      <w:bookmarkStart w:id="863" w:name="_Toc324404879"/>
      <w:bookmarkStart w:id="864" w:name="_Toc506107331"/>
      <w:bookmarkStart w:id="865" w:name="_Toc15058925"/>
      <w:r>
        <w:rPr>
          <w:rFonts w:hint="eastAsia" w:ascii="宋体" w:hAnsi="宋体" w:eastAsia="宋体" w:cs="宋体"/>
          <w:highlight w:val="none"/>
        </w:rPr>
        <w:t>标委员会</w:t>
      </w:r>
      <w:bookmarkEnd w:id="862"/>
      <w:bookmarkEnd w:id="863"/>
      <w:bookmarkEnd w:id="864"/>
      <w:bookmarkEnd w:id="865"/>
      <w:r>
        <w:rPr>
          <w:rFonts w:hint="eastAsia" w:ascii="宋体" w:hAnsi="宋体" w:eastAsia="宋体" w:cs="宋体"/>
          <w:highlight w:val="none"/>
        </w:rPr>
        <w:t>按有效报价由低到高的顺序推荐中标候选人）。</w:t>
      </w:r>
    </w:p>
    <w:p w14:paraId="0586443D">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8.2评标委员会完成评标后，应当向招标人提交书面评标报告。评标报告应当如实记载以下内容：</w:t>
      </w:r>
    </w:p>
    <w:p w14:paraId="60C496F3">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（1）基本情况和数据表。</w:t>
      </w:r>
    </w:p>
    <w:p w14:paraId="2FF38250">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（2）评标委员会成员名单。</w:t>
      </w:r>
    </w:p>
    <w:p w14:paraId="3E8F5A80">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（3）开标记录。</w:t>
      </w:r>
    </w:p>
    <w:p w14:paraId="77CE3783">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（4）符合要求的投标人一览表。</w:t>
      </w:r>
    </w:p>
    <w:p w14:paraId="1A0FCCDD">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（5）否决投标情况说明。</w:t>
      </w:r>
    </w:p>
    <w:p w14:paraId="18FE4A2D">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（6）评标标准、评标方法或者评标因素。</w:t>
      </w:r>
    </w:p>
    <w:p w14:paraId="4F8B3E86">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（7）经评审的价格比较一览表。</w:t>
      </w:r>
    </w:p>
    <w:p w14:paraId="4B89E24A">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（8）经评审的投标人排序。</w:t>
      </w:r>
    </w:p>
    <w:p w14:paraId="3C2A0C70">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（9）推荐的中标候选人名单与签订合同前要处理的事宜。</w:t>
      </w:r>
    </w:p>
    <w:p w14:paraId="03A977F1">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（10）澄清、说明、补正事项纪要。</w:t>
      </w:r>
    </w:p>
    <w:p w14:paraId="555E532D">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8.3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7DDB352D">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除第一中标候选人或者中标人以外的其他投标人存在串通投标、弄虚作假、行贿情形且在评标过程中未被发现的，视为对中标结果没有造成实质性影响，招标人可以依法继续开展招标活动。</w:t>
      </w:r>
    </w:p>
    <w:p w14:paraId="22FE37EA">
      <w:pPr>
        <w:pStyle w:val="3"/>
        <w:spacing w:beforeLines="50" w:afterLines="50"/>
        <w:ind w:firstLine="422" w:firstLineChars="200"/>
        <w:rPr>
          <w:rFonts w:hint="eastAsia" w:ascii="宋体" w:hAnsi="宋体" w:eastAsia="宋体" w:cs="宋体"/>
          <w:highlight w:val="none"/>
        </w:rPr>
      </w:pPr>
      <w:bookmarkStart w:id="866" w:name="_Toc95223412"/>
      <w:r>
        <w:rPr>
          <w:rFonts w:hint="eastAsia" w:ascii="宋体" w:hAnsi="宋体" w:eastAsia="宋体" w:cs="宋体"/>
          <w:highlight w:val="none"/>
        </w:rPr>
        <w:t>9.其他</w:t>
      </w:r>
      <w:bookmarkEnd w:id="866"/>
    </w:p>
    <w:p w14:paraId="546BC29A">
      <w:pPr>
        <w:spacing w:line="44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投标人提供的与投标文件有关的各类证书、证明、文件、资料等的真实性、</w:t>
      </w:r>
      <w:bookmarkStart w:id="867" w:name="_Toc60061509"/>
      <w:bookmarkStart w:id="868" w:name="_Toc506107332"/>
      <w:bookmarkStart w:id="869" w:name="_Toc15058926"/>
      <w:bookmarkStart w:id="870" w:name="_Toc324404880"/>
      <w:r>
        <w:rPr>
          <w:rFonts w:hint="eastAsia" w:ascii="宋体" w:hAnsi="宋体" w:eastAsia="宋体" w:cs="宋体"/>
          <w:highlight w:val="none"/>
        </w:rPr>
        <w:t>合法性由</w:t>
      </w:r>
      <w:bookmarkEnd w:id="867"/>
      <w:bookmarkEnd w:id="868"/>
      <w:bookmarkEnd w:id="869"/>
      <w:bookmarkEnd w:id="870"/>
      <w:r>
        <w:rPr>
          <w:rFonts w:hint="eastAsia" w:ascii="宋体" w:hAnsi="宋体" w:eastAsia="宋体" w:cs="宋体"/>
          <w:highlight w:val="none"/>
        </w:rPr>
        <w:t>投标人负全责。</w:t>
      </w:r>
    </w:p>
    <w:p w14:paraId="569BEFC2">
      <w:pPr>
        <w:rPr>
          <w:highlight w:val="none"/>
        </w:rPr>
      </w:pPr>
    </w:p>
    <w:p w14:paraId="65923B12">
      <w:pPr>
        <w:rPr>
          <w:rFonts w:hint="eastAsia"/>
          <w:highlight w:val="none"/>
        </w:rPr>
      </w:pPr>
      <w:r>
        <w:rPr>
          <w:rFonts w:hint="eastAsia"/>
          <w:highlight w:val="none"/>
        </w:rPr>
        <w:br w:type="page"/>
      </w:r>
      <w:bookmarkStart w:id="871" w:name="_Toc78803397"/>
    </w:p>
    <w:bookmarkEnd w:id="853"/>
    <w:bookmarkEnd w:id="854"/>
    <w:bookmarkEnd w:id="855"/>
    <w:bookmarkEnd w:id="856"/>
    <w:bookmarkEnd w:id="871"/>
    <w:p w14:paraId="226BC7FC">
      <w:pPr>
        <w:pStyle w:val="2"/>
        <w:spacing w:beforeLines="50" w:afterLines="50"/>
        <w:rPr>
          <w:rFonts w:hint="eastAsia" w:ascii="Arial" w:hAnsi="Arial" w:eastAsia="宋体" w:cs="Times New Roman"/>
          <w:kern w:val="0"/>
          <w:sz w:val="32"/>
          <w:szCs w:val="32"/>
          <w:highlight w:val="none"/>
          <w:lang w:val="en-US" w:eastAsia="zh-CN"/>
        </w:rPr>
      </w:pPr>
      <w:bookmarkStart w:id="872" w:name="_Toc16721"/>
      <w:r>
        <w:rPr>
          <w:rFonts w:hint="eastAsia" w:ascii="Arial" w:hAnsi="Arial" w:eastAsia="宋体" w:cs="Times New Roman"/>
          <w:kern w:val="0"/>
          <w:sz w:val="32"/>
          <w:szCs w:val="32"/>
          <w:highlight w:val="none"/>
          <w:lang w:val="en-US" w:eastAsia="zh-CN"/>
        </w:rPr>
        <w:t>第五章  合同条款及格式</w:t>
      </w:r>
      <w:bookmarkEnd w:id="872"/>
    </w:p>
    <w:p w14:paraId="4CE3F04B">
      <w:pPr>
        <w:spacing w:line="360" w:lineRule="auto"/>
        <w:jc w:val="center"/>
        <w:rPr>
          <w:rFonts w:ascii="仿宋_GB2312" w:eastAsia="仿宋_GB2312"/>
          <w:b/>
          <w:sz w:val="28"/>
          <w:szCs w:val="28"/>
          <w:highlight w:val="none"/>
        </w:rPr>
      </w:pPr>
    </w:p>
    <w:p w14:paraId="5957ECD4">
      <w:pPr>
        <w:jc w:val="center"/>
        <w:rPr>
          <w:rFonts w:hint="eastAsia" w:ascii="宋体" w:hAnsi="宋体" w:cs="宋体"/>
          <w:bCs/>
          <w:color w:val="auto"/>
          <w:sz w:val="32"/>
          <w:szCs w:val="32"/>
          <w:highlight w:val="none"/>
          <w:u w:val="single"/>
        </w:rPr>
      </w:pPr>
      <w:r>
        <w:rPr>
          <w:rFonts w:hint="eastAsia" w:ascii="宋体" w:hAnsi="宋体" w:cs="宋体"/>
          <w:bCs/>
          <w:color w:val="auto"/>
          <w:sz w:val="32"/>
          <w:szCs w:val="32"/>
          <w:highlight w:val="none"/>
        </w:rPr>
        <w:t>合同编号：</w:t>
      </w:r>
      <w:r>
        <w:rPr>
          <w:rFonts w:hint="eastAsia" w:ascii="宋体" w:hAnsi="宋体" w:cs="宋体"/>
          <w:bCs/>
          <w:color w:val="auto"/>
          <w:sz w:val="32"/>
          <w:szCs w:val="32"/>
          <w:highlight w:val="none"/>
          <w:u w:val="single"/>
        </w:rPr>
        <w:t>（HT-YL- ）</w:t>
      </w:r>
    </w:p>
    <w:p w14:paraId="00921190">
      <w:pPr>
        <w:ind w:firstLine="1771" w:firstLineChars="245"/>
        <w:rPr>
          <w:rFonts w:hint="eastAsia" w:ascii="宋体" w:hAnsi="宋体" w:cs="宋体"/>
          <w:b/>
          <w:sz w:val="72"/>
          <w:szCs w:val="52"/>
          <w:highlight w:val="none"/>
        </w:rPr>
      </w:pPr>
    </w:p>
    <w:p w14:paraId="01221F91">
      <w:pPr>
        <w:jc w:val="center"/>
        <w:rPr>
          <w:rFonts w:hint="eastAsia" w:ascii="宋体" w:hAnsi="宋体" w:cs="宋体"/>
          <w:b/>
          <w:sz w:val="52"/>
          <w:szCs w:val="52"/>
          <w:highlight w:val="none"/>
        </w:rPr>
      </w:pPr>
      <w:r>
        <w:rPr>
          <w:rFonts w:hint="eastAsia" w:ascii="宋体" w:hAnsi="宋体" w:cs="宋体"/>
          <w:b/>
          <w:sz w:val="56"/>
          <w:szCs w:val="44"/>
          <w:highlight w:val="none"/>
          <w:lang w:eastAsia="zh-CN"/>
        </w:rPr>
        <w:t>2026年度滁城充电基础设施项目（第二批次）施工</w:t>
      </w:r>
      <w:r>
        <w:rPr>
          <w:rFonts w:hint="eastAsia" w:ascii="宋体" w:hAnsi="宋体" w:cs="宋体"/>
          <w:b/>
          <w:sz w:val="56"/>
          <w:szCs w:val="44"/>
          <w:highlight w:val="none"/>
        </w:rPr>
        <w:t>合同</w:t>
      </w:r>
      <w:r>
        <w:rPr>
          <w:rFonts w:hint="eastAsia" w:ascii="宋体" w:hAnsi="宋体" w:cs="宋体"/>
          <w:b/>
          <w:sz w:val="52"/>
          <w:szCs w:val="52"/>
          <w:highlight w:val="none"/>
        </w:rPr>
        <w:br w:type="textWrapping"/>
      </w:r>
    </w:p>
    <w:p w14:paraId="48820318">
      <w:pPr>
        <w:jc w:val="center"/>
        <w:rPr>
          <w:rFonts w:hint="eastAsia" w:ascii="宋体" w:hAnsi="宋体" w:cs="宋体"/>
          <w:b/>
          <w:sz w:val="52"/>
          <w:szCs w:val="52"/>
          <w:highlight w:val="none"/>
        </w:rPr>
      </w:pPr>
    </w:p>
    <w:p w14:paraId="2F116064">
      <w:pPr>
        <w:jc w:val="center"/>
        <w:rPr>
          <w:rFonts w:hint="eastAsia" w:ascii="宋体" w:hAnsi="宋体" w:cs="宋体"/>
          <w:b/>
          <w:sz w:val="72"/>
          <w:szCs w:val="72"/>
          <w:highlight w:val="none"/>
        </w:rPr>
      </w:pPr>
    </w:p>
    <w:p w14:paraId="57BFE166">
      <w:pPr>
        <w:jc w:val="center"/>
        <w:rPr>
          <w:rFonts w:hint="eastAsia" w:ascii="宋体" w:hAnsi="宋体" w:cs="宋体"/>
          <w:b/>
          <w:sz w:val="72"/>
          <w:szCs w:val="72"/>
          <w:highlight w:val="none"/>
        </w:rPr>
      </w:pPr>
    </w:p>
    <w:p w14:paraId="4ACEE727">
      <w:pPr>
        <w:jc w:val="center"/>
        <w:rPr>
          <w:rFonts w:hint="eastAsia" w:ascii="宋体" w:hAnsi="宋体" w:cs="宋体"/>
          <w:b/>
          <w:sz w:val="52"/>
          <w:szCs w:val="52"/>
          <w:highlight w:val="none"/>
        </w:rPr>
      </w:pPr>
    </w:p>
    <w:p w14:paraId="24241A9D">
      <w:pPr>
        <w:rPr>
          <w:rFonts w:hint="eastAsia" w:ascii="宋体" w:hAnsi="宋体" w:cs="宋体"/>
          <w:b/>
          <w:sz w:val="28"/>
          <w:szCs w:val="28"/>
          <w:highlight w:val="none"/>
        </w:rPr>
      </w:pPr>
    </w:p>
    <w:p w14:paraId="6BF65F7C">
      <w:pPr>
        <w:pStyle w:val="27"/>
        <w:rPr>
          <w:rFonts w:hint="eastAsia" w:ascii="宋体" w:hAnsi="宋体" w:cs="宋体"/>
          <w:b/>
          <w:sz w:val="28"/>
          <w:szCs w:val="28"/>
          <w:highlight w:val="none"/>
        </w:rPr>
      </w:pPr>
    </w:p>
    <w:p w14:paraId="6A708499">
      <w:pPr>
        <w:rPr>
          <w:b/>
          <w:sz w:val="28"/>
          <w:szCs w:val="28"/>
          <w:highlight w:val="none"/>
        </w:rPr>
      </w:pPr>
    </w:p>
    <w:p w14:paraId="0EBB5AE7">
      <w:pPr>
        <w:jc w:val="center"/>
        <w:rPr>
          <w:b/>
          <w:sz w:val="28"/>
          <w:szCs w:val="28"/>
          <w:highlight w:val="none"/>
        </w:rPr>
      </w:pPr>
    </w:p>
    <w:p w14:paraId="2405A6FC">
      <w:pPr>
        <w:jc w:val="center"/>
        <w:rPr>
          <w:b/>
          <w:sz w:val="32"/>
          <w:szCs w:val="28"/>
          <w:highlight w:val="none"/>
        </w:rPr>
      </w:pPr>
      <w:r>
        <w:rPr>
          <w:szCs w:val="22"/>
          <w:highlight w:val="none"/>
        </w:rPr>
        <mc:AlternateContent>
          <mc:Choice Requires="wps">
            <w:drawing>
              <wp:anchor distT="0" distB="0" distL="114300" distR="114300" simplePos="0" relativeHeight="251659264" behindDoc="0" locked="0" layoutInCell="1" allowOverlap="1">
                <wp:simplePos x="0" y="0"/>
                <wp:positionH relativeFrom="column">
                  <wp:posOffset>4495800</wp:posOffset>
                </wp:positionH>
                <wp:positionV relativeFrom="paragraph">
                  <wp:posOffset>213360</wp:posOffset>
                </wp:positionV>
                <wp:extent cx="723900" cy="457200"/>
                <wp:effectExtent l="4445" t="4445" r="14605" b="14605"/>
                <wp:wrapNone/>
                <wp:docPr id="30" name="文本框 30"/>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0C2B60C3">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54pt;margin-top:16.8pt;height:36pt;width:57pt;z-index:251659264;mso-width-relative:page;mso-height-relative:page;" filled="f" stroked="t" coordsize="21600,21600" o:gfxdata="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7cypq2QAAAAoBAAAPAAAAAAAAAAEAIAAA&#10;ACIAAABkcnMvZG93bnJldi54bWxQSwECFAAUAAAACACHTuJA/8oVsQsCAAAcBAAADgAAAAAAAAAB&#10;ACAAAAAoAQAAZHJzL2Uyb0RvYy54bWxQSwUGAAAAAAYABgBZAQAApQUAAAAA&#10;">
                <v:fill on="f" focussize="0,0"/>
                <v:stroke color="#FFFFFF" joinstyle="miter"/>
                <v:imagedata o:title=""/>
                <o:lock v:ext="edit" aspectratio="f"/>
                <v:textbox>
                  <w:txbxContent>
                    <w:p w14:paraId="0C2B60C3">
                      <w:pPr>
                        <w:rPr>
                          <w:b/>
                          <w:bCs/>
                          <w:sz w:val="32"/>
                        </w:rPr>
                      </w:pPr>
                      <w:r>
                        <w:rPr>
                          <w:rFonts w:hint="eastAsia"/>
                          <w:b/>
                          <w:bCs/>
                          <w:sz w:val="32"/>
                        </w:rPr>
                        <w:t>制定</w:t>
                      </w:r>
                    </w:p>
                  </w:txbxContent>
                </v:textbox>
              </v:shape>
            </w:pict>
          </mc:Fallback>
        </mc:AlternateContent>
      </w:r>
      <w:r>
        <w:rPr>
          <w:rFonts w:hint="eastAsia"/>
          <w:b/>
          <w:sz w:val="32"/>
          <w:szCs w:val="28"/>
          <w:highlight w:val="none"/>
        </w:rPr>
        <w:t>住房和城乡建设部</w:t>
      </w:r>
    </w:p>
    <w:p w14:paraId="7F94B3DC">
      <w:pPr>
        <w:jc w:val="center"/>
        <w:rPr>
          <w:rFonts w:hint="eastAsia" w:ascii="黑体" w:eastAsia="黑体" w:cs="黑体"/>
          <w:highlight w:val="none"/>
        </w:rPr>
      </w:pPr>
      <w:r>
        <w:rPr>
          <w:rFonts w:hint="eastAsia"/>
          <w:b/>
          <w:sz w:val="32"/>
          <w:szCs w:val="28"/>
          <w:highlight w:val="none"/>
        </w:rPr>
        <w:t>国家工商行政管理总局</w:t>
      </w:r>
    </w:p>
    <w:p w14:paraId="2758F104">
      <w:pPr>
        <w:rPr>
          <w:rFonts w:hint="eastAsia" w:ascii="黑体" w:eastAsia="黑体" w:cs="黑体"/>
          <w:highlight w:val="none"/>
        </w:rPr>
      </w:pPr>
      <w:r>
        <w:rPr>
          <w:rFonts w:hint="eastAsia" w:ascii="黑体" w:eastAsia="黑体" w:cs="黑体"/>
          <w:highlight w:val="none"/>
        </w:rPr>
        <w:br w:type="page"/>
      </w:r>
    </w:p>
    <w:p w14:paraId="5CFCB6A7">
      <w:pPr>
        <w:pStyle w:val="4"/>
        <w:jc w:val="center"/>
        <w:rPr>
          <w:rFonts w:ascii="黑体" w:eastAsia="黑体" w:cs="黑体"/>
          <w:b w:val="0"/>
          <w:highlight w:val="none"/>
        </w:rPr>
      </w:pPr>
      <w:r>
        <w:rPr>
          <w:rFonts w:hint="eastAsia" w:ascii="黑体" w:eastAsia="黑体" w:cs="黑体"/>
          <w:highlight w:val="none"/>
        </w:rPr>
        <w:t>第一节 合同协议书</w:t>
      </w:r>
    </w:p>
    <w:p w14:paraId="2A6C10D9">
      <w:pPr>
        <w:spacing w:line="440" w:lineRule="exact"/>
        <w:ind w:firstLine="420" w:firstLineChars="200"/>
        <w:rPr>
          <w:rFonts w:hint="eastAsia" w:ascii="宋体" w:cs="宋体"/>
          <w:szCs w:val="21"/>
          <w:highlight w:val="none"/>
          <w:u w:val="single"/>
        </w:rPr>
      </w:pPr>
      <w:r>
        <w:rPr>
          <w:rFonts w:hint="eastAsia" w:ascii="宋体" w:cs="宋体"/>
          <w:szCs w:val="21"/>
          <w:highlight w:val="none"/>
        </w:rPr>
        <w:t>发包人（全称）：</w:t>
      </w:r>
      <w:r>
        <w:rPr>
          <w:rFonts w:hint="eastAsia" w:ascii="宋体" w:cs="宋体"/>
          <w:szCs w:val="21"/>
          <w:highlight w:val="none"/>
          <w:u w:val="single"/>
        </w:rPr>
        <w:t xml:space="preserve">    </w:t>
      </w:r>
      <w:r>
        <w:rPr>
          <w:rFonts w:hint="eastAsia" w:ascii="宋体" w:cs="宋体"/>
          <w:szCs w:val="21"/>
          <w:highlight w:val="none"/>
          <w:u w:val="single"/>
          <w:lang w:eastAsia="zh-CN"/>
        </w:rPr>
        <w:t>滁州工投新能源开发有限公司</w:t>
      </w:r>
      <w:r>
        <w:rPr>
          <w:rFonts w:hint="eastAsia" w:ascii="宋体" w:cs="宋体"/>
          <w:szCs w:val="21"/>
          <w:highlight w:val="none"/>
          <w:u w:val="single"/>
        </w:rPr>
        <w:t xml:space="preserve">     </w:t>
      </w:r>
    </w:p>
    <w:p w14:paraId="6B96C0CD">
      <w:pPr>
        <w:spacing w:line="440" w:lineRule="exact"/>
        <w:ind w:firstLine="420" w:firstLineChars="200"/>
        <w:rPr>
          <w:rFonts w:hint="eastAsia" w:ascii="宋体" w:cs="宋体"/>
          <w:szCs w:val="21"/>
          <w:highlight w:val="none"/>
          <w:u w:val="single"/>
        </w:rPr>
      </w:pPr>
      <w:r>
        <w:rPr>
          <w:rFonts w:hint="eastAsia" w:ascii="宋体" w:cs="宋体"/>
          <w:szCs w:val="21"/>
          <w:highlight w:val="none"/>
        </w:rPr>
        <w:t>承包人（全称）：</w:t>
      </w:r>
      <w:r>
        <w:rPr>
          <w:rFonts w:hint="eastAsia" w:ascii="宋体" w:cs="宋体"/>
          <w:szCs w:val="21"/>
          <w:highlight w:val="none"/>
          <w:u w:val="single"/>
        </w:rPr>
        <w:t xml:space="preserve">                                    </w:t>
      </w:r>
    </w:p>
    <w:p w14:paraId="3DCEDB6F">
      <w:pPr>
        <w:spacing w:line="440" w:lineRule="exact"/>
        <w:ind w:firstLine="420" w:firstLineChars="200"/>
        <w:rPr>
          <w:rFonts w:hint="eastAsia" w:ascii="宋体" w:cs="宋体"/>
          <w:szCs w:val="21"/>
          <w:highlight w:val="none"/>
        </w:rPr>
      </w:pPr>
      <w:r>
        <w:rPr>
          <w:rFonts w:hint="eastAsia" w:ascii="宋体" w:cs="宋体"/>
          <w:szCs w:val="21"/>
          <w:highlight w:val="none"/>
        </w:rPr>
        <w:t>根据《中华人民共和国民法典》、《中华人民共和国建筑法》及有关法律规定，遵循平等、自愿、公平和诚实信用的原则，双方就</w:t>
      </w:r>
      <w:r>
        <w:rPr>
          <w:rFonts w:hint="eastAsia" w:ascii="宋体" w:cs="宋体"/>
          <w:szCs w:val="21"/>
          <w:highlight w:val="none"/>
          <w:u w:val="single"/>
          <w:lang w:val="en-US" w:eastAsia="zh-CN"/>
        </w:rPr>
        <w:t xml:space="preserve"> 2026年度滁城充电基础设施项目（第二批次）</w:t>
      </w:r>
      <w:r>
        <w:rPr>
          <w:rFonts w:hint="eastAsia" w:ascii="宋体" w:hAnsi="宋体" w:cs="宋体"/>
          <w:szCs w:val="21"/>
          <w:highlight w:val="none"/>
          <w:u w:val="single"/>
        </w:rPr>
        <w:t xml:space="preserve"> </w:t>
      </w:r>
      <w:r>
        <w:rPr>
          <w:rFonts w:hint="eastAsia" w:ascii="宋体" w:cs="宋体"/>
          <w:szCs w:val="21"/>
          <w:highlight w:val="none"/>
          <w:u w:val="single"/>
        </w:rPr>
        <w:t xml:space="preserve"> </w:t>
      </w:r>
      <w:r>
        <w:rPr>
          <w:rFonts w:hint="eastAsia" w:ascii="宋体" w:cs="宋体"/>
          <w:szCs w:val="21"/>
          <w:highlight w:val="none"/>
        </w:rPr>
        <w:t>施工及有关事项协商一致，共同达成如下协议：</w:t>
      </w:r>
    </w:p>
    <w:p w14:paraId="1300C206">
      <w:pPr>
        <w:pStyle w:val="5"/>
        <w:spacing w:before="0" w:after="0" w:line="440" w:lineRule="exact"/>
        <w:ind w:firstLine="420" w:firstLineChars="200"/>
        <w:rPr>
          <w:rFonts w:hint="eastAsia" w:ascii="宋体" w:eastAsia="宋体" w:cs="宋体"/>
          <w:bCs w:val="0"/>
          <w:sz w:val="21"/>
          <w:szCs w:val="21"/>
          <w:highlight w:val="none"/>
        </w:rPr>
      </w:pPr>
      <w:r>
        <w:rPr>
          <w:rFonts w:hint="eastAsia" w:ascii="宋体" w:eastAsia="宋体" w:cs="宋体"/>
          <w:b w:val="0"/>
          <w:sz w:val="21"/>
          <w:szCs w:val="21"/>
          <w:highlight w:val="none"/>
        </w:rPr>
        <w:t>一、工程概况</w:t>
      </w:r>
    </w:p>
    <w:p w14:paraId="236F5668">
      <w:pPr>
        <w:spacing w:line="440" w:lineRule="exact"/>
        <w:ind w:firstLine="420" w:firstLineChars="200"/>
        <w:rPr>
          <w:rFonts w:hint="eastAsia" w:ascii="宋体" w:cs="宋体"/>
          <w:szCs w:val="21"/>
          <w:highlight w:val="none"/>
          <w:u w:val="single"/>
        </w:rPr>
      </w:pPr>
      <w:r>
        <w:rPr>
          <w:rFonts w:hint="eastAsia" w:ascii="宋体" w:cs="宋体"/>
          <w:bCs/>
          <w:szCs w:val="21"/>
          <w:highlight w:val="none"/>
        </w:rPr>
        <w:t>1.工程名称</w:t>
      </w:r>
      <w:r>
        <w:rPr>
          <w:rFonts w:hint="eastAsia" w:ascii="宋体" w:cs="宋体"/>
          <w:szCs w:val="21"/>
          <w:highlight w:val="none"/>
        </w:rPr>
        <w:t>：</w:t>
      </w:r>
      <w:r>
        <w:rPr>
          <w:rFonts w:hint="eastAsia" w:ascii="宋体" w:cs="宋体"/>
          <w:szCs w:val="21"/>
          <w:highlight w:val="none"/>
          <w:u w:val="single"/>
        </w:rPr>
        <w:t xml:space="preserve">  </w:t>
      </w:r>
      <w:r>
        <w:rPr>
          <w:rFonts w:hint="eastAsia" w:ascii="宋体" w:cs="宋体"/>
          <w:szCs w:val="21"/>
          <w:highlight w:val="none"/>
          <w:u w:val="single"/>
          <w:lang w:eastAsia="zh-CN"/>
        </w:rPr>
        <w:t>2026年度滁城充电基础设施项目（第二批次）施工</w:t>
      </w:r>
      <w:r>
        <w:rPr>
          <w:rFonts w:hint="eastAsia" w:ascii="宋体" w:cs="宋体"/>
          <w:szCs w:val="21"/>
          <w:highlight w:val="none"/>
          <w:u w:val="single"/>
        </w:rPr>
        <w:t xml:space="preserve"> </w:t>
      </w:r>
      <w:r>
        <w:rPr>
          <w:rFonts w:hint="eastAsia" w:ascii="宋体" w:cs="宋体"/>
          <w:szCs w:val="21"/>
          <w:highlight w:val="none"/>
        </w:rPr>
        <w:t>。</w:t>
      </w:r>
    </w:p>
    <w:p w14:paraId="05EDF5A6">
      <w:pPr>
        <w:spacing w:line="440" w:lineRule="exact"/>
        <w:ind w:firstLine="420" w:firstLineChars="200"/>
        <w:rPr>
          <w:rFonts w:hint="eastAsia" w:ascii="宋体" w:cs="宋体"/>
          <w:bCs/>
          <w:szCs w:val="21"/>
          <w:highlight w:val="none"/>
        </w:rPr>
      </w:pPr>
      <w:r>
        <w:rPr>
          <w:rFonts w:hint="eastAsia" w:ascii="宋体" w:cs="宋体"/>
          <w:bCs/>
          <w:szCs w:val="21"/>
          <w:highlight w:val="none"/>
        </w:rPr>
        <w:t>2.工程地点：</w:t>
      </w:r>
      <w:r>
        <w:rPr>
          <w:rFonts w:hint="eastAsia" w:ascii="宋体" w:cs="宋体"/>
          <w:szCs w:val="21"/>
          <w:highlight w:val="none"/>
          <w:u w:val="single"/>
        </w:rPr>
        <w:t xml:space="preserve">  </w:t>
      </w:r>
      <w:r>
        <w:rPr>
          <w:rFonts w:hint="eastAsia" w:ascii="宋体" w:hAnsi="Times New Roman" w:eastAsia="宋体" w:cs="宋体"/>
          <w:szCs w:val="21"/>
          <w:highlight w:val="none"/>
          <w:u w:val="single"/>
          <w:lang w:val="en-US" w:eastAsia="zh-CN"/>
        </w:rPr>
        <w:t>滁州市内，招标人指定地点</w:t>
      </w:r>
      <w:r>
        <w:rPr>
          <w:rFonts w:hint="eastAsia" w:ascii="宋体" w:cs="宋体"/>
          <w:szCs w:val="21"/>
          <w:highlight w:val="none"/>
          <w:u w:val="single"/>
        </w:rPr>
        <w:t xml:space="preserve">  </w:t>
      </w:r>
      <w:r>
        <w:rPr>
          <w:rFonts w:hint="eastAsia" w:ascii="宋体" w:cs="宋体"/>
          <w:szCs w:val="21"/>
          <w:highlight w:val="none"/>
        </w:rPr>
        <w:t>。</w:t>
      </w:r>
    </w:p>
    <w:p w14:paraId="22B63F7C">
      <w:pPr>
        <w:spacing w:line="440" w:lineRule="exact"/>
        <w:ind w:firstLine="420" w:firstLineChars="200"/>
        <w:rPr>
          <w:rFonts w:hint="eastAsia" w:ascii="宋体" w:cs="宋体"/>
          <w:bCs/>
          <w:szCs w:val="21"/>
          <w:highlight w:val="none"/>
        </w:rPr>
      </w:pPr>
      <w:r>
        <w:rPr>
          <w:rFonts w:hint="eastAsia" w:ascii="宋体" w:cs="宋体"/>
          <w:bCs/>
          <w:szCs w:val="21"/>
          <w:highlight w:val="none"/>
        </w:rPr>
        <w:t>3.工程立项批准文号：</w:t>
      </w:r>
      <w:r>
        <w:rPr>
          <w:rFonts w:hint="eastAsia" w:ascii="宋体" w:cs="宋体"/>
          <w:bCs/>
          <w:szCs w:val="21"/>
          <w:highlight w:val="none"/>
          <w:u w:val="single"/>
          <w:lang w:val="en-US" w:eastAsia="zh-CN"/>
        </w:rPr>
        <w:t xml:space="preserve">                </w:t>
      </w:r>
      <w:r>
        <w:rPr>
          <w:rFonts w:hint="eastAsia" w:ascii="宋体" w:cs="宋体"/>
          <w:bCs/>
          <w:szCs w:val="21"/>
          <w:highlight w:val="none"/>
          <w:u w:val="single"/>
        </w:rPr>
        <w:t xml:space="preserve">  </w:t>
      </w:r>
      <w:r>
        <w:rPr>
          <w:rFonts w:hint="eastAsia" w:ascii="宋体" w:cs="宋体"/>
          <w:bCs/>
          <w:szCs w:val="21"/>
          <w:highlight w:val="none"/>
        </w:rPr>
        <w:t>。</w:t>
      </w:r>
    </w:p>
    <w:p w14:paraId="2A46B856">
      <w:pPr>
        <w:spacing w:line="440" w:lineRule="exact"/>
        <w:ind w:firstLine="420" w:firstLineChars="200"/>
        <w:rPr>
          <w:rFonts w:hint="eastAsia" w:ascii="宋体" w:cs="宋体"/>
          <w:bCs/>
          <w:szCs w:val="21"/>
          <w:highlight w:val="none"/>
        </w:rPr>
      </w:pPr>
      <w:r>
        <w:rPr>
          <w:rFonts w:hint="eastAsia" w:ascii="宋体" w:cs="宋体"/>
          <w:bCs/>
          <w:szCs w:val="21"/>
          <w:highlight w:val="none"/>
        </w:rPr>
        <w:t>4.资金来源：</w:t>
      </w:r>
      <w:r>
        <w:rPr>
          <w:rFonts w:hint="eastAsia" w:ascii="宋体" w:cs="宋体"/>
          <w:bCs/>
          <w:szCs w:val="21"/>
          <w:highlight w:val="none"/>
          <w:u w:val="single"/>
        </w:rPr>
        <w:t xml:space="preserve">         </w:t>
      </w:r>
      <w:r>
        <w:rPr>
          <w:rFonts w:hint="eastAsia" w:ascii="宋体" w:cs="宋体"/>
          <w:bCs/>
          <w:szCs w:val="21"/>
          <w:highlight w:val="none"/>
          <w:u w:val="single"/>
          <w:lang w:val="en-US" w:eastAsia="zh-CN"/>
        </w:rPr>
        <w:t>自筹资金</w:t>
      </w:r>
      <w:r>
        <w:rPr>
          <w:rFonts w:hint="eastAsia" w:ascii="宋体" w:cs="宋体"/>
          <w:bCs/>
          <w:szCs w:val="21"/>
          <w:highlight w:val="none"/>
          <w:u w:val="single"/>
        </w:rPr>
        <w:t xml:space="preserve">           </w:t>
      </w:r>
      <w:r>
        <w:rPr>
          <w:rFonts w:hint="eastAsia" w:ascii="宋体" w:cs="宋体"/>
          <w:szCs w:val="21"/>
          <w:highlight w:val="none"/>
          <w:u w:val="single"/>
        </w:rPr>
        <w:t xml:space="preserve">       </w:t>
      </w:r>
      <w:r>
        <w:rPr>
          <w:rFonts w:hint="eastAsia" w:ascii="宋体" w:cs="宋体"/>
          <w:bCs/>
          <w:szCs w:val="21"/>
          <w:highlight w:val="none"/>
        </w:rPr>
        <w:t>。</w:t>
      </w:r>
    </w:p>
    <w:p w14:paraId="2F00C2D8">
      <w:pPr>
        <w:spacing w:line="440" w:lineRule="exact"/>
        <w:ind w:firstLine="420" w:firstLineChars="200"/>
        <w:rPr>
          <w:rFonts w:hint="eastAsia" w:ascii="宋体" w:cs="宋体"/>
          <w:bCs/>
          <w:szCs w:val="21"/>
          <w:highlight w:val="none"/>
        </w:rPr>
      </w:pPr>
      <w:r>
        <w:rPr>
          <w:rFonts w:hint="eastAsia" w:ascii="宋体" w:cs="宋体"/>
          <w:bCs/>
          <w:szCs w:val="21"/>
          <w:highlight w:val="none"/>
        </w:rPr>
        <w:t>5.工程内容：</w:t>
      </w:r>
      <w:r>
        <w:rPr>
          <w:rFonts w:hint="eastAsia" w:ascii="宋体" w:cs="宋体"/>
          <w:bCs/>
          <w:szCs w:val="21"/>
          <w:highlight w:val="none"/>
          <w:u w:val="single"/>
        </w:rPr>
        <w:t xml:space="preserve">   </w:t>
      </w:r>
      <w:r>
        <w:rPr>
          <w:rFonts w:hint="eastAsia" w:ascii="宋体" w:cs="宋体"/>
          <w:szCs w:val="21"/>
          <w:highlight w:val="none"/>
          <w:u w:val="single"/>
        </w:rPr>
        <w:t xml:space="preserve">以施工图纸及工程量清单内容为准  </w:t>
      </w:r>
      <w:r>
        <w:rPr>
          <w:rFonts w:hint="eastAsia" w:ascii="宋体" w:cs="宋体"/>
          <w:bCs/>
          <w:szCs w:val="21"/>
          <w:highlight w:val="none"/>
        </w:rPr>
        <w:t>。</w:t>
      </w:r>
    </w:p>
    <w:p w14:paraId="0B09708D">
      <w:pPr>
        <w:spacing w:line="440" w:lineRule="exact"/>
        <w:ind w:firstLine="420" w:firstLineChars="200"/>
        <w:rPr>
          <w:rFonts w:hint="eastAsia" w:ascii="宋体" w:cs="宋体"/>
          <w:bCs/>
          <w:szCs w:val="21"/>
          <w:highlight w:val="none"/>
        </w:rPr>
      </w:pPr>
      <w:r>
        <w:rPr>
          <w:rFonts w:hint="eastAsia" w:ascii="宋体" w:cs="宋体"/>
          <w:szCs w:val="21"/>
          <w:highlight w:val="none"/>
        </w:rPr>
        <w:t>群体工程应附《承包人承揽工程项目一览表》（附件1）。</w:t>
      </w:r>
    </w:p>
    <w:p w14:paraId="3EA9822A">
      <w:pPr>
        <w:spacing w:line="440" w:lineRule="exact"/>
        <w:ind w:firstLine="420" w:firstLineChars="200"/>
        <w:rPr>
          <w:rFonts w:hint="eastAsia" w:ascii="宋体" w:cs="宋体"/>
          <w:szCs w:val="21"/>
          <w:highlight w:val="none"/>
        </w:rPr>
      </w:pPr>
      <w:r>
        <w:rPr>
          <w:rFonts w:hint="eastAsia" w:ascii="宋体" w:cs="宋体"/>
          <w:bCs/>
          <w:szCs w:val="21"/>
          <w:highlight w:val="none"/>
        </w:rPr>
        <w:t>6.工程承包范围：</w:t>
      </w:r>
      <w:r>
        <w:rPr>
          <w:rFonts w:hint="eastAsia" w:ascii="宋体" w:cs="宋体"/>
          <w:szCs w:val="21"/>
          <w:highlight w:val="none"/>
          <w:u w:val="single"/>
        </w:rPr>
        <w:t xml:space="preserve">  </w:t>
      </w:r>
      <w:r>
        <w:rPr>
          <w:rFonts w:hint="eastAsia" w:ascii="宋体" w:hAnsi="宋体" w:cs="宋体"/>
          <w:b/>
          <w:bCs/>
          <w:szCs w:val="21"/>
          <w:highlight w:val="none"/>
          <w:u w:val="single"/>
        </w:rPr>
        <w:t>施工图纸和工程量清单载明的施工内容及施工过程中的变更调整内容（如施工图纸和工程量清单不一致，由项目单位负责解释</w:t>
      </w:r>
      <w:r>
        <w:rPr>
          <w:rFonts w:hint="eastAsia" w:ascii="宋体" w:hAnsi="宋体" w:cs="宋体"/>
          <w:szCs w:val="21"/>
          <w:highlight w:val="none"/>
          <w:u w:val="single"/>
        </w:rPr>
        <w:t>）</w:t>
      </w:r>
      <w:r>
        <w:rPr>
          <w:rFonts w:hint="eastAsia" w:ascii="宋体" w:cs="宋体"/>
          <w:szCs w:val="21"/>
          <w:highlight w:val="none"/>
          <w:u w:val="single"/>
        </w:rPr>
        <w:t xml:space="preserve"> </w:t>
      </w:r>
      <w:r>
        <w:rPr>
          <w:rFonts w:hint="eastAsia" w:ascii="宋体" w:cs="宋体"/>
          <w:szCs w:val="21"/>
          <w:highlight w:val="none"/>
        </w:rPr>
        <w:t>。</w:t>
      </w:r>
    </w:p>
    <w:p w14:paraId="497ADE28">
      <w:pPr>
        <w:pStyle w:val="5"/>
        <w:spacing w:before="0" w:after="0" w:line="44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二、合同工期</w:t>
      </w:r>
    </w:p>
    <w:p w14:paraId="73E52071">
      <w:pPr>
        <w:spacing w:line="440" w:lineRule="exact"/>
        <w:ind w:firstLine="420" w:firstLineChars="200"/>
        <w:rPr>
          <w:rFonts w:hint="eastAsia" w:ascii="宋体" w:cs="宋体"/>
          <w:szCs w:val="21"/>
          <w:highlight w:val="none"/>
        </w:rPr>
      </w:pPr>
      <w:r>
        <w:rPr>
          <w:rFonts w:hint="eastAsia" w:ascii="宋体" w:cs="宋体"/>
          <w:szCs w:val="21"/>
          <w:highlight w:val="none"/>
        </w:rPr>
        <w:t>计划开工日期：</w:t>
      </w:r>
      <w:r>
        <w:rPr>
          <w:rFonts w:hint="eastAsia" w:ascii="宋体" w:cs="宋体"/>
          <w:szCs w:val="21"/>
          <w:highlight w:val="none"/>
          <w:u w:val="single"/>
        </w:rPr>
        <w:t xml:space="preserve">       </w:t>
      </w:r>
      <w:r>
        <w:rPr>
          <w:rFonts w:hint="eastAsia" w:ascii="宋体" w:cs="宋体"/>
          <w:szCs w:val="21"/>
          <w:highlight w:val="none"/>
        </w:rPr>
        <w:t>年</w:t>
      </w:r>
      <w:r>
        <w:rPr>
          <w:rFonts w:hint="eastAsia" w:ascii="宋体" w:cs="宋体"/>
          <w:szCs w:val="21"/>
          <w:highlight w:val="none"/>
          <w:u w:val="single"/>
        </w:rPr>
        <w:t xml:space="preserve">          </w:t>
      </w:r>
      <w:r>
        <w:rPr>
          <w:rFonts w:hint="eastAsia" w:ascii="宋体" w:cs="宋体"/>
          <w:szCs w:val="21"/>
          <w:highlight w:val="none"/>
        </w:rPr>
        <w:t>月</w:t>
      </w:r>
      <w:r>
        <w:rPr>
          <w:rFonts w:hint="eastAsia" w:ascii="宋体" w:cs="宋体"/>
          <w:szCs w:val="21"/>
          <w:highlight w:val="none"/>
          <w:u w:val="single"/>
        </w:rPr>
        <w:t xml:space="preserve">       </w:t>
      </w:r>
      <w:r>
        <w:rPr>
          <w:rFonts w:hint="eastAsia" w:ascii="宋体" w:cs="宋体"/>
          <w:szCs w:val="21"/>
          <w:highlight w:val="none"/>
        </w:rPr>
        <w:t>日。</w:t>
      </w:r>
      <w:r>
        <w:rPr>
          <w:rFonts w:hint="eastAsia" w:ascii="宋体" w:cs="宋体"/>
          <w:szCs w:val="21"/>
          <w:highlight w:val="none"/>
          <w:lang w:eastAsia="zh-CN"/>
        </w:rPr>
        <w:t>（</w:t>
      </w:r>
      <w:r>
        <w:rPr>
          <w:rFonts w:hint="eastAsia" w:ascii="宋体" w:cs="宋体"/>
          <w:szCs w:val="21"/>
          <w:highlight w:val="none"/>
        </w:rPr>
        <w:t>以开工令为准</w:t>
      </w:r>
      <w:r>
        <w:rPr>
          <w:rFonts w:hint="eastAsia" w:ascii="宋体" w:cs="宋体"/>
          <w:szCs w:val="21"/>
          <w:highlight w:val="none"/>
          <w:lang w:eastAsia="zh-CN"/>
        </w:rPr>
        <w:t>）</w:t>
      </w:r>
    </w:p>
    <w:p w14:paraId="094895E8">
      <w:pPr>
        <w:spacing w:line="440" w:lineRule="exact"/>
        <w:ind w:firstLine="420" w:firstLineChars="200"/>
        <w:rPr>
          <w:rFonts w:hint="eastAsia" w:ascii="宋体" w:cs="宋体"/>
          <w:szCs w:val="21"/>
          <w:highlight w:val="none"/>
        </w:rPr>
      </w:pPr>
      <w:r>
        <w:rPr>
          <w:rFonts w:hint="eastAsia" w:ascii="宋体" w:cs="宋体"/>
          <w:szCs w:val="21"/>
          <w:highlight w:val="none"/>
        </w:rPr>
        <w:t>计划竣工日期：</w:t>
      </w:r>
      <w:r>
        <w:rPr>
          <w:rFonts w:hint="eastAsia" w:ascii="宋体" w:cs="宋体"/>
          <w:szCs w:val="21"/>
          <w:highlight w:val="none"/>
          <w:u w:val="single"/>
        </w:rPr>
        <w:t xml:space="preserve">       </w:t>
      </w:r>
      <w:r>
        <w:rPr>
          <w:rFonts w:hint="eastAsia" w:ascii="宋体" w:cs="宋体"/>
          <w:szCs w:val="21"/>
          <w:highlight w:val="none"/>
        </w:rPr>
        <w:t>年</w:t>
      </w:r>
      <w:r>
        <w:rPr>
          <w:rFonts w:hint="eastAsia" w:ascii="宋体" w:cs="宋体"/>
          <w:szCs w:val="21"/>
          <w:highlight w:val="none"/>
          <w:u w:val="single"/>
        </w:rPr>
        <w:t xml:space="preserve">          </w:t>
      </w:r>
      <w:r>
        <w:rPr>
          <w:rFonts w:hint="eastAsia" w:ascii="宋体" w:cs="宋体"/>
          <w:szCs w:val="21"/>
          <w:highlight w:val="none"/>
        </w:rPr>
        <w:t>月</w:t>
      </w:r>
      <w:r>
        <w:rPr>
          <w:rFonts w:hint="eastAsia" w:ascii="宋体" w:cs="宋体"/>
          <w:szCs w:val="21"/>
          <w:highlight w:val="none"/>
          <w:u w:val="single"/>
        </w:rPr>
        <w:t xml:space="preserve">       </w:t>
      </w:r>
      <w:r>
        <w:rPr>
          <w:rFonts w:hint="eastAsia" w:ascii="宋体" w:cs="宋体"/>
          <w:szCs w:val="21"/>
          <w:highlight w:val="none"/>
        </w:rPr>
        <w:t>日。</w:t>
      </w:r>
    </w:p>
    <w:p w14:paraId="1FB9E0BE">
      <w:pPr>
        <w:spacing w:line="440" w:lineRule="exact"/>
        <w:ind w:firstLine="420" w:firstLineChars="200"/>
        <w:rPr>
          <w:rFonts w:hint="eastAsia" w:ascii="宋体" w:cs="宋体"/>
          <w:szCs w:val="21"/>
          <w:highlight w:val="none"/>
        </w:rPr>
      </w:pPr>
      <w:r>
        <w:rPr>
          <w:rFonts w:hint="eastAsia" w:ascii="宋体" w:cs="宋体"/>
          <w:szCs w:val="21"/>
          <w:highlight w:val="none"/>
        </w:rPr>
        <w:t>工期总日历天数：</w:t>
      </w:r>
      <w:r>
        <w:rPr>
          <w:rFonts w:hint="eastAsia" w:ascii="宋体" w:cs="宋体"/>
          <w:szCs w:val="21"/>
          <w:highlight w:val="none"/>
          <w:u w:val="single"/>
        </w:rPr>
        <w:t xml:space="preserve">    </w:t>
      </w:r>
      <w:r>
        <w:rPr>
          <w:rFonts w:hint="eastAsia" w:ascii="宋体" w:cs="宋体"/>
          <w:szCs w:val="21"/>
          <w:highlight w:val="none"/>
        </w:rPr>
        <w:t>天。工期总日历天数与根据前述计划开竣工日期计算的工期天数不一致的，以工期总日历天数为准。</w:t>
      </w:r>
    </w:p>
    <w:p w14:paraId="5131FFEB">
      <w:pPr>
        <w:pStyle w:val="5"/>
        <w:spacing w:before="0" w:after="0" w:line="440" w:lineRule="exact"/>
        <w:ind w:firstLine="420" w:firstLineChars="200"/>
        <w:rPr>
          <w:rFonts w:hint="eastAsia" w:ascii="宋体" w:eastAsia="宋体" w:cs="宋体"/>
          <w:bCs w:val="0"/>
          <w:sz w:val="21"/>
          <w:szCs w:val="21"/>
          <w:highlight w:val="none"/>
        </w:rPr>
      </w:pPr>
      <w:r>
        <w:rPr>
          <w:rFonts w:hint="eastAsia" w:ascii="宋体" w:eastAsia="宋体" w:cs="宋体"/>
          <w:b w:val="0"/>
          <w:sz w:val="21"/>
          <w:szCs w:val="21"/>
          <w:highlight w:val="none"/>
        </w:rPr>
        <w:t>三、质量标准</w:t>
      </w:r>
    </w:p>
    <w:p w14:paraId="6380E96E">
      <w:pPr>
        <w:spacing w:line="440" w:lineRule="exact"/>
        <w:ind w:firstLine="420" w:firstLineChars="200"/>
        <w:rPr>
          <w:rFonts w:hint="eastAsia" w:ascii="宋体" w:cs="宋体"/>
          <w:szCs w:val="21"/>
          <w:highlight w:val="none"/>
        </w:rPr>
      </w:pPr>
      <w:r>
        <w:rPr>
          <w:rFonts w:hint="eastAsia"/>
          <w:szCs w:val="21"/>
          <w:highlight w:val="none"/>
        </w:rPr>
        <w:t>工程质量必须达到国家工程施工质量验收</w:t>
      </w:r>
      <w:r>
        <w:rPr>
          <w:rFonts w:hint="eastAsia"/>
          <w:b/>
          <w:szCs w:val="21"/>
          <w:highlight w:val="none"/>
          <w:u w:val="single"/>
        </w:rPr>
        <w:t xml:space="preserve">  合格  </w:t>
      </w:r>
      <w:r>
        <w:rPr>
          <w:rFonts w:hint="eastAsia"/>
          <w:szCs w:val="21"/>
          <w:highlight w:val="none"/>
        </w:rPr>
        <w:t>标准。</w:t>
      </w:r>
    </w:p>
    <w:p w14:paraId="5A41FA8D">
      <w:pPr>
        <w:pStyle w:val="5"/>
        <w:spacing w:before="0" w:after="0" w:line="440" w:lineRule="exact"/>
        <w:ind w:firstLine="420" w:firstLineChars="200"/>
        <w:rPr>
          <w:rFonts w:hint="eastAsia" w:ascii="宋体" w:eastAsia="宋体" w:cs="宋体"/>
          <w:bCs w:val="0"/>
          <w:sz w:val="21"/>
          <w:szCs w:val="21"/>
          <w:highlight w:val="none"/>
        </w:rPr>
      </w:pPr>
      <w:r>
        <w:rPr>
          <w:rFonts w:hint="eastAsia" w:ascii="宋体" w:eastAsia="宋体" w:cs="宋体"/>
          <w:b w:val="0"/>
          <w:sz w:val="21"/>
          <w:szCs w:val="21"/>
          <w:highlight w:val="none"/>
        </w:rPr>
        <w:t>四、签约合同价与合同价格形式</w:t>
      </w:r>
      <w:r>
        <w:rPr>
          <w:rFonts w:hint="eastAsia" w:ascii="宋体" w:eastAsia="宋体" w:cs="宋体"/>
          <w:b w:val="0"/>
          <w:sz w:val="21"/>
          <w:szCs w:val="21"/>
          <w:highlight w:val="none"/>
        </w:rPr>
        <w:tab/>
      </w:r>
    </w:p>
    <w:p w14:paraId="73EA17D4">
      <w:pPr>
        <w:spacing w:line="440" w:lineRule="exact"/>
        <w:ind w:firstLine="420" w:firstLineChars="200"/>
        <w:rPr>
          <w:rFonts w:hint="eastAsia" w:ascii="宋体" w:cs="宋体"/>
          <w:color w:val="auto"/>
          <w:szCs w:val="21"/>
          <w:highlight w:val="none"/>
        </w:rPr>
      </w:pPr>
      <w:r>
        <w:rPr>
          <w:rFonts w:hint="eastAsia" w:ascii="宋体" w:cs="宋体"/>
          <w:szCs w:val="21"/>
          <w:highlight w:val="none"/>
        </w:rPr>
        <w:t>1.签约合同价为：</w:t>
      </w:r>
    </w:p>
    <w:p w14:paraId="78E5A5B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含税价，其中增值税税率为9%</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1879CDA4">
      <w:pPr>
        <w:spacing w:line="440" w:lineRule="exact"/>
        <w:ind w:firstLine="420" w:firstLineChars="200"/>
        <w:rPr>
          <w:rFonts w:hint="eastAsia" w:ascii="宋体" w:cs="宋体"/>
          <w:szCs w:val="21"/>
          <w:highlight w:val="none"/>
        </w:rPr>
      </w:pPr>
      <w:r>
        <w:rPr>
          <w:rFonts w:hint="eastAsia" w:ascii="宋体" w:cs="宋体"/>
          <w:szCs w:val="21"/>
          <w:highlight w:val="none"/>
        </w:rPr>
        <w:t>2.合同价格形式：</w:t>
      </w:r>
      <w:r>
        <w:rPr>
          <w:rFonts w:hint="eastAsia" w:ascii="宋体" w:cs="宋体"/>
          <w:szCs w:val="21"/>
          <w:highlight w:val="none"/>
          <w:u w:val="single"/>
        </w:rPr>
        <w:t xml:space="preserve">          </w:t>
      </w:r>
      <w:r>
        <w:rPr>
          <w:rFonts w:hint="eastAsia" w:ascii="宋体" w:cs="宋体"/>
          <w:szCs w:val="21"/>
          <w:highlight w:val="none"/>
          <w:u w:val="single"/>
          <w:lang w:val="en-US" w:eastAsia="zh-CN"/>
        </w:rPr>
        <w:t>固定</w:t>
      </w:r>
      <w:r>
        <w:rPr>
          <w:rFonts w:hint="eastAsia" w:ascii="宋体" w:cs="宋体"/>
          <w:szCs w:val="21"/>
          <w:highlight w:val="none"/>
          <w:u w:val="single"/>
        </w:rPr>
        <w:t>单价合同           </w:t>
      </w:r>
      <w:r>
        <w:rPr>
          <w:rFonts w:hint="eastAsia" w:ascii="宋体" w:cs="宋体"/>
          <w:szCs w:val="21"/>
          <w:highlight w:val="none"/>
        </w:rPr>
        <w:t>。</w:t>
      </w:r>
    </w:p>
    <w:p w14:paraId="6952254A">
      <w:pPr>
        <w:pStyle w:val="5"/>
        <w:spacing w:before="0" w:after="0" w:line="44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五、项目</w:t>
      </w:r>
      <w:r>
        <w:rPr>
          <w:rFonts w:hint="eastAsia" w:ascii="宋体" w:eastAsia="宋体" w:cs="宋体"/>
          <w:b w:val="0"/>
          <w:sz w:val="21"/>
          <w:szCs w:val="21"/>
          <w:highlight w:val="none"/>
          <w:lang w:val="en-US" w:eastAsia="zh-CN"/>
        </w:rPr>
        <w:t>经理</w:t>
      </w:r>
    </w:p>
    <w:p w14:paraId="71CB4DD1">
      <w:pPr>
        <w:spacing w:line="440" w:lineRule="exact"/>
        <w:ind w:firstLine="420" w:firstLineChars="200"/>
        <w:rPr>
          <w:rFonts w:hint="eastAsia" w:ascii="宋体" w:cs="宋体"/>
          <w:szCs w:val="21"/>
          <w:highlight w:val="none"/>
        </w:rPr>
      </w:pPr>
      <w:r>
        <w:rPr>
          <w:rFonts w:hint="eastAsia" w:ascii="宋体" w:cs="宋体"/>
          <w:szCs w:val="21"/>
          <w:highlight w:val="none"/>
        </w:rPr>
        <w:t>承包人项目经理：</w:t>
      </w:r>
      <w:r>
        <w:rPr>
          <w:rFonts w:hint="eastAsia" w:ascii="宋体" w:cs="宋体"/>
          <w:szCs w:val="21"/>
          <w:highlight w:val="none"/>
          <w:u w:val="single"/>
        </w:rPr>
        <w:t xml:space="preserve">                            </w:t>
      </w:r>
      <w:r>
        <w:rPr>
          <w:rFonts w:hint="eastAsia" w:ascii="宋体" w:cs="宋体"/>
          <w:szCs w:val="21"/>
          <w:highlight w:val="none"/>
        </w:rPr>
        <w:t>。</w:t>
      </w:r>
    </w:p>
    <w:p w14:paraId="32977BEF">
      <w:pPr>
        <w:pStyle w:val="5"/>
        <w:spacing w:before="0" w:after="0" w:line="440" w:lineRule="exact"/>
        <w:ind w:firstLine="420" w:firstLineChars="200"/>
        <w:rPr>
          <w:rFonts w:hint="eastAsia" w:ascii="宋体" w:eastAsia="宋体" w:cs="宋体"/>
          <w:bCs w:val="0"/>
          <w:sz w:val="21"/>
          <w:szCs w:val="21"/>
          <w:highlight w:val="none"/>
        </w:rPr>
      </w:pPr>
      <w:r>
        <w:rPr>
          <w:rFonts w:hint="eastAsia" w:ascii="宋体" w:eastAsia="宋体" w:cs="宋体"/>
          <w:b w:val="0"/>
          <w:sz w:val="21"/>
          <w:szCs w:val="21"/>
          <w:highlight w:val="none"/>
        </w:rPr>
        <w:t>六、合同文件构成</w:t>
      </w:r>
    </w:p>
    <w:p w14:paraId="3F438B89">
      <w:pPr>
        <w:spacing w:line="440" w:lineRule="exact"/>
        <w:ind w:firstLine="420" w:firstLineChars="200"/>
        <w:rPr>
          <w:rFonts w:hint="eastAsia" w:ascii="宋体" w:cs="宋体"/>
          <w:bCs/>
          <w:szCs w:val="21"/>
          <w:highlight w:val="none"/>
        </w:rPr>
      </w:pPr>
      <w:r>
        <w:rPr>
          <w:rFonts w:hint="eastAsia" w:ascii="宋体" w:cs="宋体"/>
          <w:bCs/>
          <w:szCs w:val="21"/>
          <w:highlight w:val="none"/>
        </w:rPr>
        <w:t>本协议书与下列文件一起构成合同文件：</w:t>
      </w:r>
    </w:p>
    <w:p w14:paraId="45E7BAD1">
      <w:pPr>
        <w:autoSpaceDE w:val="0"/>
        <w:autoSpaceDN w:val="0"/>
        <w:adjustRightInd w:val="0"/>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（1）中</w:t>
      </w:r>
      <w:r>
        <w:rPr>
          <w:rFonts w:hint="eastAsia" w:ascii="宋体" w:cs="宋体"/>
          <w:szCs w:val="21"/>
          <w:highlight w:val="none"/>
          <w:lang w:val="en-US" w:eastAsia="zh-CN"/>
        </w:rPr>
        <w:t>标</w:t>
      </w:r>
      <w:r>
        <w:rPr>
          <w:rFonts w:hint="eastAsia" w:ascii="宋体" w:cs="宋体"/>
          <w:szCs w:val="21"/>
          <w:highlight w:val="none"/>
        </w:rPr>
        <w:t>通知书；</w:t>
      </w:r>
    </w:p>
    <w:p w14:paraId="53227739">
      <w:pPr>
        <w:autoSpaceDE w:val="0"/>
        <w:autoSpaceDN w:val="0"/>
        <w:adjustRightInd w:val="0"/>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 xml:space="preserve">（2）确认函及其附录； </w:t>
      </w:r>
    </w:p>
    <w:p w14:paraId="46087623">
      <w:pPr>
        <w:autoSpaceDE w:val="0"/>
        <w:autoSpaceDN w:val="0"/>
        <w:adjustRightInd w:val="0"/>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（3）专用合同条款及其附件；</w:t>
      </w:r>
    </w:p>
    <w:p w14:paraId="39FFA3B8">
      <w:pPr>
        <w:autoSpaceDE w:val="0"/>
        <w:autoSpaceDN w:val="0"/>
        <w:adjustRightInd w:val="0"/>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（4）通用合同条款；</w:t>
      </w:r>
    </w:p>
    <w:p w14:paraId="36334CD8">
      <w:pPr>
        <w:autoSpaceDE w:val="0"/>
        <w:autoSpaceDN w:val="0"/>
        <w:adjustRightInd w:val="0"/>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（5）技术标准和要求；</w:t>
      </w:r>
    </w:p>
    <w:p w14:paraId="30225A2D">
      <w:pPr>
        <w:autoSpaceDE w:val="0"/>
        <w:autoSpaceDN w:val="0"/>
        <w:adjustRightInd w:val="0"/>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（6）图纸；</w:t>
      </w:r>
    </w:p>
    <w:p w14:paraId="0F8AFA18">
      <w:pPr>
        <w:autoSpaceDE w:val="0"/>
        <w:autoSpaceDN w:val="0"/>
        <w:adjustRightInd w:val="0"/>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（7）已标价工程量清单或预算书；</w:t>
      </w:r>
    </w:p>
    <w:p w14:paraId="5EB9179B">
      <w:pPr>
        <w:autoSpaceDE w:val="0"/>
        <w:autoSpaceDN w:val="0"/>
        <w:adjustRightInd w:val="0"/>
        <w:spacing w:line="440" w:lineRule="exact"/>
        <w:ind w:firstLine="420" w:firstLineChars="200"/>
        <w:jc w:val="left"/>
        <w:rPr>
          <w:rFonts w:hint="eastAsia" w:ascii="宋体" w:cs="宋体"/>
          <w:szCs w:val="21"/>
          <w:highlight w:val="none"/>
        </w:rPr>
      </w:pPr>
      <w:r>
        <w:rPr>
          <w:rFonts w:hint="eastAsia" w:ascii="宋体" w:cs="宋体"/>
          <w:szCs w:val="21"/>
          <w:highlight w:val="none"/>
        </w:rPr>
        <w:t>（8）其他合同文件。</w:t>
      </w:r>
    </w:p>
    <w:p w14:paraId="6BD3A458">
      <w:pPr>
        <w:autoSpaceDE w:val="0"/>
        <w:autoSpaceDN w:val="0"/>
        <w:adjustRightInd w:val="0"/>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在合同订立及履行过程中形成的与合同有关的文件均构成合同文件组成部分。</w:t>
      </w:r>
    </w:p>
    <w:p w14:paraId="7E9714A5">
      <w:pPr>
        <w:autoSpaceDE w:val="0"/>
        <w:autoSpaceDN w:val="0"/>
        <w:adjustRightInd w:val="0"/>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上述各项合同文件包括合同当事人就该项合同文件所作出的补充和修改，属于同一类内容的文件，应以最新签署的为准。专用合同条款及其附件须经合同当事人签字或盖章。</w:t>
      </w:r>
    </w:p>
    <w:p w14:paraId="16010B41">
      <w:pPr>
        <w:pStyle w:val="5"/>
        <w:spacing w:before="0" w:after="0" w:line="440" w:lineRule="exact"/>
        <w:ind w:firstLine="420" w:firstLineChars="200"/>
        <w:rPr>
          <w:rFonts w:hint="eastAsia" w:ascii="宋体" w:eastAsia="宋体" w:cs="宋体"/>
          <w:b w:val="0"/>
          <w:bCs w:val="0"/>
          <w:sz w:val="21"/>
          <w:szCs w:val="21"/>
          <w:highlight w:val="none"/>
        </w:rPr>
      </w:pPr>
      <w:r>
        <w:rPr>
          <w:rFonts w:hint="eastAsia" w:ascii="宋体" w:eastAsia="宋体" w:cs="宋体"/>
          <w:b w:val="0"/>
          <w:sz w:val="21"/>
          <w:szCs w:val="21"/>
          <w:highlight w:val="none"/>
        </w:rPr>
        <w:t>七、承诺</w:t>
      </w:r>
    </w:p>
    <w:p w14:paraId="4EB03A8A">
      <w:pPr>
        <w:spacing w:line="440" w:lineRule="exact"/>
        <w:ind w:firstLine="420" w:firstLineChars="200"/>
        <w:rPr>
          <w:rFonts w:hint="eastAsia" w:ascii="宋体" w:cs="宋体"/>
          <w:bCs/>
          <w:szCs w:val="21"/>
          <w:highlight w:val="none"/>
        </w:rPr>
      </w:pPr>
      <w:r>
        <w:rPr>
          <w:rFonts w:hint="eastAsia" w:ascii="宋体" w:cs="宋体"/>
          <w:bCs/>
          <w:szCs w:val="21"/>
          <w:highlight w:val="none"/>
        </w:rPr>
        <w:t>1.发包人承诺按照法律规定履行项目审批手续、筹集工程建设资金并按照合同约定的期限和方式支付合同价款。</w:t>
      </w:r>
    </w:p>
    <w:p w14:paraId="3C0F0D61">
      <w:pPr>
        <w:spacing w:line="440" w:lineRule="exact"/>
        <w:ind w:firstLine="420" w:firstLineChars="200"/>
        <w:rPr>
          <w:rFonts w:hint="eastAsia" w:ascii="宋体" w:cs="宋体"/>
          <w:bCs/>
          <w:szCs w:val="21"/>
          <w:highlight w:val="none"/>
        </w:rPr>
      </w:pPr>
      <w:r>
        <w:rPr>
          <w:rFonts w:hint="eastAsia" w:ascii="宋体" w:cs="宋体"/>
          <w:bCs/>
          <w:szCs w:val="21"/>
          <w:highlight w:val="none"/>
        </w:rPr>
        <w:t>2.承包人承诺按照法律规定及合同约定组织完成工程施工，确保工程质量和安全，不进行转包及违法分包，并在缺陷责任期及保修期内承担相应的工程维修责任。</w:t>
      </w:r>
    </w:p>
    <w:p w14:paraId="2928C31B">
      <w:pPr>
        <w:spacing w:line="440" w:lineRule="exact"/>
        <w:ind w:firstLine="420" w:firstLineChars="200"/>
        <w:rPr>
          <w:rFonts w:hint="eastAsia" w:ascii="宋体" w:cs="宋体"/>
          <w:bCs/>
          <w:szCs w:val="21"/>
          <w:highlight w:val="none"/>
        </w:rPr>
      </w:pPr>
      <w:r>
        <w:rPr>
          <w:rFonts w:hint="eastAsia" w:ascii="宋体" w:cs="宋体"/>
          <w:bCs/>
          <w:szCs w:val="21"/>
          <w:highlight w:val="none"/>
        </w:rPr>
        <w:t>3.发包人和承包人通过招投标形式签订合同的，双方理解并承诺不再就同一工程另行签订与合同实质性内容相背离的协议。</w:t>
      </w:r>
    </w:p>
    <w:p w14:paraId="08E1DCA2">
      <w:pPr>
        <w:spacing w:line="440" w:lineRule="exact"/>
        <w:ind w:firstLine="420" w:firstLineChars="200"/>
        <w:rPr>
          <w:rFonts w:hint="eastAsia" w:ascii="宋体" w:cs="宋体"/>
          <w:bCs/>
          <w:szCs w:val="21"/>
          <w:highlight w:val="none"/>
        </w:rPr>
      </w:pPr>
      <w:r>
        <w:rPr>
          <w:rFonts w:hint="eastAsia" w:ascii="宋体" w:cs="宋体"/>
          <w:szCs w:val="21"/>
          <w:highlight w:val="none"/>
        </w:rPr>
        <w:t>八、词语含义</w:t>
      </w:r>
    </w:p>
    <w:p w14:paraId="31689870">
      <w:pPr>
        <w:spacing w:line="440" w:lineRule="exact"/>
        <w:ind w:firstLine="420" w:firstLineChars="200"/>
        <w:rPr>
          <w:rFonts w:hint="eastAsia" w:ascii="宋体" w:cs="宋体"/>
          <w:bCs/>
          <w:szCs w:val="21"/>
          <w:highlight w:val="none"/>
        </w:rPr>
      </w:pPr>
      <w:r>
        <w:rPr>
          <w:rFonts w:hint="eastAsia" w:ascii="宋体" w:cs="宋体"/>
          <w:bCs/>
          <w:szCs w:val="21"/>
          <w:highlight w:val="none"/>
        </w:rPr>
        <w:t>本协议书中词语含义与第二部分通用合同条款中赋予的含义相同。</w:t>
      </w:r>
    </w:p>
    <w:p w14:paraId="31603E32">
      <w:pPr>
        <w:pStyle w:val="5"/>
        <w:spacing w:before="0" w:after="0" w:line="440" w:lineRule="exact"/>
        <w:ind w:firstLine="420" w:firstLineChars="200"/>
        <w:rPr>
          <w:rFonts w:hint="eastAsia" w:ascii="宋体" w:eastAsia="宋体" w:cs="宋体"/>
          <w:bCs w:val="0"/>
          <w:sz w:val="21"/>
          <w:szCs w:val="21"/>
          <w:highlight w:val="none"/>
        </w:rPr>
      </w:pPr>
      <w:r>
        <w:rPr>
          <w:rFonts w:hint="eastAsia" w:ascii="宋体" w:eastAsia="宋体" w:cs="宋体"/>
          <w:b w:val="0"/>
          <w:sz w:val="21"/>
          <w:szCs w:val="21"/>
          <w:highlight w:val="none"/>
        </w:rPr>
        <w:t>九、签订时间</w:t>
      </w:r>
    </w:p>
    <w:p w14:paraId="168B7B41">
      <w:pPr>
        <w:spacing w:line="440" w:lineRule="exact"/>
        <w:ind w:firstLine="420" w:firstLineChars="200"/>
        <w:rPr>
          <w:rFonts w:hint="eastAsia" w:ascii="宋体" w:cs="宋体"/>
          <w:bCs/>
          <w:szCs w:val="21"/>
          <w:highlight w:val="none"/>
        </w:rPr>
      </w:pPr>
      <w:r>
        <w:rPr>
          <w:rFonts w:hint="eastAsia" w:ascii="宋体" w:cs="宋体"/>
          <w:bCs/>
          <w:szCs w:val="21"/>
          <w:highlight w:val="none"/>
        </w:rPr>
        <w:t>本合同于</w:t>
      </w:r>
      <w:r>
        <w:rPr>
          <w:rFonts w:hint="eastAsia" w:ascii="宋体" w:cs="宋体"/>
          <w:bCs/>
          <w:szCs w:val="21"/>
          <w:highlight w:val="none"/>
          <w:u w:val="single"/>
        </w:rPr>
        <w:t xml:space="preserve">         </w:t>
      </w:r>
      <w:r>
        <w:rPr>
          <w:rFonts w:hint="eastAsia" w:ascii="宋体" w:cs="宋体"/>
          <w:bCs/>
          <w:szCs w:val="21"/>
          <w:highlight w:val="none"/>
        </w:rPr>
        <w:t>年</w:t>
      </w:r>
      <w:r>
        <w:rPr>
          <w:rFonts w:hint="eastAsia" w:ascii="宋体" w:cs="宋体"/>
          <w:bCs/>
          <w:szCs w:val="21"/>
          <w:highlight w:val="none"/>
          <w:u w:val="single"/>
        </w:rPr>
        <w:t xml:space="preserve">       </w:t>
      </w:r>
      <w:r>
        <w:rPr>
          <w:rFonts w:hint="eastAsia" w:ascii="宋体" w:cs="宋体"/>
          <w:bCs/>
          <w:szCs w:val="21"/>
          <w:highlight w:val="none"/>
        </w:rPr>
        <w:t>月</w:t>
      </w:r>
      <w:r>
        <w:rPr>
          <w:rFonts w:hint="eastAsia" w:ascii="宋体" w:cs="宋体"/>
          <w:bCs/>
          <w:szCs w:val="21"/>
          <w:highlight w:val="none"/>
          <w:u w:val="single"/>
        </w:rPr>
        <w:t xml:space="preserve">        </w:t>
      </w:r>
      <w:r>
        <w:rPr>
          <w:rFonts w:hint="eastAsia" w:ascii="宋体" w:cs="宋体"/>
          <w:bCs/>
          <w:szCs w:val="21"/>
          <w:highlight w:val="none"/>
        </w:rPr>
        <w:t>日签订。</w:t>
      </w:r>
    </w:p>
    <w:p w14:paraId="6A42F258">
      <w:pPr>
        <w:pStyle w:val="5"/>
        <w:spacing w:before="0" w:after="0" w:line="440" w:lineRule="exact"/>
        <w:ind w:firstLine="420" w:firstLineChars="200"/>
        <w:rPr>
          <w:rFonts w:hint="eastAsia" w:ascii="宋体" w:eastAsia="宋体" w:cs="宋体"/>
          <w:bCs w:val="0"/>
          <w:sz w:val="21"/>
          <w:szCs w:val="21"/>
          <w:highlight w:val="none"/>
        </w:rPr>
      </w:pPr>
      <w:r>
        <w:rPr>
          <w:rFonts w:hint="eastAsia" w:ascii="宋体" w:eastAsia="宋体" w:cs="宋体"/>
          <w:b w:val="0"/>
          <w:sz w:val="21"/>
          <w:szCs w:val="21"/>
          <w:highlight w:val="none"/>
        </w:rPr>
        <w:t>十、签订地点</w:t>
      </w:r>
    </w:p>
    <w:p w14:paraId="6BF73051">
      <w:pPr>
        <w:spacing w:line="440" w:lineRule="exact"/>
        <w:ind w:firstLine="420" w:firstLineChars="200"/>
        <w:rPr>
          <w:rFonts w:hint="eastAsia" w:ascii="宋体" w:cs="宋体"/>
          <w:bCs/>
          <w:szCs w:val="21"/>
          <w:highlight w:val="none"/>
        </w:rPr>
      </w:pPr>
      <w:r>
        <w:rPr>
          <w:rFonts w:hint="eastAsia" w:ascii="宋体" w:cs="宋体"/>
          <w:bCs/>
          <w:szCs w:val="21"/>
          <w:highlight w:val="none"/>
        </w:rPr>
        <w:t>本合同在</w:t>
      </w:r>
      <w:r>
        <w:rPr>
          <w:rFonts w:hint="eastAsia" w:ascii="宋体" w:cs="宋体"/>
          <w:bCs/>
          <w:szCs w:val="21"/>
          <w:highlight w:val="none"/>
          <w:u w:val="single"/>
        </w:rPr>
        <w:t xml:space="preserve">                                    </w:t>
      </w:r>
      <w:r>
        <w:rPr>
          <w:rFonts w:hint="eastAsia" w:ascii="宋体" w:cs="宋体"/>
          <w:bCs/>
          <w:szCs w:val="21"/>
          <w:highlight w:val="none"/>
        </w:rPr>
        <w:t>签订。</w:t>
      </w:r>
    </w:p>
    <w:p w14:paraId="12148FBD">
      <w:pPr>
        <w:pStyle w:val="5"/>
        <w:spacing w:before="0" w:after="0" w:line="440" w:lineRule="exact"/>
        <w:ind w:firstLine="420" w:firstLineChars="200"/>
        <w:rPr>
          <w:rFonts w:hint="eastAsia" w:ascii="宋体" w:eastAsia="宋体" w:cs="宋体"/>
          <w:bCs w:val="0"/>
          <w:sz w:val="21"/>
          <w:szCs w:val="21"/>
          <w:highlight w:val="none"/>
        </w:rPr>
      </w:pPr>
      <w:r>
        <w:rPr>
          <w:rFonts w:hint="eastAsia" w:ascii="宋体" w:eastAsia="宋体" w:cs="宋体"/>
          <w:b w:val="0"/>
          <w:sz w:val="21"/>
          <w:szCs w:val="21"/>
          <w:highlight w:val="none"/>
        </w:rPr>
        <w:t>十一、补充协议</w:t>
      </w:r>
    </w:p>
    <w:p w14:paraId="55238B76">
      <w:pPr>
        <w:spacing w:line="440" w:lineRule="exact"/>
        <w:ind w:firstLine="420" w:firstLineChars="200"/>
        <w:rPr>
          <w:rFonts w:hint="eastAsia" w:ascii="宋体" w:cs="宋体"/>
          <w:b/>
          <w:bCs/>
          <w:szCs w:val="21"/>
          <w:highlight w:val="none"/>
        </w:rPr>
      </w:pPr>
      <w:r>
        <w:rPr>
          <w:rFonts w:hint="eastAsia" w:ascii="宋体" w:cs="宋体"/>
          <w:bCs/>
          <w:szCs w:val="21"/>
          <w:highlight w:val="none"/>
        </w:rPr>
        <w:t>合同未尽事宜，合同当事人另行签订补充协议，补充协议是合同的组成部分。</w:t>
      </w:r>
    </w:p>
    <w:p w14:paraId="0C8BEAE8">
      <w:pPr>
        <w:pStyle w:val="5"/>
        <w:spacing w:before="0" w:after="0" w:line="440" w:lineRule="exact"/>
        <w:ind w:firstLine="420" w:firstLineChars="200"/>
        <w:rPr>
          <w:rFonts w:hint="eastAsia" w:ascii="宋体" w:eastAsia="宋体" w:cs="宋体"/>
          <w:bCs w:val="0"/>
          <w:sz w:val="21"/>
          <w:szCs w:val="21"/>
          <w:highlight w:val="none"/>
        </w:rPr>
      </w:pPr>
      <w:r>
        <w:rPr>
          <w:rFonts w:hint="eastAsia" w:ascii="宋体" w:eastAsia="宋体" w:cs="宋体"/>
          <w:b w:val="0"/>
          <w:sz w:val="21"/>
          <w:szCs w:val="21"/>
          <w:highlight w:val="none"/>
        </w:rPr>
        <w:t>十二、合同生效</w:t>
      </w:r>
    </w:p>
    <w:p w14:paraId="5BF34A4F">
      <w:pPr>
        <w:spacing w:line="440" w:lineRule="exact"/>
        <w:ind w:firstLine="420" w:firstLineChars="200"/>
        <w:rPr>
          <w:rFonts w:hint="eastAsia" w:ascii="宋体" w:cs="宋体"/>
          <w:bCs/>
          <w:szCs w:val="21"/>
          <w:highlight w:val="none"/>
        </w:rPr>
      </w:pPr>
      <w:r>
        <w:rPr>
          <w:rFonts w:hint="eastAsia" w:ascii="宋体" w:cs="宋体"/>
          <w:bCs/>
          <w:szCs w:val="21"/>
          <w:highlight w:val="none"/>
        </w:rPr>
        <w:t>本合同自</w:t>
      </w:r>
      <w:r>
        <w:rPr>
          <w:rFonts w:hint="eastAsia" w:ascii="宋体" w:cs="宋体"/>
          <w:bCs/>
          <w:szCs w:val="21"/>
          <w:highlight w:val="none"/>
          <w:u w:val="single"/>
        </w:rPr>
        <w:t xml:space="preserve">  </w:t>
      </w:r>
      <w:r>
        <w:rPr>
          <w:rFonts w:hint="eastAsia" w:ascii="宋体" w:hAnsi="宋体"/>
          <w:szCs w:val="21"/>
          <w:highlight w:val="none"/>
          <w:u w:val="single"/>
        </w:rPr>
        <w:t xml:space="preserve">  </w:t>
      </w:r>
      <w:r>
        <w:rPr>
          <w:rFonts w:hint="eastAsia" w:ascii="宋体" w:cs="宋体"/>
          <w:szCs w:val="21"/>
          <w:highlight w:val="none"/>
          <w:u w:val="single"/>
        </w:rPr>
        <w:t xml:space="preserve">双方盖章后   </w:t>
      </w:r>
      <w:r>
        <w:rPr>
          <w:rFonts w:hint="eastAsia" w:ascii="宋体" w:cs="宋体"/>
          <w:bCs/>
          <w:szCs w:val="21"/>
          <w:highlight w:val="none"/>
        </w:rPr>
        <w:t>生效。</w:t>
      </w:r>
    </w:p>
    <w:p w14:paraId="0CD88474">
      <w:pPr>
        <w:pStyle w:val="5"/>
        <w:spacing w:before="0" w:after="0" w:line="440" w:lineRule="exact"/>
        <w:ind w:firstLine="420" w:firstLineChars="200"/>
        <w:rPr>
          <w:rFonts w:hint="eastAsia" w:ascii="宋体" w:eastAsia="宋体" w:cs="宋体"/>
          <w:bCs w:val="0"/>
          <w:sz w:val="21"/>
          <w:szCs w:val="21"/>
          <w:highlight w:val="none"/>
        </w:rPr>
      </w:pPr>
      <w:r>
        <w:rPr>
          <w:rFonts w:hint="eastAsia" w:ascii="宋体" w:eastAsia="宋体" w:cs="宋体"/>
          <w:b w:val="0"/>
          <w:sz w:val="21"/>
          <w:szCs w:val="21"/>
          <w:highlight w:val="none"/>
        </w:rPr>
        <w:t>十三、合同份数</w:t>
      </w:r>
    </w:p>
    <w:p w14:paraId="5C5834D4">
      <w:pPr>
        <w:spacing w:line="440" w:lineRule="exact"/>
        <w:ind w:firstLine="420" w:firstLineChars="200"/>
        <w:rPr>
          <w:rFonts w:hint="eastAsia" w:ascii="宋体" w:cs="宋体"/>
          <w:bCs/>
          <w:szCs w:val="21"/>
          <w:highlight w:val="none"/>
        </w:rPr>
      </w:pPr>
      <w:r>
        <w:rPr>
          <w:rFonts w:hint="eastAsia" w:ascii="宋体" w:cs="宋体"/>
          <w:bCs/>
          <w:szCs w:val="21"/>
          <w:highlight w:val="none"/>
        </w:rPr>
        <w:t>本合同一式捌份，正本贰份、副本陆份，均具有同等法律效力，发包人执正本壹份、副本叁份，承包人执正本壹份、副本叁份。</w:t>
      </w:r>
    </w:p>
    <w:p w14:paraId="5622B22D">
      <w:pPr>
        <w:keepNext w:val="0"/>
        <w:keepLines w:val="0"/>
        <w:pageBreakBefore w:val="0"/>
        <w:widowControl w:val="0"/>
        <w:kinsoku/>
        <w:wordWrap/>
        <w:overflowPunct/>
        <w:topLinePunct w:val="0"/>
        <w:autoSpaceDE/>
        <w:autoSpaceDN/>
        <w:bidi w:val="0"/>
        <w:adjustRightInd/>
        <w:snapToGrid w:val="0"/>
        <w:spacing w:line="440" w:lineRule="exact"/>
        <w:ind w:firstLine="630" w:firstLineChars="300"/>
        <w:textAlignment w:val="auto"/>
        <w:rPr>
          <w:rFonts w:hint="eastAsia" w:ascii="宋体" w:cs="宋体"/>
          <w:szCs w:val="21"/>
          <w:highlight w:val="none"/>
        </w:rPr>
      </w:pPr>
      <w:r>
        <w:rPr>
          <w:rFonts w:hint="eastAsia" w:ascii="宋体" w:cs="宋体"/>
          <w:szCs w:val="21"/>
          <w:highlight w:val="none"/>
        </w:rPr>
        <w:t xml:space="preserve">发包人：  </w:t>
      </w:r>
      <w:r>
        <w:rPr>
          <w:rFonts w:hint="eastAsia" w:ascii="宋体" w:cs="宋体"/>
          <w:szCs w:val="21"/>
          <w:highlight w:val="none"/>
          <w:lang w:eastAsia="zh-CN"/>
        </w:rPr>
        <w:t>（</w:t>
      </w:r>
      <w:r>
        <w:rPr>
          <w:rFonts w:hint="eastAsia" w:ascii="宋体" w:cs="宋体"/>
          <w:szCs w:val="21"/>
          <w:highlight w:val="none"/>
        </w:rPr>
        <w:t>公章</w:t>
      </w:r>
      <w:r>
        <w:rPr>
          <w:rFonts w:hint="eastAsia" w:ascii="宋体" w:cs="宋体"/>
          <w:szCs w:val="21"/>
          <w:highlight w:val="none"/>
          <w:lang w:eastAsia="zh-CN"/>
        </w:rPr>
        <w:t>）</w:t>
      </w:r>
      <w:r>
        <w:rPr>
          <w:rFonts w:hint="eastAsia" w:ascii="宋体" w:cs="宋体"/>
          <w:szCs w:val="21"/>
          <w:highlight w:val="none"/>
        </w:rPr>
        <w:t xml:space="preserve">                   承包人：  </w:t>
      </w:r>
      <w:r>
        <w:rPr>
          <w:rFonts w:hint="eastAsia" w:ascii="宋体" w:cs="宋体"/>
          <w:szCs w:val="21"/>
          <w:highlight w:val="none"/>
          <w:lang w:eastAsia="zh-CN"/>
        </w:rPr>
        <w:t>（</w:t>
      </w:r>
      <w:r>
        <w:rPr>
          <w:rFonts w:hint="eastAsia" w:ascii="宋体" w:cs="宋体"/>
          <w:szCs w:val="21"/>
          <w:highlight w:val="none"/>
        </w:rPr>
        <w:t>公章</w:t>
      </w:r>
      <w:r>
        <w:rPr>
          <w:rFonts w:hint="eastAsia" w:ascii="宋体" w:cs="宋体"/>
          <w:szCs w:val="21"/>
          <w:highlight w:val="none"/>
          <w:lang w:eastAsia="zh-CN"/>
        </w:rPr>
        <w:t>）</w:t>
      </w:r>
    </w:p>
    <w:p w14:paraId="7D787211">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 xml:space="preserve"> 法定代表人或其委托代理人：           法定代表人或其委托代理人：</w:t>
      </w:r>
    </w:p>
    <w:p w14:paraId="2A2E54F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 xml:space="preserve">                  （签字）                             （签字）</w:t>
      </w:r>
    </w:p>
    <w:p w14:paraId="0B2CEB30">
      <w:pPr>
        <w:tabs>
          <w:tab w:val="left" w:pos="4410"/>
        </w:tabs>
        <w:snapToGrid w:val="0"/>
        <w:spacing w:line="440" w:lineRule="exact"/>
        <w:ind w:firstLine="420" w:firstLineChars="200"/>
        <w:rPr>
          <w:rFonts w:hint="eastAsia" w:ascii="宋体" w:cs="宋体"/>
          <w:szCs w:val="21"/>
          <w:highlight w:val="none"/>
        </w:rPr>
      </w:pPr>
      <w:r>
        <w:rPr>
          <w:rFonts w:hint="eastAsia" w:ascii="宋体" w:cs="宋体"/>
          <w:szCs w:val="21"/>
          <w:highlight w:val="none"/>
        </w:rPr>
        <w:t xml:space="preserve">组织机构代码：                        组织机构代码：                                   </w:t>
      </w:r>
    </w:p>
    <w:p w14:paraId="492F88C1">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 xml:space="preserve">地  址：                           地  址：                                    </w:t>
      </w:r>
    </w:p>
    <w:p w14:paraId="18CB7EC5">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 xml:space="preserve">邮政编码：                             邮政编码：                       </w:t>
      </w:r>
    </w:p>
    <w:p w14:paraId="4DF92D5C">
      <w:pPr>
        <w:tabs>
          <w:tab w:val="left" w:pos="180"/>
        </w:tabs>
        <w:snapToGrid w:val="0"/>
        <w:spacing w:line="440" w:lineRule="exact"/>
        <w:ind w:firstLine="420" w:firstLineChars="200"/>
        <w:rPr>
          <w:rFonts w:hint="eastAsia" w:ascii="宋体" w:cs="宋体"/>
          <w:szCs w:val="21"/>
          <w:highlight w:val="none"/>
        </w:rPr>
      </w:pPr>
      <w:r>
        <w:rPr>
          <w:rFonts w:hint="eastAsia" w:ascii="宋体" w:cs="宋体"/>
          <w:szCs w:val="21"/>
          <w:highlight w:val="none"/>
        </w:rPr>
        <w:t xml:space="preserve">法定代表人：                       法定代表人： </w:t>
      </w:r>
    </w:p>
    <w:p w14:paraId="395E339B">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 xml:space="preserve">委托代理人：                           委托代理人：  </w:t>
      </w:r>
    </w:p>
    <w:p w14:paraId="7C85FBF7">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电  话：                               电  话：</w:t>
      </w:r>
    </w:p>
    <w:p w14:paraId="51C1F911">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 xml:space="preserve">传  真：                             传  真：    </w:t>
      </w:r>
    </w:p>
    <w:p w14:paraId="51053951">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 xml:space="preserve">电子信箱：                             电子信箱：                       </w:t>
      </w:r>
    </w:p>
    <w:p w14:paraId="76F50840">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 xml:space="preserve">开户银行：                             开户银行：                        </w:t>
      </w:r>
    </w:p>
    <w:p w14:paraId="2421115B">
      <w:pPr>
        <w:spacing w:line="440" w:lineRule="exact"/>
        <w:ind w:firstLine="420" w:firstLineChars="200"/>
        <w:rPr>
          <w:rFonts w:hint="eastAsia" w:ascii="宋体" w:cs="宋体"/>
          <w:szCs w:val="21"/>
          <w:highlight w:val="none"/>
        </w:rPr>
      </w:pPr>
      <w:r>
        <w:rPr>
          <w:rFonts w:hint="eastAsia" w:ascii="宋体" w:cs="宋体"/>
          <w:szCs w:val="21"/>
          <w:highlight w:val="none"/>
        </w:rPr>
        <w:t xml:space="preserve">账  号：                               账  号：                         </w:t>
      </w:r>
    </w:p>
    <w:p w14:paraId="47DE9D2C">
      <w:pPr>
        <w:spacing w:line="440" w:lineRule="exact"/>
        <w:ind w:firstLine="4410" w:firstLineChars="2100"/>
        <w:rPr>
          <w:rFonts w:hint="eastAsia" w:ascii="宋体" w:cs="宋体"/>
          <w:szCs w:val="21"/>
          <w:highlight w:val="none"/>
        </w:rPr>
      </w:pPr>
    </w:p>
    <w:p w14:paraId="73F4574A">
      <w:pPr>
        <w:spacing w:line="440" w:lineRule="exact"/>
        <w:ind w:firstLine="4410" w:firstLineChars="2100"/>
        <w:rPr>
          <w:rFonts w:hint="eastAsia" w:ascii="宋体" w:cs="宋体"/>
          <w:szCs w:val="21"/>
          <w:highlight w:val="none"/>
        </w:rPr>
      </w:pPr>
    </w:p>
    <w:p w14:paraId="3943C5F0">
      <w:pPr>
        <w:spacing w:line="440" w:lineRule="exact"/>
        <w:ind w:firstLine="4410" w:firstLineChars="2100"/>
        <w:rPr>
          <w:rFonts w:hint="eastAsia" w:ascii="宋体" w:cs="宋体"/>
          <w:szCs w:val="21"/>
          <w:highlight w:val="none"/>
        </w:rPr>
      </w:pPr>
    </w:p>
    <w:p w14:paraId="7FDB86E4">
      <w:pPr>
        <w:pStyle w:val="14"/>
        <w:rPr>
          <w:rFonts w:hint="eastAsia" w:ascii="宋体" w:cs="宋体"/>
          <w:szCs w:val="21"/>
          <w:highlight w:val="none"/>
        </w:rPr>
      </w:pPr>
    </w:p>
    <w:p w14:paraId="45D8C436">
      <w:pPr>
        <w:rPr>
          <w:rFonts w:hint="eastAsia" w:ascii="宋体" w:cs="宋体"/>
          <w:szCs w:val="21"/>
          <w:highlight w:val="none"/>
        </w:rPr>
      </w:pPr>
    </w:p>
    <w:p w14:paraId="68996332">
      <w:pPr>
        <w:spacing w:line="440" w:lineRule="exact"/>
        <w:rPr>
          <w:rFonts w:hint="eastAsia" w:ascii="宋体" w:cs="宋体"/>
          <w:szCs w:val="21"/>
          <w:highlight w:val="none"/>
        </w:rPr>
      </w:pPr>
      <w:r>
        <w:rPr>
          <w:rFonts w:hint="eastAsia" w:ascii="宋体" w:cs="宋体"/>
          <w:szCs w:val="21"/>
          <w:highlight w:val="none"/>
        </w:rPr>
        <w:t xml:space="preserve">           </w:t>
      </w:r>
    </w:p>
    <w:p w14:paraId="6E6FB372">
      <w:pPr>
        <w:rPr>
          <w:rFonts w:hint="eastAsia" w:ascii="黑体" w:eastAsia="黑体" w:cs="黑体"/>
          <w:highlight w:val="none"/>
        </w:rPr>
      </w:pPr>
      <w:r>
        <w:rPr>
          <w:rFonts w:hint="eastAsia" w:ascii="黑体" w:eastAsia="黑体" w:cs="黑体"/>
          <w:highlight w:val="none"/>
        </w:rPr>
        <w:br w:type="page"/>
      </w:r>
    </w:p>
    <w:p w14:paraId="5D951C3C">
      <w:pPr>
        <w:pStyle w:val="4"/>
        <w:jc w:val="center"/>
        <w:rPr>
          <w:rFonts w:hint="eastAsia" w:ascii="黑体" w:eastAsia="黑体" w:cs="黑体"/>
          <w:highlight w:val="none"/>
        </w:rPr>
      </w:pPr>
      <w:r>
        <w:rPr>
          <w:rFonts w:hint="eastAsia" w:ascii="黑体" w:eastAsia="黑体" w:cs="黑体"/>
          <w:highlight w:val="none"/>
        </w:rPr>
        <w:t>第二节 通用合同条款</w:t>
      </w:r>
    </w:p>
    <w:p w14:paraId="02BC8D6E">
      <w:pPr>
        <w:spacing w:line="440" w:lineRule="exact"/>
        <w:ind w:firstLine="420" w:firstLineChars="200"/>
        <w:rPr>
          <w:rFonts w:hint="eastAsia"/>
          <w:highlight w:val="none"/>
        </w:rPr>
      </w:pPr>
      <w:r>
        <w:rPr>
          <w:rFonts w:hint="eastAsia"/>
          <w:highlight w:val="none"/>
        </w:rPr>
        <w:t>使用建设部、国家工商行政管理局印发的《建设工程施工合同（GF-2017-0201示范文本）》第二部分通用条款。（因办理施工许可证时需要通用条款，请签订施工合同时，一并打印出来。）</w:t>
      </w:r>
    </w:p>
    <w:p w14:paraId="20A9D62C">
      <w:pPr>
        <w:pStyle w:val="4"/>
        <w:jc w:val="center"/>
        <w:rPr>
          <w:rFonts w:hint="eastAsia" w:ascii="黑体" w:eastAsia="黑体" w:cs="黑体"/>
          <w:highlight w:val="none"/>
        </w:rPr>
      </w:pPr>
      <w:r>
        <w:rPr>
          <w:rFonts w:hint="eastAsia" w:ascii="黑体" w:eastAsia="黑体" w:cs="黑体"/>
          <w:highlight w:val="none"/>
        </w:rPr>
        <w:t>第三节 专用合同条款</w:t>
      </w:r>
    </w:p>
    <w:p w14:paraId="0E66893B">
      <w:pPr>
        <w:pStyle w:val="5"/>
        <w:snapToGrid w:val="0"/>
        <w:spacing w:before="0" w:after="0" w:line="44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1. 一般约定</w:t>
      </w:r>
    </w:p>
    <w:p w14:paraId="564E7E8D">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1.1 词语定义</w:t>
      </w:r>
    </w:p>
    <w:p w14:paraId="0352C5D3">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1.1.1合同</w:t>
      </w:r>
    </w:p>
    <w:p w14:paraId="6EA12D57">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1.1.1.1其他合同文件包括：</w:t>
      </w:r>
      <w:r>
        <w:rPr>
          <w:rFonts w:hint="eastAsia" w:ascii="宋体" w:cs="宋体"/>
          <w:szCs w:val="21"/>
          <w:highlight w:val="none"/>
          <w:u w:val="single"/>
        </w:rPr>
        <w:t xml:space="preserve">本项目招标文件、在合同订立及履行过程中形成的与合同有关的文件均构成合同文件组成部分。 </w:t>
      </w:r>
    </w:p>
    <w:p w14:paraId="3A8F2FC2">
      <w:pPr>
        <w:snapToGrid w:val="0"/>
        <w:spacing w:line="440" w:lineRule="exact"/>
        <w:ind w:firstLine="420" w:firstLineChars="200"/>
        <w:rPr>
          <w:rFonts w:hint="eastAsia" w:ascii="宋体" w:cs="宋体"/>
          <w:szCs w:val="21"/>
          <w:highlight w:val="none"/>
          <w:lang w:eastAsia="zh-CN"/>
        </w:rPr>
      </w:pPr>
      <w:r>
        <w:rPr>
          <w:rFonts w:hint="eastAsia" w:ascii="宋体" w:cs="宋体"/>
          <w:szCs w:val="21"/>
          <w:highlight w:val="none"/>
        </w:rPr>
        <w:t>1.1.2 合同其他相关方</w:t>
      </w:r>
      <w:r>
        <w:rPr>
          <w:rFonts w:hint="eastAsia" w:ascii="宋体" w:cs="宋体"/>
          <w:szCs w:val="21"/>
          <w:highlight w:val="none"/>
          <w:lang w:eastAsia="zh-CN"/>
        </w:rPr>
        <w:t>：</w:t>
      </w:r>
    </w:p>
    <w:p w14:paraId="6FC2FD5D">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1.1.2.4 监理人：</w:t>
      </w:r>
    </w:p>
    <w:p w14:paraId="77E4271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名    称：</w:t>
      </w:r>
      <w:r>
        <w:rPr>
          <w:rFonts w:hint="eastAsia" w:ascii="宋体" w:hAnsi="宋体" w:cs="宋体"/>
          <w:color w:val="000000"/>
          <w:highlight w:val="none"/>
          <w:u w:val="single"/>
        </w:rPr>
        <w:t xml:space="preserve">  </w:t>
      </w:r>
      <w:r>
        <w:rPr>
          <w:rFonts w:hint="eastAsia" w:ascii="宋体" w:hAnsi="宋体" w:cs="宋体"/>
          <w:color w:val="000000"/>
          <w:highlight w:val="none"/>
          <w:u w:val="single"/>
          <w:lang w:val="en-US" w:eastAsia="zh-CN"/>
        </w:rPr>
        <w:t xml:space="preserve">                                         </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1DF6448A">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资质类别和等级：</w:t>
      </w:r>
      <w:r>
        <w:rPr>
          <w:rFonts w:hint="eastAsia" w:ascii="宋体" w:hAnsi="宋体" w:cs="宋体"/>
          <w:color w:val="000000"/>
          <w:highlight w:val="none"/>
          <w:u w:val="single"/>
        </w:rPr>
        <w:t xml:space="preserve">    </w:t>
      </w:r>
      <w:r>
        <w:rPr>
          <w:rFonts w:hint="eastAsia" w:ascii="宋体" w:hAnsi="宋体" w:cs="宋体"/>
          <w:color w:val="000000"/>
          <w:highlight w:val="none"/>
          <w:u w:val="single"/>
          <w:lang w:val="en-US" w:eastAsia="zh-CN"/>
        </w:rPr>
        <w:t xml:space="preserve">                                 </w:t>
      </w:r>
      <w:r>
        <w:rPr>
          <w:rFonts w:hint="eastAsia" w:ascii="宋体" w:hAnsi="宋体" w:cs="宋体"/>
          <w:color w:val="000000"/>
          <w:highlight w:val="none"/>
          <w:u w:val="single"/>
        </w:rPr>
        <w:t></w:t>
      </w:r>
      <w:r>
        <w:rPr>
          <w:rFonts w:hint="eastAsia" w:ascii="宋体" w:hAnsi="宋体" w:cs="宋体"/>
          <w:color w:val="000000"/>
          <w:highlight w:val="none"/>
        </w:rPr>
        <w:t>；</w:t>
      </w:r>
    </w:p>
    <w:p w14:paraId="05C8B7B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联系电话：</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281D6EB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电子信箱：</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08AA596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通信地址：</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43B9DEF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1.1.2.5 设计人：</w:t>
      </w:r>
    </w:p>
    <w:p w14:paraId="18D24B2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名    称：</w:t>
      </w:r>
      <w:r>
        <w:rPr>
          <w:rFonts w:hint="eastAsia" w:ascii="宋体" w:hAnsi="宋体" w:cs="宋体"/>
          <w:color w:val="000000"/>
          <w:highlight w:val="none"/>
          <w:u w:val="single"/>
        </w:rPr>
        <w:t xml:space="preserve">     </w:t>
      </w:r>
      <w:r>
        <w:rPr>
          <w:rFonts w:hint="eastAsia" w:ascii="宋体" w:hAnsi="宋体" w:cs="宋体"/>
          <w:color w:val="000000"/>
          <w:highlight w:val="none"/>
          <w:u w:val="single"/>
          <w:lang w:val="en-US" w:eastAsia="zh-CN"/>
        </w:rPr>
        <w:t xml:space="preserve">                                   </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08FA030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资质类别和等级：</w:t>
      </w:r>
      <w:r>
        <w:rPr>
          <w:rFonts w:hint="eastAsia" w:ascii="宋体" w:hAnsi="宋体" w:cs="宋体"/>
          <w:color w:val="000000"/>
          <w:highlight w:val="none"/>
          <w:u w:val="single"/>
        </w:rPr>
        <w:t></w:t>
      </w:r>
      <w:r>
        <w:rPr>
          <w:rFonts w:hint="eastAsia" w:ascii="宋体" w:hAnsi="宋体" w:cs="宋体"/>
          <w:color w:val="000000"/>
          <w:highlight w:val="none"/>
          <w:u w:val="single"/>
          <w:lang w:val="en-US" w:eastAsia="zh-CN"/>
        </w:rPr>
        <w:t xml:space="preserve">                                  </w:t>
      </w:r>
      <w:r>
        <w:rPr>
          <w:rFonts w:hint="eastAsia" w:ascii="宋体" w:hAnsi="宋体" w:cs="宋体"/>
          <w:color w:val="000000"/>
          <w:highlight w:val="none"/>
          <w:u w:val="single"/>
        </w:rPr>
        <w:t></w:t>
      </w:r>
      <w:r>
        <w:rPr>
          <w:rFonts w:hint="eastAsia" w:ascii="宋体" w:hAnsi="宋体" w:cs="宋体"/>
          <w:color w:val="000000"/>
          <w:highlight w:val="none"/>
        </w:rPr>
        <w:t>；</w:t>
      </w:r>
    </w:p>
    <w:p w14:paraId="30AB8948">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联系电话：</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1C7D3A0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电子信箱：</w:t>
      </w:r>
      <w:r>
        <w:rPr>
          <w:rFonts w:hint="eastAsia" w:ascii="宋体" w:hAnsi="宋体" w:cs="宋体"/>
          <w:color w:val="000000"/>
          <w:highlight w:val="none"/>
          <w:u w:val="single"/>
        </w:rPr>
        <w:t xml:space="preserve">                                           </w:t>
      </w:r>
      <w:r>
        <w:rPr>
          <w:rFonts w:hint="eastAsia" w:ascii="宋体" w:hAnsi="宋体" w:cs="宋体"/>
          <w:color w:val="000000"/>
          <w:highlight w:val="none"/>
        </w:rPr>
        <w:t>；</w:t>
      </w:r>
    </w:p>
    <w:p w14:paraId="0F3F02F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通信地址：</w:t>
      </w:r>
      <w:r>
        <w:rPr>
          <w:rFonts w:hint="eastAsia" w:ascii="宋体" w:hAnsi="宋体" w:cs="宋体"/>
          <w:color w:val="000000"/>
          <w:highlight w:val="none"/>
          <w:u w:val="single"/>
        </w:rPr>
        <w:t xml:space="preserve">                                         </w:t>
      </w:r>
      <w:r>
        <w:rPr>
          <w:rFonts w:hint="eastAsia" w:ascii="宋体" w:hAnsi="宋体" w:cs="宋体"/>
          <w:color w:val="000000"/>
          <w:highlight w:val="none"/>
        </w:rPr>
        <w:t>。</w:t>
      </w:r>
    </w:p>
    <w:p w14:paraId="097E18A8">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1.1.3 工程和设备</w:t>
      </w:r>
    </w:p>
    <w:p w14:paraId="472D025B">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1.1.3.</w:t>
      </w:r>
      <w:r>
        <w:rPr>
          <w:rFonts w:hint="eastAsia" w:ascii="宋体" w:cs="宋体"/>
          <w:szCs w:val="21"/>
          <w:highlight w:val="none"/>
          <w:lang w:val="en-US" w:eastAsia="zh-CN"/>
        </w:rPr>
        <w:t>7</w:t>
      </w:r>
      <w:r>
        <w:rPr>
          <w:rFonts w:hint="eastAsia" w:ascii="宋体" w:cs="宋体"/>
          <w:szCs w:val="21"/>
          <w:highlight w:val="none"/>
        </w:rPr>
        <w:t>作为施工现场组成部分的其他场所包括：</w:t>
      </w:r>
      <w:r>
        <w:rPr>
          <w:rFonts w:hint="eastAsia" w:ascii="宋体" w:cs="宋体"/>
          <w:szCs w:val="21"/>
          <w:highlight w:val="none"/>
          <w:u w:val="single"/>
        </w:rPr>
        <w:t xml:space="preserve"> 见施工图纸并现场确定</w:t>
      </w:r>
      <w:r>
        <w:rPr>
          <w:rFonts w:hint="eastAsia" w:ascii="宋体" w:cs="宋体"/>
          <w:szCs w:val="21"/>
          <w:highlight w:val="none"/>
        </w:rPr>
        <w:t>。</w:t>
      </w:r>
    </w:p>
    <w:p w14:paraId="77008469">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1.1.3.</w:t>
      </w:r>
      <w:r>
        <w:rPr>
          <w:rFonts w:hint="eastAsia" w:ascii="宋体" w:cs="宋体"/>
          <w:kern w:val="0"/>
          <w:szCs w:val="21"/>
          <w:highlight w:val="none"/>
          <w:lang w:val="en-US" w:eastAsia="zh-CN"/>
        </w:rPr>
        <w:t>9</w:t>
      </w:r>
      <w:r>
        <w:rPr>
          <w:rFonts w:hint="eastAsia" w:ascii="宋体" w:cs="宋体"/>
          <w:kern w:val="0"/>
          <w:szCs w:val="21"/>
          <w:highlight w:val="none"/>
        </w:rPr>
        <w:t xml:space="preserve"> 永久占地包括：</w:t>
      </w:r>
      <w:r>
        <w:rPr>
          <w:rFonts w:hint="eastAsia" w:ascii="宋体" w:cs="宋体"/>
          <w:szCs w:val="21"/>
          <w:highlight w:val="none"/>
          <w:u w:val="single"/>
        </w:rPr>
        <w:t xml:space="preserve">   见施工图纸 </w:t>
      </w:r>
      <w:r>
        <w:rPr>
          <w:rFonts w:hint="eastAsia" w:ascii="宋体" w:cs="宋体"/>
          <w:kern w:val="0"/>
          <w:szCs w:val="21"/>
          <w:highlight w:val="none"/>
        </w:rPr>
        <w:t>。</w:t>
      </w:r>
    </w:p>
    <w:p w14:paraId="45503958">
      <w:pPr>
        <w:snapToGrid w:val="0"/>
        <w:spacing w:line="440" w:lineRule="exact"/>
        <w:ind w:firstLine="420" w:firstLineChars="200"/>
        <w:jc w:val="left"/>
        <w:rPr>
          <w:rFonts w:hint="eastAsia" w:ascii="宋体" w:cs="宋体"/>
          <w:szCs w:val="21"/>
          <w:highlight w:val="none"/>
        </w:rPr>
      </w:pPr>
      <w:r>
        <w:rPr>
          <w:rFonts w:hint="eastAsia" w:ascii="宋体" w:cs="宋体"/>
          <w:kern w:val="0"/>
          <w:szCs w:val="21"/>
          <w:highlight w:val="none"/>
        </w:rPr>
        <w:t>1.1.3.</w:t>
      </w:r>
      <w:r>
        <w:rPr>
          <w:rFonts w:hint="eastAsia" w:ascii="宋体" w:cs="宋体"/>
          <w:kern w:val="0"/>
          <w:szCs w:val="21"/>
          <w:highlight w:val="none"/>
          <w:lang w:val="en-US" w:eastAsia="zh-CN"/>
        </w:rPr>
        <w:t>10</w:t>
      </w:r>
      <w:r>
        <w:rPr>
          <w:rFonts w:hint="eastAsia" w:ascii="宋体" w:cs="宋体"/>
          <w:kern w:val="0"/>
          <w:szCs w:val="21"/>
          <w:highlight w:val="none"/>
        </w:rPr>
        <w:t xml:space="preserve"> 临时占地包括：</w:t>
      </w:r>
      <w:r>
        <w:rPr>
          <w:rFonts w:hint="eastAsia" w:ascii="宋体" w:cs="宋体"/>
          <w:szCs w:val="21"/>
          <w:highlight w:val="none"/>
          <w:u w:val="single"/>
        </w:rPr>
        <w:t xml:space="preserve">   现场确定</w:t>
      </w:r>
      <w:r>
        <w:rPr>
          <w:rFonts w:hint="eastAsia" w:ascii="宋体" w:cs="宋体"/>
          <w:kern w:val="0"/>
          <w:szCs w:val="21"/>
          <w:highlight w:val="none"/>
        </w:rPr>
        <w:t>。</w:t>
      </w:r>
    </w:p>
    <w:p w14:paraId="3C9BD105">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 xml:space="preserve">1.3法律 </w:t>
      </w:r>
    </w:p>
    <w:p w14:paraId="606A4442">
      <w:pPr>
        <w:autoSpaceDE w:val="0"/>
        <w:autoSpaceDN w:val="0"/>
        <w:adjustRightInd w:val="0"/>
        <w:snapToGrid w:val="0"/>
        <w:spacing w:line="440" w:lineRule="exact"/>
        <w:ind w:firstLine="420" w:firstLineChars="200"/>
        <w:jc w:val="left"/>
        <w:rPr>
          <w:rFonts w:hint="eastAsia" w:ascii="宋体" w:eastAsia="宋体" w:cs="宋体"/>
          <w:szCs w:val="21"/>
          <w:highlight w:val="none"/>
          <w:u w:val="none"/>
          <w:lang w:eastAsia="zh-CN"/>
        </w:rPr>
      </w:pPr>
      <w:r>
        <w:rPr>
          <w:rFonts w:hint="eastAsia" w:ascii="宋体" w:cs="宋体"/>
          <w:szCs w:val="21"/>
          <w:highlight w:val="none"/>
        </w:rPr>
        <w:t>适用于合同的其他规范性文件：</w:t>
      </w:r>
      <w:r>
        <w:rPr>
          <w:rFonts w:hint="eastAsia" w:ascii="宋体" w:cs="宋体"/>
          <w:szCs w:val="21"/>
          <w:highlight w:val="none"/>
          <w:u w:val="single"/>
        </w:rPr>
        <w:t xml:space="preserve"> </w:t>
      </w:r>
      <w:r>
        <w:rPr>
          <w:rFonts w:hint="eastAsia" w:ascii="宋体" w:hAnsi="宋体" w:cs="宋体"/>
          <w:color w:val="000000"/>
          <w:szCs w:val="21"/>
          <w:highlight w:val="none"/>
          <w:u w:val="single"/>
        </w:rPr>
        <w:t>《中华人民共和国民法典》、《中华人民共和国建筑法》、《中华人民共和国招标投标法》、《建设工程质量管理条例》、《建设工程安全生产管理条例》等国家及工程所在地现行有效的法律法规和规章</w:t>
      </w:r>
      <w:r>
        <w:rPr>
          <w:rFonts w:hint="eastAsia" w:ascii="宋体" w:hAnsi="宋体" w:cs="宋体"/>
          <w:color w:val="000000"/>
          <w:szCs w:val="21"/>
          <w:highlight w:val="none"/>
          <w:u w:val="none"/>
          <w:lang w:eastAsia="zh-CN"/>
        </w:rPr>
        <w:t>。</w:t>
      </w:r>
    </w:p>
    <w:p w14:paraId="2E3CF4FF">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1.4 标准和规范</w:t>
      </w:r>
    </w:p>
    <w:p w14:paraId="2A881762">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1.4.1适用于工程的标准规范包括：</w:t>
      </w:r>
      <w:r>
        <w:rPr>
          <w:rFonts w:hint="eastAsia" w:ascii="宋体" w:cs="宋体"/>
          <w:szCs w:val="21"/>
          <w:highlight w:val="none"/>
          <w:u w:val="single"/>
        </w:rPr>
        <w:t>中华人民共和国住房和城乡建设部等部门及省、市发布的有关文件</w:t>
      </w:r>
      <w:r>
        <w:rPr>
          <w:rFonts w:hint="eastAsia" w:ascii="宋体" w:cs="宋体"/>
          <w:szCs w:val="21"/>
          <w:highlight w:val="none"/>
        </w:rPr>
        <w:t>。</w:t>
      </w:r>
    </w:p>
    <w:p w14:paraId="17E50D49">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1.4.2 发包人提供国外标准、规范的名称：</w:t>
      </w:r>
      <w:r>
        <w:rPr>
          <w:rFonts w:hint="eastAsia" w:ascii="宋体" w:cs="宋体"/>
          <w:kern w:val="0"/>
          <w:szCs w:val="21"/>
          <w:highlight w:val="none"/>
          <w:u w:val="single"/>
        </w:rPr>
        <w:t xml:space="preserve"> </w:t>
      </w:r>
      <w:r>
        <w:rPr>
          <w:rFonts w:hint="eastAsia" w:ascii="宋体" w:cs="宋体"/>
          <w:szCs w:val="21"/>
          <w:highlight w:val="none"/>
          <w:u w:val="single"/>
        </w:rPr>
        <w:t>承包人自备国内现行适用的标准、规范</w:t>
      </w:r>
      <w:r>
        <w:rPr>
          <w:rFonts w:hint="eastAsia" w:ascii="宋体" w:cs="宋体"/>
          <w:kern w:val="0"/>
          <w:szCs w:val="21"/>
          <w:highlight w:val="none"/>
          <w:u w:val="single"/>
        </w:rPr>
        <w:t xml:space="preserve"> </w:t>
      </w:r>
      <w:r>
        <w:rPr>
          <w:rFonts w:hint="eastAsia" w:ascii="宋体" w:cs="宋体"/>
          <w:kern w:val="0"/>
          <w:szCs w:val="21"/>
          <w:highlight w:val="none"/>
        </w:rPr>
        <w:t>；</w:t>
      </w:r>
    </w:p>
    <w:p w14:paraId="5628EBE8">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发包人提供国外标准、规范的份数：</w:t>
      </w:r>
      <w:r>
        <w:rPr>
          <w:rFonts w:hint="eastAsia" w:ascii="宋体" w:cs="宋体"/>
          <w:kern w:val="0"/>
          <w:szCs w:val="21"/>
          <w:highlight w:val="none"/>
          <w:u w:val="single"/>
        </w:rPr>
        <w:t xml:space="preserve">   无   </w:t>
      </w:r>
      <w:r>
        <w:rPr>
          <w:rFonts w:hint="eastAsia" w:ascii="宋体" w:cs="宋体"/>
          <w:kern w:val="0"/>
          <w:szCs w:val="21"/>
          <w:highlight w:val="none"/>
        </w:rPr>
        <w:t>；</w:t>
      </w:r>
    </w:p>
    <w:p w14:paraId="51E7E4F3">
      <w:pPr>
        <w:snapToGrid w:val="0"/>
        <w:spacing w:line="440" w:lineRule="exact"/>
        <w:ind w:firstLine="420" w:firstLineChars="200"/>
        <w:rPr>
          <w:rFonts w:hint="eastAsia" w:ascii="宋体" w:cs="宋体"/>
          <w:szCs w:val="21"/>
          <w:highlight w:val="none"/>
        </w:rPr>
      </w:pPr>
      <w:r>
        <w:rPr>
          <w:rFonts w:hint="eastAsia" w:ascii="宋体" w:cs="宋体"/>
          <w:kern w:val="0"/>
          <w:szCs w:val="21"/>
          <w:highlight w:val="none"/>
        </w:rPr>
        <w:t>发包人提供国外标准、规范的名称：</w:t>
      </w:r>
      <w:r>
        <w:rPr>
          <w:rFonts w:hint="eastAsia" w:ascii="宋体" w:cs="宋体"/>
          <w:kern w:val="0"/>
          <w:szCs w:val="21"/>
          <w:highlight w:val="none"/>
          <w:u w:val="single"/>
        </w:rPr>
        <w:t xml:space="preserve">   无   </w:t>
      </w:r>
      <w:r>
        <w:rPr>
          <w:rFonts w:hint="eastAsia" w:ascii="宋体" w:cs="宋体"/>
          <w:kern w:val="0"/>
          <w:szCs w:val="21"/>
          <w:highlight w:val="none"/>
        </w:rPr>
        <w:t>。</w:t>
      </w:r>
    </w:p>
    <w:p w14:paraId="111A04CD">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1.4.3发包人对工程的技术标准和功能要求的特殊要求：</w:t>
      </w:r>
      <w:r>
        <w:rPr>
          <w:rFonts w:hint="eastAsia" w:ascii="宋体" w:cs="宋体"/>
          <w:szCs w:val="21"/>
          <w:highlight w:val="none"/>
          <w:u w:val="single"/>
        </w:rPr>
        <w:t xml:space="preserve">按现行规范执行  </w:t>
      </w:r>
      <w:r>
        <w:rPr>
          <w:rFonts w:hint="eastAsia" w:ascii="宋体" w:cs="宋体"/>
          <w:szCs w:val="21"/>
          <w:highlight w:val="none"/>
        </w:rPr>
        <w:t>。</w:t>
      </w:r>
    </w:p>
    <w:p w14:paraId="55F86147">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1.5 合同文件的优先顺序</w:t>
      </w:r>
    </w:p>
    <w:p w14:paraId="07F18978">
      <w:pPr>
        <w:snapToGrid w:val="0"/>
        <w:spacing w:line="440" w:lineRule="exact"/>
        <w:ind w:firstLine="420" w:firstLineChars="200"/>
        <w:rPr>
          <w:highlight w:val="none"/>
        </w:rPr>
      </w:pPr>
      <w:r>
        <w:rPr>
          <w:rFonts w:hint="eastAsia" w:ascii="宋体" w:cs="宋体"/>
          <w:szCs w:val="21"/>
          <w:highlight w:val="none"/>
        </w:rPr>
        <w:t>合同文件组成及优先顺序为：</w:t>
      </w:r>
      <w:r>
        <w:rPr>
          <w:rFonts w:hint="eastAsia" w:ascii="宋体" w:cs="宋体"/>
          <w:szCs w:val="21"/>
          <w:highlight w:val="none"/>
          <w:u w:val="single"/>
        </w:rPr>
        <w:t>（1）合同协议书；（2）中</w:t>
      </w:r>
      <w:r>
        <w:rPr>
          <w:rFonts w:hint="eastAsia" w:ascii="宋体" w:cs="宋体"/>
          <w:szCs w:val="21"/>
          <w:highlight w:val="none"/>
          <w:u w:val="single"/>
          <w:lang w:val="en-US" w:eastAsia="zh-CN"/>
        </w:rPr>
        <w:t>标</w:t>
      </w:r>
      <w:r>
        <w:rPr>
          <w:rFonts w:hint="eastAsia" w:ascii="宋体" w:cs="宋体"/>
          <w:szCs w:val="21"/>
          <w:highlight w:val="none"/>
          <w:u w:val="single"/>
        </w:rPr>
        <w:t>通知书；（3）确认函及其附录；（4）招标文件；（5）专用合同条款及其附件；（6）通用合同条款；（7）技术标准和要求；（8）图纸；（9）已标价工程量清单或预算书；（10）其他合同文件。</w:t>
      </w:r>
    </w:p>
    <w:p w14:paraId="2514E7E6">
      <w:pPr>
        <w:pStyle w:val="14"/>
        <w:spacing w:after="0" w:line="440" w:lineRule="exact"/>
        <w:ind w:left="0" w:leftChars="0"/>
        <w:rPr>
          <w:highlight w:val="none"/>
        </w:rPr>
      </w:pPr>
      <w:r>
        <w:rPr>
          <w:highlight w:val="none"/>
        </w:rPr>
        <w:t>上述各项合同文件包括合同当事人就该项合同文件所作出的补充和修改，属于同一类内容的文件，应以最新签署的为准。</w:t>
      </w:r>
    </w:p>
    <w:p w14:paraId="3FF7D5E3">
      <w:pPr>
        <w:pStyle w:val="14"/>
        <w:spacing w:after="0" w:line="440" w:lineRule="exact"/>
        <w:ind w:left="0" w:leftChars="0"/>
        <w:rPr>
          <w:highlight w:val="none"/>
        </w:rPr>
      </w:pPr>
      <w:r>
        <w:rPr>
          <w:highlight w:val="none"/>
        </w:rPr>
        <w:t>在合同订立及履行过程中形成的与合同有关的文件均构成合同文件组成部分，并根据其性质确定优先解释顺序。</w:t>
      </w:r>
    </w:p>
    <w:p w14:paraId="6CE4F3DC">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1.6 图纸和承包人文件</w:t>
      </w:r>
      <w:r>
        <w:rPr>
          <w:rFonts w:hint="eastAsia" w:ascii="宋体" w:cs="宋体"/>
          <w:szCs w:val="21"/>
          <w:highlight w:val="none"/>
        </w:rPr>
        <w:tab/>
      </w:r>
    </w:p>
    <w:p w14:paraId="49AE4B8A">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1.6.1 图纸的提供</w:t>
      </w:r>
    </w:p>
    <w:p w14:paraId="4006C2E0">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发包人向承包人提供图纸的期限：</w:t>
      </w:r>
      <w:r>
        <w:rPr>
          <w:rFonts w:hint="eastAsia" w:ascii="宋体" w:cs="宋体"/>
          <w:szCs w:val="21"/>
          <w:highlight w:val="none"/>
          <w:u w:val="single"/>
        </w:rPr>
        <w:t xml:space="preserve"> 开工前</w:t>
      </w:r>
      <w:r>
        <w:rPr>
          <w:rFonts w:hint="eastAsia" w:ascii="宋体" w:cs="宋体"/>
          <w:szCs w:val="21"/>
          <w:highlight w:val="none"/>
          <w:u w:val="single"/>
          <w:lang w:val="en-US" w:eastAsia="zh-CN"/>
        </w:rPr>
        <w:t>7</w:t>
      </w:r>
      <w:r>
        <w:rPr>
          <w:rFonts w:hint="eastAsia" w:ascii="宋体" w:cs="宋体"/>
          <w:szCs w:val="21"/>
          <w:highlight w:val="none"/>
          <w:u w:val="single"/>
        </w:rPr>
        <w:t>天</w:t>
      </w:r>
      <w:r>
        <w:rPr>
          <w:rFonts w:hint="eastAsia" w:ascii="宋体" w:cs="宋体"/>
          <w:szCs w:val="21"/>
          <w:highlight w:val="none"/>
        </w:rPr>
        <w:t>；</w:t>
      </w:r>
    </w:p>
    <w:p w14:paraId="0DB10BD2">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发包人向承包人提供图纸的数量：</w:t>
      </w:r>
      <w:r>
        <w:rPr>
          <w:rFonts w:hint="eastAsia" w:ascii="宋体" w:cs="宋体"/>
          <w:szCs w:val="21"/>
          <w:highlight w:val="none"/>
          <w:u w:val="single"/>
        </w:rPr>
        <w:t xml:space="preserve">3份 </w:t>
      </w:r>
      <w:r>
        <w:rPr>
          <w:rFonts w:hint="eastAsia" w:ascii="宋体" w:cs="宋体"/>
          <w:szCs w:val="21"/>
          <w:highlight w:val="none"/>
        </w:rPr>
        <w:t>；</w:t>
      </w:r>
    </w:p>
    <w:p w14:paraId="6F027253">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发包人向承包人提供图纸的内容：</w:t>
      </w:r>
      <w:r>
        <w:rPr>
          <w:rFonts w:hint="eastAsia" w:ascii="宋体" w:cs="宋体"/>
          <w:szCs w:val="21"/>
          <w:highlight w:val="none"/>
          <w:u w:val="single"/>
        </w:rPr>
        <w:t>全套施工图 </w:t>
      </w:r>
      <w:r>
        <w:rPr>
          <w:rFonts w:hint="eastAsia" w:ascii="宋体" w:cs="宋体"/>
          <w:szCs w:val="21"/>
          <w:highlight w:val="none"/>
        </w:rPr>
        <w:t>。</w:t>
      </w:r>
    </w:p>
    <w:p w14:paraId="0FFF32E7">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1.6.4 承包人文件</w:t>
      </w:r>
    </w:p>
    <w:p w14:paraId="4D3450EB">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需要由承包人提供的文件，包括：</w:t>
      </w:r>
      <w:r>
        <w:rPr>
          <w:rFonts w:hint="eastAsia" w:ascii="宋体" w:cs="宋体"/>
          <w:szCs w:val="21"/>
          <w:highlight w:val="none"/>
          <w:u w:val="single"/>
        </w:rPr>
        <w:t>按监理要求执行，包括但不限于项目部人员证书（在领取中</w:t>
      </w:r>
      <w:r>
        <w:rPr>
          <w:rFonts w:hint="eastAsia" w:ascii="宋体" w:cs="宋体"/>
          <w:szCs w:val="21"/>
          <w:highlight w:val="none"/>
          <w:u w:val="single"/>
          <w:lang w:val="en-US" w:eastAsia="zh-CN"/>
        </w:rPr>
        <w:t>标</w:t>
      </w:r>
      <w:r>
        <w:rPr>
          <w:rFonts w:hint="eastAsia" w:ascii="宋体" w:cs="宋体"/>
          <w:szCs w:val="21"/>
          <w:highlight w:val="none"/>
          <w:u w:val="single"/>
        </w:rPr>
        <w:t xml:space="preserve">通知书前）、项目部任命文、实施性施工组织设计等  </w:t>
      </w:r>
      <w:r>
        <w:rPr>
          <w:rFonts w:hint="eastAsia" w:ascii="宋体" w:cs="宋体"/>
          <w:szCs w:val="21"/>
          <w:highlight w:val="none"/>
        </w:rPr>
        <w:t>；</w:t>
      </w:r>
    </w:p>
    <w:p w14:paraId="7F094FB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承包人提供的文件的期限为：</w:t>
      </w:r>
      <w:r>
        <w:rPr>
          <w:rFonts w:hint="eastAsia" w:ascii="宋体" w:cs="宋体"/>
          <w:szCs w:val="21"/>
          <w:highlight w:val="none"/>
          <w:u w:val="single"/>
        </w:rPr>
        <w:t xml:space="preserve">按监理要求执行    </w:t>
      </w:r>
      <w:r>
        <w:rPr>
          <w:rFonts w:hint="eastAsia" w:ascii="宋体" w:cs="宋体"/>
          <w:szCs w:val="21"/>
          <w:highlight w:val="none"/>
        </w:rPr>
        <w:t>；</w:t>
      </w:r>
    </w:p>
    <w:p w14:paraId="4FDFFB2E">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承包人提供的文件的数量为：</w:t>
      </w:r>
      <w:r>
        <w:rPr>
          <w:rFonts w:hint="eastAsia" w:ascii="宋体" w:cs="宋体"/>
          <w:szCs w:val="21"/>
          <w:highlight w:val="none"/>
          <w:u w:val="single"/>
        </w:rPr>
        <w:t>  按</w:t>
      </w:r>
      <w:r>
        <w:rPr>
          <w:rFonts w:hint="eastAsia" w:ascii="宋体" w:hAnsi="Times New Roman" w:eastAsia="宋体" w:cs="宋体"/>
          <w:szCs w:val="21"/>
          <w:highlight w:val="none"/>
          <w:u w:val="single"/>
        </w:rPr>
        <w:t>监理</w:t>
      </w:r>
      <w:r>
        <w:rPr>
          <w:rFonts w:hint="eastAsia" w:ascii="宋体" w:cs="宋体"/>
          <w:szCs w:val="21"/>
          <w:highlight w:val="none"/>
          <w:u w:val="single"/>
        </w:rPr>
        <w:t xml:space="preserve">要求执行    </w:t>
      </w:r>
      <w:r>
        <w:rPr>
          <w:rFonts w:hint="eastAsia" w:ascii="宋体" w:cs="宋体"/>
          <w:szCs w:val="21"/>
          <w:highlight w:val="none"/>
        </w:rPr>
        <w:t>；</w:t>
      </w:r>
    </w:p>
    <w:p w14:paraId="0D7ADC33">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承包人提供的文件的形式为：</w:t>
      </w:r>
      <w:r>
        <w:rPr>
          <w:rFonts w:hint="eastAsia" w:ascii="宋体" w:cs="宋体"/>
          <w:szCs w:val="21"/>
          <w:highlight w:val="none"/>
          <w:u w:val="single"/>
        </w:rPr>
        <w:t>按</w:t>
      </w:r>
      <w:r>
        <w:rPr>
          <w:rFonts w:hint="eastAsia" w:ascii="宋体" w:hAnsi="Times New Roman" w:eastAsia="宋体" w:cs="宋体"/>
          <w:szCs w:val="21"/>
          <w:highlight w:val="none"/>
          <w:u w:val="single"/>
        </w:rPr>
        <w:t>监理</w:t>
      </w:r>
      <w:r>
        <w:rPr>
          <w:rFonts w:hint="eastAsia" w:ascii="宋体" w:cs="宋体"/>
          <w:szCs w:val="21"/>
          <w:highlight w:val="none"/>
          <w:u w:val="single"/>
        </w:rPr>
        <w:t>要求执行  </w:t>
      </w:r>
      <w:r>
        <w:rPr>
          <w:rFonts w:hint="eastAsia" w:ascii="宋体" w:cs="宋体"/>
          <w:szCs w:val="21"/>
          <w:highlight w:val="none"/>
        </w:rPr>
        <w:t>；</w:t>
      </w:r>
    </w:p>
    <w:p w14:paraId="46811BDE">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发包人审批承包人文件的期限：</w:t>
      </w:r>
      <w:r>
        <w:rPr>
          <w:rFonts w:hint="eastAsia" w:ascii="宋体" w:cs="宋体"/>
          <w:szCs w:val="21"/>
          <w:highlight w:val="none"/>
          <w:u w:val="single"/>
        </w:rPr>
        <w:t>  7天 </w:t>
      </w:r>
      <w:r>
        <w:rPr>
          <w:rFonts w:hint="eastAsia" w:ascii="宋体" w:cs="宋体"/>
          <w:szCs w:val="21"/>
          <w:highlight w:val="none"/>
        </w:rPr>
        <w:t>。</w:t>
      </w:r>
    </w:p>
    <w:p w14:paraId="459C45CB">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1.6.5 图纸和承包人文件的保管</w:t>
      </w:r>
    </w:p>
    <w:p w14:paraId="31BDD3BA">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关于图纸和承包人文件的保管的约定：</w:t>
      </w:r>
      <w:r>
        <w:rPr>
          <w:rFonts w:hint="eastAsia" w:ascii="宋体" w:cs="宋体"/>
          <w:szCs w:val="21"/>
          <w:highlight w:val="none"/>
          <w:u w:val="single"/>
        </w:rPr>
        <w:t>除专用合同条款另有约定外，承包人应在施工现场另外保存一套完整的图纸和承包人文件，供发包人、</w:t>
      </w:r>
      <w:r>
        <w:rPr>
          <w:rFonts w:hint="eastAsia" w:ascii="宋体" w:hAnsi="Times New Roman" w:eastAsia="宋体" w:cs="宋体"/>
          <w:szCs w:val="21"/>
          <w:highlight w:val="none"/>
          <w:u w:val="single"/>
        </w:rPr>
        <w:t>监理人</w:t>
      </w:r>
      <w:r>
        <w:rPr>
          <w:rFonts w:hint="eastAsia" w:ascii="宋体" w:cs="宋体"/>
          <w:szCs w:val="21"/>
          <w:highlight w:val="none"/>
          <w:u w:val="single"/>
        </w:rPr>
        <w:t>及有关人员进行工程检查时使用</w:t>
      </w:r>
      <w:r>
        <w:rPr>
          <w:rFonts w:hint="eastAsia" w:ascii="宋体" w:cs="宋体"/>
          <w:szCs w:val="21"/>
          <w:highlight w:val="none"/>
        </w:rPr>
        <w:t>。</w:t>
      </w:r>
    </w:p>
    <w:p w14:paraId="1B98A67A">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1.7 联络</w:t>
      </w:r>
    </w:p>
    <w:p w14:paraId="5082B600">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1.7.1发包人和承包人应当在</w:t>
      </w:r>
      <w:r>
        <w:rPr>
          <w:rFonts w:hint="eastAsia" w:ascii="宋体" w:cs="宋体"/>
          <w:szCs w:val="21"/>
          <w:highlight w:val="none"/>
          <w:u w:val="single"/>
        </w:rPr>
        <w:t xml:space="preserve">7  </w:t>
      </w:r>
      <w:r>
        <w:rPr>
          <w:rFonts w:hint="eastAsia" w:ascii="宋体" w:cs="宋体"/>
          <w:kern w:val="0"/>
          <w:szCs w:val="21"/>
          <w:highlight w:val="none"/>
        </w:rPr>
        <w:t>天内将与合同有关的通知、批准、证明、证书、指示、指令、要求、请求、同意、意见、确定和决定等书面函件送达对方当事人。</w:t>
      </w:r>
    </w:p>
    <w:p w14:paraId="49589ADB">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1.7.2 发包人接收文件的地点：</w:t>
      </w:r>
      <w:r>
        <w:rPr>
          <w:rFonts w:hint="eastAsia" w:ascii="宋体" w:cs="宋体"/>
          <w:szCs w:val="21"/>
          <w:highlight w:val="none"/>
          <w:u w:val="single"/>
        </w:rPr>
        <w:t xml:space="preserve"> </w:t>
      </w:r>
      <w:r>
        <w:rPr>
          <w:rFonts w:hint="eastAsia" w:ascii="宋体" w:cs="宋体"/>
          <w:szCs w:val="21"/>
          <w:highlight w:val="none"/>
          <w:u w:val="single"/>
          <w:lang w:eastAsia="zh-CN"/>
        </w:rPr>
        <w:t>滁州工投新能源开发有限公司</w:t>
      </w:r>
      <w:r>
        <w:rPr>
          <w:rFonts w:hint="eastAsia" w:ascii="宋体" w:cs="宋体"/>
          <w:szCs w:val="21"/>
          <w:highlight w:val="none"/>
          <w:u w:val="single"/>
        </w:rPr>
        <w:t>或项目部</w:t>
      </w:r>
      <w:r>
        <w:rPr>
          <w:rFonts w:hint="eastAsia" w:ascii="宋体" w:cs="宋体"/>
          <w:kern w:val="0"/>
          <w:szCs w:val="21"/>
          <w:highlight w:val="none"/>
        </w:rPr>
        <w:t>；</w:t>
      </w:r>
    </w:p>
    <w:p w14:paraId="7F9F8532">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发包人指定的接收人为：</w:t>
      </w:r>
      <w:r>
        <w:rPr>
          <w:rFonts w:hint="eastAsia" w:ascii="宋体" w:cs="宋体"/>
          <w:szCs w:val="21"/>
          <w:highlight w:val="none"/>
          <w:u w:val="single"/>
        </w:rPr>
        <w:t>发包人代表</w:t>
      </w:r>
      <w:r>
        <w:rPr>
          <w:rFonts w:hint="eastAsia" w:ascii="宋体" w:cs="宋体"/>
          <w:kern w:val="0"/>
          <w:szCs w:val="21"/>
          <w:highlight w:val="none"/>
        </w:rPr>
        <w:t>；</w:t>
      </w:r>
    </w:p>
    <w:p w14:paraId="1AB726B2">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承包人接收文件的地点：</w:t>
      </w:r>
      <w:r>
        <w:rPr>
          <w:rFonts w:hint="eastAsia" w:ascii="宋体" w:cs="宋体"/>
          <w:szCs w:val="21"/>
          <w:highlight w:val="none"/>
          <w:u w:val="single"/>
        </w:rPr>
        <w:t xml:space="preserve"> </w:t>
      </w:r>
      <w:r>
        <w:rPr>
          <w:rFonts w:hint="eastAsia" w:ascii="宋体" w:cs="宋体"/>
          <w:szCs w:val="21"/>
          <w:highlight w:val="none"/>
          <w:u w:val="single"/>
          <w:lang w:eastAsia="zh-CN"/>
        </w:rPr>
        <w:t>滁州工投新能源开发有限公司</w:t>
      </w:r>
      <w:r>
        <w:rPr>
          <w:rFonts w:hint="eastAsia" w:ascii="宋体" w:cs="宋体"/>
          <w:szCs w:val="21"/>
          <w:highlight w:val="none"/>
          <w:u w:val="single"/>
        </w:rPr>
        <w:t>或项目部</w:t>
      </w:r>
      <w:r>
        <w:rPr>
          <w:rFonts w:hint="eastAsia" w:ascii="宋体" w:cs="宋体"/>
          <w:kern w:val="0"/>
          <w:szCs w:val="21"/>
          <w:highlight w:val="none"/>
        </w:rPr>
        <w:t>；</w:t>
      </w:r>
    </w:p>
    <w:p w14:paraId="07356DA8">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承包人指定的接收人为：</w:t>
      </w:r>
      <w:r>
        <w:rPr>
          <w:rFonts w:hint="eastAsia" w:ascii="宋体" w:cs="宋体"/>
          <w:szCs w:val="21"/>
          <w:highlight w:val="none"/>
          <w:u w:val="single"/>
        </w:rPr>
        <w:t>项目负责人</w:t>
      </w:r>
      <w:r>
        <w:rPr>
          <w:rFonts w:hint="eastAsia" w:ascii="宋体" w:cs="宋体"/>
          <w:kern w:val="0"/>
          <w:szCs w:val="21"/>
          <w:highlight w:val="none"/>
        </w:rPr>
        <w:t>。</w:t>
      </w:r>
    </w:p>
    <w:p w14:paraId="4C410AE1">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监理人接收文件的地点：</w:t>
      </w:r>
      <w:r>
        <w:rPr>
          <w:rFonts w:hint="eastAsia" w:ascii="宋体" w:cs="宋体"/>
          <w:szCs w:val="21"/>
          <w:highlight w:val="none"/>
          <w:u w:val="single"/>
        </w:rPr>
        <w:t xml:space="preserve"> </w:t>
      </w:r>
      <w:r>
        <w:rPr>
          <w:rFonts w:hint="eastAsia" w:ascii="宋体" w:cs="宋体"/>
          <w:szCs w:val="21"/>
          <w:highlight w:val="none"/>
          <w:u w:val="single"/>
          <w:lang w:eastAsia="zh-CN"/>
        </w:rPr>
        <w:t>滁州工投新能源开发有限公司</w:t>
      </w:r>
      <w:r>
        <w:rPr>
          <w:rFonts w:hint="eastAsia" w:ascii="宋体" w:cs="宋体"/>
          <w:szCs w:val="21"/>
          <w:highlight w:val="none"/>
          <w:u w:val="single"/>
        </w:rPr>
        <w:t>或监理部</w:t>
      </w:r>
      <w:r>
        <w:rPr>
          <w:rFonts w:hint="eastAsia" w:ascii="宋体" w:cs="宋体"/>
          <w:kern w:val="0"/>
          <w:szCs w:val="21"/>
          <w:highlight w:val="none"/>
        </w:rPr>
        <w:t>；</w:t>
      </w:r>
    </w:p>
    <w:p w14:paraId="3E8F5999">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监理人指定的接收人为：</w:t>
      </w:r>
      <w:r>
        <w:rPr>
          <w:rFonts w:hint="eastAsia" w:ascii="宋体" w:cs="宋体"/>
          <w:szCs w:val="21"/>
          <w:highlight w:val="none"/>
          <w:u w:val="single"/>
        </w:rPr>
        <w:t></w:t>
      </w:r>
      <w:r>
        <w:rPr>
          <w:rFonts w:hint="eastAsia" w:ascii="宋体" w:hAnsi="Times New Roman" w:eastAsia="宋体" w:cs="宋体"/>
          <w:szCs w:val="21"/>
          <w:highlight w:val="none"/>
          <w:u w:val="single"/>
        </w:rPr>
        <w:t xml:space="preserve">总监理工程师或总监代表 </w:t>
      </w:r>
      <w:r>
        <w:rPr>
          <w:rFonts w:hint="eastAsia" w:ascii="宋体" w:cs="宋体"/>
          <w:szCs w:val="21"/>
          <w:highlight w:val="none"/>
          <w:u w:val="single"/>
        </w:rPr>
        <w:t></w:t>
      </w:r>
      <w:r>
        <w:rPr>
          <w:rFonts w:hint="eastAsia" w:ascii="宋体" w:cs="宋体"/>
          <w:kern w:val="0"/>
          <w:szCs w:val="21"/>
          <w:highlight w:val="none"/>
        </w:rPr>
        <w:t>。</w:t>
      </w:r>
    </w:p>
    <w:p w14:paraId="4F9B4DB7">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1.10 交通运输</w:t>
      </w:r>
    </w:p>
    <w:p w14:paraId="617E6E3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1.10.1 出入现场的权利</w:t>
      </w:r>
    </w:p>
    <w:p w14:paraId="634FADF8">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关于出入现场的权利的约定：</w:t>
      </w:r>
      <w:r>
        <w:rPr>
          <w:rFonts w:hint="eastAsia" w:ascii="宋体" w:cs="宋体"/>
          <w:szCs w:val="21"/>
          <w:highlight w:val="none"/>
          <w:u w:val="single"/>
        </w:rPr>
        <w:t>发包人应根据施工需要，负责取得出入施工现场所需的批准手续和全部权利，以及取得因施工所需修建道路、桥梁以及其他基础设施的权利，并承担相关手续费用和建设费用，若该费用已包含在本项目发包范围，则由承包人自行解决并承担费用。承包人应协助发包人办理修建场内外道路、桥梁以及其他基础设施的手续。</w:t>
      </w:r>
    </w:p>
    <w:p w14:paraId="70DCA36A">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u w:val="single"/>
        </w:rPr>
        <w:t>承包人应在订立合同前查勘施工现场，并根据工程规模及技术参数合理预见工程施工所需的进出施工现场的方式、手段、路径等。因承包人未合理预见所增加的费用和（或）延误的工期由承包人承担。</w:t>
      </w:r>
    </w:p>
    <w:p w14:paraId="38163A1B">
      <w:pPr>
        <w:widowControl/>
        <w:snapToGrid w:val="0"/>
        <w:spacing w:line="440" w:lineRule="exact"/>
        <w:ind w:firstLine="420" w:firstLineChars="200"/>
        <w:rPr>
          <w:rFonts w:hint="eastAsia" w:ascii="宋体" w:cs="宋体"/>
          <w:szCs w:val="21"/>
          <w:highlight w:val="none"/>
        </w:rPr>
      </w:pPr>
      <w:r>
        <w:rPr>
          <w:rFonts w:hint="eastAsia" w:ascii="宋体" w:cs="宋体"/>
          <w:szCs w:val="21"/>
          <w:highlight w:val="none"/>
        </w:rPr>
        <w:t>1.10.3 场内交通</w:t>
      </w:r>
    </w:p>
    <w:p w14:paraId="77E56A02">
      <w:pPr>
        <w:snapToGrid w:val="0"/>
        <w:spacing w:line="440" w:lineRule="exact"/>
        <w:ind w:firstLine="420" w:firstLineChars="200"/>
        <w:jc w:val="left"/>
        <w:rPr>
          <w:rFonts w:hint="eastAsia" w:ascii="宋体" w:cs="宋体"/>
          <w:szCs w:val="21"/>
          <w:highlight w:val="none"/>
          <w:u w:val="single"/>
        </w:rPr>
      </w:pPr>
      <w:r>
        <w:rPr>
          <w:rFonts w:hint="eastAsia" w:ascii="宋体" w:cs="宋体"/>
          <w:kern w:val="0"/>
          <w:szCs w:val="21"/>
          <w:highlight w:val="none"/>
        </w:rPr>
        <w:t>关于场外交通和场内交通的边界的约定：</w:t>
      </w:r>
      <w:r>
        <w:rPr>
          <w:rFonts w:hint="eastAsia" w:ascii="宋体" w:cs="宋体"/>
          <w:szCs w:val="21"/>
          <w:highlight w:val="none"/>
          <w:u w:val="single"/>
        </w:rPr>
        <w:t>场内交通设施和道路由承包人负责建设，发包人不另支付费用，场内交通边界现场确定</w:t>
      </w:r>
      <w:r>
        <w:rPr>
          <w:rFonts w:hint="eastAsia" w:ascii="宋体" w:cs="宋体"/>
          <w:szCs w:val="21"/>
          <w:highlight w:val="none"/>
        </w:rPr>
        <w:t>。</w:t>
      </w:r>
    </w:p>
    <w:p w14:paraId="214E44E9">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关于发包人向承包人免费提供满足工程施工需要的场内道路和交通设施的约定：</w:t>
      </w:r>
      <w:r>
        <w:rPr>
          <w:rFonts w:hint="eastAsia" w:ascii="宋体" w:cs="宋体"/>
          <w:szCs w:val="21"/>
          <w:highlight w:val="none"/>
          <w:u w:val="single"/>
        </w:rPr>
        <w:t xml:space="preserve">自行踏勘，自行解决 </w:t>
      </w:r>
      <w:r>
        <w:rPr>
          <w:rFonts w:hint="eastAsia" w:ascii="宋体" w:cs="宋体"/>
          <w:szCs w:val="21"/>
          <w:highlight w:val="none"/>
        </w:rPr>
        <w:t>。</w:t>
      </w:r>
    </w:p>
    <w:p w14:paraId="7078FB7B">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1.10.4超大件和超重件的运输</w:t>
      </w:r>
    </w:p>
    <w:p w14:paraId="6D788909">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运输超大件或超重件所需的道路和桥梁临时加固改造费用和其他有关费用由</w:t>
      </w:r>
      <w:r>
        <w:rPr>
          <w:rFonts w:hint="eastAsia" w:ascii="宋体" w:cs="宋体"/>
          <w:szCs w:val="21"/>
          <w:highlight w:val="none"/>
          <w:u w:val="single"/>
        </w:rPr>
        <w:t xml:space="preserve">  承包方 </w:t>
      </w:r>
      <w:r>
        <w:rPr>
          <w:rFonts w:hint="eastAsia" w:ascii="宋体" w:cs="宋体"/>
          <w:szCs w:val="21"/>
          <w:highlight w:val="none"/>
        </w:rPr>
        <w:t>承担。</w:t>
      </w:r>
    </w:p>
    <w:p w14:paraId="35C87F96">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1.11 知识产权</w:t>
      </w:r>
    </w:p>
    <w:p w14:paraId="544F09B6">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cs="宋体"/>
          <w:szCs w:val="21"/>
          <w:highlight w:val="none"/>
          <w:u w:val="single"/>
        </w:rPr>
        <w:t xml:space="preserve">发包人 </w:t>
      </w:r>
      <w:r>
        <w:rPr>
          <w:rFonts w:hint="eastAsia" w:ascii="宋体" w:cs="宋体"/>
          <w:szCs w:val="21"/>
          <w:highlight w:val="none"/>
        </w:rPr>
        <w:t>。</w:t>
      </w:r>
    </w:p>
    <w:p w14:paraId="577765A7">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关于发包人提供的上述文件的使用限制的要求：</w:t>
      </w:r>
      <w:r>
        <w:rPr>
          <w:rFonts w:hint="eastAsia" w:ascii="宋体" w:cs="宋体"/>
          <w:szCs w:val="21"/>
          <w:highlight w:val="none"/>
          <w:u w:val="single"/>
        </w:rPr>
        <w:t>承包人可以为实现合同目的而复制、使用此类文件，但不能用于与合同无关的其他事项。未经发包人书面同意，承包人不得为了合同以外的目的而复制、使用上述文件或将之提供给任何第三方。</w:t>
      </w:r>
    </w:p>
    <w:p w14:paraId="0A5E29E5">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1.11.2 关于承包人为实施工程所编制文件的著作权的归属：</w:t>
      </w:r>
      <w:r>
        <w:rPr>
          <w:rFonts w:hint="eastAsia" w:ascii="宋体" w:cs="宋体"/>
          <w:szCs w:val="21"/>
          <w:highlight w:val="none"/>
          <w:u w:val="single"/>
        </w:rPr>
        <w:t xml:space="preserve"> 发包人  </w:t>
      </w:r>
      <w:r>
        <w:rPr>
          <w:rFonts w:hint="eastAsia" w:ascii="宋体" w:cs="宋体"/>
          <w:szCs w:val="21"/>
          <w:highlight w:val="none"/>
        </w:rPr>
        <w:t>。</w:t>
      </w:r>
    </w:p>
    <w:p w14:paraId="0A376C87">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关于承包人提供的上述文件的使用限制的要求：</w:t>
      </w:r>
      <w:r>
        <w:rPr>
          <w:rFonts w:hint="eastAsia" w:ascii="宋体" w:cs="宋体"/>
          <w:szCs w:val="21"/>
          <w:highlight w:val="none"/>
          <w:u w:val="single"/>
        </w:rPr>
        <w:t xml:space="preserve">承包人可因实施工程的运行、调试、维修、改造等目的而复制、使用此类文件，但不能用于与合同无关的其他事项。未经发包人书面同意，承包人不得为了合同以外的目的而复制、使用上述文件或将之提供给任何第三方。 </w:t>
      </w:r>
    </w:p>
    <w:p w14:paraId="595F448B">
      <w:pPr>
        <w:snapToGrid w:val="0"/>
        <w:spacing w:line="440" w:lineRule="exact"/>
        <w:ind w:firstLine="420" w:firstLineChars="200"/>
        <w:rPr>
          <w:rFonts w:hint="eastAsia" w:ascii="宋体" w:cs="宋体"/>
          <w:kern w:val="0"/>
          <w:szCs w:val="21"/>
          <w:highlight w:val="none"/>
        </w:rPr>
      </w:pPr>
      <w:r>
        <w:rPr>
          <w:rFonts w:hint="eastAsia" w:ascii="宋体" w:cs="宋体"/>
          <w:szCs w:val="21"/>
          <w:highlight w:val="none"/>
        </w:rPr>
        <w:t>1.11.4 承包人在施工过程中所采用的专利、专有技术、技术秘密的使用费的承担方式：</w:t>
      </w:r>
      <w:r>
        <w:rPr>
          <w:rFonts w:hint="eastAsia" w:ascii="宋体" w:cs="宋体"/>
          <w:szCs w:val="21"/>
          <w:highlight w:val="none"/>
          <w:u w:val="single"/>
        </w:rPr>
        <w:t>该费用已包含在签约合同价中。</w:t>
      </w:r>
    </w:p>
    <w:p w14:paraId="64136266">
      <w:pPr>
        <w:snapToGrid w:val="0"/>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1.13工程量清单错误的修正</w:t>
      </w:r>
    </w:p>
    <w:p w14:paraId="092541A9">
      <w:pPr>
        <w:snapToGrid w:val="0"/>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出现工程量清单错误时，是否调整合同价格：</w:t>
      </w:r>
      <w:r>
        <w:rPr>
          <w:rFonts w:hint="eastAsia" w:ascii="宋体" w:hAnsi="宋体" w:cs="宋体"/>
          <w:szCs w:val="21"/>
          <w:highlight w:val="none"/>
          <w:u w:val="single"/>
        </w:rPr>
        <w:t xml:space="preserve">  是，具体调整方式见下款  </w:t>
      </w:r>
      <w:r>
        <w:rPr>
          <w:rFonts w:hint="eastAsia" w:ascii="宋体" w:hAnsi="宋体" w:cs="宋体"/>
          <w:szCs w:val="21"/>
          <w:highlight w:val="none"/>
        </w:rPr>
        <w:t>。</w:t>
      </w:r>
    </w:p>
    <w:p w14:paraId="3BDB4DB3">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允许调整合同价格的工程量偏差范围：</w:t>
      </w:r>
    </w:p>
    <w:p w14:paraId="20C25442">
      <w:pPr>
        <w:snapToGrid w:val="0"/>
        <w:spacing w:line="440" w:lineRule="exact"/>
        <w:ind w:firstLine="422" w:firstLineChars="200"/>
        <w:rPr>
          <w:rFonts w:hint="eastAsia" w:ascii="宋体" w:hAnsi="宋体" w:cs="宋体"/>
          <w:b/>
          <w:bCs/>
          <w:color w:val="auto"/>
          <w:szCs w:val="21"/>
          <w:highlight w:val="none"/>
          <w:u w:val="single"/>
        </w:rPr>
      </w:pPr>
      <w:r>
        <w:rPr>
          <w:rFonts w:hint="eastAsia" w:ascii="宋体" w:hAnsi="宋体" w:cs="宋体"/>
          <w:b/>
          <w:bCs/>
          <w:color w:val="auto"/>
          <w:szCs w:val="21"/>
          <w:highlight w:val="none"/>
          <w:u w:val="single"/>
        </w:rPr>
        <w:t>承包人拒绝实施因</w:t>
      </w:r>
      <w:r>
        <w:rPr>
          <w:rFonts w:hint="eastAsia" w:ascii="宋体" w:hAnsi="宋体" w:cs="宋体"/>
          <w:b/>
          <w:bCs/>
          <w:color w:val="auto"/>
          <w:spacing w:val="-6"/>
          <w:kern w:val="0"/>
          <w:szCs w:val="21"/>
          <w:highlight w:val="none"/>
          <w:u w:val="single"/>
        </w:rPr>
        <w:t>此产生变化的施工内容或范围</w:t>
      </w:r>
      <w:r>
        <w:rPr>
          <w:rFonts w:hint="eastAsia" w:ascii="宋体" w:hAnsi="宋体" w:cs="宋体"/>
          <w:b/>
          <w:bCs/>
          <w:color w:val="auto"/>
          <w:szCs w:val="21"/>
          <w:highlight w:val="none"/>
          <w:u w:val="single"/>
        </w:rPr>
        <w:t>，将被视为违约，发包人视情节轻重给予违约处罚。结算时，工程量按实计算。结算工程量减少0-100%或增加15%以内部分，执行中</w:t>
      </w:r>
      <w:r>
        <w:rPr>
          <w:rFonts w:hint="eastAsia" w:ascii="宋体" w:hAnsi="宋体" w:cs="宋体"/>
          <w:b/>
          <w:bCs/>
          <w:color w:val="auto"/>
          <w:szCs w:val="21"/>
          <w:highlight w:val="none"/>
          <w:u w:val="single"/>
          <w:lang w:val="en-US" w:eastAsia="zh-CN"/>
        </w:rPr>
        <w:t>标</w:t>
      </w:r>
      <w:r>
        <w:rPr>
          <w:rFonts w:hint="eastAsia" w:ascii="宋体" w:hAnsi="宋体" w:cs="宋体"/>
          <w:b/>
          <w:bCs/>
          <w:color w:val="auto"/>
          <w:szCs w:val="21"/>
          <w:highlight w:val="none"/>
          <w:u w:val="single"/>
        </w:rPr>
        <w:t>单价；超出15%以外部分，</w:t>
      </w:r>
      <w:r>
        <w:rPr>
          <w:rFonts w:hint="eastAsia" w:ascii="宋体" w:hAnsi="宋体" w:cs="宋体"/>
          <w:b/>
          <w:bCs/>
          <w:color w:val="auto"/>
          <w:szCs w:val="21"/>
          <w:highlight w:val="none"/>
          <w:u w:val="single"/>
          <w:lang w:val="en-US" w:eastAsia="zh-CN"/>
        </w:rPr>
        <w:t>依据中标合同工程量清单计价进行组价结算，没有清单价的部分，依据政府信息价组价，没有信息价的，进行市场询价确定单价。</w:t>
      </w:r>
      <w:r>
        <w:rPr>
          <w:rFonts w:hint="eastAsia" w:ascii="宋体" w:hAnsi="宋体" w:cs="宋体"/>
          <w:b/>
          <w:bCs/>
          <w:color w:val="auto"/>
          <w:szCs w:val="21"/>
          <w:highlight w:val="none"/>
          <w:u w:val="single"/>
        </w:rPr>
        <w:t>结算价格最终以相关部门审核价为准。</w:t>
      </w:r>
    </w:p>
    <w:p w14:paraId="22C70EE9">
      <w:pPr>
        <w:snapToGrid w:val="0"/>
        <w:spacing w:line="440" w:lineRule="exact"/>
        <w:ind w:firstLine="422" w:firstLineChars="200"/>
        <w:rPr>
          <w:rFonts w:hint="eastAsia" w:ascii="宋体" w:hAnsi="宋体" w:cs="宋体"/>
          <w:b/>
          <w:bCs/>
          <w:color w:val="auto"/>
          <w:szCs w:val="21"/>
          <w:highlight w:val="none"/>
          <w:u w:val="single"/>
        </w:rPr>
      </w:pPr>
      <w:r>
        <w:rPr>
          <w:rFonts w:hint="eastAsia" w:ascii="宋体" w:hAnsi="宋体" w:cs="宋体"/>
          <w:b/>
          <w:bCs/>
          <w:color w:val="auto"/>
          <w:szCs w:val="21"/>
          <w:highlight w:val="none"/>
          <w:u w:val="single"/>
        </w:rPr>
        <w:t>工程量清单的错误或漏项，</w:t>
      </w:r>
      <w:r>
        <w:rPr>
          <w:rFonts w:hint="eastAsia" w:ascii="宋体" w:hAnsi="宋体" w:cs="宋体"/>
          <w:b/>
          <w:bCs/>
          <w:color w:val="auto"/>
          <w:szCs w:val="21"/>
          <w:highlight w:val="none"/>
          <w:u w:val="single"/>
          <w:lang w:eastAsia="zh-CN"/>
        </w:rPr>
        <w:t>属于承包人投标报价范围内的，不再调整，清单外的部分依据签证</w:t>
      </w:r>
      <w:r>
        <w:rPr>
          <w:rFonts w:hint="eastAsia" w:ascii="宋体" w:hAnsi="宋体" w:cs="宋体"/>
          <w:b/>
          <w:bCs/>
          <w:color w:val="auto"/>
          <w:szCs w:val="21"/>
          <w:highlight w:val="none"/>
          <w:u w:val="single"/>
        </w:rPr>
        <w:t>按实调整，调整方式执行上述调整方式，但中标人（承包人）应在施工前提出，并履行变更程序，否则，不予认可。</w:t>
      </w:r>
    </w:p>
    <w:p w14:paraId="43078C80">
      <w:pPr>
        <w:snapToGrid w:val="0"/>
        <w:spacing w:line="440" w:lineRule="exact"/>
        <w:ind w:firstLine="420" w:firstLineChars="200"/>
        <w:rPr>
          <w:rFonts w:hint="eastAsia" w:ascii="宋体" w:hAnsi="宋体" w:cs="宋体"/>
          <w:b/>
          <w:color w:val="auto"/>
          <w:szCs w:val="21"/>
          <w:highlight w:val="none"/>
          <w:u w:val="single"/>
        </w:rPr>
      </w:pPr>
      <w:r>
        <w:rPr>
          <w:rFonts w:hint="eastAsia" w:ascii="宋体" w:hAnsi="宋体" w:cs="宋体"/>
          <w:color w:val="auto"/>
          <w:szCs w:val="21"/>
          <w:highlight w:val="none"/>
        </w:rPr>
        <w:t>技术措施费调整：</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u w:val="single"/>
          <w:lang w:val="en-US" w:eastAsia="zh-CN"/>
        </w:rPr>
        <w:t>不调整</w:t>
      </w:r>
      <w:r>
        <w:rPr>
          <w:rFonts w:hint="eastAsia" w:ascii="宋体" w:hAnsi="宋体" w:cs="宋体"/>
          <w:b/>
          <w:color w:val="auto"/>
          <w:szCs w:val="21"/>
          <w:highlight w:val="none"/>
          <w:u w:val="single"/>
        </w:rPr>
        <w:t>。</w:t>
      </w:r>
    </w:p>
    <w:p w14:paraId="5E1D1DBD">
      <w:pPr>
        <w:snapToGrid w:val="0"/>
        <w:spacing w:line="440" w:lineRule="exact"/>
        <w:ind w:firstLine="420" w:firstLineChars="200"/>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rPr>
        <w:t>组织措施费调整：</w:t>
      </w:r>
      <w:r>
        <w:rPr>
          <w:rFonts w:hint="eastAsia" w:ascii="宋体" w:hAnsi="宋体" w:cs="宋体"/>
          <w:b/>
          <w:color w:val="auto"/>
          <w:szCs w:val="21"/>
          <w:highlight w:val="none"/>
          <w:u w:val="single"/>
          <w:lang w:val="en-US" w:eastAsia="zh-CN"/>
        </w:rPr>
        <w:t>不调整。</w:t>
      </w:r>
    </w:p>
    <w:p w14:paraId="0E87E501">
      <w:pPr>
        <w:pStyle w:val="5"/>
        <w:snapToGrid w:val="0"/>
        <w:spacing w:before="0" w:after="0" w:line="440" w:lineRule="exact"/>
        <w:ind w:firstLine="420" w:firstLineChars="200"/>
        <w:rPr>
          <w:rFonts w:hint="eastAsia" w:ascii="宋体" w:eastAsia="宋体" w:cs="宋体"/>
          <w:b w:val="0"/>
          <w:color w:val="auto"/>
          <w:sz w:val="21"/>
          <w:szCs w:val="21"/>
          <w:highlight w:val="none"/>
        </w:rPr>
      </w:pPr>
      <w:r>
        <w:rPr>
          <w:rFonts w:hint="eastAsia" w:ascii="宋体" w:eastAsia="宋体" w:cs="宋体"/>
          <w:b w:val="0"/>
          <w:color w:val="auto"/>
          <w:sz w:val="21"/>
          <w:szCs w:val="21"/>
          <w:highlight w:val="none"/>
        </w:rPr>
        <w:t>2. 发包人</w:t>
      </w:r>
    </w:p>
    <w:p w14:paraId="36BD3F63">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2.2 发包人代表</w:t>
      </w:r>
    </w:p>
    <w:p w14:paraId="05DEC80D">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发包人代表：</w:t>
      </w:r>
    </w:p>
    <w:p w14:paraId="62D3E934">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姓    名：</w:t>
      </w:r>
      <w:r>
        <w:rPr>
          <w:rFonts w:hint="eastAsia" w:ascii="宋体" w:cs="宋体"/>
          <w:color w:val="auto"/>
          <w:szCs w:val="21"/>
          <w:highlight w:val="none"/>
          <w:u w:val="single"/>
        </w:rPr>
        <w:t xml:space="preserve"> </w:t>
      </w:r>
      <w:r>
        <w:rPr>
          <w:rFonts w:hint="eastAsia" w:ascii="宋体" w:cs="宋体"/>
          <w:color w:val="auto"/>
          <w:szCs w:val="21"/>
          <w:highlight w:val="none"/>
          <w:u w:val="single"/>
          <w:lang w:val="en-US" w:eastAsia="zh-CN"/>
        </w:rPr>
        <w:t>李工</w:t>
      </w:r>
      <w:r>
        <w:rPr>
          <w:rFonts w:hint="eastAsia" w:ascii="宋体" w:cs="宋体"/>
          <w:color w:val="auto"/>
          <w:szCs w:val="21"/>
          <w:highlight w:val="none"/>
          <w:u w:val="single"/>
        </w:rPr>
        <w:t xml:space="preserve">    </w:t>
      </w:r>
      <w:r>
        <w:rPr>
          <w:rFonts w:hint="eastAsia" w:ascii="宋体" w:cs="宋体"/>
          <w:color w:val="auto"/>
          <w:szCs w:val="21"/>
          <w:highlight w:val="none"/>
        </w:rPr>
        <w:t>；</w:t>
      </w:r>
    </w:p>
    <w:p w14:paraId="49AF87BF">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发包人对发包人代表的授权范围如下：</w:t>
      </w:r>
      <w:r>
        <w:rPr>
          <w:rFonts w:hint="eastAsia" w:ascii="宋体" w:cs="宋体"/>
          <w:szCs w:val="21"/>
          <w:highlight w:val="none"/>
          <w:u w:val="single"/>
        </w:rPr>
        <w:t>施工组织设计和总进度计划的审批权和调整权；人员在岗、工程进度、质量、安全、环保的监督检查权和建议处罚权；工程款的初步审查权；第三方检测的委托权；主要材料的质量否决权；工程量的确认权；工程变更签证的审核权；可调价格材料的价格确认权；工程结算的审核权；合同的解释；等等。</w:t>
      </w:r>
    </w:p>
    <w:p w14:paraId="31BD9F5C">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2.4 施工现场、施工条件和基础资料的提供</w:t>
      </w:r>
    </w:p>
    <w:p w14:paraId="05BCD48F">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2.4.1 提供施工现场</w:t>
      </w:r>
    </w:p>
    <w:p w14:paraId="11142D30">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关于发包人移交施工现场的期限要求：</w:t>
      </w:r>
      <w:r>
        <w:rPr>
          <w:rFonts w:hint="eastAsia" w:ascii="宋体" w:cs="宋体"/>
          <w:szCs w:val="21"/>
          <w:highlight w:val="none"/>
          <w:u w:val="single"/>
        </w:rPr>
        <w:t>发包人应最迟于开工日期7天前向承包人移交施工现场。</w:t>
      </w:r>
    </w:p>
    <w:p w14:paraId="586AEF0C">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2.4.2 提供施工条件</w:t>
      </w:r>
    </w:p>
    <w:p w14:paraId="694C47BD">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关于发包人应负责提供施工所需要的条件，包括：</w:t>
      </w:r>
      <w:r>
        <w:rPr>
          <w:rFonts w:hint="eastAsia" w:ascii="宋体" w:cs="宋体"/>
          <w:szCs w:val="21"/>
          <w:highlight w:val="none"/>
          <w:u w:val="single"/>
        </w:rPr>
        <w:t>（1）将施工用水、电力、通讯线路等施工所必需的条件接至施工现场内；（2）保证向承包人提供正常施工所需要的进入施工现场的交通条件；（3）协调处理施工现场周围地下管线和邻近建筑物、构筑物、古树名木的保护工作，并承担相关费用。若上述费用已包含在本项目发包范围，则由承包人自行解决并承担费用。</w:t>
      </w:r>
    </w:p>
    <w:p w14:paraId="6143E00C">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2.5 资金来源证明及支付担保</w:t>
      </w:r>
    </w:p>
    <w:p w14:paraId="7F5C1413">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发包人提供资金来源证明的期限要求：</w:t>
      </w:r>
      <w:r>
        <w:rPr>
          <w:rFonts w:hint="eastAsia" w:ascii="宋体" w:cs="宋体"/>
          <w:szCs w:val="21"/>
          <w:highlight w:val="none"/>
          <w:u w:val="single"/>
        </w:rPr>
        <w:t></w:t>
      </w:r>
      <w:r>
        <w:rPr>
          <w:rFonts w:hint="eastAsia" w:ascii="宋体" w:cs="宋体"/>
          <w:szCs w:val="21"/>
          <w:highlight w:val="none"/>
          <w:u w:val="single"/>
          <w:lang w:val="en-US" w:eastAsia="zh-CN"/>
        </w:rPr>
        <w:t>自筹</w:t>
      </w:r>
      <w:r>
        <w:rPr>
          <w:rFonts w:hint="eastAsia" w:ascii="宋体" w:cs="宋体"/>
          <w:szCs w:val="21"/>
          <w:highlight w:val="none"/>
          <w:u w:val="single"/>
        </w:rPr>
        <w:t xml:space="preserve">资金   </w:t>
      </w:r>
      <w:r>
        <w:rPr>
          <w:rFonts w:hint="eastAsia" w:ascii="宋体" w:cs="宋体"/>
          <w:szCs w:val="21"/>
          <w:highlight w:val="none"/>
        </w:rPr>
        <w:t>。</w:t>
      </w:r>
    </w:p>
    <w:p w14:paraId="3FB71AC4">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发包人是否提供支付担保：</w:t>
      </w:r>
      <w:r>
        <w:rPr>
          <w:rFonts w:hint="eastAsia" w:ascii="宋体" w:cs="宋体"/>
          <w:szCs w:val="21"/>
          <w:highlight w:val="none"/>
          <w:u w:val="single"/>
        </w:rPr>
        <w:t xml:space="preserve">不提供   </w:t>
      </w:r>
      <w:r>
        <w:rPr>
          <w:rFonts w:hint="eastAsia" w:ascii="宋体" w:cs="宋体"/>
          <w:szCs w:val="21"/>
          <w:highlight w:val="none"/>
        </w:rPr>
        <w:t>。</w:t>
      </w:r>
    </w:p>
    <w:p w14:paraId="3C6886CB">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发包人提供支付担保的形式：</w:t>
      </w:r>
      <w:r>
        <w:rPr>
          <w:rFonts w:hint="eastAsia" w:ascii="宋体" w:cs="宋体"/>
          <w:szCs w:val="21"/>
          <w:highlight w:val="none"/>
          <w:u w:val="single"/>
        </w:rPr>
        <w:t>无  </w:t>
      </w:r>
      <w:r>
        <w:rPr>
          <w:rFonts w:hint="eastAsia" w:ascii="宋体" w:cs="宋体"/>
          <w:szCs w:val="21"/>
          <w:highlight w:val="none"/>
        </w:rPr>
        <w:t>。</w:t>
      </w:r>
    </w:p>
    <w:p w14:paraId="05ABEF29">
      <w:pPr>
        <w:pStyle w:val="5"/>
        <w:snapToGrid w:val="0"/>
        <w:spacing w:before="0" w:after="0" w:line="44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3. 承包人</w:t>
      </w:r>
    </w:p>
    <w:p w14:paraId="4941BCD2">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3.1 承包人的一般义务</w:t>
      </w:r>
    </w:p>
    <w:p w14:paraId="2240B1EC">
      <w:pPr>
        <w:snapToGrid w:val="0"/>
        <w:spacing w:line="440" w:lineRule="exact"/>
        <w:ind w:firstLine="420" w:firstLineChars="200"/>
        <w:jc w:val="left"/>
        <w:rPr>
          <w:rFonts w:hint="eastAsia" w:ascii="宋体" w:cs="宋体"/>
          <w:szCs w:val="21"/>
          <w:highlight w:val="none"/>
          <w:u w:val="single"/>
        </w:rPr>
      </w:pPr>
      <w:r>
        <w:rPr>
          <w:rFonts w:hint="eastAsia" w:ascii="宋体" w:cs="宋体"/>
          <w:kern w:val="0"/>
          <w:szCs w:val="21"/>
          <w:highlight w:val="none"/>
        </w:rPr>
        <w:t>（9）</w:t>
      </w:r>
      <w:r>
        <w:rPr>
          <w:rFonts w:hint="eastAsia" w:ascii="宋体" w:cs="宋体"/>
          <w:szCs w:val="21"/>
          <w:highlight w:val="none"/>
        </w:rPr>
        <w:t>承包人提交的竣工资料的内容：</w:t>
      </w:r>
      <w:r>
        <w:rPr>
          <w:rFonts w:hint="eastAsia" w:ascii="宋体" w:cs="宋体"/>
          <w:szCs w:val="21"/>
          <w:highlight w:val="none"/>
          <w:u w:val="single"/>
        </w:rPr>
        <w:t xml:space="preserve">   按相关要求执行，包括但不限于竣工图、竣工报告、项目质检资料、结算资料等  </w:t>
      </w:r>
      <w:r>
        <w:rPr>
          <w:rFonts w:hint="eastAsia" w:ascii="宋体" w:cs="宋体"/>
          <w:szCs w:val="21"/>
          <w:highlight w:val="none"/>
        </w:rPr>
        <w:t>。</w:t>
      </w:r>
    </w:p>
    <w:p w14:paraId="1CA1DB90">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承包人需要提交的竣工资料套数：</w:t>
      </w:r>
      <w:r>
        <w:rPr>
          <w:rFonts w:hint="eastAsia" w:ascii="宋体" w:cs="宋体"/>
          <w:szCs w:val="21"/>
          <w:highlight w:val="none"/>
          <w:u w:val="single"/>
        </w:rPr>
        <w:t xml:space="preserve">      按相关要求执行，且不少于3套    </w:t>
      </w:r>
      <w:r>
        <w:rPr>
          <w:rFonts w:hint="eastAsia" w:ascii="宋体" w:cs="宋体"/>
          <w:szCs w:val="21"/>
          <w:highlight w:val="none"/>
        </w:rPr>
        <w:t>。</w:t>
      </w:r>
    </w:p>
    <w:p w14:paraId="5FF31C14">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承包人提交的竣工资料的费用承担：</w:t>
      </w:r>
      <w:r>
        <w:rPr>
          <w:rFonts w:hint="eastAsia" w:ascii="宋体" w:cs="宋体"/>
          <w:szCs w:val="21"/>
          <w:highlight w:val="none"/>
          <w:u w:val="single"/>
        </w:rPr>
        <w:t xml:space="preserve">   承包人           </w:t>
      </w:r>
      <w:r>
        <w:rPr>
          <w:rFonts w:hint="eastAsia" w:ascii="宋体" w:cs="宋体"/>
          <w:szCs w:val="21"/>
          <w:highlight w:val="none"/>
        </w:rPr>
        <w:t>。</w:t>
      </w:r>
    </w:p>
    <w:p w14:paraId="3670ED4C">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承包人提交的竣工资料移交时间：</w:t>
      </w:r>
      <w:r>
        <w:rPr>
          <w:rFonts w:hint="eastAsia" w:ascii="宋体" w:cs="宋体"/>
          <w:szCs w:val="21"/>
          <w:highlight w:val="none"/>
          <w:u w:val="single"/>
        </w:rPr>
        <w:t xml:space="preserve">     竣工验收合格后15日内   </w:t>
      </w:r>
      <w:r>
        <w:rPr>
          <w:rFonts w:hint="eastAsia" w:ascii="宋体" w:cs="宋体"/>
          <w:szCs w:val="21"/>
          <w:highlight w:val="none"/>
        </w:rPr>
        <w:t>。</w:t>
      </w:r>
    </w:p>
    <w:p w14:paraId="4742058F">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承包人提交的竣工资料形式要求：</w:t>
      </w:r>
      <w:r>
        <w:rPr>
          <w:rFonts w:hint="eastAsia" w:ascii="宋体" w:cs="宋体"/>
          <w:szCs w:val="21"/>
          <w:highlight w:val="none"/>
          <w:u w:val="single"/>
        </w:rPr>
        <w:t xml:space="preserve">     纸质及电子形式   </w:t>
      </w:r>
      <w:r>
        <w:rPr>
          <w:rFonts w:hint="eastAsia" w:ascii="宋体" w:cs="宋体"/>
          <w:szCs w:val="21"/>
          <w:highlight w:val="none"/>
        </w:rPr>
        <w:t>。</w:t>
      </w:r>
    </w:p>
    <w:p w14:paraId="57AC80D3">
      <w:pPr>
        <w:numPr>
          <w:ilvl w:val="0"/>
          <w:numId w:val="2"/>
        </w:numPr>
        <w:spacing w:line="440" w:lineRule="exact"/>
        <w:rPr>
          <w:rFonts w:hint="eastAsia" w:ascii="宋体" w:cs="宋体"/>
          <w:szCs w:val="21"/>
          <w:highlight w:val="none"/>
        </w:rPr>
      </w:pPr>
      <w:r>
        <w:rPr>
          <w:rFonts w:hint="eastAsia" w:ascii="宋体" w:cs="宋体"/>
          <w:kern w:val="0"/>
          <w:szCs w:val="21"/>
          <w:highlight w:val="none"/>
        </w:rPr>
        <w:t>承包人应履行的其他义务：</w:t>
      </w:r>
      <w:r>
        <w:rPr>
          <w:rFonts w:hint="eastAsia" w:ascii="宋体" w:cs="宋体"/>
          <w:szCs w:val="21"/>
          <w:highlight w:val="none"/>
          <w:u w:val="single"/>
        </w:rPr>
        <w:t>①工程竣工半年</w:t>
      </w:r>
      <w:r>
        <w:rPr>
          <w:rFonts w:hint="eastAsia" w:ascii="宋体" w:cs="宋体"/>
          <w:szCs w:val="21"/>
          <w:highlight w:val="none"/>
          <w:u w:val="single"/>
          <w:lang w:eastAsia="zh-CN"/>
        </w:rPr>
        <w:t>（</w:t>
      </w:r>
      <w:r>
        <w:rPr>
          <w:rFonts w:hint="eastAsia" w:ascii="宋体" w:cs="宋体"/>
          <w:szCs w:val="21"/>
          <w:highlight w:val="none"/>
          <w:u w:val="single"/>
        </w:rPr>
        <w:t>含</w:t>
      </w:r>
      <w:r>
        <w:rPr>
          <w:rFonts w:hint="eastAsia" w:ascii="宋体" w:cs="宋体"/>
          <w:szCs w:val="21"/>
          <w:highlight w:val="none"/>
          <w:u w:val="single"/>
          <w:lang w:eastAsia="zh-CN"/>
        </w:rPr>
        <w:t>）</w:t>
      </w:r>
      <w:r>
        <w:rPr>
          <w:rFonts w:hint="eastAsia" w:ascii="宋体" w:cs="宋体"/>
          <w:szCs w:val="21"/>
          <w:highlight w:val="none"/>
          <w:u w:val="single"/>
        </w:rPr>
        <w:t>内完成竣工结算的；②无合同纠纷等原因拖欠农民工工资、材料款，出现群访及时处理；③质量无缺陷，及时整改到位，处理及时；④施工现场服从调度或工程进度不超过合同工期或按合同期限按时移交的；⑤月工程量进度及时完成；⑥按规定提供工程资料并及时归档的；</w:t>
      </w:r>
    </w:p>
    <w:p w14:paraId="083F7B13">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3.2 项目经理</w:t>
      </w:r>
    </w:p>
    <w:p w14:paraId="13611687">
      <w:pPr>
        <w:snapToGrid w:val="0"/>
        <w:spacing w:line="440" w:lineRule="exact"/>
        <w:ind w:firstLine="420" w:firstLineChars="200"/>
        <w:rPr>
          <w:rFonts w:hint="eastAsia" w:ascii="宋体" w:cs="宋体"/>
          <w:szCs w:val="21"/>
          <w:highlight w:val="none"/>
        </w:rPr>
      </w:pPr>
      <w:r>
        <w:rPr>
          <w:rFonts w:hint="eastAsia" w:ascii="宋体" w:cs="宋体"/>
          <w:kern w:val="0"/>
          <w:szCs w:val="21"/>
          <w:highlight w:val="none"/>
        </w:rPr>
        <w:t xml:space="preserve">3.2.1 </w:t>
      </w:r>
      <w:r>
        <w:rPr>
          <w:rFonts w:hint="eastAsia" w:ascii="宋体" w:cs="宋体"/>
          <w:szCs w:val="21"/>
          <w:highlight w:val="none"/>
        </w:rPr>
        <w:t>项目经理：</w:t>
      </w:r>
    </w:p>
    <w:p w14:paraId="14770DDB">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姓    名：</w:t>
      </w:r>
      <w:r>
        <w:rPr>
          <w:rFonts w:hint="eastAsia" w:ascii="宋体" w:cs="宋体"/>
          <w:szCs w:val="21"/>
          <w:highlight w:val="none"/>
          <w:u w:val="single"/>
        </w:rPr>
        <w:t>         </w:t>
      </w:r>
      <w:r>
        <w:rPr>
          <w:rFonts w:hint="eastAsia" w:ascii="宋体" w:cs="宋体"/>
          <w:szCs w:val="21"/>
          <w:highlight w:val="none"/>
        </w:rPr>
        <w:t>；</w:t>
      </w:r>
    </w:p>
    <w:p w14:paraId="3BA17073">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身份证号：</w:t>
      </w:r>
      <w:r>
        <w:rPr>
          <w:rFonts w:hint="eastAsia" w:ascii="宋体" w:cs="宋体"/>
          <w:szCs w:val="21"/>
          <w:highlight w:val="none"/>
          <w:u w:val="single"/>
        </w:rPr>
        <w:t>         </w:t>
      </w:r>
      <w:r>
        <w:rPr>
          <w:rFonts w:hint="eastAsia" w:ascii="宋体" w:cs="宋体"/>
          <w:szCs w:val="21"/>
          <w:highlight w:val="none"/>
        </w:rPr>
        <w:t>；</w:t>
      </w:r>
    </w:p>
    <w:p w14:paraId="47204064">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建造师执业资格等级：</w:t>
      </w:r>
      <w:r>
        <w:rPr>
          <w:rFonts w:hint="eastAsia" w:ascii="宋体" w:cs="宋体"/>
          <w:szCs w:val="21"/>
          <w:highlight w:val="none"/>
          <w:u w:val="single"/>
        </w:rPr>
        <w:t>   </w:t>
      </w:r>
      <w:r>
        <w:rPr>
          <w:rFonts w:hint="eastAsia" w:ascii="宋体" w:cs="宋体"/>
          <w:szCs w:val="21"/>
          <w:highlight w:val="none"/>
        </w:rPr>
        <w:t>；</w:t>
      </w:r>
    </w:p>
    <w:p w14:paraId="60174993">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建造师注册证书号：</w:t>
      </w:r>
      <w:r>
        <w:rPr>
          <w:rFonts w:hint="eastAsia" w:ascii="宋体" w:cs="宋体"/>
          <w:szCs w:val="21"/>
          <w:highlight w:val="none"/>
          <w:u w:val="single"/>
        </w:rPr>
        <w:t> </w:t>
      </w:r>
      <w:r>
        <w:rPr>
          <w:rFonts w:hint="eastAsia" w:ascii="宋体" w:cs="宋体"/>
          <w:szCs w:val="21"/>
          <w:highlight w:val="none"/>
        </w:rPr>
        <w:t>；</w:t>
      </w:r>
    </w:p>
    <w:p w14:paraId="433B24F4">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建造师执业印章号：</w:t>
      </w:r>
      <w:r>
        <w:rPr>
          <w:rFonts w:hint="eastAsia" w:ascii="宋体" w:cs="宋体"/>
          <w:szCs w:val="21"/>
          <w:highlight w:val="none"/>
          <w:u w:val="single"/>
        </w:rPr>
        <w:t> </w:t>
      </w:r>
      <w:r>
        <w:rPr>
          <w:rFonts w:hint="eastAsia" w:ascii="宋体" w:cs="宋体"/>
          <w:szCs w:val="21"/>
          <w:highlight w:val="none"/>
        </w:rPr>
        <w:t>；</w:t>
      </w:r>
    </w:p>
    <w:p w14:paraId="61D36B67">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安全生产考核合格证书号：</w:t>
      </w:r>
      <w:r>
        <w:rPr>
          <w:rFonts w:hint="eastAsia" w:ascii="宋体" w:cs="宋体"/>
          <w:szCs w:val="21"/>
          <w:highlight w:val="none"/>
          <w:u w:val="single"/>
        </w:rPr>
        <w:t> </w:t>
      </w:r>
      <w:r>
        <w:rPr>
          <w:rFonts w:hint="eastAsia" w:ascii="宋体" w:cs="宋体"/>
          <w:szCs w:val="21"/>
          <w:highlight w:val="none"/>
        </w:rPr>
        <w:t>；</w:t>
      </w:r>
    </w:p>
    <w:p w14:paraId="7E9E6C57">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联系电话：</w:t>
      </w:r>
      <w:r>
        <w:rPr>
          <w:rFonts w:hint="eastAsia" w:ascii="宋体" w:cs="宋体"/>
          <w:szCs w:val="21"/>
          <w:highlight w:val="none"/>
          <w:u w:val="single"/>
        </w:rPr>
        <w:t>         </w:t>
      </w:r>
      <w:r>
        <w:rPr>
          <w:rFonts w:hint="eastAsia" w:ascii="宋体" w:cs="宋体"/>
          <w:szCs w:val="21"/>
          <w:highlight w:val="none"/>
        </w:rPr>
        <w:t>；</w:t>
      </w:r>
    </w:p>
    <w:p w14:paraId="3F583591">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电子信箱：</w:t>
      </w:r>
      <w:r>
        <w:rPr>
          <w:rFonts w:hint="eastAsia" w:ascii="宋体" w:cs="宋体"/>
          <w:szCs w:val="21"/>
          <w:highlight w:val="none"/>
          <w:u w:val="single"/>
        </w:rPr>
        <w:t>         </w:t>
      </w:r>
      <w:r>
        <w:rPr>
          <w:rFonts w:hint="eastAsia" w:ascii="宋体" w:cs="宋体"/>
          <w:szCs w:val="21"/>
          <w:highlight w:val="none"/>
        </w:rPr>
        <w:t>；</w:t>
      </w:r>
    </w:p>
    <w:p w14:paraId="1099BF5D">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通信地址：</w:t>
      </w:r>
      <w:r>
        <w:rPr>
          <w:rFonts w:hint="eastAsia" w:ascii="宋体" w:cs="宋体"/>
          <w:szCs w:val="21"/>
          <w:highlight w:val="none"/>
          <w:u w:val="single"/>
        </w:rPr>
        <w:t>         </w:t>
      </w:r>
      <w:r>
        <w:rPr>
          <w:rFonts w:hint="eastAsia" w:ascii="宋体" w:cs="宋体"/>
          <w:szCs w:val="21"/>
          <w:highlight w:val="none"/>
        </w:rPr>
        <w:t>；</w:t>
      </w:r>
    </w:p>
    <w:p w14:paraId="037BD6D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承包人对项目负责人的授权范围如下：</w:t>
      </w:r>
      <w:r>
        <w:rPr>
          <w:rFonts w:hint="eastAsia" w:ascii="宋体" w:cs="宋体"/>
          <w:szCs w:val="21"/>
          <w:highlight w:val="none"/>
          <w:u w:val="single"/>
        </w:rPr>
        <w:t xml:space="preserve">由承包人明确授权范围  </w:t>
      </w:r>
      <w:r>
        <w:rPr>
          <w:rFonts w:hint="eastAsia" w:ascii="宋体" w:cs="宋体"/>
          <w:szCs w:val="21"/>
          <w:highlight w:val="none"/>
        </w:rPr>
        <w:t>。</w:t>
      </w:r>
    </w:p>
    <w:p w14:paraId="0B02DEDD">
      <w:pPr>
        <w:snapToGrid w:val="0"/>
        <w:spacing w:line="440" w:lineRule="exact"/>
        <w:ind w:firstLine="420" w:firstLineChars="200"/>
        <w:jc w:val="left"/>
        <w:rPr>
          <w:rFonts w:hint="eastAsia" w:ascii="宋体" w:cs="宋体"/>
          <w:color w:val="auto"/>
          <w:kern w:val="0"/>
          <w:szCs w:val="21"/>
          <w:highlight w:val="none"/>
        </w:rPr>
      </w:pPr>
      <w:r>
        <w:rPr>
          <w:rFonts w:hint="eastAsia" w:ascii="宋体" w:cs="宋体"/>
          <w:kern w:val="0"/>
          <w:szCs w:val="21"/>
          <w:highlight w:val="none"/>
        </w:rPr>
        <w:t>关于项目负责人每月在施工现场的时间要求：</w:t>
      </w:r>
      <w:r>
        <w:rPr>
          <w:rFonts w:hint="eastAsia" w:ascii="宋体" w:cs="宋体"/>
          <w:szCs w:val="21"/>
          <w:highlight w:val="none"/>
          <w:u w:val="single"/>
        </w:rPr>
        <w:t>项目经理每月在岗时间</w:t>
      </w:r>
      <w:r>
        <w:rPr>
          <w:rFonts w:hint="eastAsia" w:ascii="宋体" w:cs="宋体"/>
          <w:color w:val="auto"/>
          <w:szCs w:val="21"/>
          <w:highlight w:val="none"/>
          <w:u w:val="single"/>
        </w:rPr>
        <w:t>不得少于2</w:t>
      </w:r>
      <w:r>
        <w:rPr>
          <w:rFonts w:hint="eastAsia" w:ascii="宋体" w:cs="宋体"/>
          <w:color w:val="auto"/>
          <w:szCs w:val="21"/>
          <w:highlight w:val="none"/>
          <w:u w:val="single"/>
          <w:lang w:val="en-US" w:eastAsia="zh-CN"/>
        </w:rPr>
        <w:t>2</w:t>
      </w:r>
      <w:r>
        <w:rPr>
          <w:rFonts w:hint="eastAsia" w:ascii="宋体" w:cs="宋体"/>
          <w:color w:val="auto"/>
          <w:szCs w:val="21"/>
          <w:highlight w:val="none"/>
          <w:u w:val="single"/>
        </w:rPr>
        <w:t>天，</w:t>
      </w:r>
      <w:r>
        <w:rPr>
          <w:rFonts w:hint="eastAsia" w:ascii="宋体" w:hAnsi="宋体" w:cs="宋体"/>
          <w:color w:val="000000"/>
          <w:szCs w:val="21"/>
          <w:highlight w:val="none"/>
          <w:u w:val="single"/>
        </w:rPr>
        <w:t>每天在岗工作时间不得少于</w:t>
      </w:r>
      <w:r>
        <w:rPr>
          <w:rFonts w:hint="eastAsia" w:ascii="宋体" w:hAnsi="宋体" w:cs="宋体"/>
          <w:color w:val="000000"/>
          <w:szCs w:val="21"/>
          <w:highlight w:val="none"/>
          <w:u w:val="single"/>
          <w:lang w:val="en-US" w:eastAsia="zh-CN"/>
        </w:rPr>
        <w:t>8</w:t>
      </w:r>
      <w:r>
        <w:rPr>
          <w:rFonts w:hint="eastAsia" w:ascii="宋体" w:hAnsi="宋体" w:cs="宋体"/>
          <w:color w:val="000000"/>
          <w:szCs w:val="21"/>
          <w:highlight w:val="none"/>
          <w:u w:val="single"/>
        </w:rPr>
        <w:t>小时</w:t>
      </w:r>
      <w:r>
        <w:rPr>
          <w:rFonts w:hint="eastAsia" w:ascii="宋体" w:hAnsi="宋体" w:cs="宋体"/>
          <w:color w:val="000000"/>
          <w:szCs w:val="21"/>
          <w:highlight w:val="none"/>
          <w:u w:val="single"/>
          <w:lang w:eastAsia="zh-CN"/>
        </w:rPr>
        <w:t>；</w:t>
      </w:r>
      <w:r>
        <w:rPr>
          <w:rFonts w:hint="eastAsia" w:ascii="宋体" w:cs="宋体"/>
          <w:color w:val="auto"/>
          <w:szCs w:val="21"/>
          <w:highlight w:val="none"/>
          <w:u w:val="single"/>
        </w:rPr>
        <w:t>施工现场其他管理人员每月在岗时间不得少于2</w:t>
      </w:r>
      <w:r>
        <w:rPr>
          <w:rFonts w:hint="eastAsia" w:ascii="宋体" w:cs="宋体"/>
          <w:color w:val="auto"/>
          <w:szCs w:val="21"/>
          <w:highlight w:val="none"/>
          <w:u w:val="single"/>
          <w:lang w:val="en-US" w:eastAsia="zh-CN"/>
        </w:rPr>
        <w:t>2</w:t>
      </w:r>
      <w:r>
        <w:rPr>
          <w:rFonts w:hint="eastAsia" w:ascii="宋体" w:cs="宋体"/>
          <w:color w:val="auto"/>
          <w:szCs w:val="21"/>
          <w:highlight w:val="none"/>
          <w:u w:val="single"/>
        </w:rPr>
        <w:t>天</w:t>
      </w:r>
      <w:r>
        <w:rPr>
          <w:rFonts w:hint="eastAsia" w:ascii="宋体" w:cs="宋体"/>
          <w:color w:val="auto"/>
          <w:szCs w:val="21"/>
          <w:highlight w:val="none"/>
          <w:u w:val="single"/>
          <w:lang w:eastAsia="zh-CN"/>
        </w:rPr>
        <w:t>，</w:t>
      </w:r>
      <w:r>
        <w:rPr>
          <w:rFonts w:hint="eastAsia" w:ascii="宋体" w:hAnsi="宋体" w:cs="宋体"/>
          <w:color w:val="000000"/>
          <w:szCs w:val="21"/>
          <w:highlight w:val="none"/>
          <w:u w:val="single"/>
        </w:rPr>
        <w:t>每天在岗工作时间不得少于</w:t>
      </w:r>
      <w:r>
        <w:rPr>
          <w:rFonts w:hint="eastAsia" w:ascii="宋体" w:hAnsi="宋体" w:cs="宋体"/>
          <w:color w:val="000000"/>
          <w:szCs w:val="21"/>
          <w:highlight w:val="none"/>
          <w:u w:val="single"/>
          <w:lang w:val="en-US" w:eastAsia="zh-CN"/>
        </w:rPr>
        <w:t>8</w:t>
      </w:r>
      <w:r>
        <w:rPr>
          <w:rFonts w:hint="eastAsia" w:ascii="宋体" w:hAnsi="宋体" w:cs="宋体"/>
          <w:color w:val="000000"/>
          <w:szCs w:val="21"/>
          <w:highlight w:val="none"/>
          <w:u w:val="single"/>
        </w:rPr>
        <w:t>小时</w:t>
      </w:r>
      <w:r>
        <w:rPr>
          <w:rFonts w:hint="eastAsia" w:ascii="宋体" w:cs="宋体"/>
          <w:color w:val="auto"/>
          <w:szCs w:val="21"/>
          <w:highlight w:val="none"/>
          <w:u w:val="single"/>
        </w:rPr>
        <w:t>。</w:t>
      </w:r>
    </w:p>
    <w:p w14:paraId="5C830A13">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承包人未提交劳动合同，以及没有为建造师缴纳社会保险证明的违约责任：</w:t>
      </w:r>
      <w:r>
        <w:rPr>
          <w:rFonts w:hint="eastAsia" w:ascii="宋体" w:cs="宋体"/>
          <w:kern w:val="0"/>
          <w:szCs w:val="21"/>
          <w:highlight w:val="none"/>
          <w:u w:val="single"/>
        </w:rPr>
        <w:t xml:space="preserve">  </w:t>
      </w:r>
      <w:r>
        <w:rPr>
          <w:rFonts w:hint="eastAsia" w:ascii="宋体" w:cs="宋体"/>
          <w:szCs w:val="21"/>
          <w:highlight w:val="none"/>
          <w:u w:val="single"/>
        </w:rPr>
        <w:t>签订本合同前提供，资格审查时已提供的，不再重复提供</w:t>
      </w:r>
      <w:r>
        <w:rPr>
          <w:rFonts w:hint="eastAsia" w:ascii="宋体" w:cs="宋体"/>
          <w:szCs w:val="21"/>
          <w:highlight w:val="none"/>
        </w:rPr>
        <w:t>。</w:t>
      </w:r>
    </w:p>
    <w:p w14:paraId="4FEA17DE">
      <w:pPr>
        <w:snapToGrid w:val="0"/>
        <w:spacing w:line="440" w:lineRule="exact"/>
        <w:ind w:firstLine="420" w:firstLineChars="200"/>
        <w:rPr>
          <w:rFonts w:hint="eastAsia" w:ascii="宋体" w:cs="宋体"/>
          <w:szCs w:val="21"/>
          <w:highlight w:val="none"/>
          <w:u w:val="single"/>
        </w:rPr>
      </w:pPr>
      <w:r>
        <w:rPr>
          <w:rFonts w:hint="eastAsia" w:ascii="宋体" w:cs="宋体"/>
          <w:kern w:val="0"/>
          <w:szCs w:val="21"/>
          <w:highlight w:val="none"/>
        </w:rPr>
        <w:t>项目负责人未经批准，擅自离开施工现场的违约责任：</w:t>
      </w:r>
      <w:r>
        <w:rPr>
          <w:rFonts w:hint="eastAsia" w:ascii="宋体" w:cs="宋体"/>
          <w:szCs w:val="21"/>
          <w:highlight w:val="none"/>
          <w:u w:val="single"/>
        </w:rPr>
        <w:t>未按规定在岗履责的，对项目经理和技术负责人处罚5000元/人·天的违约金，对施工现场其他管理人员处罚1000元/人·天的违约金。项目部关键岗位人员离岗必须向发包人项目组长履行请假手续，若被我处和相关部门日常检查和随机抽查中发现不在岗的，又未履行请假手续的，处罚5000元/人·次的违约金。</w:t>
      </w:r>
    </w:p>
    <w:p w14:paraId="5B2257F3">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3.2.3 承包人擅自更换项目负责人的违约责任：</w:t>
      </w:r>
      <w:r>
        <w:rPr>
          <w:rFonts w:hint="eastAsia" w:ascii="宋体" w:cs="宋体"/>
          <w:szCs w:val="21"/>
          <w:highlight w:val="none"/>
          <w:u w:val="single"/>
        </w:rPr>
        <w:t>项目负责人变更必须经发包人批准，并满足《关于进一步加强建筑施工现场项目负责人变更行为管理的通知》及滁州市其他相关规定要求，除①因重病或重伤三个月以上，不能履行职责的；②辞职的；③发生重大质量安全责任事故，受到刑事或行政处罚，不能担任项目负责人的；④无能力履行合同责任和义务，建设单位要求更换的；⑤被责令停止职业资格的；⑥因犯罪被羁押或判刑的；⑦死亡的等原因外，原则上不得变更。其中，亡故的需提供公安部门开具的死亡证明；重大疾病的需提供三甲及以上医院证明。出国、辞职等原因提出变更的，除需提供相关证明外，须缴纳10万元违约金，否则不得变更。变更后的项目负责人必须符合本项目招标文件和响应承诺配备的同等条件人员，并按照滁州市有关规定履行变更审批程序。</w:t>
      </w:r>
    </w:p>
    <w:p w14:paraId="3B022719">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3.2.4 承包人无正当理由拒绝更换项目经理的违约责任：</w:t>
      </w:r>
      <w:r>
        <w:rPr>
          <w:rFonts w:hint="eastAsia" w:ascii="宋体" w:cs="宋体"/>
          <w:szCs w:val="21"/>
          <w:highlight w:val="none"/>
          <w:u w:val="single"/>
        </w:rPr>
        <w:t>发包人将组织对项目经理进行业务能力考核，对未按响应文件配备或经考核不合格要求更换人员的，承包人7日内必须整改调整到位。否则，对于项目经理和技术负责人，按照5000元/人•天的违约金进行处罚，对于施工现场其他管理人员按照1000元/人•天的违约金进行处罚。28日内未整改调整到位的，发包人有权终止合同，并提请相关行政主管部门对企业和人员进行“黑名单”处罚。</w:t>
      </w:r>
    </w:p>
    <w:p w14:paraId="6E545C3E">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3.3 承包人人员</w:t>
      </w:r>
    </w:p>
    <w:p w14:paraId="255F90F6">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3.3.1 承包人提交项目管理机构及施工现场管理人员安排报告的期限：</w:t>
      </w:r>
      <w:r>
        <w:rPr>
          <w:rFonts w:hint="eastAsia" w:ascii="宋体" w:cs="宋体"/>
          <w:szCs w:val="21"/>
          <w:highlight w:val="none"/>
          <w:u w:val="single"/>
        </w:rPr>
        <w:t>承包人应在</w:t>
      </w:r>
      <w:r>
        <w:rPr>
          <w:rFonts w:hint="eastAsia"/>
          <w:highlight w:val="none"/>
          <w:u w:val="single"/>
        </w:rPr>
        <w:t>合同签订</w:t>
      </w:r>
      <w:r>
        <w:rPr>
          <w:rFonts w:hint="eastAsia" w:ascii="宋体" w:cs="宋体"/>
          <w:szCs w:val="21"/>
          <w:highlight w:val="none"/>
          <w:u w:val="single"/>
        </w:rPr>
        <w:t>后7日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0ABFF03D">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3.3.3 承包人无正当理由拒绝撤换主要施工管理人员的违约责任：</w:t>
      </w:r>
      <w:r>
        <w:rPr>
          <w:rFonts w:hint="eastAsia" w:ascii="宋体" w:cs="宋体"/>
          <w:szCs w:val="21"/>
          <w:highlight w:val="none"/>
          <w:u w:val="single"/>
        </w:rPr>
        <w:t xml:space="preserve"> 发包人将组织对人员进行业务能力考核，对未按响应文件配备或经考核不合格要求更换人员的，承包人7日内必须整改调整到位。否则，对于项目经理和技术负责人，按照5000元/人·天的违约金进行处罚，对于施工现场其他管理人员按照1000元/人·天的违约金进行处罚。28日内未整改调整到位的，发包人有权终止合同，并提请相关行政主管部门对企业和人员进行“黑名单”处罚。</w:t>
      </w:r>
    </w:p>
    <w:p w14:paraId="4F949F68">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3.3.4 承包人主要施工管理人员离开施工现场的批准要求：</w:t>
      </w:r>
      <w:r>
        <w:rPr>
          <w:rFonts w:hint="eastAsia" w:ascii="宋体" w:cs="宋体"/>
          <w:szCs w:val="21"/>
          <w:highlight w:val="none"/>
          <w:u w:val="single"/>
        </w:rPr>
        <w:t>未按规定在岗履责的，对项目经理和技术负责人处罚5000元/人·天的违约金，对施工现场其他管理人员处罚1000元/人·天的违约金。项目部关键岗位人员离岗必须向发包人项目组长履行请假手续，若被我处和相关部门日常检查和随机抽查中发现不在岗的，又未履行请假手续的，处罚5000元/人·次的违约金。</w:t>
      </w:r>
    </w:p>
    <w:p w14:paraId="4EEE0B3C">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3.3.5承包人擅自更换主要施工管理人员的违约责任：按照</w:t>
      </w:r>
      <w:r>
        <w:rPr>
          <w:rFonts w:hint="eastAsia" w:ascii="宋体" w:cs="宋体"/>
          <w:szCs w:val="21"/>
          <w:highlight w:val="none"/>
          <w:u w:val="single"/>
        </w:rPr>
        <w:t>未按规定在岗履责进行处罚。</w:t>
      </w:r>
    </w:p>
    <w:p w14:paraId="36036898">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3.5 分包</w:t>
      </w:r>
    </w:p>
    <w:p w14:paraId="75D5498A">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3.5.1 分包的一般约定</w:t>
      </w:r>
    </w:p>
    <w:p w14:paraId="179597DD">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禁止分包的工程包括：</w:t>
      </w:r>
      <w:r>
        <w:rPr>
          <w:rFonts w:hint="eastAsia" w:ascii="宋体" w:cs="宋体"/>
          <w:szCs w:val="21"/>
          <w:highlight w:val="none"/>
          <w:u w:val="single"/>
        </w:rPr>
        <w:t>承包人不得将其承包的全部工程转包给第三人，或将其承包的全部工程肢解后以分包的名义转包给第三人。承包人不得将工程主体结构、关键性工作及合同条款中禁止分包的专业工程分包给第三人，主体结构、关键性工作的范围由合同当事人按照法律规定在专用合同条款中予以明确。</w:t>
      </w:r>
    </w:p>
    <w:p w14:paraId="1BD0FF18">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主体结构、关键性工作的范围：</w:t>
      </w:r>
      <w:r>
        <w:rPr>
          <w:rFonts w:hint="eastAsia" w:ascii="宋体" w:cs="宋体"/>
          <w:szCs w:val="21"/>
          <w:highlight w:val="none"/>
          <w:u w:val="single"/>
        </w:rPr>
        <w:t>房建、水利工程为主体结构；市政工程为道路基层、面层；桥梁为主体结构；园林景观工程为绿化采购、栽植、养护；等等</w:t>
      </w:r>
      <w:r>
        <w:rPr>
          <w:rFonts w:hint="eastAsia" w:ascii="宋体" w:cs="宋体"/>
          <w:szCs w:val="21"/>
          <w:highlight w:val="none"/>
        </w:rPr>
        <w:t>。</w:t>
      </w:r>
    </w:p>
    <w:p w14:paraId="604036AC">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3.5.2分包的确定</w:t>
      </w:r>
    </w:p>
    <w:p w14:paraId="61D1440D">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允许分包的专业工程包括：</w:t>
      </w:r>
      <w:r>
        <w:rPr>
          <w:rFonts w:hint="eastAsia" w:ascii="宋体" w:cs="宋体"/>
          <w:szCs w:val="21"/>
          <w:highlight w:val="none"/>
          <w:u w:val="single"/>
        </w:rPr>
        <w:t>主体结构、关键性工作的范围以外的专业工程。 承包人应按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0F098825">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其他关于分包的约定：</w:t>
      </w:r>
      <w:r>
        <w:rPr>
          <w:rFonts w:hint="eastAsia" w:ascii="宋体" w:cs="宋体"/>
          <w:szCs w:val="21"/>
          <w:highlight w:val="none"/>
          <w:u w:val="single"/>
        </w:rPr>
        <w:t xml:space="preserve">   承包人不得以劳务分包的名义转包或违法分包工程。</w:t>
      </w:r>
      <w:r>
        <w:rPr>
          <w:rFonts w:hint="eastAsia" w:ascii="宋体" w:hAnsi="宋体" w:cs="宋体"/>
          <w:b/>
          <w:bCs/>
          <w:szCs w:val="21"/>
          <w:highlight w:val="none"/>
          <w:u w:val="single"/>
        </w:rPr>
        <w:t>发包人在施工进场第一个月或施工过程中发现承包人转包、挂靠等行为的，发包人立即解除合同，清退出场，承包人已完合格工程量按合同价款60%进行结算。</w:t>
      </w:r>
    </w:p>
    <w:p w14:paraId="6D539E9D">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3.5.4 分包合同价款</w:t>
      </w:r>
    </w:p>
    <w:p w14:paraId="2AB133F9">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关于分包合同价款支付的约定：</w:t>
      </w:r>
      <w:r>
        <w:rPr>
          <w:rFonts w:hint="eastAsia" w:ascii="宋体" w:cs="宋体"/>
          <w:szCs w:val="21"/>
          <w:highlight w:val="none"/>
          <w:u w:val="single"/>
        </w:rPr>
        <w:t>（1）除本项第（2）目约定的情况外，分包合同价款由承包人与分包人结算，未经承包人同意，发包人不得向分包人支付分包工程价款；（2）生效法律文书要求发包人向分包人支付分包合同价款的，发包人有权从应付承包人工程款中扣除该部分款项</w:t>
      </w:r>
      <w:r>
        <w:rPr>
          <w:rFonts w:hint="eastAsia" w:ascii="宋体" w:cs="宋体"/>
          <w:szCs w:val="21"/>
          <w:highlight w:val="none"/>
        </w:rPr>
        <w:t>。</w:t>
      </w:r>
    </w:p>
    <w:p w14:paraId="3890FC7F">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3.6 工程照管与成品、半成品保护</w:t>
      </w:r>
    </w:p>
    <w:p w14:paraId="2F3165FC">
      <w:pPr>
        <w:snapToGrid w:val="0"/>
        <w:spacing w:line="440" w:lineRule="exact"/>
        <w:ind w:firstLine="420" w:firstLineChars="200"/>
        <w:rPr>
          <w:rFonts w:hint="eastAsia" w:ascii="宋体" w:cs="宋体"/>
          <w:kern w:val="0"/>
          <w:szCs w:val="21"/>
          <w:highlight w:val="none"/>
          <w:u w:val="single"/>
        </w:rPr>
      </w:pPr>
      <w:r>
        <w:rPr>
          <w:rFonts w:hint="eastAsia" w:ascii="宋体" w:cs="宋体"/>
          <w:kern w:val="0"/>
          <w:szCs w:val="21"/>
          <w:highlight w:val="none"/>
        </w:rPr>
        <w:t>承包人负责照管工程及工程相关的材料、工程设备的起始时间：</w:t>
      </w:r>
      <w:r>
        <w:rPr>
          <w:rFonts w:hint="eastAsia" w:ascii="宋体" w:cs="宋体"/>
          <w:kern w:val="0"/>
          <w:szCs w:val="21"/>
          <w:highlight w:val="none"/>
          <w:u w:val="single"/>
        </w:rPr>
        <w:t>（1）自发包人向承包人移交施工现场之日起，承包人应负责照管工程及工程相关的材料、工程设备，直到办理移交手续之日止。（2）在承包人负责照管期间，因承包人原因造成工程、材料、工程设备损坏的，由承包人负责修复或更换，并承担由此增加的费用和（或）延误的工期。（3）对合同内分期完成的成品和半成品，在办理移交手续前，由承包人承担保护责任。因承包人原因造成成品或半成品损坏的，由承包人负责修复或更换，并承担由此增加的费用和（或）延误的工期。</w:t>
      </w:r>
    </w:p>
    <w:p w14:paraId="7F366C5E">
      <w:pPr>
        <w:tabs>
          <w:tab w:val="left" w:pos="7740"/>
        </w:tabs>
        <w:snapToGrid w:val="0"/>
        <w:spacing w:line="440" w:lineRule="exact"/>
        <w:ind w:firstLine="420" w:firstLineChars="200"/>
        <w:rPr>
          <w:rFonts w:hint="eastAsia" w:ascii="宋体" w:cs="宋体"/>
          <w:szCs w:val="21"/>
          <w:highlight w:val="none"/>
        </w:rPr>
      </w:pPr>
      <w:r>
        <w:rPr>
          <w:rFonts w:hint="eastAsia" w:ascii="宋体" w:cs="宋体"/>
          <w:szCs w:val="21"/>
          <w:highlight w:val="none"/>
        </w:rPr>
        <w:t>3.7 履约担保</w:t>
      </w:r>
    </w:p>
    <w:p w14:paraId="214B02E2">
      <w:pPr>
        <w:tabs>
          <w:tab w:val="left" w:pos="7740"/>
        </w:tabs>
        <w:snapToGrid w:val="0"/>
        <w:spacing w:line="440" w:lineRule="exact"/>
        <w:ind w:firstLine="420" w:firstLineChars="200"/>
        <w:rPr>
          <w:rFonts w:hint="eastAsia" w:ascii="宋体" w:cs="宋体"/>
          <w:szCs w:val="21"/>
          <w:highlight w:val="none"/>
        </w:rPr>
      </w:pPr>
      <w:r>
        <w:rPr>
          <w:rFonts w:hint="eastAsia" w:ascii="宋体" w:cs="宋体"/>
          <w:szCs w:val="21"/>
          <w:highlight w:val="none"/>
        </w:rPr>
        <w:t>承包人是否提供履约担保：</w:t>
      </w:r>
      <w:r>
        <w:rPr>
          <w:rFonts w:hint="eastAsia" w:ascii="宋体" w:cs="宋体"/>
          <w:szCs w:val="21"/>
          <w:highlight w:val="none"/>
          <w:u w:val="single"/>
        </w:rPr>
        <w:t xml:space="preserve"> </w:t>
      </w:r>
      <w:r>
        <w:rPr>
          <w:rFonts w:hint="eastAsia" w:ascii="宋体" w:hAnsi="宋体" w:cs="宋体"/>
          <w:color w:val="000000"/>
          <w:szCs w:val="21"/>
          <w:highlight w:val="none"/>
          <w:u w:val="single"/>
        </w:rPr>
        <w:t>提供</w:t>
      </w:r>
      <w:r>
        <w:rPr>
          <w:rFonts w:hint="eastAsia" w:ascii="宋体" w:cs="宋体"/>
          <w:szCs w:val="21"/>
          <w:highlight w:val="none"/>
          <w:u w:val="single"/>
        </w:rPr>
        <w:t xml:space="preserve">  </w:t>
      </w:r>
      <w:r>
        <w:rPr>
          <w:rFonts w:hint="eastAsia" w:ascii="宋体" w:cs="宋体"/>
          <w:szCs w:val="21"/>
          <w:highlight w:val="none"/>
        </w:rPr>
        <w:t>。</w:t>
      </w:r>
    </w:p>
    <w:p w14:paraId="683A46A0">
      <w:pPr>
        <w:tabs>
          <w:tab w:val="left" w:pos="7740"/>
        </w:tabs>
        <w:snapToGrid w:val="0"/>
        <w:spacing w:line="440" w:lineRule="exact"/>
        <w:ind w:firstLine="420" w:firstLineChars="200"/>
        <w:rPr>
          <w:rFonts w:hint="eastAsia" w:ascii="宋体" w:cs="宋体"/>
          <w:szCs w:val="21"/>
          <w:highlight w:val="none"/>
        </w:rPr>
      </w:pPr>
      <w:r>
        <w:rPr>
          <w:rFonts w:hint="eastAsia" w:ascii="宋体" w:cs="宋体"/>
          <w:szCs w:val="21"/>
          <w:highlight w:val="none"/>
        </w:rPr>
        <w:t>承包人提供履约担保的形式、金额及期限的：</w:t>
      </w:r>
      <w:r>
        <w:rPr>
          <w:rFonts w:hint="eastAsia" w:ascii="宋体" w:cs="宋体"/>
          <w:szCs w:val="21"/>
          <w:highlight w:val="none"/>
          <w:lang w:val="en-US" w:eastAsia="zh-CN"/>
        </w:rPr>
        <w:t>具体要求详见投标人须知前附表</w:t>
      </w:r>
      <w:r>
        <w:rPr>
          <w:rFonts w:hint="eastAsia" w:ascii="宋体" w:cs="宋体"/>
          <w:szCs w:val="21"/>
          <w:highlight w:val="none"/>
        </w:rPr>
        <w:t>。</w:t>
      </w:r>
    </w:p>
    <w:p w14:paraId="38296A20">
      <w:pPr>
        <w:tabs>
          <w:tab w:val="left" w:pos="7740"/>
        </w:tabs>
        <w:snapToGrid w:val="0"/>
        <w:spacing w:line="440" w:lineRule="exact"/>
        <w:ind w:firstLine="420" w:firstLineChars="200"/>
        <w:rPr>
          <w:rFonts w:hint="eastAsia" w:ascii="宋体" w:cs="宋体"/>
          <w:szCs w:val="21"/>
          <w:highlight w:val="none"/>
        </w:rPr>
      </w:pPr>
      <w:r>
        <w:rPr>
          <w:rFonts w:hint="eastAsia" w:ascii="宋体" w:cs="宋体"/>
          <w:szCs w:val="21"/>
          <w:highlight w:val="none"/>
        </w:rPr>
        <w:t>4. 监理人</w:t>
      </w:r>
    </w:p>
    <w:p w14:paraId="007344C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4.1监理人的一般规定</w:t>
      </w:r>
    </w:p>
    <w:p w14:paraId="09044A47">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关于监理人的监理内容：</w:t>
      </w:r>
      <w:r>
        <w:rPr>
          <w:rFonts w:hint="eastAsia" w:ascii="宋体" w:cs="宋体"/>
          <w:szCs w:val="21"/>
          <w:highlight w:val="none"/>
          <w:u w:val="single"/>
        </w:rPr>
        <w:t xml:space="preserve">  详见监理合同 </w:t>
      </w:r>
      <w:r>
        <w:rPr>
          <w:rFonts w:hint="eastAsia" w:ascii="宋体" w:cs="宋体"/>
          <w:szCs w:val="21"/>
          <w:highlight w:val="none"/>
        </w:rPr>
        <w:t>。</w:t>
      </w:r>
    </w:p>
    <w:p w14:paraId="7F628324">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关于监理人的监理权限：</w:t>
      </w:r>
      <w:r>
        <w:rPr>
          <w:rFonts w:hint="eastAsia" w:ascii="宋体" w:cs="宋体"/>
          <w:szCs w:val="21"/>
          <w:highlight w:val="none"/>
          <w:u w:val="single"/>
        </w:rPr>
        <w:t xml:space="preserve"> 发布开工令、停工令、复工令权；工程质量的监督权；工程上使用的材料和施工质量检验权、确认权；工程施工进度、安全的检查、监督权、发包人授权的处罚权；工程款支付的审核权；向承包人提出施工组织设计和技术方案的建议权；发包人和承包人间的组织协调的主持权；撤换不合格的工程建设分包单位和项目负责人及有关人员的建议权；分包单位资质及能力的审查权；等等  </w:t>
      </w:r>
      <w:r>
        <w:rPr>
          <w:rFonts w:hint="eastAsia" w:ascii="宋体" w:cs="宋体"/>
          <w:szCs w:val="21"/>
          <w:highlight w:val="none"/>
        </w:rPr>
        <w:t xml:space="preserve">。 </w:t>
      </w:r>
    </w:p>
    <w:p w14:paraId="2993D52B">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关于监理人在施工现场的办公场所、生活场所的提供和费用承担的约定：</w:t>
      </w:r>
      <w:r>
        <w:rPr>
          <w:rFonts w:hint="eastAsia" w:ascii="宋体" w:cs="宋体"/>
          <w:szCs w:val="21"/>
          <w:highlight w:val="none"/>
          <w:u w:val="single"/>
        </w:rPr>
        <w:t>办公场所由承包人提供和承担，生活场所由监理人自行解决和承担 。</w:t>
      </w:r>
    </w:p>
    <w:p w14:paraId="68744750">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4.2 监理人员</w:t>
      </w:r>
    </w:p>
    <w:p w14:paraId="1A37E990">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总监理工程师：</w:t>
      </w:r>
    </w:p>
    <w:p w14:paraId="4683FF8C">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姓    名：</w:t>
      </w:r>
      <w:r>
        <w:rPr>
          <w:rFonts w:hint="eastAsia" w:ascii="宋体" w:cs="宋体"/>
          <w:szCs w:val="21"/>
          <w:highlight w:val="none"/>
          <w:u w:val="single"/>
        </w:rPr>
        <w:t>   </w:t>
      </w:r>
      <w:r>
        <w:rPr>
          <w:rFonts w:hint="eastAsia" w:ascii="宋体" w:cs="宋体"/>
          <w:szCs w:val="21"/>
          <w:highlight w:val="none"/>
        </w:rPr>
        <w:t>；</w:t>
      </w:r>
    </w:p>
    <w:p w14:paraId="5904DAFE">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职    务：</w:t>
      </w:r>
      <w:r>
        <w:rPr>
          <w:rFonts w:hint="eastAsia" w:ascii="宋体" w:cs="宋体"/>
          <w:szCs w:val="21"/>
          <w:highlight w:val="none"/>
          <w:u w:val="single"/>
        </w:rPr>
        <w:t>   </w:t>
      </w:r>
      <w:r>
        <w:rPr>
          <w:rFonts w:hint="eastAsia" w:ascii="宋体" w:cs="宋体"/>
          <w:szCs w:val="21"/>
          <w:highlight w:val="none"/>
        </w:rPr>
        <w:t>；</w:t>
      </w:r>
    </w:p>
    <w:p w14:paraId="58C9F6F8">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监理工程师执业资格证书号：</w:t>
      </w:r>
      <w:r>
        <w:rPr>
          <w:rFonts w:hint="eastAsia" w:ascii="宋体" w:cs="宋体"/>
          <w:szCs w:val="21"/>
          <w:highlight w:val="none"/>
          <w:u w:val="single"/>
        </w:rPr>
        <w:t> </w:t>
      </w:r>
      <w:r>
        <w:rPr>
          <w:rFonts w:hint="eastAsia" w:ascii="宋体" w:cs="宋体"/>
          <w:szCs w:val="21"/>
          <w:highlight w:val="none"/>
        </w:rPr>
        <w:t>；</w:t>
      </w:r>
    </w:p>
    <w:p w14:paraId="56E09EDD">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联系电话：</w:t>
      </w:r>
      <w:r>
        <w:rPr>
          <w:rFonts w:hint="eastAsia" w:ascii="宋体" w:cs="宋体"/>
          <w:szCs w:val="21"/>
          <w:highlight w:val="none"/>
          <w:u w:val="single"/>
        </w:rPr>
        <w:t>   </w:t>
      </w:r>
      <w:r>
        <w:rPr>
          <w:rFonts w:hint="eastAsia" w:ascii="宋体" w:cs="宋体"/>
          <w:szCs w:val="21"/>
          <w:highlight w:val="none"/>
        </w:rPr>
        <w:t>；</w:t>
      </w:r>
    </w:p>
    <w:p w14:paraId="44319910">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电子信箱：</w:t>
      </w:r>
      <w:r>
        <w:rPr>
          <w:rFonts w:hint="eastAsia" w:ascii="宋体" w:cs="宋体"/>
          <w:szCs w:val="21"/>
          <w:highlight w:val="none"/>
          <w:u w:val="single"/>
        </w:rPr>
        <w:t>   </w:t>
      </w:r>
      <w:r>
        <w:rPr>
          <w:rFonts w:hint="eastAsia" w:ascii="宋体" w:cs="宋体"/>
          <w:szCs w:val="21"/>
          <w:highlight w:val="none"/>
        </w:rPr>
        <w:t>；</w:t>
      </w:r>
    </w:p>
    <w:p w14:paraId="7B91E098">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通信地址：</w:t>
      </w:r>
      <w:r>
        <w:rPr>
          <w:rFonts w:hint="eastAsia" w:ascii="宋体" w:cs="宋体"/>
          <w:szCs w:val="21"/>
          <w:highlight w:val="none"/>
          <w:u w:val="single"/>
        </w:rPr>
        <w:t>   </w:t>
      </w:r>
      <w:r>
        <w:rPr>
          <w:rFonts w:hint="eastAsia" w:ascii="宋体" w:cs="宋体"/>
          <w:szCs w:val="21"/>
          <w:highlight w:val="none"/>
        </w:rPr>
        <w:t>；</w:t>
      </w:r>
    </w:p>
    <w:p w14:paraId="7C3A346F">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关于监理人的其他约定：</w:t>
      </w:r>
      <w:r>
        <w:rPr>
          <w:rFonts w:hint="eastAsia" w:ascii="宋体" w:cs="宋体"/>
          <w:szCs w:val="21"/>
          <w:highlight w:val="none"/>
          <w:u w:val="single"/>
        </w:rPr>
        <w:t>   </w:t>
      </w:r>
      <w:r>
        <w:rPr>
          <w:rFonts w:hint="eastAsia" w:ascii="宋体" w:cs="宋体"/>
          <w:szCs w:val="21"/>
          <w:highlight w:val="none"/>
        </w:rPr>
        <w:t>。</w:t>
      </w:r>
    </w:p>
    <w:p w14:paraId="436AC60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4.4 商定或确定</w:t>
      </w:r>
    </w:p>
    <w:p w14:paraId="25D9F5A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在发包人和承包人不能通过协商达成一致意见时，发包人授权监理人对以下事项进行确定：</w:t>
      </w:r>
    </w:p>
    <w:p w14:paraId="5D80E276">
      <w:pPr>
        <w:autoSpaceDE w:val="0"/>
        <w:autoSpaceDN w:val="0"/>
        <w:adjustRightInd w:val="0"/>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（1）</w:t>
      </w:r>
      <w:r>
        <w:rPr>
          <w:rFonts w:hint="eastAsia" w:ascii="宋体" w:cs="宋体"/>
          <w:szCs w:val="21"/>
          <w:highlight w:val="none"/>
          <w:u w:val="single"/>
        </w:rPr>
        <w:t xml:space="preserve">   施工方案    </w:t>
      </w:r>
      <w:r>
        <w:rPr>
          <w:rFonts w:hint="eastAsia" w:ascii="宋体" w:cs="宋体"/>
          <w:szCs w:val="21"/>
          <w:highlight w:val="none"/>
        </w:rPr>
        <w:t>；</w:t>
      </w:r>
    </w:p>
    <w:p w14:paraId="47EE63B8">
      <w:pPr>
        <w:autoSpaceDE w:val="0"/>
        <w:autoSpaceDN w:val="0"/>
        <w:adjustRightInd w:val="0"/>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（2）</w:t>
      </w:r>
      <w:r>
        <w:rPr>
          <w:rFonts w:hint="eastAsia" w:ascii="宋体" w:cs="宋体"/>
          <w:szCs w:val="21"/>
          <w:highlight w:val="none"/>
          <w:u w:val="single"/>
        </w:rPr>
        <w:t xml:space="preserve">   索赔事项等    </w:t>
      </w:r>
      <w:r>
        <w:rPr>
          <w:rFonts w:hint="eastAsia" w:ascii="宋体" w:cs="宋体"/>
          <w:szCs w:val="21"/>
          <w:highlight w:val="none"/>
        </w:rPr>
        <w:t>；</w:t>
      </w:r>
    </w:p>
    <w:p w14:paraId="0B4B73F6">
      <w:pPr>
        <w:pStyle w:val="5"/>
        <w:snapToGrid w:val="0"/>
        <w:spacing w:before="0" w:after="0" w:line="44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5. 工程质量</w:t>
      </w:r>
    </w:p>
    <w:p w14:paraId="725B46FA">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5.1 质量要求</w:t>
      </w:r>
    </w:p>
    <w:p w14:paraId="7F8BE9EA">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5.1.1 特殊质量标准和要求：</w:t>
      </w:r>
      <w:r>
        <w:rPr>
          <w:rFonts w:hint="eastAsia" w:ascii="宋体" w:cs="宋体"/>
          <w:szCs w:val="21"/>
          <w:highlight w:val="none"/>
          <w:u w:val="single"/>
        </w:rPr>
        <w:t xml:space="preserve"> 工程质量必须达到国家工程施工质量验收 合格 标准。 </w:t>
      </w:r>
    </w:p>
    <w:p w14:paraId="52928622">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关于工程奖项的约定：</w:t>
      </w:r>
      <w:r>
        <w:rPr>
          <w:rFonts w:hint="eastAsia" w:ascii="宋体" w:cs="宋体"/>
          <w:szCs w:val="21"/>
          <w:highlight w:val="none"/>
          <w:u w:val="single"/>
        </w:rPr>
        <w:t xml:space="preserve"> / </w:t>
      </w:r>
      <w:r>
        <w:rPr>
          <w:rFonts w:hint="eastAsia" w:ascii="宋体" w:cs="宋体"/>
          <w:szCs w:val="21"/>
          <w:highlight w:val="none"/>
        </w:rPr>
        <w:t>。</w:t>
      </w:r>
    </w:p>
    <w:p w14:paraId="3694409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5.3 隐蔽工程检查</w:t>
      </w:r>
    </w:p>
    <w:p w14:paraId="7AE23F5E">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5.3.1隐蔽工程隐蔽前，承包人应当对工程隐蔽部位进行自检，并经自检确认是否具备覆盖条件。</w:t>
      </w:r>
    </w:p>
    <w:p w14:paraId="468BA8AC">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5.3.2承包人提前通知监理人隐蔽工程检查的期限的约定：工程隐蔽部位经承包人自检确认具备覆盖条件的，承包人应在共同检查前6小时书面通知监理人检查，通知中应载明隐蔽检查的内容、时间和地点，并应附有自检记录和必要的检查资料。</w:t>
      </w:r>
    </w:p>
    <w:p w14:paraId="452C67A7">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监理人应按时到场并对隐蔽工程及其施工工艺、材料和工程设备进行检查。经监理人检查确认质量符合隐蔽要求，并在验收记录上签字后，承包人才能进行覆盖。经</w:t>
      </w:r>
      <w:r>
        <w:rPr>
          <w:rFonts w:hint="eastAsia" w:ascii="宋体" w:hAnsi="Times New Roman" w:eastAsia="宋体" w:cs="宋体"/>
          <w:szCs w:val="21"/>
          <w:highlight w:val="none"/>
        </w:rPr>
        <w:t>监理人</w:t>
      </w:r>
      <w:r>
        <w:rPr>
          <w:rFonts w:hint="eastAsia" w:ascii="宋体" w:cs="宋体"/>
          <w:szCs w:val="21"/>
          <w:highlight w:val="none"/>
        </w:rPr>
        <w:t>检查质量不合格的，承包人应在</w:t>
      </w:r>
      <w:r>
        <w:rPr>
          <w:rFonts w:hint="eastAsia" w:ascii="宋体" w:hAnsi="Times New Roman" w:eastAsia="宋体" w:cs="宋体"/>
          <w:szCs w:val="21"/>
          <w:highlight w:val="none"/>
        </w:rPr>
        <w:t>监理人</w:t>
      </w:r>
      <w:r>
        <w:rPr>
          <w:rFonts w:hint="eastAsia" w:ascii="宋体" w:cs="宋体"/>
          <w:szCs w:val="21"/>
          <w:highlight w:val="none"/>
        </w:rPr>
        <w:t>指示的时间内完成修复，并由</w:t>
      </w:r>
      <w:r>
        <w:rPr>
          <w:rFonts w:hint="eastAsia" w:ascii="宋体" w:hAnsi="Times New Roman" w:eastAsia="宋体" w:cs="宋体"/>
          <w:szCs w:val="21"/>
          <w:highlight w:val="none"/>
        </w:rPr>
        <w:t>监理人</w:t>
      </w:r>
      <w:r>
        <w:rPr>
          <w:rFonts w:hint="eastAsia" w:ascii="宋体" w:cs="宋体"/>
          <w:szCs w:val="21"/>
          <w:highlight w:val="none"/>
        </w:rPr>
        <w:t>重新检查，由此增加的费用和（或）延误的工期由承包人承担。</w:t>
      </w:r>
    </w:p>
    <w:p w14:paraId="461D35E2">
      <w:pPr>
        <w:snapToGrid w:val="0"/>
        <w:spacing w:line="440" w:lineRule="exact"/>
        <w:ind w:firstLine="420" w:firstLineChars="200"/>
        <w:jc w:val="left"/>
        <w:rPr>
          <w:rFonts w:hint="eastAsia" w:ascii="宋体" w:cs="宋体"/>
          <w:szCs w:val="21"/>
          <w:highlight w:val="none"/>
        </w:rPr>
      </w:pPr>
      <w:r>
        <w:rPr>
          <w:rFonts w:hint="eastAsia" w:ascii="宋体" w:hAnsi="Times New Roman" w:eastAsia="宋体" w:cs="宋体"/>
          <w:szCs w:val="21"/>
          <w:highlight w:val="none"/>
        </w:rPr>
        <w:t>监理人</w:t>
      </w:r>
      <w:r>
        <w:rPr>
          <w:rFonts w:hint="eastAsia" w:ascii="宋体" w:cs="宋体"/>
          <w:szCs w:val="21"/>
          <w:highlight w:val="none"/>
        </w:rPr>
        <w:t>不能按时进行检查的，应在检查前3小时向承包人提交书面延期要求，但延期不能超过6小时，由此导致工期延误的，工期应予以顺延。</w:t>
      </w:r>
      <w:r>
        <w:rPr>
          <w:rFonts w:hint="eastAsia" w:ascii="宋体" w:hAnsi="Times New Roman" w:eastAsia="宋体" w:cs="宋体"/>
          <w:szCs w:val="21"/>
          <w:highlight w:val="none"/>
        </w:rPr>
        <w:t>监理人</w:t>
      </w:r>
      <w:r>
        <w:rPr>
          <w:rFonts w:hint="eastAsia" w:ascii="宋体" w:cs="宋体"/>
          <w:szCs w:val="21"/>
          <w:highlight w:val="none"/>
        </w:rPr>
        <w:t>未按时进行检查，也未提出延期要求的，视为隐蔽工程检查合格，承包人可自行完成覆盖工作，并作相应记录报送监理人，</w:t>
      </w:r>
      <w:r>
        <w:rPr>
          <w:rFonts w:hint="eastAsia" w:ascii="宋体" w:hAnsi="Times New Roman" w:eastAsia="宋体" w:cs="宋体"/>
          <w:szCs w:val="21"/>
          <w:highlight w:val="none"/>
        </w:rPr>
        <w:t>监理人</w:t>
      </w:r>
      <w:r>
        <w:rPr>
          <w:rFonts w:hint="eastAsia" w:ascii="宋体" w:cs="宋体"/>
          <w:szCs w:val="21"/>
          <w:highlight w:val="none"/>
        </w:rPr>
        <w:t>应签字确认。</w:t>
      </w:r>
      <w:r>
        <w:rPr>
          <w:rFonts w:hint="eastAsia" w:ascii="宋体" w:hAnsi="Times New Roman" w:eastAsia="宋体" w:cs="宋体"/>
          <w:szCs w:val="21"/>
          <w:highlight w:val="none"/>
        </w:rPr>
        <w:t>监理人</w:t>
      </w:r>
      <w:r>
        <w:rPr>
          <w:rFonts w:hint="eastAsia" w:ascii="宋体" w:cs="宋体"/>
          <w:szCs w:val="21"/>
          <w:highlight w:val="none"/>
        </w:rPr>
        <w:t>事后对检查记录有疑问的，可按第5.3.3项〔重新检查〕的约定重新检查。</w:t>
      </w:r>
    </w:p>
    <w:p w14:paraId="353C5C0A">
      <w:pPr>
        <w:snapToGrid w:val="0"/>
        <w:spacing w:line="440" w:lineRule="exact"/>
        <w:ind w:firstLine="420" w:firstLineChars="200"/>
        <w:jc w:val="left"/>
        <w:rPr>
          <w:rFonts w:hint="eastAsia" w:ascii="宋体" w:cs="宋体"/>
          <w:szCs w:val="21"/>
          <w:highlight w:val="none"/>
        </w:rPr>
      </w:pPr>
      <w:r>
        <w:rPr>
          <w:rFonts w:hint="eastAsia" w:ascii="宋体" w:hAnsi="Times New Roman" w:eastAsia="宋体" w:cs="宋体"/>
          <w:szCs w:val="21"/>
          <w:highlight w:val="none"/>
        </w:rPr>
        <w:t>监理人</w:t>
      </w:r>
      <w:r>
        <w:rPr>
          <w:rFonts w:hint="eastAsia" w:ascii="宋体" w:cs="宋体"/>
          <w:szCs w:val="21"/>
          <w:highlight w:val="none"/>
        </w:rPr>
        <w:t>不能按时进行检查时，应提前</w:t>
      </w:r>
      <w:r>
        <w:rPr>
          <w:rFonts w:hint="eastAsia" w:ascii="宋体" w:cs="宋体"/>
          <w:szCs w:val="21"/>
          <w:highlight w:val="none"/>
          <w:u w:val="single"/>
        </w:rPr>
        <w:t xml:space="preserve">  3  </w:t>
      </w:r>
      <w:r>
        <w:rPr>
          <w:rFonts w:hint="eastAsia" w:ascii="宋体" w:cs="宋体"/>
          <w:szCs w:val="21"/>
          <w:highlight w:val="none"/>
        </w:rPr>
        <w:t>小时提交书面延期要求。</w:t>
      </w:r>
    </w:p>
    <w:p w14:paraId="7A50A7D7">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关于延期最长不得超过：</w:t>
      </w:r>
      <w:r>
        <w:rPr>
          <w:rFonts w:hint="eastAsia" w:ascii="宋体" w:cs="宋体"/>
          <w:szCs w:val="21"/>
          <w:highlight w:val="none"/>
          <w:u w:val="single"/>
        </w:rPr>
        <w:t xml:space="preserve">  6  </w:t>
      </w:r>
      <w:r>
        <w:rPr>
          <w:rFonts w:hint="eastAsia" w:ascii="宋体" w:cs="宋体"/>
          <w:szCs w:val="21"/>
          <w:highlight w:val="none"/>
        </w:rPr>
        <w:t>小时。</w:t>
      </w:r>
    </w:p>
    <w:p w14:paraId="1F4986B0">
      <w:pPr>
        <w:pStyle w:val="5"/>
        <w:tabs>
          <w:tab w:val="left" w:pos="3315"/>
        </w:tabs>
        <w:snapToGrid w:val="0"/>
        <w:spacing w:before="0" w:after="0" w:line="44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6. 安全文明施工与环境保护</w:t>
      </w:r>
      <w:r>
        <w:rPr>
          <w:rFonts w:hint="eastAsia" w:ascii="宋体" w:eastAsia="宋体" w:cs="宋体"/>
          <w:b w:val="0"/>
          <w:sz w:val="21"/>
          <w:szCs w:val="21"/>
          <w:highlight w:val="none"/>
        </w:rPr>
        <w:tab/>
      </w:r>
    </w:p>
    <w:p w14:paraId="09FD88B5">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6.1安全文明施工</w:t>
      </w:r>
    </w:p>
    <w:p w14:paraId="7B5AA553">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6.1.1 项目安全生产的达标目标及相应事项的约定</w:t>
      </w:r>
      <w:r>
        <w:rPr>
          <w:rFonts w:hint="eastAsia" w:ascii="宋体" w:cs="宋体"/>
          <w:szCs w:val="21"/>
          <w:highlight w:val="none"/>
          <w:u w:val="single"/>
        </w:rPr>
        <w:t xml:space="preserve">  /    。</w:t>
      </w:r>
    </w:p>
    <w:p w14:paraId="4907B10C">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6.1.4 关于治安保卫的特别约定：</w:t>
      </w:r>
      <w:r>
        <w:rPr>
          <w:rFonts w:hint="eastAsia" w:ascii="宋体" w:cs="宋体"/>
          <w:szCs w:val="21"/>
          <w:highlight w:val="none"/>
          <w:u w:val="single"/>
        </w:rPr>
        <w:t xml:space="preserve"> 发包人应与当地公安部门协商，在现场建立治安管理机构或联防组织，统一管理施工场地的治安保卫事项，履行合同工程的治安保卫职责。发包人和承包人除应协助现场治安管理机构或联防组织维护施工场地的社会治安外，还应做好包括生活区在内的各自管辖区的治安保卫工作。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75767E2F">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关于编制施工场地治安管理计划的约定：</w:t>
      </w:r>
      <w:r>
        <w:rPr>
          <w:rFonts w:hint="eastAsia" w:ascii="宋体" w:cs="宋体"/>
          <w:szCs w:val="21"/>
          <w:highlight w:val="none"/>
          <w:u w:val="single"/>
        </w:rPr>
        <w:t xml:space="preserve">   由承包人负责       </w:t>
      </w:r>
      <w:r>
        <w:rPr>
          <w:rFonts w:hint="eastAsia" w:ascii="宋体" w:cs="宋体"/>
          <w:szCs w:val="21"/>
          <w:highlight w:val="none"/>
        </w:rPr>
        <w:t>。</w:t>
      </w:r>
    </w:p>
    <w:p w14:paraId="471254C5">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6.1.5 文明施工</w:t>
      </w:r>
    </w:p>
    <w:p w14:paraId="531A3B2F">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合同当事人对文明施工的要求：</w:t>
      </w:r>
      <w:r>
        <w:rPr>
          <w:rFonts w:hint="eastAsia" w:ascii="宋体" w:cs="宋体"/>
          <w:szCs w:val="21"/>
          <w:highlight w:val="none"/>
          <w:u w:val="single"/>
        </w:rPr>
        <w:t xml:space="preserve">   执行</w:t>
      </w:r>
      <w:r>
        <w:rPr>
          <w:rFonts w:hint="eastAsia" w:ascii="宋体" w:cs="宋体"/>
          <w:szCs w:val="21"/>
          <w:highlight w:val="none"/>
          <w:u w:val="single"/>
          <w:lang w:val="en-US" w:eastAsia="zh-CN"/>
        </w:rPr>
        <w:t>招标</w:t>
      </w:r>
      <w:r>
        <w:rPr>
          <w:rFonts w:hint="eastAsia" w:ascii="宋体" w:cs="宋体"/>
          <w:szCs w:val="21"/>
          <w:highlight w:val="none"/>
          <w:u w:val="single"/>
        </w:rPr>
        <w:t xml:space="preserve">文件   </w:t>
      </w:r>
      <w:r>
        <w:rPr>
          <w:rFonts w:hint="eastAsia" w:ascii="宋体" w:cs="宋体"/>
          <w:szCs w:val="21"/>
          <w:highlight w:val="none"/>
        </w:rPr>
        <w:t>。</w:t>
      </w:r>
    </w:p>
    <w:p w14:paraId="2873FDB8">
      <w:pPr>
        <w:snapToGrid w:val="0"/>
        <w:spacing w:line="440" w:lineRule="exact"/>
        <w:ind w:firstLine="420" w:firstLineChars="200"/>
        <w:jc w:val="left"/>
        <w:rPr>
          <w:rFonts w:hint="eastAsia" w:ascii="宋体" w:hAnsi="宋体" w:cs="宋体"/>
          <w:bCs/>
          <w:szCs w:val="21"/>
          <w:highlight w:val="none"/>
          <w:u w:val="single"/>
        </w:rPr>
      </w:pPr>
      <w:r>
        <w:rPr>
          <w:rFonts w:hint="eastAsia" w:ascii="宋体" w:hAnsi="宋体" w:cs="宋体"/>
          <w:bCs/>
          <w:szCs w:val="21"/>
          <w:highlight w:val="none"/>
        </w:rPr>
        <w:t>6.1.6 关于安全文明施工费支付比例和支付期限的约定：</w:t>
      </w:r>
      <w:r>
        <w:rPr>
          <w:rFonts w:hint="eastAsia" w:ascii="宋体" w:hAnsi="宋体" w:cs="宋体"/>
          <w:bCs/>
          <w:szCs w:val="21"/>
          <w:highlight w:val="none"/>
          <w:u w:val="single"/>
        </w:rPr>
        <w:t>按照《关于落实&lt;市规建委关于规范建设工程安全防护和文明施工措施费使用管理的通知&gt;的意见》，支付方式为：房建工程基础验收合格后支付40%，主体结构施工</w:t>
      </w:r>
      <w:r>
        <w:rPr>
          <w:rFonts w:hint="eastAsia" w:ascii="宋体" w:hAnsi="宋体" w:cs="宋体"/>
          <w:bCs/>
          <w:szCs w:val="21"/>
          <w:highlight w:val="none"/>
          <w:u w:val="single"/>
          <w:lang w:val="en-US" w:eastAsia="zh-CN"/>
        </w:rPr>
        <w:t>封顶</w:t>
      </w:r>
      <w:r>
        <w:rPr>
          <w:rFonts w:hint="eastAsia" w:ascii="宋体" w:hAnsi="宋体" w:cs="宋体"/>
          <w:bCs/>
          <w:szCs w:val="21"/>
          <w:highlight w:val="none"/>
          <w:u w:val="single"/>
        </w:rPr>
        <w:t>支付40%，工程</w:t>
      </w:r>
      <w:r>
        <w:rPr>
          <w:rFonts w:hint="eastAsia" w:ascii="宋体" w:hAnsi="宋体" w:cs="宋体"/>
          <w:bCs/>
          <w:szCs w:val="21"/>
          <w:highlight w:val="none"/>
          <w:u w:val="single"/>
          <w:lang w:eastAsia="zh-CN"/>
        </w:rPr>
        <w:t>验收</w:t>
      </w:r>
      <w:r>
        <w:rPr>
          <w:rFonts w:hint="eastAsia" w:ascii="宋体" w:hAnsi="宋体" w:cs="宋体"/>
          <w:bCs/>
          <w:szCs w:val="21"/>
          <w:highlight w:val="none"/>
          <w:u w:val="single"/>
        </w:rPr>
        <w:t>合格支付剩余20%；市政基础设施工程正常开工并达到第一期工程请款条件时支付5</w:t>
      </w:r>
      <w:r>
        <w:rPr>
          <w:rFonts w:hint="eastAsia" w:ascii="宋体" w:hAnsi="宋体" w:cs="宋体"/>
          <w:bCs/>
          <w:color w:val="auto"/>
          <w:szCs w:val="21"/>
          <w:highlight w:val="none"/>
          <w:u w:val="single"/>
        </w:rPr>
        <w:t>0%，</w:t>
      </w:r>
      <w:r>
        <w:rPr>
          <w:rFonts w:hint="eastAsia" w:ascii="宋体" w:hAnsi="宋体" w:cs="宋体"/>
          <w:b w:val="0"/>
          <w:bCs/>
          <w:color w:val="auto"/>
          <w:szCs w:val="21"/>
          <w:highlight w:val="none"/>
          <w:u w:val="single"/>
        </w:rPr>
        <w:t>工程</w:t>
      </w:r>
      <w:r>
        <w:rPr>
          <w:rFonts w:hint="eastAsia" w:ascii="宋体" w:hAnsi="宋体" w:cs="宋体"/>
          <w:b w:val="0"/>
          <w:bCs/>
          <w:color w:val="auto"/>
          <w:szCs w:val="21"/>
          <w:highlight w:val="none"/>
          <w:u w:val="single"/>
          <w:lang w:eastAsia="zh-CN"/>
        </w:rPr>
        <w:t>验收</w:t>
      </w:r>
      <w:r>
        <w:rPr>
          <w:rFonts w:hint="eastAsia" w:ascii="宋体" w:hAnsi="宋体" w:cs="宋体"/>
          <w:b w:val="0"/>
          <w:bCs/>
          <w:color w:val="auto"/>
          <w:szCs w:val="21"/>
          <w:highlight w:val="none"/>
          <w:u w:val="single"/>
        </w:rPr>
        <w:t>合格后支付剩余50%</w:t>
      </w:r>
      <w:r>
        <w:rPr>
          <w:rFonts w:hint="eastAsia" w:ascii="宋体" w:hAnsi="宋体" w:cs="宋体"/>
          <w:b w:val="0"/>
          <w:bCs/>
          <w:szCs w:val="21"/>
          <w:highlight w:val="none"/>
          <w:u w:val="single"/>
        </w:rPr>
        <w:t>。该费用付至施</w:t>
      </w:r>
      <w:r>
        <w:rPr>
          <w:rFonts w:hint="eastAsia" w:ascii="宋体" w:hAnsi="宋体" w:cs="宋体"/>
          <w:bCs/>
          <w:szCs w:val="21"/>
          <w:highlight w:val="none"/>
          <w:u w:val="single"/>
        </w:rPr>
        <w:t>工企业在银行开立的专户。施工企业应当确保安全防护、文明施工措施费专款专用，在财务管理中单独列出安全防护、文明施工措施项目费用清单备查。</w:t>
      </w:r>
    </w:p>
    <w:p w14:paraId="7B42C225">
      <w:pPr>
        <w:pStyle w:val="5"/>
        <w:snapToGrid w:val="0"/>
        <w:spacing w:before="0" w:after="0" w:line="44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7. 工期和进度</w:t>
      </w:r>
    </w:p>
    <w:p w14:paraId="31B76BC6">
      <w:pPr>
        <w:tabs>
          <w:tab w:val="left" w:pos="3240"/>
        </w:tabs>
        <w:snapToGrid w:val="0"/>
        <w:spacing w:line="440" w:lineRule="exact"/>
        <w:ind w:firstLine="420" w:firstLineChars="200"/>
        <w:rPr>
          <w:rFonts w:hint="eastAsia" w:ascii="宋体" w:cs="宋体"/>
          <w:szCs w:val="21"/>
          <w:highlight w:val="none"/>
        </w:rPr>
      </w:pPr>
      <w:r>
        <w:rPr>
          <w:rFonts w:hint="eastAsia" w:ascii="宋体" w:cs="宋体"/>
          <w:szCs w:val="21"/>
          <w:highlight w:val="none"/>
        </w:rPr>
        <w:t>7.1 施工组织设计</w:t>
      </w:r>
      <w:r>
        <w:rPr>
          <w:rFonts w:hint="eastAsia" w:ascii="宋体" w:cs="宋体"/>
          <w:szCs w:val="21"/>
          <w:highlight w:val="none"/>
        </w:rPr>
        <w:tab/>
      </w:r>
    </w:p>
    <w:p w14:paraId="7C6BE0DC">
      <w:pPr>
        <w:autoSpaceDE w:val="0"/>
        <w:autoSpaceDN w:val="0"/>
        <w:adjustRightInd w:val="0"/>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7.1.1 （9）合</w:t>
      </w:r>
      <w:r>
        <w:rPr>
          <w:rFonts w:hint="eastAsia" w:ascii="宋体" w:cs="宋体"/>
          <w:kern w:val="0"/>
          <w:szCs w:val="21"/>
          <w:highlight w:val="none"/>
        </w:rPr>
        <w:t>同当事人约定的施工组织设计应包括的其他内容：</w:t>
      </w:r>
      <w:r>
        <w:rPr>
          <w:rFonts w:hint="eastAsia" w:ascii="宋体" w:cs="宋体"/>
          <w:szCs w:val="21"/>
          <w:highlight w:val="none"/>
          <w:u w:val="single"/>
        </w:rPr>
        <w:t xml:space="preserve"> </w:t>
      </w:r>
      <w:r>
        <w:rPr>
          <w:rFonts w:hint="eastAsia" w:ascii="宋体" w:hAnsi="宋体" w:cs="宋体"/>
          <w:color w:val="000000"/>
          <w:szCs w:val="21"/>
          <w:highlight w:val="none"/>
          <w:u w:val="single"/>
        </w:rPr>
        <w:t>总进度计划须含网络图、横道图</w:t>
      </w:r>
      <w:r>
        <w:rPr>
          <w:rFonts w:hint="eastAsia" w:ascii="宋体" w:cs="宋体"/>
          <w:szCs w:val="21"/>
          <w:highlight w:val="none"/>
          <w:u w:val="single"/>
        </w:rPr>
        <w:t xml:space="preserve">  </w:t>
      </w:r>
      <w:r>
        <w:rPr>
          <w:rFonts w:hint="eastAsia" w:ascii="宋体" w:cs="宋体"/>
          <w:szCs w:val="21"/>
          <w:highlight w:val="none"/>
        </w:rPr>
        <w:t>。</w:t>
      </w:r>
    </w:p>
    <w:p w14:paraId="447E4154">
      <w:pPr>
        <w:autoSpaceDE w:val="0"/>
        <w:autoSpaceDN w:val="0"/>
        <w:adjustRightInd w:val="0"/>
        <w:snapToGrid w:val="0"/>
        <w:spacing w:line="440" w:lineRule="exact"/>
        <w:ind w:firstLine="420" w:firstLineChars="200"/>
        <w:jc w:val="left"/>
        <w:rPr>
          <w:rFonts w:hint="eastAsia" w:ascii="宋体" w:cs="宋体"/>
          <w:kern w:val="0"/>
          <w:szCs w:val="21"/>
          <w:highlight w:val="none"/>
        </w:rPr>
      </w:pPr>
      <w:r>
        <w:rPr>
          <w:rFonts w:hint="eastAsia" w:ascii="宋体" w:cs="宋体"/>
          <w:szCs w:val="21"/>
          <w:highlight w:val="none"/>
        </w:rPr>
        <w:t xml:space="preserve">7.1.2 </w:t>
      </w:r>
      <w:r>
        <w:rPr>
          <w:rFonts w:hint="eastAsia" w:ascii="宋体" w:cs="宋体"/>
          <w:kern w:val="0"/>
          <w:szCs w:val="21"/>
          <w:highlight w:val="none"/>
        </w:rPr>
        <w:t>施工组织设计的提交和修改</w:t>
      </w:r>
    </w:p>
    <w:p w14:paraId="34820E1B">
      <w:pPr>
        <w:autoSpaceDE w:val="0"/>
        <w:autoSpaceDN w:val="0"/>
        <w:adjustRightInd w:val="0"/>
        <w:snapToGrid w:val="0"/>
        <w:spacing w:line="440" w:lineRule="exact"/>
        <w:ind w:firstLine="420" w:firstLineChars="200"/>
        <w:jc w:val="left"/>
        <w:rPr>
          <w:rFonts w:hint="eastAsia" w:ascii="宋体" w:cs="宋体"/>
          <w:szCs w:val="21"/>
          <w:highlight w:val="none"/>
        </w:rPr>
      </w:pPr>
      <w:r>
        <w:rPr>
          <w:rFonts w:hint="eastAsia" w:ascii="宋体" w:cs="宋体"/>
          <w:kern w:val="0"/>
          <w:szCs w:val="21"/>
          <w:highlight w:val="none"/>
        </w:rPr>
        <w:t>承包人提交详细施工组织设计的期限的约定：</w:t>
      </w:r>
      <w:r>
        <w:rPr>
          <w:rFonts w:hint="eastAsia" w:ascii="宋体" w:cs="宋体"/>
          <w:szCs w:val="21"/>
          <w:highlight w:val="none"/>
          <w:u w:val="single"/>
        </w:rPr>
        <w:t xml:space="preserve">图纸会审及设计交底后一周内提供标后实施性施工组织设计 </w:t>
      </w:r>
      <w:r>
        <w:rPr>
          <w:rFonts w:hint="eastAsia" w:ascii="宋体" w:cs="宋体"/>
          <w:szCs w:val="21"/>
          <w:highlight w:val="none"/>
        </w:rPr>
        <w:t>。</w:t>
      </w:r>
    </w:p>
    <w:p w14:paraId="1D955992">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发包人和监理人在收到详细的施工组织设计后确认或提出修改意见的期限：</w:t>
      </w:r>
      <w:r>
        <w:rPr>
          <w:rFonts w:hint="eastAsia" w:ascii="宋体" w:cs="宋体"/>
          <w:szCs w:val="21"/>
          <w:highlight w:val="none"/>
          <w:u w:val="single"/>
        </w:rPr>
        <w:t>发包人和监理人应在</w:t>
      </w:r>
      <w:r>
        <w:rPr>
          <w:rFonts w:hint="eastAsia" w:ascii="宋体" w:hAnsi="Times New Roman" w:eastAsia="宋体" w:cs="宋体"/>
          <w:szCs w:val="21"/>
          <w:highlight w:val="none"/>
          <w:u w:val="single"/>
        </w:rPr>
        <w:t>监理人</w:t>
      </w:r>
      <w:r>
        <w:rPr>
          <w:rFonts w:hint="eastAsia" w:ascii="宋体" w:cs="宋体"/>
          <w:szCs w:val="21"/>
          <w:highlight w:val="none"/>
          <w:u w:val="single"/>
        </w:rPr>
        <w:t>收到施工组织设计后7天内确认或提出修改意见。对发包人和</w:t>
      </w:r>
      <w:r>
        <w:rPr>
          <w:rFonts w:hint="eastAsia" w:ascii="宋体" w:hAnsi="Times New Roman" w:eastAsia="宋体" w:cs="宋体"/>
          <w:szCs w:val="21"/>
          <w:highlight w:val="none"/>
          <w:u w:val="single"/>
        </w:rPr>
        <w:t>监理人</w:t>
      </w:r>
      <w:r>
        <w:rPr>
          <w:rFonts w:hint="eastAsia" w:ascii="宋体" w:cs="宋体"/>
          <w:szCs w:val="21"/>
          <w:highlight w:val="none"/>
          <w:u w:val="single"/>
        </w:rPr>
        <w:t>提出的合理意见和要求，承包人应自费修改完善。根据工程实际情况需要修改施工组织设计的，承包人应向发包人和</w:t>
      </w:r>
      <w:r>
        <w:rPr>
          <w:rFonts w:hint="eastAsia" w:ascii="宋体" w:hAnsi="Times New Roman" w:eastAsia="宋体" w:cs="宋体"/>
          <w:szCs w:val="21"/>
          <w:highlight w:val="none"/>
          <w:u w:val="single"/>
        </w:rPr>
        <w:t>监理人</w:t>
      </w:r>
      <w:r>
        <w:rPr>
          <w:rFonts w:hint="eastAsia" w:ascii="宋体" w:cs="宋体"/>
          <w:szCs w:val="21"/>
          <w:highlight w:val="none"/>
          <w:u w:val="single"/>
        </w:rPr>
        <w:t>提交修改后的施工组织设计。</w:t>
      </w:r>
    </w:p>
    <w:p w14:paraId="58C5261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7.2 施工进度计划</w:t>
      </w:r>
    </w:p>
    <w:p w14:paraId="2B31F985">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7.2.2 施工进度计划的修订</w:t>
      </w:r>
    </w:p>
    <w:p w14:paraId="670071B5">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发包人和</w:t>
      </w:r>
      <w:r>
        <w:rPr>
          <w:rFonts w:hint="eastAsia" w:ascii="宋体" w:hAnsi="Times New Roman" w:eastAsia="宋体" w:cs="宋体"/>
          <w:szCs w:val="21"/>
          <w:highlight w:val="none"/>
          <w:u w:val="single"/>
        </w:rPr>
        <w:t>监理人</w:t>
      </w:r>
      <w:r>
        <w:rPr>
          <w:rFonts w:hint="eastAsia" w:ascii="宋体" w:cs="宋体"/>
          <w:szCs w:val="21"/>
          <w:highlight w:val="none"/>
        </w:rPr>
        <w:t>在收到修订的施工进度计划后确认或提出修改意见的期限：</w:t>
      </w:r>
      <w:r>
        <w:rPr>
          <w:rFonts w:hint="eastAsia" w:ascii="宋体" w:cs="宋体"/>
          <w:szCs w:val="21"/>
          <w:highlight w:val="none"/>
          <w:u w:val="single"/>
        </w:rPr>
        <w:t>发包人和</w:t>
      </w:r>
      <w:r>
        <w:rPr>
          <w:rFonts w:hint="eastAsia" w:ascii="宋体" w:hAnsi="Times New Roman" w:eastAsia="宋体" w:cs="宋体"/>
          <w:szCs w:val="21"/>
          <w:highlight w:val="none"/>
          <w:u w:val="single"/>
        </w:rPr>
        <w:t>监理人</w:t>
      </w:r>
      <w:r>
        <w:rPr>
          <w:rFonts w:hint="eastAsia" w:ascii="宋体" w:cs="宋体"/>
          <w:szCs w:val="21"/>
          <w:highlight w:val="none"/>
          <w:u w:val="single"/>
        </w:rPr>
        <w:t>应在收到修订的施工进度计划后7天内完成审核和批准或提出修改意见。发包人和</w:t>
      </w:r>
      <w:r>
        <w:rPr>
          <w:rFonts w:hint="eastAsia" w:ascii="宋体" w:hAnsi="Times New Roman" w:eastAsia="宋体" w:cs="宋体"/>
          <w:szCs w:val="21"/>
          <w:highlight w:val="none"/>
          <w:u w:val="single"/>
        </w:rPr>
        <w:t>监理人</w:t>
      </w:r>
      <w:r>
        <w:rPr>
          <w:rFonts w:hint="eastAsia" w:ascii="宋体" w:cs="宋体"/>
          <w:szCs w:val="21"/>
          <w:highlight w:val="none"/>
          <w:u w:val="single"/>
        </w:rPr>
        <w:t>对承包人提交的施工进度计划的确认，不能减轻或免除承包人根据法律规定和合同约定应承担的任何责任或义务。承包人必须按照批准的进度计划组织施工，接受发包人对进度的检查、监督，工程实际进展与进度计划不符时，应提供修改，调整后的进度计划及相应的措施报发包人批准后执行。</w:t>
      </w:r>
    </w:p>
    <w:p w14:paraId="62980897">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7.3 开工</w:t>
      </w:r>
    </w:p>
    <w:p w14:paraId="2B2F126F">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7.3.1 开工准备</w:t>
      </w:r>
    </w:p>
    <w:p w14:paraId="7A11D914">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关于承包人提交</w:t>
      </w:r>
      <w:r>
        <w:rPr>
          <w:rFonts w:hint="eastAsia" w:ascii="宋体" w:cs="宋体"/>
          <w:kern w:val="0"/>
          <w:szCs w:val="21"/>
          <w:highlight w:val="none"/>
        </w:rPr>
        <w:t>工程开工报审表的期限：</w:t>
      </w:r>
      <w:r>
        <w:rPr>
          <w:rFonts w:hint="eastAsia" w:ascii="宋体" w:cs="宋体"/>
          <w:szCs w:val="21"/>
          <w:highlight w:val="none"/>
          <w:u w:val="single"/>
        </w:rPr>
        <w:t xml:space="preserve"> 承包人应按照第7.1款〔施工组织设计〕约定的期限，向</w:t>
      </w:r>
      <w:r>
        <w:rPr>
          <w:rFonts w:hint="eastAsia" w:ascii="宋体" w:hAnsi="Times New Roman" w:eastAsia="宋体" w:cs="宋体"/>
          <w:szCs w:val="21"/>
          <w:highlight w:val="none"/>
          <w:u w:val="single"/>
        </w:rPr>
        <w:t>监理人</w:t>
      </w:r>
      <w:r>
        <w:rPr>
          <w:rFonts w:hint="eastAsia" w:ascii="宋体" w:cs="宋体"/>
          <w:szCs w:val="21"/>
          <w:highlight w:val="none"/>
          <w:u w:val="single"/>
        </w:rPr>
        <w:t>提交工程开工报审表，经</w:t>
      </w:r>
      <w:r>
        <w:rPr>
          <w:rFonts w:hint="eastAsia" w:ascii="宋体" w:hAnsi="Times New Roman" w:eastAsia="宋体" w:cs="宋体"/>
          <w:szCs w:val="21"/>
          <w:highlight w:val="none"/>
          <w:u w:val="single"/>
        </w:rPr>
        <w:t>监理人</w:t>
      </w:r>
      <w:r>
        <w:rPr>
          <w:rFonts w:hint="eastAsia" w:ascii="宋体" w:cs="宋体"/>
          <w:szCs w:val="21"/>
          <w:highlight w:val="none"/>
          <w:u w:val="single"/>
        </w:rPr>
        <w:t>报发包人批准后执行。开工报审表应详细说明按施工进度计划正常施工所需的施工道路、临时设施、材料、工程设备、施工设备、施工人员等落实情况以及工程的进度安排。</w:t>
      </w:r>
    </w:p>
    <w:p w14:paraId="53B6030B">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关于承包人应完成的其他开工准备工作及期限：</w:t>
      </w:r>
      <w:r>
        <w:rPr>
          <w:rFonts w:hint="eastAsia" w:ascii="宋体" w:cs="宋体"/>
          <w:szCs w:val="21"/>
          <w:highlight w:val="none"/>
          <w:u w:val="single"/>
        </w:rPr>
        <w:t>合同当事人应按约定完成开工准备工作。</w:t>
      </w:r>
    </w:p>
    <w:p w14:paraId="58018775">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7.3.2开工通知</w:t>
      </w:r>
    </w:p>
    <w:p w14:paraId="1D19E8AF">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因发包人原因造成</w:t>
      </w:r>
      <w:r>
        <w:rPr>
          <w:rFonts w:hint="eastAsia" w:ascii="宋体" w:hAnsi="Times New Roman" w:eastAsia="宋体" w:cs="宋体"/>
          <w:szCs w:val="21"/>
          <w:highlight w:val="none"/>
          <w:u w:val="single"/>
        </w:rPr>
        <w:t>监理人</w:t>
      </w:r>
      <w:r>
        <w:rPr>
          <w:rFonts w:hint="eastAsia" w:ascii="宋体" w:cs="宋体"/>
          <w:szCs w:val="21"/>
          <w:highlight w:val="none"/>
        </w:rPr>
        <w:t>未能在计划开工日期之日起</w:t>
      </w:r>
      <w:r>
        <w:rPr>
          <w:rFonts w:hint="eastAsia" w:ascii="宋体" w:cs="宋体"/>
          <w:szCs w:val="21"/>
          <w:highlight w:val="none"/>
          <w:u w:val="single"/>
        </w:rPr>
        <w:t xml:space="preserve">  90  </w:t>
      </w:r>
      <w:r>
        <w:rPr>
          <w:rFonts w:hint="eastAsia" w:ascii="宋体" w:cs="宋体"/>
          <w:szCs w:val="21"/>
          <w:highlight w:val="none"/>
        </w:rPr>
        <w:t>天内发出开工通知的，承包人有权提出价格调整要求，或者解除合同。</w:t>
      </w:r>
    </w:p>
    <w:p w14:paraId="42564535">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7.4 测量放线</w:t>
      </w:r>
    </w:p>
    <w:p w14:paraId="72BAFC92">
      <w:pPr>
        <w:snapToGrid w:val="0"/>
        <w:spacing w:line="440" w:lineRule="exact"/>
        <w:ind w:firstLine="420" w:firstLineChars="200"/>
        <w:jc w:val="left"/>
        <w:rPr>
          <w:rFonts w:hint="eastAsia" w:ascii="宋体" w:hAnsi="宋体" w:cs="宋体"/>
          <w:highlight w:val="none"/>
        </w:rPr>
      </w:pPr>
      <w:r>
        <w:rPr>
          <w:rFonts w:hint="eastAsia" w:ascii="宋体" w:cs="宋体"/>
          <w:szCs w:val="21"/>
          <w:highlight w:val="none"/>
        </w:rPr>
        <w:t>7.4.1发包人通过</w:t>
      </w:r>
      <w:r>
        <w:rPr>
          <w:rFonts w:hint="eastAsia" w:ascii="宋体" w:hAnsi="Times New Roman" w:eastAsia="宋体" w:cs="宋体"/>
          <w:szCs w:val="21"/>
          <w:highlight w:val="none"/>
          <w:u w:val="single"/>
        </w:rPr>
        <w:t>监理人</w:t>
      </w:r>
      <w:r>
        <w:rPr>
          <w:rFonts w:hint="eastAsia" w:ascii="宋体" w:cs="宋体"/>
          <w:szCs w:val="21"/>
          <w:highlight w:val="none"/>
        </w:rPr>
        <w:t>向承包人提供测量基准点、基准线和水准点及其书面资料的期限：</w:t>
      </w:r>
      <w:r>
        <w:rPr>
          <w:rFonts w:hint="eastAsia" w:ascii="宋体" w:cs="宋体"/>
          <w:szCs w:val="21"/>
          <w:highlight w:val="none"/>
          <w:u w:val="single"/>
        </w:rPr>
        <w:t xml:space="preserve"> </w:t>
      </w:r>
      <w:r>
        <w:rPr>
          <w:rFonts w:hint="eastAsia" w:ascii="宋体" w:hAnsi="宋体" w:cs="宋体"/>
          <w:highlight w:val="none"/>
          <w:u w:val="single"/>
        </w:rPr>
        <w:t>发包人应在至迟不得晚于第7.3.2项〔开工通知〕载明的开工日期前7天通过</w:t>
      </w:r>
      <w:r>
        <w:rPr>
          <w:rFonts w:hint="eastAsia" w:ascii="宋体" w:hAnsi="Times New Roman" w:eastAsia="宋体" w:cs="宋体"/>
          <w:szCs w:val="21"/>
          <w:highlight w:val="none"/>
          <w:u w:val="single"/>
        </w:rPr>
        <w:t>监理人</w:t>
      </w:r>
      <w:r>
        <w:rPr>
          <w:rFonts w:hint="eastAsia" w:ascii="宋体" w:hAnsi="宋体" w:cs="宋体"/>
          <w:highlight w:val="none"/>
          <w:u w:val="single"/>
        </w:rPr>
        <w:t>向承包人提供测量基准点、基准线和水准点及其书面资料。发包人应对其提供的测量基准点、基准线和水准点及其书面资料的真实性、准确性和完整性负责。</w:t>
      </w:r>
    </w:p>
    <w:p w14:paraId="32B2DD48">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7.5 工期延误</w:t>
      </w:r>
    </w:p>
    <w:p w14:paraId="11A63017">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7.5.1 因发包人原因导致工期延误</w:t>
      </w:r>
    </w:p>
    <w:p w14:paraId="16126CC6">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（7）因发包人原因导致工期延误的其他情形：</w:t>
      </w:r>
      <w:r>
        <w:rPr>
          <w:rFonts w:hint="eastAsia" w:ascii="宋体" w:cs="宋体"/>
          <w:szCs w:val="21"/>
          <w:highlight w:val="none"/>
          <w:u w:val="single"/>
        </w:rPr>
        <w:t xml:space="preserve"> 无     。</w:t>
      </w:r>
      <w:r>
        <w:rPr>
          <w:rFonts w:hint="eastAsia" w:ascii="宋体" w:cs="宋体"/>
          <w:szCs w:val="21"/>
          <w:highlight w:val="none"/>
        </w:rPr>
        <w:t xml:space="preserve">        </w:t>
      </w:r>
    </w:p>
    <w:p w14:paraId="1D361BB2">
      <w:pPr>
        <w:snapToGrid w:val="0"/>
        <w:spacing w:line="440" w:lineRule="exact"/>
        <w:ind w:firstLine="420" w:firstLineChars="200"/>
        <w:jc w:val="left"/>
        <w:rPr>
          <w:rFonts w:hint="eastAsia" w:ascii="宋体" w:cs="宋体"/>
          <w:color w:val="auto"/>
          <w:szCs w:val="21"/>
          <w:highlight w:val="none"/>
        </w:rPr>
      </w:pPr>
      <w:r>
        <w:rPr>
          <w:rFonts w:hint="eastAsia" w:ascii="宋体" w:cs="宋体"/>
          <w:szCs w:val="21"/>
          <w:highlight w:val="none"/>
        </w:rPr>
        <w:t>7.5.2 因</w:t>
      </w:r>
      <w:r>
        <w:rPr>
          <w:rFonts w:hint="eastAsia" w:ascii="宋体" w:cs="宋体"/>
          <w:color w:val="auto"/>
          <w:szCs w:val="21"/>
          <w:highlight w:val="none"/>
        </w:rPr>
        <w:t>承包人原因导致工期延误</w:t>
      </w:r>
    </w:p>
    <w:p w14:paraId="6D2F809F">
      <w:pPr>
        <w:pStyle w:val="14"/>
        <w:spacing w:after="0" w:line="440" w:lineRule="exact"/>
        <w:ind w:left="0" w:leftChars="0"/>
        <w:rPr>
          <w:rFonts w:hint="eastAsia"/>
          <w:highlight w:val="none"/>
        </w:rPr>
      </w:pPr>
      <w:r>
        <w:rPr>
          <w:rFonts w:hint="eastAsia"/>
          <w:color w:val="auto"/>
          <w:highlight w:val="none"/>
        </w:rPr>
        <w:t>因承包人原因造成工期延误，逾期竣工违约金的计算方法为：</w:t>
      </w:r>
      <w:r>
        <w:rPr>
          <w:rFonts w:hint="eastAsia"/>
          <w:color w:val="auto"/>
          <w:highlight w:val="none"/>
          <w:u w:val="single"/>
        </w:rPr>
        <w:t xml:space="preserve">  因承包人原因造成合同工期延误，每延误一天，罚款</w:t>
      </w:r>
      <w:r>
        <w:rPr>
          <w:rFonts w:hint="eastAsia"/>
          <w:color w:val="auto"/>
          <w:highlight w:val="none"/>
          <w:u w:val="single"/>
          <w:lang w:val="en-US" w:eastAsia="zh-CN"/>
        </w:rPr>
        <w:t>1000</w:t>
      </w:r>
      <w:r>
        <w:rPr>
          <w:rFonts w:hint="eastAsia"/>
          <w:color w:val="auto"/>
          <w:highlight w:val="none"/>
          <w:u w:val="single"/>
        </w:rPr>
        <w:t>元</w:t>
      </w:r>
      <w:r>
        <w:rPr>
          <w:rFonts w:hint="eastAsia"/>
          <w:color w:val="auto"/>
          <w:highlight w:val="none"/>
          <w:u w:val="single"/>
          <w:lang w:val="en-US" w:eastAsia="zh-CN"/>
        </w:rPr>
        <w:t>。</w:t>
      </w:r>
      <w:r>
        <w:rPr>
          <w:rFonts w:hint="eastAsia"/>
          <w:highlight w:val="none"/>
        </w:rPr>
        <w:t>因承包人原因造成工期延误，逾期竣工违约金的上限：</w:t>
      </w:r>
      <w:r>
        <w:rPr>
          <w:rFonts w:hint="eastAsia"/>
          <w:highlight w:val="none"/>
          <w:u w:val="single"/>
        </w:rPr>
        <w:t xml:space="preserve"> 全额履约保证金 </w:t>
      </w:r>
      <w:r>
        <w:rPr>
          <w:rFonts w:hint="eastAsia"/>
          <w:highlight w:val="none"/>
        </w:rPr>
        <w:t>。</w:t>
      </w:r>
    </w:p>
    <w:p w14:paraId="3163F934">
      <w:pPr>
        <w:pStyle w:val="14"/>
        <w:spacing w:after="0" w:line="440" w:lineRule="exact"/>
        <w:ind w:left="0" w:leftChars="0"/>
        <w:rPr>
          <w:rFonts w:hint="eastAsia" w:cs="宋体"/>
          <w:szCs w:val="21"/>
          <w:highlight w:val="none"/>
        </w:rPr>
      </w:pPr>
      <w:r>
        <w:rPr>
          <w:rFonts w:hint="eastAsia" w:cs="宋体"/>
          <w:bCs/>
          <w:szCs w:val="21"/>
          <w:highlight w:val="none"/>
        </w:rPr>
        <w:t>业主单位根据拖延工期的严重程度采用以下方法处理</w:t>
      </w:r>
      <w:r>
        <w:rPr>
          <w:rFonts w:hint="eastAsia" w:cs="宋体"/>
          <w:bCs/>
          <w:szCs w:val="21"/>
          <w:highlight w:val="none"/>
          <w:lang w:eastAsia="zh-CN"/>
        </w:rPr>
        <w:t>：</w:t>
      </w:r>
    </w:p>
    <w:p w14:paraId="18BE3E57">
      <w:pPr>
        <w:widowControl/>
        <w:snapToGrid w:val="0"/>
        <w:spacing w:line="440" w:lineRule="exact"/>
        <w:ind w:firstLine="420" w:firstLineChars="200"/>
        <w:rPr>
          <w:rFonts w:hint="eastAsia" w:ascii="宋体" w:cs="宋体"/>
          <w:bCs/>
          <w:szCs w:val="21"/>
          <w:highlight w:val="none"/>
          <w:u w:val="single"/>
        </w:rPr>
      </w:pPr>
      <w:r>
        <w:rPr>
          <w:rFonts w:hint="eastAsia" w:ascii="宋体" w:cs="宋体"/>
          <w:bCs/>
          <w:szCs w:val="21"/>
          <w:highlight w:val="none"/>
          <w:u w:val="single"/>
        </w:rPr>
        <w:t>（1）督促承包人采取有效的赶工措施（费用自理）；</w:t>
      </w:r>
    </w:p>
    <w:p w14:paraId="5613E88C">
      <w:pPr>
        <w:widowControl/>
        <w:snapToGrid w:val="0"/>
        <w:spacing w:line="440" w:lineRule="exact"/>
        <w:ind w:firstLine="420" w:firstLineChars="200"/>
        <w:rPr>
          <w:rFonts w:hint="eastAsia" w:ascii="宋体" w:cs="宋体"/>
          <w:bCs/>
          <w:szCs w:val="21"/>
          <w:highlight w:val="none"/>
          <w:u w:val="single"/>
        </w:rPr>
      </w:pPr>
      <w:r>
        <w:rPr>
          <w:rFonts w:hint="eastAsia" w:ascii="宋体" w:cs="宋体"/>
          <w:bCs/>
          <w:szCs w:val="21"/>
          <w:highlight w:val="none"/>
          <w:u w:val="single"/>
        </w:rPr>
        <w:t>（2）发包人根据本项目总体施工计划对工程各分部分项工程的进度目标确定之后，承包人应采取各种措施确保本合同内各分部分项工程进度目标的实现，如果在工程实施某个分部分项工程，承包人的实际进度滞后该分部分项工程进度目标7天以上，并无法确保该分部分项工程进度目标的完成或承包人虽采取了一些措施，但仍无法按交工期交工时，监理工程师应立即通知发包人，并抄送承包人。发包人向承包人发出书面警告通知3天后，发包人有权终止合同，也可将本合同工程中的一部分或剩余工作交由其他承包人或指定分包人完成，因此所增加的一切费用由原承包人承担。</w:t>
      </w:r>
    </w:p>
    <w:p w14:paraId="6CB6B7A6">
      <w:pPr>
        <w:widowControl/>
        <w:snapToGrid w:val="0"/>
        <w:spacing w:line="440" w:lineRule="exact"/>
        <w:ind w:firstLine="420" w:firstLineChars="200"/>
        <w:rPr>
          <w:rFonts w:hint="eastAsia" w:ascii="宋体" w:cs="宋体"/>
          <w:bCs/>
          <w:szCs w:val="21"/>
          <w:highlight w:val="none"/>
          <w:u w:val="single"/>
        </w:rPr>
      </w:pPr>
      <w:r>
        <w:rPr>
          <w:rFonts w:hint="eastAsia" w:ascii="宋体" w:cs="宋体"/>
          <w:bCs/>
          <w:szCs w:val="21"/>
          <w:highlight w:val="none"/>
          <w:u w:val="single"/>
        </w:rPr>
        <w:t>（3）对严重拖延工期，经发包人多次督促，承包人拒不执行的，发包人可中止施工合同，并和承包人进行清算。同时按原中</w:t>
      </w:r>
      <w:r>
        <w:rPr>
          <w:rFonts w:hint="eastAsia" w:ascii="宋体" w:cs="宋体"/>
          <w:bCs/>
          <w:szCs w:val="21"/>
          <w:highlight w:val="none"/>
          <w:u w:val="single"/>
          <w:lang w:val="en-US" w:eastAsia="zh-CN"/>
        </w:rPr>
        <w:t>标</w:t>
      </w:r>
      <w:r>
        <w:rPr>
          <w:rFonts w:hint="eastAsia" w:ascii="宋体" w:cs="宋体"/>
          <w:bCs/>
          <w:szCs w:val="21"/>
          <w:highlight w:val="none"/>
          <w:u w:val="single"/>
        </w:rPr>
        <w:t xml:space="preserve">价格另选同样资质的施工队伍进场施工，原承包人须无条件配合，不得以任何借口阻挠另选的施工队伍施工，不得向发包人提出任何索赔要求。  </w:t>
      </w:r>
    </w:p>
    <w:p w14:paraId="7BD0E645">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7.6 不利物质条件</w:t>
      </w:r>
    </w:p>
    <w:p w14:paraId="2645C99D">
      <w:pPr>
        <w:snapToGrid w:val="0"/>
        <w:spacing w:line="440" w:lineRule="exact"/>
        <w:ind w:firstLine="420" w:firstLineChars="200"/>
        <w:jc w:val="left"/>
        <w:rPr>
          <w:rFonts w:ascii="宋体" w:cs="宋体"/>
          <w:szCs w:val="21"/>
          <w:highlight w:val="none"/>
          <w:u w:val="single"/>
        </w:rPr>
      </w:pPr>
      <w:r>
        <w:rPr>
          <w:rFonts w:hint="eastAsia" w:ascii="宋体" w:cs="宋体"/>
          <w:szCs w:val="21"/>
          <w:highlight w:val="none"/>
        </w:rPr>
        <w:t>不利物质条件的其他情形和有关约定：</w:t>
      </w:r>
      <w:r>
        <w:rPr>
          <w:rFonts w:hint="eastAsia" w:ascii="宋体" w:cs="宋体"/>
          <w:szCs w:val="21"/>
          <w:highlight w:val="none"/>
          <w:u w:val="single"/>
        </w:rPr>
        <w:t xml:space="preserve"> 无  。</w:t>
      </w:r>
    </w:p>
    <w:p w14:paraId="049DF00A">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7.7异常恶劣的气候条件</w:t>
      </w:r>
    </w:p>
    <w:p w14:paraId="1EEDCDCF">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发包人和承包人同意以下情形视为异常恶劣的气候条件：</w:t>
      </w:r>
    </w:p>
    <w:p w14:paraId="06996BDA">
      <w:pPr>
        <w:numPr>
          <w:ilvl w:val="0"/>
          <w:numId w:val="3"/>
        </w:numPr>
        <w:snapToGrid w:val="0"/>
        <w:spacing w:line="440" w:lineRule="exact"/>
        <w:ind w:firstLine="420" w:firstLineChars="200"/>
        <w:jc w:val="left"/>
        <w:rPr>
          <w:rFonts w:hint="eastAsia"/>
          <w:highlight w:val="none"/>
        </w:rPr>
      </w:pPr>
      <w:r>
        <w:rPr>
          <w:rFonts w:hint="eastAsia" w:ascii="宋体" w:cs="宋体"/>
          <w:szCs w:val="21"/>
          <w:highlight w:val="none"/>
          <w:u w:val="single"/>
        </w:rPr>
        <w:t xml:space="preserve"> 无   </w:t>
      </w:r>
      <w:r>
        <w:rPr>
          <w:rFonts w:hint="eastAsia" w:ascii="宋体" w:cs="宋体"/>
          <w:szCs w:val="21"/>
          <w:highlight w:val="none"/>
        </w:rPr>
        <w:t>；</w:t>
      </w:r>
    </w:p>
    <w:p w14:paraId="419186D3">
      <w:pPr>
        <w:numPr>
          <w:ilvl w:val="0"/>
          <w:numId w:val="3"/>
        </w:numPr>
        <w:snapToGrid w:val="0"/>
        <w:spacing w:line="440" w:lineRule="exact"/>
        <w:ind w:firstLine="420" w:firstLineChars="200"/>
        <w:jc w:val="left"/>
        <w:rPr>
          <w:rFonts w:hint="eastAsia"/>
          <w:highlight w:val="none"/>
        </w:rPr>
      </w:pPr>
      <w:r>
        <w:rPr>
          <w:rFonts w:hint="eastAsia" w:ascii="宋体" w:cs="宋体"/>
          <w:szCs w:val="21"/>
          <w:highlight w:val="none"/>
          <w:u w:val="single"/>
        </w:rPr>
        <w:t xml:space="preserve"> 无   </w:t>
      </w:r>
      <w:r>
        <w:rPr>
          <w:rFonts w:hint="eastAsia" w:ascii="宋体" w:cs="宋体"/>
          <w:szCs w:val="21"/>
          <w:highlight w:val="none"/>
        </w:rPr>
        <w:t>；</w:t>
      </w:r>
    </w:p>
    <w:p w14:paraId="5A5BAC38">
      <w:pPr>
        <w:numPr>
          <w:ilvl w:val="0"/>
          <w:numId w:val="3"/>
        </w:numPr>
        <w:snapToGrid w:val="0"/>
        <w:spacing w:line="440" w:lineRule="exact"/>
        <w:ind w:firstLine="420" w:firstLineChars="200"/>
        <w:jc w:val="left"/>
        <w:rPr>
          <w:rFonts w:hint="eastAsia"/>
          <w:highlight w:val="none"/>
        </w:rPr>
      </w:pPr>
      <w:r>
        <w:rPr>
          <w:rFonts w:hint="eastAsia" w:ascii="宋体" w:cs="宋体"/>
          <w:szCs w:val="21"/>
          <w:highlight w:val="none"/>
          <w:u w:val="single"/>
        </w:rPr>
        <w:t xml:space="preserve"> 无   </w:t>
      </w:r>
      <w:r>
        <w:rPr>
          <w:rFonts w:hint="eastAsia" w:ascii="宋体" w:cs="宋体"/>
          <w:szCs w:val="21"/>
          <w:highlight w:val="none"/>
        </w:rPr>
        <w:t>；</w:t>
      </w:r>
    </w:p>
    <w:p w14:paraId="72D8DA8A">
      <w:pPr>
        <w:snapToGrid w:val="0"/>
        <w:spacing w:line="440" w:lineRule="exact"/>
        <w:ind w:firstLine="420" w:firstLineChars="200"/>
        <w:jc w:val="left"/>
        <w:rPr>
          <w:rFonts w:hint="eastAsia" w:ascii="宋体" w:hAnsi="宋体" w:cs="宋体"/>
          <w:highlight w:val="none"/>
        </w:rPr>
      </w:pPr>
      <w:r>
        <w:rPr>
          <w:rFonts w:hint="eastAsia" w:ascii="宋体" w:hAnsi="宋体" w:cs="宋体"/>
          <w:highlight w:val="none"/>
        </w:rPr>
        <w:t>7.9 提前竣工的奖励</w:t>
      </w:r>
    </w:p>
    <w:p w14:paraId="6C6ED465">
      <w:pPr>
        <w:pStyle w:val="14"/>
        <w:spacing w:after="0" w:line="440" w:lineRule="exact"/>
        <w:ind w:left="0" w:leftChars="0"/>
        <w:rPr>
          <w:rFonts w:hint="eastAsia"/>
          <w:highlight w:val="none"/>
        </w:rPr>
      </w:pPr>
      <w:r>
        <w:rPr>
          <w:rFonts w:hint="eastAsia"/>
          <w:highlight w:val="none"/>
        </w:rPr>
        <w:t>7.9.2提前竣工的奖励：</w:t>
      </w:r>
      <w:r>
        <w:rPr>
          <w:rFonts w:hint="eastAsia"/>
          <w:highlight w:val="none"/>
          <w:u w:val="single"/>
        </w:rPr>
        <w:t xml:space="preserve"> 由发包人根据提前竣工天数，结合项目考勤、质量、安全等实际情况综合考虑     </w:t>
      </w:r>
      <w:r>
        <w:rPr>
          <w:rFonts w:hint="eastAsia"/>
          <w:highlight w:val="none"/>
        </w:rPr>
        <w:t>。</w:t>
      </w:r>
    </w:p>
    <w:p w14:paraId="394DFA65">
      <w:pPr>
        <w:pStyle w:val="5"/>
        <w:snapToGrid w:val="0"/>
        <w:spacing w:before="0" w:after="0" w:line="44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8. 材料与设备</w:t>
      </w:r>
    </w:p>
    <w:p w14:paraId="2A8390C2">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8.4材料与工程设备的保管与使用</w:t>
      </w:r>
    </w:p>
    <w:p w14:paraId="7406874C">
      <w:pPr>
        <w:snapToGrid w:val="0"/>
        <w:spacing w:line="440" w:lineRule="exact"/>
        <w:ind w:firstLine="420" w:firstLineChars="200"/>
        <w:jc w:val="left"/>
        <w:rPr>
          <w:rFonts w:hint="eastAsia" w:ascii="宋体" w:cs="宋体"/>
          <w:color w:val="auto"/>
          <w:szCs w:val="21"/>
          <w:highlight w:val="none"/>
          <w:u w:val="single"/>
        </w:rPr>
      </w:pPr>
      <w:r>
        <w:rPr>
          <w:rFonts w:hint="eastAsia" w:ascii="宋体" w:cs="宋体"/>
          <w:color w:val="auto"/>
          <w:szCs w:val="21"/>
          <w:highlight w:val="none"/>
        </w:rPr>
        <w:t>8.4.1发包人供应的材料设备的保管费用的承担：</w:t>
      </w:r>
      <w:r>
        <w:rPr>
          <w:rFonts w:hint="eastAsia" w:ascii="宋体" w:cs="宋体"/>
          <w:color w:val="auto"/>
          <w:szCs w:val="21"/>
          <w:highlight w:val="none"/>
          <w:u w:val="single"/>
          <w:lang w:eastAsia="zh-CN"/>
        </w:rPr>
        <w:t>交付之日</w:t>
      </w:r>
      <w:r>
        <w:rPr>
          <w:rFonts w:hint="eastAsia" w:ascii="宋体" w:cs="宋体"/>
          <w:color w:val="auto"/>
          <w:szCs w:val="21"/>
          <w:highlight w:val="none"/>
          <w:u w:val="single"/>
        </w:rPr>
        <w:t>由承包人承担。</w:t>
      </w:r>
    </w:p>
    <w:p w14:paraId="44B60519">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8.6 样品</w:t>
      </w:r>
    </w:p>
    <w:p w14:paraId="53B79BFB">
      <w:pPr>
        <w:autoSpaceDE w:val="0"/>
        <w:autoSpaceDN w:val="0"/>
        <w:adjustRightInd w:val="0"/>
        <w:snapToGrid w:val="0"/>
        <w:spacing w:line="440" w:lineRule="exact"/>
        <w:ind w:firstLine="420" w:firstLineChars="200"/>
        <w:jc w:val="left"/>
        <w:rPr>
          <w:rFonts w:hint="eastAsia" w:ascii="宋体" w:cs="宋体"/>
          <w:color w:val="auto"/>
          <w:kern w:val="0"/>
          <w:szCs w:val="21"/>
          <w:highlight w:val="none"/>
        </w:rPr>
      </w:pPr>
      <w:r>
        <w:rPr>
          <w:rFonts w:hint="eastAsia" w:ascii="宋体" w:cs="宋体"/>
          <w:color w:val="auto"/>
          <w:kern w:val="0"/>
          <w:szCs w:val="21"/>
          <w:highlight w:val="none"/>
        </w:rPr>
        <w:t>8.6.1样品的报送与封存</w:t>
      </w:r>
    </w:p>
    <w:p w14:paraId="1C7AD2DF">
      <w:pPr>
        <w:snapToGrid w:val="0"/>
        <w:spacing w:line="440" w:lineRule="exact"/>
        <w:ind w:firstLine="420" w:firstLineChars="200"/>
        <w:rPr>
          <w:rFonts w:hint="eastAsia" w:ascii="宋体" w:cs="宋体"/>
          <w:color w:val="auto"/>
          <w:szCs w:val="21"/>
          <w:highlight w:val="none"/>
          <w:u w:val="single"/>
        </w:rPr>
      </w:pPr>
      <w:r>
        <w:rPr>
          <w:rFonts w:hint="eastAsia" w:ascii="宋体" w:cs="宋体"/>
          <w:color w:val="auto"/>
          <w:szCs w:val="21"/>
          <w:highlight w:val="none"/>
        </w:rPr>
        <w:t>需要承包人报送样品的材料或工程设备，样品的种类、名称、规格、数量要求：</w:t>
      </w:r>
      <w:r>
        <w:rPr>
          <w:rFonts w:hint="eastAsia" w:ascii="宋体" w:cs="宋体"/>
          <w:color w:val="auto"/>
          <w:szCs w:val="21"/>
          <w:highlight w:val="none"/>
          <w:u w:val="single"/>
        </w:rPr>
        <w:t xml:space="preserve"> 执行</w:t>
      </w:r>
      <w:r>
        <w:rPr>
          <w:rFonts w:hint="eastAsia" w:ascii="宋体" w:cs="宋体"/>
          <w:color w:val="auto"/>
          <w:szCs w:val="21"/>
          <w:highlight w:val="none"/>
          <w:u w:val="single"/>
          <w:lang w:val="en-US" w:eastAsia="zh-CN"/>
        </w:rPr>
        <w:t>招标</w:t>
      </w:r>
      <w:r>
        <w:rPr>
          <w:rFonts w:hint="eastAsia" w:ascii="宋体" w:cs="宋体"/>
          <w:color w:val="auto"/>
          <w:szCs w:val="21"/>
          <w:highlight w:val="none"/>
          <w:u w:val="single"/>
        </w:rPr>
        <w:t xml:space="preserve">文件。 </w:t>
      </w:r>
    </w:p>
    <w:p w14:paraId="15D5C90B">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8.8 施工设备和临时设施</w:t>
      </w:r>
    </w:p>
    <w:p w14:paraId="7E2E2EF1">
      <w:pPr>
        <w:autoSpaceDE w:val="0"/>
        <w:autoSpaceDN w:val="0"/>
        <w:adjustRightInd w:val="0"/>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szCs w:val="21"/>
          <w:highlight w:val="none"/>
        </w:rPr>
        <w:t>8.8.1 承包人提供的施工设备和临时设施</w:t>
      </w:r>
    </w:p>
    <w:p w14:paraId="52BEE37C">
      <w:pPr>
        <w:autoSpaceDE w:val="0"/>
        <w:autoSpaceDN w:val="0"/>
        <w:adjustRightInd w:val="0"/>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szCs w:val="21"/>
          <w:highlight w:val="none"/>
        </w:rPr>
        <w:t>关于修建临时设施费用承担的约定：</w:t>
      </w:r>
      <w:r>
        <w:rPr>
          <w:rFonts w:hint="eastAsia" w:ascii="宋体" w:cs="宋体"/>
          <w:color w:val="auto"/>
          <w:szCs w:val="21"/>
          <w:highlight w:val="none"/>
          <w:u w:val="single"/>
        </w:rPr>
        <w:t xml:space="preserve">  由承包人自行承担费用   </w:t>
      </w:r>
      <w:r>
        <w:rPr>
          <w:rFonts w:hint="eastAsia" w:ascii="宋体" w:cs="宋体"/>
          <w:color w:val="auto"/>
          <w:szCs w:val="21"/>
          <w:highlight w:val="none"/>
        </w:rPr>
        <w:t>。</w:t>
      </w:r>
    </w:p>
    <w:p w14:paraId="348BE2C6">
      <w:pPr>
        <w:pStyle w:val="5"/>
        <w:snapToGrid w:val="0"/>
        <w:spacing w:before="0" w:after="0" w:line="440" w:lineRule="exact"/>
        <w:ind w:firstLine="420" w:firstLineChars="200"/>
        <w:rPr>
          <w:rFonts w:hint="eastAsia" w:ascii="宋体" w:eastAsia="宋体" w:cs="宋体"/>
          <w:b w:val="0"/>
          <w:color w:val="auto"/>
          <w:sz w:val="21"/>
          <w:szCs w:val="21"/>
          <w:highlight w:val="none"/>
        </w:rPr>
      </w:pPr>
      <w:r>
        <w:rPr>
          <w:rFonts w:hint="eastAsia" w:ascii="宋体" w:eastAsia="宋体" w:cs="宋体"/>
          <w:b w:val="0"/>
          <w:color w:val="auto"/>
          <w:sz w:val="21"/>
          <w:szCs w:val="21"/>
          <w:highlight w:val="none"/>
        </w:rPr>
        <w:t>9. 试验与检验</w:t>
      </w:r>
    </w:p>
    <w:p w14:paraId="63F8F678">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9.1试验设备与试验人员</w:t>
      </w:r>
    </w:p>
    <w:p w14:paraId="590F90A0">
      <w:pPr>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szCs w:val="21"/>
          <w:highlight w:val="none"/>
        </w:rPr>
        <w:t>9.1.2 试验设备</w:t>
      </w:r>
    </w:p>
    <w:p w14:paraId="7E98BA7C">
      <w:pPr>
        <w:snapToGrid w:val="0"/>
        <w:spacing w:line="440" w:lineRule="exact"/>
        <w:ind w:firstLine="420" w:firstLineChars="200"/>
        <w:jc w:val="left"/>
        <w:rPr>
          <w:rFonts w:hint="eastAsia" w:ascii="宋体" w:cs="宋体"/>
          <w:color w:val="auto"/>
          <w:szCs w:val="21"/>
          <w:highlight w:val="none"/>
          <w:u w:val="single"/>
        </w:rPr>
      </w:pPr>
      <w:r>
        <w:rPr>
          <w:rFonts w:hint="eastAsia" w:ascii="宋体" w:cs="宋体"/>
          <w:color w:val="auto"/>
          <w:szCs w:val="21"/>
          <w:highlight w:val="none"/>
        </w:rPr>
        <w:t>施工现场需要配置的试验场所：</w:t>
      </w:r>
      <w:r>
        <w:rPr>
          <w:rFonts w:hint="eastAsia" w:ascii="宋体" w:cs="宋体"/>
          <w:color w:val="auto"/>
          <w:szCs w:val="21"/>
          <w:highlight w:val="none"/>
          <w:u w:val="single"/>
        </w:rPr>
        <w:t xml:space="preserve">   执行</w:t>
      </w:r>
      <w:r>
        <w:rPr>
          <w:rFonts w:hint="eastAsia" w:ascii="宋体" w:cs="宋体"/>
          <w:color w:val="auto"/>
          <w:szCs w:val="21"/>
          <w:highlight w:val="none"/>
          <w:u w:val="single"/>
          <w:lang w:val="en-US" w:eastAsia="zh-CN"/>
        </w:rPr>
        <w:t>招标</w:t>
      </w:r>
      <w:r>
        <w:rPr>
          <w:rFonts w:hint="eastAsia" w:ascii="宋体" w:cs="宋体"/>
          <w:color w:val="auto"/>
          <w:szCs w:val="21"/>
          <w:highlight w:val="none"/>
          <w:u w:val="single"/>
        </w:rPr>
        <w:t xml:space="preserve">文件   </w:t>
      </w:r>
      <w:r>
        <w:rPr>
          <w:rFonts w:hint="eastAsia" w:ascii="宋体" w:cs="宋体"/>
          <w:color w:val="auto"/>
          <w:szCs w:val="21"/>
          <w:highlight w:val="none"/>
        </w:rPr>
        <w:t xml:space="preserve">。 </w:t>
      </w:r>
    </w:p>
    <w:p w14:paraId="30C3CD2D">
      <w:pPr>
        <w:snapToGrid w:val="0"/>
        <w:spacing w:line="440" w:lineRule="exact"/>
        <w:ind w:firstLine="420" w:firstLineChars="200"/>
        <w:jc w:val="left"/>
        <w:rPr>
          <w:rFonts w:hint="eastAsia" w:ascii="宋体" w:cs="宋体"/>
          <w:color w:val="auto"/>
          <w:szCs w:val="21"/>
          <w:highlight w:val="none"/>
          <w:u w:val="single"/>
        </w:rPr>
      </w:pPr>
      <w:r>
        <w:rPr>
          <w:rFonts w:hint="eastAsia" w:ascii="宋体" w:cs="宋体"/>
          <w:color w:val="auto"/>
          <w:szCs w:val="21"/>
          <w:highlight w:val="none"/>
        </w:rPr>
        <w:t>施工现场需要配备的试验设备：</w:t>
      </w:r>
      <w:r>
        <w:rPr>
          <w:rFonts w:hint="eastAsia" w:ascii="宋体" w:cs="宋体"/>
          <w:color w:val="auto"/>
          <w:szCs w:val="21"/>
          <w:highlight w:val="none"/>
          <w:u w:val="single"/>
        </w:rPr>
        <w:t xml:space="preserve">   执行</w:t>
      </w:r>
      <w:r>
        <w:rPr>
          <w:rFonts w:hint="eastAsia" w:ascii="宋体" w:cs="宋体"/>
          <w:color w:val="auto"/>
          <w:szCs w:val="21"/>
          <w:highlight w:val="none"/>
          <w:u w:val="single"/>
          <w:lang w:val="en-US" w:eastAsia="zh-CN"/>
        </w:rPr>
        <w:t>招标</w:t>
      </w:r>
      <w:r>
        <w:rPr>
          <w:rFonts w:hint="eastAsia" w:ascii="宋体" w:cs="宋体"/>
          <w:color w:val="auto"/>
          <w:szCs w:val="21"/>
          <w:highlight w:val="none"/>
          <w:u w:val="single"/>
        </w:rPr>
        <w:t xml:space="preserve">文件    </w:t>
      </w:r>
      <w:r>
        <w:rPr>
          <w:rFonts w:hint="eastAsia" w:ascii="宋体" w:cs="宋体"/>
          <w:color w:val="auto"/>
          <w:szCs w:val="21"/>
          <w:highlight w:val="none"/>
        </w:rPr>
        <w:t>。</w:t>
      </w:r>
    </w:p>
    <w:p w14:paraId="49322D05">
      <w:pPr>
        <w:snapToGrid w:val="0"/>
        <w:spacing w:line="440" w:lineRule="exact"/>
        <w:ind w:firstLine="420" w:firstLineChars="200"/>
        <w:jc w:val="left"/>
        <w:rPr>
          <w:rFonts w:hint="eastAsia" w:ascii="宋体" w:cs="宋体"/>
          <w:color w:val="auto"/>
          <w:szCs w:val="21"/>
          <w:highlight w:val="none"/>
          <w:u w:val="single"/>
        </w:rPr>
      </w:pPr>
      <w:r>
        <w:rPr>
          <w:rFonts w:hint="eastAsia" w:ascii="宋体" w:cs="宋体"/>
          <w:color w:val="auto"/>
          <w:szCs w:val="21"/>
          <w:highlight w:val="none"/>
        </w:rPr>
        <w:t>施工现场需要具备的其他试验条件：</w:t>
      </w:r>
      <w:r>
        <w:rPr>
          <w:rFonts w:hint="eastAsia" w:ascii="宋体" w:cs="宋体"/>
          <w:color w:val="auto"/>
          <w:szCs w:val="21"/>
          <w:highlight w:val="none"/>
          <w:u w:val="single"/>
        </w:rPr>
        <w:t xml:space="preserve">   执行</w:t>
      </w:r>
      <w:r>
        <w:rPr>
          <w:rFonts w:hint="eastAsia" w:ascii="宋体" w:cs="宋体"/>
          <w:color w:val="auto"/>
          <w:szCs w:val="21"/>
          <w:highlight w:val="none"/>
          <w:u w:val="single"/>
          <w:lang w:val="en-US" w:eastAsia="zh-CN"/>
        </w:rPr>
        <w:t>招标</w:t>
      </w:r>
      <w:r>
        <w:rPr>
          <w:rFonts w:hint="eastAsia" w:ascii="宋体" w:cs="宋体"/>
          <w:color w:val="auto"/>
          <w:szCs w:val="21"/>
          <w:highlight w:val="none"/>
          <w:u w:val="single"/>
        </w:rPr>
        <w:t xml:space="preserve">文件   </w:t>
      </w:r>
      <w:r>
        <w:rPr>
          <w:rFonts w:hint="eastAsia" w:ascii="宋体" w:cs="宋体"/>
          <w:color w:val="auto"/>
          <w:szCs w:val="21"/>
          <w:highlight w:val="none"/>
        </w:rPr>
        <w:t>。</w:t>
      </w:r>
    </w:p>
    <w:p w14:paraId="3106D772">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 xml:space="preserve">9.4 现场工艺试验 </w:t>
      </w:r>
    </w:p>
    <w:p w14:paraId="57E8BD73">
      <w:pPr>
        <w:snapToGrid w:val="0"/>
        <w:spacing w:line="440" w:lineRule="exact"/>
        <w:ind w:firstLine="420" w:firstLineChars="200"/>
        <w:jc w:val="left"/>
        <w:rPr>
          <w:rFonts w:hint="eastAsia" w:ascii="宋体" w:cs="宋体"/>
          <w:color w:val="auto"/>
          <w:szCs w:val="21"/>
          <w:highlight w:val="none"/>
          <w:u w:val="single"/>
        </w:rPr>
      </w:pPr>
      <w:r>
        <w:rPr>
          <w:rFonts w:hint="eastAsia" w:ascii="宋体" w:cs="宋体"/>
          <w:color w:val="auto"/>
          <w:szCs w:val="21"/>
          <w:highlight w:val="none"/>
        </w:rPr>
        <w:t>现场工艺试验的有关约定：</w:t>
      </w:r>
      <w:r>
        <w:rPr>
          <w:rFonts w:hint="eastAsia" w:ascii="宋体" w:cs="宋体"/>
          <w:color w:val="auto"/>
          <w:szCs w:val="21"/>
          <w:highlight w:val="none"/>
          <w:u w:val="single"/>
        </w:rPr>
        <w:t xml:space="preserve">   按监理人指示    </w:t>
      </w:r>
      <w:r>
        <w:rPr>
          <w:rFonts w:hint="eastAsia" w:ascii="宋体" w:cs="宋体"/>
          <w:color w:val="auto"/>
          <w:szCs w:val="21"/>
          <w:highlight w:val="none"/>
        </w:rPr>
        <w:t>。</w:t>
      </w:r>
    </w:p>
    <w:p w14:paraId="0BF396F9">
      <w:pPr>
        <w:pStyle w:val="5"/>
        <w:snapToGrid w:val="0"/>
        <w:spacing w:before="0" w:after="0" w:line="440" w:lineRule="exact"/>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10. 变更</w:t>
      </w:r>
    </w:p>
    <w:p w14:paraId="36E56CDB">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10.1变更的范围</w:t>
      </w:r>
    </w:p>
    <w:p w14:paraId="234E064E">
      <w:pPr>
        <w:snapToGri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关于变更范围的约定：</w:t>
      </w:r>
      <w:r>
        <w:rPr>
          <w:rFonts w:hint="eastAsia" w:ascii="宋体" w:hAnsi="宋体" w:cs="宋体"/>
          <w:b/>
          <w:color w:val="auto"/>
          <w:szCs w:val="21"/>
          <w:highlight w:val="none"/>
          <w:u w:val="single"/>
        </w:rPr>
        <w:t>执行合同通用条款</w:t>
      </w:r>
      <w:r>
        <w:rPr>
          <w:rFonts w:hint="eastAsia" w:ascii="宋体" w:hAnsi="宋体" w:cs="宋体"/>
          <w:b/>
          <w:bCs/>
          <w:color w:val="auto"/>
          <w:szCs w:val="21"/>
          <w:highlight w:val="none"/>
          <w:u w:val="single"/>
        </w:rPr>
        <w:t>。</w:t>
      </w:r>
    </w:p>
    <w:p w14:paraId="7CC01665">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10.4 变更估价</w:t>
      </w:r>
    </w:p>
    <w:p w14:paraId="1B09559A">
      <w:pPr>
        <w:keepNext w:val="0"/>
        <w:keepLines w:val="0"/>
        <w:pageBreakBefore w:val="0"/>
        <w:widowControl w:val="0"/>
        <w:kinsoku/>
        <w:wordWrap/>
        <w:overflowPunct/>
        <w:topLinePunct w:val="0"/>
        <w:bidi w:val="0"/>
        <w:snapToGrid w:val="0"/>
        <w:spacing w:line="440" w:lineRule="exact"/>
        <w:ind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10.4.1变更估价原则</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关于变更估价的约定</w:t>
      </w:r>
      <w:r>
        <w:rPr>
          <w:rFonts w:hint="eastAsia" w:ascii="宋体" w:hAnsi="宋体" w:cs="宋体"/>
          <w:color w:val="auto"/>
          <w:szCs w:val="21"/>
          <w:highlight w:val="none"/>
          <w:lang w:eastAsia="zh-CN"/>
        </w:rPr>
        <w:t>：</w:t>
      </w:r>
    </w:p>
    <w:p w14:paraId="6849F1F8">
      <w:pPr>
        <w:pStyle w:val="14"/>
        <w:keepNext w:val="0"/>
        <w:keepLines w:val="0"/>
        <w:pageBreakBefore w:val="0"/>
        <w:widowControl w:val="0"/>
        <w:kinsoku/>
        <w:wordWrap/>
        <w:overflowPunct/>
        <w:topLinePunct w:val="0"/>
        <w:bidi w:val="0"/>
        <w:spacing w:after="0" w:line="440" w:lineRule="exact"/>
        <w:ind w:left="0" w:leftChars="0" w:firstLine="422"/>
        <w:textAlignment w:val="auto"/>
        <w:rPr>
          <w:rFonts w:hint="eastAsia" w:ascii="宋体" w:hAnsi="宋体" w:cs="宋体"/>
          <w:b/>
          <w:color w:val="auto"/>
          <w:highlight w:val="none"/>
          <w:u w:val="single"/>
        </w:rPr>
      </w:pPr>
      <w:r>
        <w:rPr>
          <w:rFonts w:hint="eastAsia" w:ascii="宋体" w:hAnsi="宋体" w:cs="宋体"/>
          <w:b/>
          <w:bCs/>
          <w:color w:val="auto"/>
          <w:szCs w:val="21"/>
          <w:highlight w:val="none"/>
          <w:u w:val="single"/>
        </w:rPr>
        <w:t>变更导致结算工程量</w:t>
      </w:r>
      <w:r>
        <w:rPr>
          <w:rFonts w:hint="eastAsia" w:hAnsi="宋体" w:cs="宋体"/>
          <w:b/>
          <w:bCs/>
          <w:color w:val="auto"/>
          <w:szCs w:val="21"/>
          <w:highlight w:val="none"/>
          <w:u w:val="single"/>
          <w:lang w:eastAsia="zh-CN"/>
        </w:rPr>
        <w:t>，</w:t>
      </w:r>
      <w:r>
        <w:rPr>
          <w:rFonts w:hint="eastAsia" w:ascii="宋体" w:hAnsi="宋体" w:cs="宋体"/>
          <w:b/>
          <w:bCs/>
          <w:color w:val="auto"/>
          <w:szCs w:val="21"/>
          <w:highlight w:val="none"/>
          <w:u w:val="single"/>
        </w:rPr>
        <w:t>减少0-100%或增加15%以内部分，执行下列第（1）款或第（2）款确定的单价；但超出15%以外部分，</w:t>
      </w:r>
      <w:r>
        <w:rPr>
          <w:rFonts w:hint="eastAsia" w:ascii="宋体" w:hAnsi="宋体" w:cs="宋体"/>
          <w:b/>
          <w:bCs/>
          <w:color w:val="auto"/>
          <w:szCs w:val="21"/>
          <w:highlight w:val="none"/>
          <w:u w:val="single"/>
          <w:lang w:val="en-US" w:eastAsia="zh-CN"/>
        </w:rPr>
        <w:t>依据中标合同工程量清单计价进行组价结算，没有清单价的部分，依据政府信息价组价，没有信息价的，进行市场询价确定单价。</w:t>
      </w:r>
      <w:r>
        <w:rPr>
          <w:rFonts w:hint="eastAsia" w:ascii="宋体" w:hAnsi="宋体" w:cs="宋体"/>
          <w:b/>
          <w:bCs/>
          <w:color w:val="auto"/>
          <w:szCs w:val="21"/>
          <w:highlight w:val="none"/>
          <w:u w:val="single"/>
        </w:rPr>
        <w:t>结算价格最终以相关部门审核价为准；</w:t>
      </w:r>
    </w:p>
    <w:p w14:paraId="32A32E2B">
      <w:pPr>
        <w:pStyle w:val="14"/>
        <w:keepNext w:val="0"/>
        <w:keepLines w:val="0"/>
        <w:pageBreakBefore w:val="0"/>
        <w:widowControl w:val="0"/>
        <w:kinsoku/>
        <w:wordWrap/>
        <w:overflowPunct/>
        <w:topLinePunct w:val="0"/>
        <w:bidi w:val="0"/>
        <w:spacing w:after="0" w:line="440" w:lineRule="exact"/>
        <w:ind w:left="0" w:leftChars="0" w:firstLine="422"/>
        <w:textAlignment w:val="auto"/>
        <w:rPr>
          <w:rFonts w:hint="eastAsia" w:ascii="宋体" w:hAnsi="宋体" w:cs="宋体"/>
          <w:b/>
          <w:color w:val="auto"/>
          <w:highlight w:val="none"/>
          <w:u w:val="single"/>
        </w:rPr>
      </w:pPr>
      <w:r>
        <w:rPr>
          <w:rFonts w:hint="eastAsia" w:ascii="宋体" w:hAnsi="宋体" w:cs="宋体"/>
          <w:b/>
          <w:color w:val="auto"/>
          <w:highlight w:val="none"/>
          <w:u w:val="single"/>
        </w:rPr>
        <w:t>（1）已标价工程量清单或预算书有相同项目的，按照相同项目单价认定；</w:t>
      </w:r>
    </w:p>
    <w:p w14:paraId="4BF0FE8C">
      <w:pPr>
        <w:keepNext w:val="0"/>
        <w:keepLines w:val="0"/>
        <w:pageBreakBefore w:val="0"/>
        <w:widowControl w:val="0"/>
        <w:kinsoku/>
        <w:wordWrap/>
        <w:overflowPunct/>
        <w:topLinePunct w:val="0"/>
        <w:autoSpaceDE w:val="0"/>
        <w:autoSpaceDN w:val="0"/>
        <w:bidi w:val="0"/>
        <w:adjustRightInd w:val="0"/>
        <w:spacing w:line="440" w:lineRule="exact"/>
        <w:ind w:firstLine="422" w:firstLineChars="200"/>
        <w:jc w:val="left"/>
        <w:textAlignment w:val="auto"/>
        <w:rPr>
          <w:rFonts w:hint="eastAsia" w:ascii="宋体" w:hAnsi="宋体" w:cs="宋体"/>
          <w:b/>
          <w:bCs/>
          <w:color w:val="auto"/>
          <w:szCs w:val="21"/>
          <w:highlight w:val="none"/>
          <w:u w:val="single"/>
        </w:rPr>
      </w:pPr>
      <w:r>
        <w:rPr>
          <w:rFonts w:hint="eastAsia" w:ascii="宋体" w:hAnsi="宋体" w:cs="宋体"/>
          <w:b/>
          <w:bCs/>
          <w:color w:val="auto"/>
          <w:szCs w:val="21"/>
          <w:highlight w:val="none"/>
          <w:u w:val="single"/>
        </w:rPr>
        <w:t>（2）</w:t>
      </w:r>
      <w:r>
        <w:rPr>
          <w:rFonts w:hint="eastAsia" w:ascii="宋体" w:hAnsi="宋体" w:cs="宋体"/>
          <w:b/>
          <w:color w:val="auto"/>
          <w:highlight w:val="none"/>
          <w:u w:val="single"/>
        </w:rPr>
        <w:t>已标价工程量清单或预算书中无相同项目，但有类似项目的，参照类似项目的单价认定。</w:t>
      </w:r>
    </w:p>
    <w:p w14:paraId="37424AC7">
      <w:pPr>
        <w:keepNext w:val="0"/>
        <w:keepLines w:val="0"/>
        <w:pageBreakBefore w:val="0"/>
        <w:widowControl w:val="0"/>
        <w:kinsoku/>
        <w:wordWrap/>
        <w:overflowPunct/>
        <w:topLinePunct w:val="0"/>
        <w:bidi w:val="0"/>
        <w:snapToGrid w:val="0"/>
        <w:spacing w:line="440" w:lineRule="exact"/>
        <w:ind w:firstLine="420" w:firstLineChars="200"/>
        <w:textAlignment w:val="auto"/>
        <w:rPr>
          <w:rFonts w:hint="eastAsia" w:ascii="宋体" w:hAnsi="宋体" w:cs="宋体"/>
          <w:b/>
          <w:color w:val="auto"/>
          <w:szCs w:val="21"/>
          <w:highlight w:val="none"/>
          <w:u w:val="single"/>
        </w:rPr>
      </w:pPr>
      <w:r>
        <w:rPr>
          <w:rFonts w:hint="eastAsia" w:ascii="宋体" w:hAnsi="宋体" w:cs="宋体"/>
          <w:color w:val="auto"/>
          <w:szCs w:val="21"/>
          <w:highlight w:val="none"/>
        </w:rPr>
        <w:t>技术措施费调整：</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u w:val="single"/>
          <w:lang w:val="en-US" w:eastAsia="zh-CN"/>
        </w:rPr>
        <w:t>不调整</w:t>
      </w:r>
      <w:r>
        <w:rPr>
          <w:rFonts w:hint="eastAsia" w:ascii="宋体" w:hAnsi="宋体" w:cs="宋体"/>
          <w:b/>
          <w:color w:val="auto"/>
          <w:szCs w:val="21"/>
          <w:highlight w:val="none"/>
          <w:u w:val="single"/>
        </w:rPr>
        <w:t>。</w:t>
      </w:r>
    </w:p>
    <w:p w14:paraId="5D2C7885">
      <w:pPr>
        <w:keepNext w:val="0"/>
        <w:keepLines w:val="0"/>
        <w:pageBreakBefore w:val="0"/>
        <w:widowControl w:val="0"/>
        <w:kinsoku/>
        <w:wordWrap/>
        <w:overflowPunct/>
        <w:topLinePunct w:val="0"/>
        <w:bidi w:val="0"/>
        <w:snapToGrid w:val="0"/>
        <w:spacing w:line="440" w:lineRule="exact"/>
        <w:ind w:firstLine="420" w:firstLineChars="20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组织措施费调整：</w:t>
      </w:r>
      <w:r>
        <w:rPr>
          <w:rFonts w:hint="eastAsia" w:ascii="宋体" w:hAnsi="宋体" w:cs="宋体"/>
          <w:b/>
          <w:color w:val="auto"/>
          <w:szCs w:val="21"/>
          <w:highlight w:val="none"/>
          <w:u w:val="single"/>
          <w:lang w:val="en-US" w:eastAsia="zh-CN"/>
        </w:rPr>
        <w:t>不调整</w:t>
      </w:r>
      <w:r>
        <w:rPr>
          <w:rFonts w:hint="eastAsia" w:ascii="宋体" w:hAnsi="宋体" w:cs="宋体"/>
          <w:b/>
          <w:color w:val="auto"/>
          <w:szCs w:val="21"/>
          <w:highlight w:val="none"/>
          <w:u w:val="single"/>
        </w:rPr>
        <w:t>。</w:t>
      </w:r>
    </w:p>
    <w:p w14:paraId="51FEC2A5">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10.5承包人的合理化建议</w:t>
      </w:r>
    </w:p>
    <w:p w14:paraId="04E7A660">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监理人审查承包人合理化建议的期限：</w:t>
      </w:r>
      <w:r>
        <w:rPr>
          <w:rFonts w:hint="eastAsia" w:ascii="宋体" w:cs="宋体"/>
          <w:szCs w:val="21"/>
          <w:highlight w:val="none"/>
          <w:u w:val="single"/>
        </w:rPr>
        <w:t xml:space="preserve"> </w:t>
      </w:r>
      <w:r>
        <w:rPr>
          <w:rFonts w:hint="eastAsia" w:ascii="宋体" w:hAnsi="Times New Roman" w:eastAsia="宋体" w:cs="宋体"/>
          <w:szCs w:val="21"/>
          <w:highlight w:val="none"/>
          <w:u w:val="single"/>
        </w:rPr>
        <w:t>监理人</w:t>
      </w:r>
      <w:r>
        <w:rPr>
          <w:rFonts w:hint="eastAsia" w:ascii="宋体" w:cs="宋体"/>
          <w:szCs w:val="21"/>
          <w:highlight w:val="none"/>
          <w:u w:val="single"/>
        </w:rPr>
        <w:t>应在收到承包人提交的合理化建议后7天内审查完毕并报送发包人，发现其中存在技术上的缺陷，应通知承包人修改。</w:t>
      </w:r>
    </w:p>
    <w:p w14:paraId="4C7FF324">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发包人审批承包人合理化建议的期限：</w:t>
      </w:r>
      <w:r>
        <w:rPr>
          <w:rFonts w:hint="eastAsia" w:ascii="宋体" w:cs="宋体"/>
          <w:szCs w:val="21"/>
          <w:highlight w:val="none"/>
          <w:u w:val="single"/>
        </w:rPr>
        <w:t xml:space="preserve"> 发包人应在收到</w:t>
      </w:r>
      <w:r>
        <w:rPr>
          <w:rFonts w:hint="eastAsia" w:ascii="宋体" w:hAnsi="Times New Roman" w:eastAsia="宋体" w:cs="宋体"/>
          <w:szCs w:val="21"/>
          <w:highlight w:val="none"/>
          <w:u w:val="single"/>
        </w:rPr>
        <w:t>监理人</w:t>
      </w:r>
      <w:r>
        <w:rPr>
          <w:rFonts w:hint="eastAsia" w:ascii="宋体" w:cs="宋体"/>
          <w:szCs w:val="21"/>
          <w:highlight w:val="none"/>
          <w:u w:val="single"/>
        </w:rPr>
        <w:t>报送的合理化建议后7天内审批完毕。合理化建议经发包人批准的，</w:t>
      </w:r>
      <w:r>
        <w:rPr>
          <w:rFonts w:hint="eastAsia" w:ascii="宋体" w:hAnsi="Times New Roman" w:eastAsia="宋体" w:cs="宋体"/>
          <w:szCs w:val="21"/>
          <w:highlight w:val="none"/>
          <w:u w:val="single"/>
        </w:rPr>
        <w:t>监理人</w:t>
      </w:r>
      <w:r>
        <w:rPr>
          <w:rFonts w:hint="eastAsia" w:ascii="宋体" w:cs="宋体"/>
          <w:szCs w:val="21"/>
          <w:highlight w:val="none"/>
          <w:u w:val="single"/>
        </w:rPr>
        <w:t>应及时发出变更指示，由此引起的合同价格调整按照第10.4款〔变更估价〕约定执行。发包人不同意变更的，</w:t>
      </w:r>
      <w:r>
        <w:rPr>
          <w:rFonts w:hint="eastAsia" w:ascii="宋体" w:hAnsi="Times New Roman" w:eastAsia="宋体" w:cs="宋体"/>
          <w:szCs w:val="21"/>
          <w:highlight w:val="none"/>
          <w:u w:val="single"/>
        </w:rPr>
        <w:t>监理人</w:t>
      </w:r>
      <w:r>
        <w:rPr>
          <w:rFonts w:hint="eastAsia" w:ascii="宋体" w:cs="宋体"/>
          <w:szCs w:val="21"/>
          <w:highlight w:val="none"/>
          <w:u w:val="single"/>
        </w:rPr>
        <w:t>应书面通知承包人。</w:t>
      </w:r>
    </w:p>
    <w:p w14:paraId="4F4C2DC1">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承包人提出的合理化建议降低了合同价格或者提高了工程经济效益的奖励的方法和金额为：</w:t>
      </w:r>
      <w:r>
        <w:rPr>
          <w:rFonts w:hint="eastAsia"/>
          <w:highlight w:val="none"/>
          <w:u w:val="single"/>
        </w:rPr>
        <w:t>由发包人根据合同价格降低额或工程经济效益提高承担，结合项目考勤、质量、安全、进度等实际情况综合考虑</w:t>
      </w:r>
      <w:r>
        <w:rPr>
          <w:rFonts w:hint="eastAsia"/>
          <w:highlight w:val="none"/>
        </w:rPr>
        <w:t>。</w:t>
      </w:r>
    </w:p>
    <w:p w14:paraId="5AF887FD">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10.7 暂估价</w:t>
      </w:r>
    </w:p>
    <w:p w14:paraId="1DED4A76">
      <w:pPr>
        <w:pStyle w:val="14"/>
        <w:spacing w:after="0" w:line="440" w:lineRule="exact"/>
        <w:ind w:left="0" w:leftChars="0"/>
        <w:rPr>
          <w:rFonts w:hint="eastAsia"/>
          <w:highlight w:val="none"/>
        </w:rPr>
      </w:pPr>
      <w:r>
        <w:rPr>
          <w:rFonts w:hint="eastAsia"/>
          <w:highlight w:val="none"/>
          <w:u w:val="single"/>
        </w:rPr>
        <w:t xml:space="preserve">   无    。</w:t>
      </w:r>
    </w:p>
    <w:p w14:paraId="4D201892">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10.8 暂列金额</w:t>
      </w:r>
    </w:p>
    <w:p w14:paraId="41C9DC6F">
      <w:pPr>
        <w:autoSpaceDE w:val="0"/>
        <w:autoSpaceDN w:val="0"/>
        <w:adjustRightInd w:val="0"/>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u w:val="single"/>
        </w:rPr>
        <w:t xml:space="preserve"> </w:t>
      </w:r>
      <w:r>
        <w:rPr>
          <w:rFonts w:hint="eastAsia" w:ascii="宋体" w:cs="宋体"/>
          <w:szCs w:val="21"/>
          <w:highlight w:val="none"/>
          <w:u w:val="single"/>
          <w:lang w:val="en-US" w:eastAsia="zh-CN"/>
        </w:rPr>
        <w:t>无</w:t>
      </w:r>
      <w:r>
        <w:rPr>
          <w:rFonts w:hint="eastAsia" w:ascii="宋体" w:cs="宋体"/>
          <w:szCs w:val="21"/>
          <w:highlight w:val="none"/>
          <w:u w:val="single"/>
        </w:rPr>
        <w:t>。</w:t>
      </w:r>
    </w:p>
    <w:p w14:paraId="510AEE20">
      <w:pPr>
        <w:pStyle w:val="5"/>
        <w:snapToGrid w:val="0"/>
        <w:spacing w:before="0" w:after="0" w:line="44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11. 价格调整</w:t>
      </w:r>
    </w:p>
    <w:p w14:paraId="47D887AB">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11.1 市场价格波动引起的调整</w:t>
      </w:r>
    </w:p>
    <w:p w14:paraId="192D748D">
      <w:pPr>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kern w:val="0"/>
          <w:szCs w:val="21"/>
          <w:highlight w:val="none"/>
        </w:rPr>
        <w:t>市场价格波动是否调整合同价格的约定：</w:t>
      </w:r>
      <w:r>
        <w:rPr>
          <w:rFonts w:hint="eastAsia" w:ascii="宋体" w:cs="宋体"/>
          <w:color w:val="auto"/>
          <w:szCs w:val="21"/>
          <w:highlight w:val="none"/>
          <w:u w:val="single"/>
        </w:rPr>
        <w:t xml:space="preserve"> 不调整   </w:t>
      </w:r>
      <w:r>
        <w:rPr>
          <w:rFonts w:hint="eastAsia" w:ascii="宋体" w:cs="宋体"/>
          <w:color w:val="auto"/>
          <w:szCs w:val="21"/>
          <w:highlight w:val="none"/>
        </w:rPr>
        <w:t>。</w:t>
      </w:r>
    </w:p>
    <w:p w14:paraId="5EFED93A">
      <w:pPr>
        <w:snapToGrid w:val="0"/>
        <w:spacing w:line="440" w:lineRule="exact"/>
        <w:ind w:firstLine="420" w:firstLineChars="200"/>
        <w:jc w:val="left"/>
        <w:rPr>
          <w:rFonts w:hint="eastAsia" w:ascii="宋体" w:cs="宋体"/>
          <w:color w:val="auto"/>
          <w:szCs w:val="21"/>
          <w:highlight w:val="none"/>
          <w:u w:val="single"/>
        </w:rPr>
      </w:pPr>
      <w:r>
        <w:rPr>
          <w:rFonts w:hint="eastAsia" w:ascii="宋体" w:cs="宋体"/>
          <w:color w:val="auto"/>
          <w:szCs w:val="21"/>
          <w:highlight w:val="none"/>
        </w:rPr>
        <w:t>因市场价格波动调整合同价格，</w:t>
      </w:r>
      <w:r>
        <w:rPr>
          <w:rFonts w:hint="eastAsia" w:ascii="宋体" w:cs="宋体"/>
          <w:color w:val="auto"/>
          <w:szCs w:val="21"/>
          <w:highlight w:val="none"/>
          <w:u w:val="single"/>
        </w:rPr>
        <w:t>不调整</w:t>
      </w:r>
    </w:p>
    <w:p w14:paraId="00297066">
      <w:pPr>
        <w:pStyle w:val="5"/>
        <w:snapToGrid w:val="0"/>
        <w:spacing w:before="0" w:after="0" w:line="440" w:lineRule="exact"/>
        <w:ind w:firstLine="420" w:firstLineChars="200"/>
        <w:rPr>
          <w:rFonts w:hint="eastAsia" w:ascii="宋体" w:eastAsia="宋体" w:cs="宋体"/>
          <w:b w:val="0"/>
          <w:color w:val="auto"/>
          <w:sz w:val="21"/>
          <w:szCs w:val="21"/>
          <w:highlight w:val="none"/>
        </w:rPr>
      </w:pPr>
      <w:r>
        <w:rPr>
          <w:rFonts w:hint="eastAsia" w:ascii="宋体" w:hAnsi="宋体" w:eastAsia="宋体" w:cs="宋体"/>
          <w:b w:val="0"/>
          <w:color w:val="auto"/>
          <w:sz w:val="21"/>
          <w:szCs w:val="21"/>
          <w:highlight w:val="none"/>
        </w:rPr>
        <w:t>11.2人工费调整方法：按施工期间对应发布的人工价格信息进行调整，按安徽省住建厅建标【2021】46号文规定执行。</w:t>
      </w:r>
    </w:p>
    <w:p w14:paraId="23DE31B2">
      <w:pPr>
        <w:pStyle w:val="5"/>
        <w:snapToGrid w:val="0"/>
        <w:spacing w:before="0" w:after="0" w:line="440" w:lineRule="exact"/>
        <w:ind w:firstLine="420" w:firstLineChars="200"/>
        <w:rPr>
          <w:rFonts w:hint="eastAsia" w:ascii="宋体" w:eastAsia="宋体" w:cs="宋体"/>
          <w:b w:val="0"/>
          <w:color w:val="auto"/>
          <w:sz w:val="21"/>
          <w:szCs w:val="21"/>
          <w:highlight w:val="none"/>
        </w:rPr>
      </w:pPr>
      <w:r>
        <w:rPr>
          <w:rFonts w:hint="eastAsia" w:ascii="宋体" w:eastAsia="宋体" w:cs="宋体"/>
          <w:b w:val="0"/>
          <w:color w:val="auto"/>
          <w:sz w:val="21"/>
          <w:szCs w:val="21"/>
          <w:highlight w:val="none"/>
        </w:rPr>
        <w:t>12. 合同价格、计量与支付</w:t>
      </w:r>
    </w:p>
    <w:p w14:paraId="78AAEEA6">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12.1 合同价格形式</w:t>
      </w:r>
    </w:p>
    <w:p w14:paraId="0EDC4618">
      <w:pPr>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szCs w:val="21"/>
          <w:highlight w:val="none"/>
        </w:rPr>
        <w:t>1、单价合同。</w:t>
      </w:r>
    </w:p>
    <w:p w14:paraId="34278DE4">
      <w:pPr>
        <w:snapToGrid w:val="0"/>
        <w:spacing w:line="440" w:lineRule="exact"/>
        <w:ind w:firstLine="420" w:firstLineChars="200"/>
        <w:jc w:val="left"/>
        <w:rPr>
          <w:rFonts w:hint="eastAsia" w:ascii="宋体" w:cs="宋体"/>
          <w:b/>
          <w:szCs w:val="21"/>
          <w:highlight w:val="none"/>
          <w:u w:val="single"/>
        </w:rPr>
      </w:pPr>
      <w:r>
        <w:rPr>
          <w:rFonts w:hint="eastAsia" w:ascii="宋体" w:cs="宋体"/>
          <w:color w:val="auto"/>
          <w:szCs w:val="21"/>
          <w:highlight w:val="none"/>
        </w:rPr>
        <w:t>综合单价包含的风险范围：</w:t>
      </w:r>
      <w:r>
        <w:rPr>
          <w:rFonts w:hint="eastAsia" w:ascii="宋体" w:cs="宋体"/>
          <w:color w:val="auto"/>
          <w:szCs w:val="21"/>
          <w:highlight w:val="none"/>
          <w:u w:val="single"/>
        </w:rPr>
        <w:t xml:space="preserve">  </w:t>
      </w:r>
      <w:r>
        <w:rPr>
          <w:rFonts w:hint="eastAsia" w:ascii="黑体" w:eastAsia="黑体" w:cs="宋体"/>
          <w:b/>
          <w:color w:val="auto"/>
          <w:szCs w:val="21"/>
          <w:highlight w:val="none"/>
          <w:u w:val="single"/>
        </w:rPr>
        <w:t>各种因素引起的不属于本合同</w:t>
      </w:r>
      <w:r>
        <w:rPr>
          <w:rFonts w:hint="eastAsia" w:ascii="黑体" w:eastAsia="黑体" w:cs="宋体"/>
          <w:b/>
          <w:szCs w:val="21"/>
          <w:highlight w:val="none"/>
          <w:u w:val="single"/>
        </w:rPr>
        <w:t>调价范围的市场材料价格、人工、机械使用费以及管理费、利润的变化等</w:t>
      </w:r>
      <w:r>
        <w:rPr>
          <w:rFonts w:hint="eastAsia" w:ascii="宋体" w:cs="宋体"/>
          <w:b/>
          <w:szCs w:val="21"/>
          <w:highlight w:val="none"/>
          <w:u w:val="single"/>
        </w:rPr>
        <w:t>。</w:t>
      </w:r>
    </w:p>
    <w:p w14:paraId="7781F16A">
      <w:pPr>
        <w:snapToGrid w:val="0"/>
        <w:spacing w:line="440" w:lineRule="exact"/>
        <w:ind w:firstLine="420" w:firstLineChars="200"/>
        <w:jc w:val="left"/>
        <w:rPr>
          <w:rFonts w:hint="eastAsia" w:ascii="宋体" w:cs="宋体"/>
          <w:color w:val="auto"/>
          <w:szCs w:val="21"/>
          <w:highlight w:val="none"/>
          <w:u w:val="single"/>
        </w:rPr>
      </w:pPr>
      <w:r>
        <w:rPr>
          <w:rFonts w:hint="eastAsia" w:ascii="宋体" w:cs="宋体"/>
          <w:color w:val="auto"/>
          <w:szCs w:val="21"/>
          <w:highlight w:val="none"/>
        </w:rPr>
        <w:t>风险费用的计算方法：</w:t>
      </w:r>
      <w:r>
        <w:rPr>
          <w:rFonts w:hint="eastAsia" w:ascii="宋体" w:cs="宋体"/>
          <w:color w:val="auto"/>
          <w:szCs w:val="21"/>
          <w:highlight w:val="none"/>
          <w:u w:val="single"/>
        </w:rPr>
        <w:t xml:space="preserve"> 不考虑  </w:t>
      </w:r>
    </w:p>
    <w:p w14:paraId="04548219">
      <w:pPr>
        <w:snapToGrid w:val="0"/>
        <w:spacing w:line="440" w:lineRule="exact"/>
        <w:ind w:firstLine="420" w:firstLineChars="200"/>
        <w:jc w:val="left"/>
        <w:rPr>
          <w:rFonts w:hint="eastAsia" w:ascii="宋体" w:hAnsi="宋体" w:cs="宋体"/>
          <w:bCs/>
          <w:color w:val="auto"/>
          <w:szCs w:val="21"/>
          <w:highlight w:val="none"/>
          <w:u w:val="single"/>
        </w:rPr>
      </w:pPr>
      <w:r>
        <w:rPr>
          <w:rFonts w:hint="eastAsia"/>
          <w:color w:val="auto"/>
          <w:highlight w:val="none"/>
        </w:rPr>
        <w:t>风险范围以外合同价格的调整方法：</w:t>
      </w:r>
      <w:r>
        <w:rPr>
          <w:rFonts w:hint="eastAsia" w:ascii="宋体" w:hAnsi="宋体" w:cs="宋体"/>
          <w:bCs/>
          <w:color w:val="auto"/>
          <w:szCs w:val="21"/>
          <w:highlight w:val="none"/>
          <w:u w:val="single"/>
        </w:rPr>
        <w:t xml:space="preserve">结算价=合同价±工程变更造价±分部分项工程量清单工程量误差造价±政策性调整造价－暂列金额×1.09± 合理工程索赔。 </w:t>
      </w:r>
    </w:p>
    <w:p w14:paraId="0D98921D">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12.2 预付款</w:t>
      </w:r>
    </w:p>
    <w:p w14:paraId="19F1B615">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12.2.1 预付款的支付</w:t>
      </w:r>
    </w:p>
    <w:p w14:paraId="6DD4723E">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预付款支付比例或金额：</w:t>
      </w:r>
      <w:r>
        <w:rPr>
          <w:rFonts w:hint="eastAsia" w:ascii="宋体" w:cs="宋体"/>
          <w:szCs w:val="21"/>
          <w:highlight w:val="none"/>
          <w:u w:val="single"/>
        </w:rPr>
        <w:t xml:space="preserve">   不考虑    </w:t>
      </w:r>
      <w:r>
        <w:rPr>
          <w:rFonts w:hint="eastAsia" w:ascii="宋体" w:cs="宋体"/>
          <w:szCs w:val="21"/>
          <w:highlight w:val="none"/>
        </w:rPr>
        <w:t>。</w:t>
      </w:r>
    </w:p>
    <w:p w14:paraId="1F98206A">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预付款支付期限：</w:t>
      </w:r>
      <w:r>
        <w:rPr>
          <w:rFonts w:hint="eastAsia" w:ascii="宋体" w:cs="宋体"/>
          <w:szCs w:val="21"/>
          <w:highlight w:val="none"/>
          <w:u w:val="single"/>
        </w:rPr>
        <w:t xml:space="preserve">    无     </w:t>
      </w:r>
      <w:r>
        <w:rPr>
          <w:rFonts w:hint="eastAsia" w:ascii="宋体" w:cs="宋体"/>
          <w:szCs w:val="21"/>
          <w:highlight w:val="none"/>
        </w:rPr>
        <w:t>。</w:t>
      </w:r>
    </w:p>
    <w:p w14:paraId="654B2BD8">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预付款扣回的方式：</w:t>
      </w:r>
      <w:r>
        <w:rPr>
          <w:rFonts w:hint="eastAsia" w:ascii="宋体" w:cs="宋体"/>
          <w:szCs w:val="21"/>
          <w:highlight w:val="none"/>
          <w:u w:val="single"/>
        </w:rPr>
        <w:t xml:space="preserve">   无    </w:t>
      </w:r>
      <w:r>
        <w:rPr>
          <w:rFonts w:hint="eastAsia" w:ascii="宋体" w:cs="宋体"/>
          <w:szCs w:val="21"/>
          <w:highlight w:val="none"/>
        </w:rPr>
        <w:t>。</w:t>
      </w:r>
    </w:p>
    <w:p w14:paraId="5D081596">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12.2.2 预付款担保</w:t>
      </w:r>
    </w:p>
    <w:p w14:paraId="0A3512B6">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承包人提交预付款担保的期限：</w:t>
      </w:r>
      <w:r>
        <w:rPr>
          <w:rFonts w:hint="eastAsia" w:ascii="宋体" w:cs="宋体"/>
          <w:szCs w:val="21"/>
          <w:highlight w:val="none"/>
          <w:u w:val="single"/>
        </w:rPr>
        <w:t xml:space="preserve">   无   </w:t>
      </w:r>
      <w:r>
        <w:rPr>
          <w:rFonts w:hint="eastAsia" w:ascii="宋体" w:cs="宋体"/>
          <w:szCs w:val="21"/>
          <w:highlight w:val="none"/>
        </w:rPr>
        <w:t>。</w:t>
      </w:r>
    </w:p>
    <w:p w14:paraId="527EB018">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预付款担保的形式为：</w:t>
      </w:r>
      <w:r>
        <w:rPr>
          <w:rFonts w:hint="eastAsia" w:ascii="宋体" w:cs="宋体"/>
          <w:szCs w:val="21"/>
          <w:highlight w:val="none"/>
          <w:u w:val="single"/>
        </w:rPr>
        <w:t xml:space="preserve">   无    </w:t>
      </w:r>
      <w:r>
        <w:rPr>
          <w:rFonts w:hint="eastAsia" w:ascii="宋体" w:cs="宋体"/>
          <w:szCs w:val="21"/>
          <w:highlight w:val="none"/>
        </w:rPr>
        <w:t>。</w:t>
      </w:r>
    </w:p>
    <w:p w14:paraId="6B8B988D">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12.3 计量</w:t>
      </w:r>
    </w:p>
    <w:p w14:paraId="07AC1EDC">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12.3.1 计量原则</w:t>
      </w:r>
    </w:p>
    <w:p w14:paraId="4044A6EA">
      <w:pPr>
        <w:spacing w:line="440" w:lineRule="exact"/>
        <w:ind w:firstLine="420" w:firstLineChars="200"/>
        <w:rPr>
          <w:rFonts w:hint="eastAsia" w:ascii="宋体" w:cs="宋体"/>
          <w:szCs w:val="21"/>
          <w:highlight w:val="none"/>
        </w:rPr>
      </w:pPr>
      <w:r>
        <w:rPr>
          <w:rFonts w:hint="eastAsia" w:ascii="宋体" w:cs="宋体"/>
          <w:szCs w:val="21"/>
          <w:highlight w:val="none"/>
        </w:rPr>
        <w:t>工程量计算规则：</w:t>
      </w:r>
      <w:r>
        <w:rPr>
          <w:rFonts w:hint="eastAsia" w:ascii="宋体" w:hAnsi="宋体" w:cs="宋体"/>
          <w:color w:val="000000"/>
          <w:szCs w:val="21"/>
          <w:highlight w:val="none"/>
          <w:u w:val="single"/>
        </w:rPr>
        <w:t>按招标工程量清单及最高投标限价所采用的工程量清单计价规范及配套文件等</w:t>
      </w:r>
      <w:r>
        <w:rPr>
          <w:rFonts w:hint="eastAsia" w:ascii="宋体" w:cs="宋体"/>
          <w:szCs w:val="21"/>
          <w:highlight w:val="none"/>
          <w:u w:val="single"/>
        </w:rPr>
        <w:t>。</w:t>
      </w:r>
    </w:p>
    <w:p w14:paraId="462C41C7">
      <w:pPr>
        <w:spacing w:line="440" w:lineRule="exact"/>
        <w:ind w:firstLine="420" w:firstLineChars="200"/>
        <w:rPr>
          <w:rFonts w:hint="eastAsia" w:ascii="宋体" w:cs="宋体"/>
          <w:szCs w:val="21"/>
          <w:highlight w:val="none"/>
        </w:rPr>
      </w:pPr>
      <w:r>
        <w:rPr>
          <w:rFonts w:hint="eastAsia" w:ascii="宋体" w:cs="宋体"/>
          <w:szCs w:val="21"/>
          <w:highlight w:val="none"/>
        </w:rPr>
        <w:t>12.3.2 计量周期</w:t>
      </w:r>
    </w:p>
    <w:p w14:paraId="3CE77272">
      <w:pPr>
        <w:spacing w:line="440" w:lineRule="exact"/>
        <w:ind w:firstLine="420" w:firstLineChars="200"/>
        <w:rPr>
          <w:rFonts w:hint="eastAsia" w:ascii="宋体" w:cs="宋体"/>
          <w:szCs w:val="21"/>
          <w:highlight w:val="none"/>
        </w:rPr>
      </w:pPr>
      <w:r>
        <w:rPr>
          <w:rFonts w:hint="eastAsia" w:ascii="宋体" w:cs="宋体"/>
          <w:szCs w:val="21"/>
          <w:highlight w:val="none"/>
        </w:rPr>
        <w:t>关于计量周期的约定：</w:t>
      </w:r>
      <w:r>
        <w:rPr>
          <w:rFonts w:hint="eastAsia" w:ascii="宋体" w:cs="宋体"/>
          <w:szCs w:val="21"/>
          <w:highlight w:val="none"/>
          <w:u w:val="single"/>
        </w:rPr>
        <w:t xml:space="preserve"> 按月计量  </w:t>
      </w:r>
      <w:r>
        <w:rPr>
          <w:rFonts w:hint="eastAsia" w:ascii="宋体" w:cs="宋体"/>
          <w:szCs w:val="21"/>
          <w:highlight w:val="none"/>
        </w:rPr>
        <w:t>。</w:t>
      </w:r>
    </w:p>
    <w:p w14:paraId="0F3A8815">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12.3.3 单价合同的计量</w:t>
      </w:r>
    </w:p>
    <w:p w14:paraId="315641B2">
      <w:pPr>
        <w:snapToGrid w:val="0"/>
        <w:spacing w:line="440" w:lineRule="exact"/>
        <w:ind w:firstLine="420" w:firstLineChars="200"/>
        <w:jc w:val="left"/>
        <w:rPr>
          <w:rFonts w:hint="eastAsia" w:ascii="宋体" w:cs="宋体"/>
          <w:color w:val="auto"/>
          <w:szCs w:val="21"/>
          <w:highlight w:val="none"/>
          <w:u w:val="single"/>
        </w:rPr>
      </w:pPr>
      <w:r>
        <w:rPr>
          <w:rFonts w:hint="eastAsia" w:ascii="宋体" w:cs="宋体"/>
          <w:szCs w:val="21"/>
          <w:highlight w:val="none"/>
        </w:rPr>
        <w:t>关于单价合同计量的约定：</w:t>
      </w:r>
      <w:r>
        <w:rPr>
          <w:rFonts w:hint="eastAsia" w:ascii="宋体" w:cs="宋体"/>
          <w:szCs w:val="21"/>
          <w:highlight w:val="none"/>
          <w:u w:val="single"/>
        </w:rPr>
        <w:t>（1）承包人应于每月25日向监理人报送上月20日至当月19日已完成的工程量报告，并附具进度付款申请单、已完成工程量报表和有关资料。（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3）监理人未在收到承包人提交的工程量</w:t>
      </w:r>
      <w:r>
        <w:rPr>
          <w:rFonts w:hint="eastAsia" w:ascii="宋体" w:cs="宋体"/>
          <w:color w:val="auto"/>
          <w:szCs w:val="21"/>
          <w:highlight w:val="none"/>
          <w:u w:val="single"/>
        </w:rPr>
        <w:t>报表后的7天内完成审核的，承包人</w:t>
      </w:r>
      <w:r>
        <w:rPr>
          <w:rFonts w:hint="eastAsia" w:ascii="宋体" w:cs="宋体"/>
          <w:color w:val="auto"/>
          <w:szCs w:val="21"/>
          <w:highlight w:val="none"/>
          <w:u w:val="single"/>
          <w:lang w:eastAsia="zh-CN"/>
        </w:rPr>
        <w:t>应通知发包人审核，发包人既不审核也不督促监理人复核，超过承包人报送时间</w:t>
      </w:r>
      <w:r>
        <w:rPr>
          <w:rFonts w:hint="eastAsia" w:ascii="宋体" w:cs="宋体"/>
          <w:color w:val="auto"/>
          <w:szCs w:val="21"/>
          <w:highlight w:val="none"/>
          <w:u w:val="single"/>
          <w:lang w:val="en-US" w:eastAsia="zh-CN"/>
        </w:rPr>
        <w:t>14日的，以</w:t>
      </w:r>
      <w:r>
        <w:rPr>
          <w:rFonts w:hint="eastAsia" w:ascii="宋体" w:cs="宋体"/>
          <w:color w:val="auto"/>
          <w:szCs w:val="21"/>
          <w:highlight w:val="none"/>
          <w:u w:val="single"/>
        </w:rPr>
        <w:t>承包人</w:t>
      </w:r>
      <w:r>
        <w:rPr>
          <w:rFonts w:hint="eastAsia" w:ascii="宋体" w:cs="宋体"/>
          <w:color w:val="auto"/>
          <w:szCs w:val="21"/>
          <w:highlight w:val="none"/>
          <w:u w:val="single"/>
          <w:lang w:eastAsia="zh-CN"/>
        </w:rPr>
        <w:t>报送</w:t>
      </w:r>
      <w:r>
        <w:rPr>
          <w:rFonts w:hint="eastAsia" w:ascii="宋体" w:cs="宋体"/>
          <w:color w:val="auto"/>
          <w:szCs w:val="21"/>
          <w:highlight w:val="none"/>
          <w:u w:val="single"/>
        </w:rPr>
        <w:t>的工程量，据此计算工程价款。</w:t>
      </w:r>
    </w:p>
    <w:p w14:paraId="34C8A998">
      <w:pPr>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szCs w:val="21"/>
          <w:highlight w:val="none"/>
        </w:rPr>
        <w:t>12.3.4 总价合同的计量</w:t>
      </w:r>
    </w:p>
    <w:p w14:paraId="72E9ACAB">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关于总价合同计量的约定：</w:t>
      </w:r>
      <w:r>
        <w:rPr>
          <w:rFonts w:hint="eastAsia" w:ascii="宋体" w:cs="宋体"/>
          <w:szCs w:val="21"/>
          <w:highlight w:val="none"/>
          <w:u w:val="single"/>
        </w:rPr>
        <w:t xml:space="preserve"> 不采用 </w:t>
      </w:r>
      <w:r>
        <w:rPr>
          <w:rFonts w:hint="eastAsia" w:ascii="宋体" w:cs="宋体"/>
          <w:szCs w:val="21"/>
          <w:highlight w:val="none"/>
        </w:rPr>
        <w:t>。</w:t>
      </w:r>
    </w:p>
    <w:p w14:paraId="1969EA1D">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12.3.5总价合同采用支付分解表计量支付的，是否适用第</w:t>
      </w:r>
      <w:r>
        <w:rPr>
          <w:rFonts w:hint="eastAsia" w:ascii="宋体" w:cs="宋体"/>
          <w:kern w:val="0"/>
          <w:szCs w:val="21"/>
          <w:highlight w:val="none"/>
        </w:rPr>
        <w:t xml:space="preserve">12.3.4 </w:t>
      </w:r>
      <w:r>
        <w:rPr>
          <w:rFonts w:hint="eastAsia" w:ascii="宋体" w:cs="宋体"/>
          <w:szCs w:val="21"/>
          <w:highlight w:val="none"/>
        </w:rPr>
        <w:t>项</w:t>
      </w:r>
      <w:r>
        <w:rPr>
          <w:rFonts w:hint="eastAsia" w:ascii="宋体" w:cs="宋体"/>
          <w:kern w:val="0"/>
          <w:szCs w:val="21"/>
          <w:highlight w:val="none"/>
        </w:rPr>
        <w:t>〔总价合同的计量〕</w:t>
      </w:r>
      <w:r>
        <w:rPr>
          <w:rFonts w:hint="eastAsia" w:ascii="宋体" w:cs="宋体"/>
          <w:szCs w:val="21"/>
          <w:highlight w:val="none"/>
        </w:rPr>
        <w:t>约定进行计量：</w:t>
      </w:r>
      <w:r>
        <w:rPr>
          <w:rFonts w:hint="eastAsia" w:ascii="宋体" w:cs="宋体"/>
          <w:szCs w:val="21"/>
          <w:highlight w:val="none"/>
          <w:u w:val="single"/>
        </w:rPr>
        <w:t xml:space="preserve">   不采用   </w:t>
      </w:r>
      <w:r>
        <w:rPr>
          <w:rFonts w:hint="eastAsia" w:ascii="宋体" w:cs="宋体"/>
          <w:szCs w:val="21"/>
          <w:highlight w:val="none"/>
        </w:rPr>
        <w:t>。</w:t>
      </w:r>
    </w:p>
    <w:p w14:paraId="3AB7FCAC">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12.3.6 其他价格形式合同的计量</w:t>
      </w:r>
    </w:p>
    <w:p w14:paraId="08ED57F0">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其他价格形式的计量方式和程序：</w:t>
      </w:r>
      <w:r>
        <w:rPr>
          <w:rFonts w:hint="eastAsia" w:ascii="宋体" w:cs="宋体"/>
          <w:szCs w:val="21"/>
          <w:highlight w:val="none"/>
          <w:u w:val="single"/>
        </w:rPr>
        <w:t xml:space="preserve">   不采用   </w:t>
      </w:r>
      <w:r>
        <w:rPr>
          <w:rFonts w:hint="eastAsia" w:ascii="宋体" w:cs="宋体"/>
          <w:szCs w:val="21"/>
          <w:highlight w:val="none"/>
        </w:rPr>
        <w:t>。</w:t>
      </w:r>
    </w:p>
    <w:p w14:paraId="3ACD67C3">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12.4 工程进度款支付</w:t>
      </w:r>
    </w:p>
    <w:p w14:paraId="0FFCEC2D">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12.4.1 付款周期</w:t>
      </w:r>
    </w:p>
    <w:p w14:paraId="00DDD8B7">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关于付款周期的约定：</w:t>
      </w:r>
      <w:r>
        <w:rPr>
          <w:rFonts w:hint="eastAsia" w:ascii="宋体" w:cs="宋体"/>
          <w:szCs w:val="21"/>
          <w:highlight w:val="none"/>
          <w:u w:val="single"/>
        </w:rPr>
        <w:t xml:space="preserve">    详见支付方式     </w:t>
      </w:r>
      <w:r>
        <w:rPr>
          <w:rFonts w:hint="eastAsia" w:ascii="宋体" w:cs="宋体"/>
          <w:szCs w:val="21"/>
          <w:highlight w:val="none"/>
        </w:rPr>
        <w:t>。</w:t>
      </w:r>
    </w:p>
    <w:p w14:paraId="0454091C">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12.4.2 进度付款申请单的编制</w:t>
      </w:r>
    </w:p>
    <w:p w14:paraId="1A2C3AE0">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关于进度付款申请单编制的约定：</w:t>
      </w:r>
      <w:r>
        <w:rPr>
          <w:rFonts w:hint="eastAsia" w:ascii="宋体" w:cs="宋体"/>
          <w:szCs w:val="21"/>
          <w:highlight w:val="none"/>
          <w:u w:val="single"/>
        </w:rPr>
        <w:t>执行发包人统一内容格式。</w:t>
      </w:r>
    </w:p>
    <w:p w14:paraId="67596A3B">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12.4.3 进度付款申请单的提交</w:t>
      </w:r>
    </w:p>
    <w:p w14:paraId="31BB1BD4">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（1）单价合同进度付款申请单提交的约定：</w:t>
      </w:r>
      <w:r>
        <w:rPr>
          <w:rFonts w:hint="eastAsia" w:ascii="宋体" w:cs="宋体"/>
          <w:szCs w:val="21"/>
          <w:highlight w:val="none"/>
          <w:u w:val="single"/>
        </w:rPr>
        <w:t xml:space="preserve"> </w:t>
      </w:r>
      <w:r>
        <w:rPr>
          <w:rFonts w:hint="eastAsia" w:ascii="宋体" w:hAnsi="宋体" w:cs="宋体"/>
          <w:szCs w:val="21"/>
          <w:highlight w:val="none"/>
          <w:u w:val="single"/>
        </w:rPr>
        <w:t>无</w:t>
      </w:r>
      <w:r>
        <w:rPr>
          <w:rFonts w:hint="eastAsia" w:ascii="黑体" w:eastAsia="黑体" w:cs="宋体"/>
          <w:b/>
          <w:bCs/>
          <w:szCs w:val="21"/>
          <w:highlight w:val="none"/>
          <w:u w:val="single"/>
        </w:rPr>
        <w:t>。</w:t>
      </w:r>
    </w:p>
    <w:p w14:paraId="08FBBFD9">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（2）总价合同进度付款申请单提交的约定：</w:t>
      </w:r>
      <w:r>
        <w:rPr>
          <w:rFonts w:hint="eastAsia" w:ascii="宋体" w:cs="宋体"/>
          <w:szCs w:val="21"/>
          <w:highlight w:val="none"/>
          <w:u w:val="single"/>
        </w:rPr>
        <w:t xml:space="preserve">   不采用   </w:t>
      </w:r>
      <w:r>
        <w:rPr>
          <w:rFonts w:hint="eastAsia" w:ascii="宋体" w:cs="宋体"/>
          <w:szCs w:val="21"/>
          <w:highlight w:val="none"/>
        </w:rPr>
        <w:t>。</w:t>
      </w:r>
    </w:p>
    <w:p w14:paraId="5A498097">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（3）其他价格形式合同进度付款申请单提交的约定：</w:t>
      </w:r>
      <w:r>
        <w:rPr>
          <w:rFonts w:hint="eastAsia" w:ascii="宋体" w:cs="宋体"/>
          <w:szCs w:val="21"/>
          <w:highlight w:val="none"/>
          <w:u w:val="single"/>
        </w:rPr>
        <w:t xml:space="preserve">  不采用  </w:t>
      </w:r>
      <w:r>
        <w:rPr>
          <w:rFonts w:hint="eastAsia" w:ascii="宋体" w:cs="宋体"/>
          <w:szCs w:val="21"/>
          <w:highlight w:val="none"/>
        </w:rPr>
        <w:t>。</w:t>
      </w:r>
    </w:p>
    <w:p w14:paraId="65633967">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12.4.4 进度款审核和支付</w:t>
      </w:r>
    </w:p>
    <w:p w14:paraId="7322FDC7">
      <w:pPr>
        <w:snapToGrid w:val="0"/>
        <w:spacing w:line="440" w:lineRule="exact"/>
        <w:ind w:firstLine="420" w:firstLineChars="200"/>
        <w:jc w:val="left"/>
        <w:rPr>
          <w:rFonts w:hint="eastAsia"/>
          <w:highlight w:val="none"/>
        </w:rPr>
      </w:pPr>
      <w:r>
        <w:rPr>
          <w:rFonts w:hint="eastAsia" w:ascii="宋体" w:cs="宋体"/>
          <w:szCs w:val="21"/>
          <w:highlight w:val="none"/>
        </w:rPr>
        <w:t>（1）监理人审查并报送发包人的期限：</w:t>
      </w:r>
      <w:r>
        <w:rPr>
          <w:rFonts w:hint="eastAsia" w:ascii="宋体" w:cs="宋体"/>
          <w:szCs w:val="21"/>
          <w:highlight w:val="none"/>
          <w:u w:val="single"/>
        </w:rPr>
        <w:t xml:space="preserve"> 监理人应在收到承包人进度付款申请单以及相关资料后7天内完成审查并报送发包人。</w:t>
      </w:r>
    </w:p>
    <w:p w14:paraId="43F584F5">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发包人完成审批并签发进度款支付证书的期限：</w:t>
      </w:r>
      <w:r>
        <w:rPr>
          <w:rFonts w:hint="eastAsia" w:ascii="宋体" w:cs="宋体"/>
          <w:szCs w:val="21"/>
          <w:highlight w:val="none"/>
          <w:u w:val="single"/>
        </w:rPr>
        <w:t>发包人应在收到后7天内完成审批并签发进度款支付证书，跟踪审计人员审核时间除外</w:t>
      </w:r>
      <w:r>
        <w:rPr>
          <w:rFonts w:hint="eastAsia" w:ascii="宋体" w:cs="宋体"/>
          <w:szCs w:val="21"/>
          <w:highlight w:val="none"/>
        </w:rPr>
        <w:t>。</w:t>
      </w:r>
    </w:p>
    <w:p w14:paraId="6FC3DBBE">
      <w:pPr>
        <w:tabs>
          <w:tab w:val="left" w:pos="0"/>
        </w:tabs>
        <w:snapToGrid w:val="0"/>
        <w:spacing w:line="440" w:lineRule="exact"/>
        <w:ind w:firstLine="420" w:firstLineChars="200"/>
        <w:rPr>
          <w:rFonts w:hint="eastAsia" w:ascii="宋体" w:cs="宋体"/>
          <w:b/>
          <w:szCs w:val="21"/>
          <w:highlight w:val="none"/>
          <w:u w:val="single"/>
        </w:rPr>
      </w:pPr>
      <w:r>
        <w:rPr>
          <w:rFonts w:hint="eastAsia" w:ascii="宋体" w:cs="宋体"/>
          <w:szCs w:val="21"/>
          <w:highlight w:val="none"/>
        </w:rPr>
        <w:t>（2）发包人支付进度款的期限：发包人在政府资金调度会批准且发票送达一周内完成支付。</w:t>
      </w:r>
    </w:p>
    <w:p w14:paraId="497FE8DB">
      <w:pPr>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szCs w:val="21"/>
          <w:highlight w:val="none"/>
        </w:rPr>
        <w:t>发包人逾期支付进度款的违约金的计算方式：</w:t>
      </w:r>
      <w:r>
        <w:rPr>
          <w:rFonts w:hint="eastAsia" w:ascii="宋体" w:cs="宋体"/>
          <w:color w:val="auto"/>
          <w:szCs w:val="21"/>
          <w:highlight w:val="none"/>
          <w:u w:val="single"/>
        </w:rPr>
        <w:t xml:space="preserve">   不采用   </w:t>
      </w:r>
      <w:r>
        <w:rPr>
          <w:rFonts w:hint="eastAsia" w:ascii="宋体" w:cs="宋体"/>
          <w:color w:val="auto"/>
          <w:szCs w:val="21"/>
          <w:highlight w:val="none"/>
        </w:rPr>
        <w:t>。</w:t>
      </w:r>
    </w:p>
    <w:p w14:paraId="15B85A58">
      <w:pPr>
        <w:snapToGrid w:val="0"/>
        <w:spacing w:line="440" w:lineRule="exact"/>
        <w:ind w:firstLine="422" w:firstLineChars="200"/>
        <w:jc w:val="left"/>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rPr>
        <w:t>支付</w:t>
      </w:r>
      <w:r>
        <w:rPr>
          <w:rFonts w:hint="eastAsia" w:ascii="宋体" w:hAnsi="宋体" w:eastAsia="宋体" w:cs="宋体"/>
          <w:b/>
          <w:bCs/>
          <w:color w:val="auto"/>
          <w:szCs w:val="21"/>
          <w:highlight w:val="none"/>
        </w:rPr>
        <w:t>方式：</w:t>
      </w:r>
      <w:r>
        <w:rPr>
          <w:rFonts w:hint="eastAsia" w:ascii="宋体" w:hAnsi="宋体" w:eastAsia="宋体" w:cs="宋体"/>
          <w:b/>
          <w:bCs/>
          <w:color w:val="auto"/>
          <w:szCs w:val="21"/>
          <w:highlight w:val="none"/>
          <w:lang w:val="en-US" w:eastAsia="zh-CN"/>
        </w:rPr>
        <w:t>工程竣工验收合格经结算审核后付至审核结算价的98%，剩余2%作为工程质量保证金。工程质量保证金在工程缺陷责任期（缺陷责任期两年，从验收合格之日起计算）满后一个月内付清。（采用工程质量保证担保、工程质量保险等其他保证方式的，发包人不再预留质量保证金。）</w:t>
      </w:r>
    </w:p>
    <w:p w14:paraId="3BEA80C7">
      <w:pPr>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szCs w:val="21"/>
          <w:highlight w:val="none"/>
        </w:rPr>
        <w:t>12.4.6 支付分解表的编制</w:t>
      </w:r>
    </w:p>
    <w:p w14:paraId="6B7F3F2B">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2、总价合同支付分解表的编制与审批：</w:t>
      </w:r>
      <w:r>
        <w:rPr>
          <w:rFonts w:hint="eastAsia" w:ascii="宋体" w:cs="宋体"/>
          <w:szCs w:val="21"/>
          <w:highlight w:val="none"/>
          <w:u w:val="single"/>
        </w:rPr>
        <w:t xml:space="preserve">   不采用   </w:t>
      </w:r>
      <w:r>
        <w:rPr>
          <w:rFonts w:hint="eastAsia" w:ascii="宋体" w:cs="宋体"/>
          <w:szCs w:val="21"/>
          <w:highlight w:val="none"/>
        </w:rPr>
        <w:t>。</w:t>
      </w:r>
    </w:p>
    <w:p w14:paraId="3246C2C2">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3、单价合同的总价项目支付分解表的编制与审批：</w:t>
      </w:r>
      <w:r>
        <w:rPr>
          <w:rFonts w:hint="eastAsia" w:ascii="宋体" w:cs="宋体"/>
          <w:szCs w:val="21"/>
          <w:highlight w:val="none"/>
          <w:u w:val="single"/>
        </w:rPr>
        <w:t>执行发包人统一内容格式。</w:t>
      </w:r>
    </w:p>
    <w:p w14:paraId="57B68465">
      <w:pPr>
        <w:pStyle w:val="5"/>
        <w:snapToGrid w:val="0"/>
        <w:spacing w:before="0" w:after="0" w:line="44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13. 验收和工程试车</w:t>
      </w:r>
    </w:p>
    <w:p w14:paraId="0E25E4A7">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13.1 分部分项工程验收</w:t>
      </w:r>
    </w:p>
    <w:p w14:paraId="074CAD8F">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13.1.2监理人不能按时进行验收时，应提前</w:t>
      </w:r>
      <w:r>
        <w:rPr>
          <w:rFonts w:hint="eastAsia" w:ascii="宋体" w:cs="宋体"/>
          <w:szCs w:val="21"/>
          <w:highlight w:val="none"/>
          <w:u w:val="single"/>
        </w:rPr>
        <w:t xml:space="preserve">  3  </w:t>
      </w:r>
      <w:r>
        <w:rPr>
          <w:rFonts w:hint="eastAsia" w:ascii="宋体" w:cs="宋体"/>
          <w:szCs w:val="21"/>
          <w:highlight w:val="none"/>
        </w:rPr>
        <w:t>小时提交书面延期要求。</w:t>
      </w:r>
    </w:p>
    <w:p w14:paraId="08571564">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关于延期最长不得超过：</w:t>
      </w:r>
      <w:r>
        <w:rPr>
          <w:rFonts w:hint="eastAsia" w:ascii="宋体" w:cs="宋体"/>
          <w:szCs w:val="21"/>
          <w:highlight w:val="none"/>
          <w:u w:val="single"/>
        </w:rPr>
        <w:t xml:space="preserve"> 6  </w:t>
      </w:r>
      <w:r>
        <w:rPr>
          <w:rFonts w:hint="eastAsia" w:ascii="宋体" w:cs="宋体"/>
          <w:szCs w:val="21"/>
          <w:highlight w:val="none"/>
        </w:rPr>
        <w:t>小时。</w:t>
      </w:r>
    </w:p>
    <w:p w14:paraId="4311906F">
      <w:pPr>
        <w:wordWrap w:val="0"/>
        <w:snapToGrid w:val="0"/>
        <w:spacing w:line="440" w:lineRule="exact"/>
        <w:ind w:firstLine="420" w:firstLineChars="200"/>
        <w:textAlignment w:val="bottom"/>
        <w:rPr>
          <w:rFonts w:hint="eastAsia" w:ascii="宋体" w:cs="宋体"/>
          <w:szCs w:val="21"/>
          <w:highlight w:val="none"/>
        </w:rPr>
      </w:pPr>
      <w:r>
        <w:rPr>
          <w:rFonts w:hint="eastAsia" w:ascii="宋体" w:cs="宋体"/>
          <w:szCs w:val="21"/>
          <w:highlight w:val="none"/>
        </w:rPr>
        <w:t>13.2 竣工验收</w:t>
      </w:r>
    </w:p>
    <w:p w14:paraId="60A871A1">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13.2.2竣工验收程序</w:t>
      </w:r>
    </w:p>
    <w:p w14:paraId="168ACE07">
      <w:pPr>
        <w:wordWrap w:val="0"/>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关于竣工验收程序的约定：</w:t>
      </w:r>
      <w:r>
        <w:rPr>
          <w:rFonts w:hint="eastAsia" w:ascii="宋体" w:hAnsi="宋体" w:cs="宋体"/>
          <w:color w:val="auto"/>
          <w:szCs w:val="21"/>
          <w:highlight w:val="none"/>
          <w:u w:val="single"/>
        </w:rPr>
        <w:t>执行通用条款</w:t>
      </w:r>
      <w:r>
        <w:rPr>
          <w:rFonts w:ascii="宋体" w:hAnsi="宋体" w:cs="宋体"/>
          <w:color w:val="auto"/>
          <w:szCs w:val="21"/>
          <w:highlight w:val="none"/>
          <w:u w:val="single"/>
        </w:rPr>
        <w:t xml:space="preserve">  </w:t>
      </w:r>
      <w:r>
        <w:rPr>
          <w:rFonts w:hint="eastAsia" w:ascii="宋体" w:cs="宋体"/>
          <w:szCs w:val="21"/>
          <w:highlight w:val="none"/>
          <w:u w:val="single"/>
        </w:rPr>
        <w:t>。</w:t>
      </w:r>
    </w:p>
    <w:p w14:paraId="609E1968">
      <w:pPr>
        <w:wordWrap w:val="0"/>
        <w:snapToGrid w:val="0"/>
        <w:spacing w:line="440" w:lineRule="exact"/>
        <w:ind w:firstLine="420" w:firstLineChars="200"/>
        <w:jc w:val="left"/>
        <w:rPr>
          <w:rFonts w:hint="eastAsia" w:ascii="宋体" w:cs="宋体"/>
          <w:szCs w:val="21"/>
          <w:highlight w:val="none"/>
          <w:u w:val="single"/>
        </w:rPr>
      </w:pPr>
      <w:r>
        <w:rPr>
          <w:rFonts w:hint="eastAsia" w:ascii="宋体" w:cs="宋体"/>
          <w:kern w:val="0"/>
          <w:szCs w:val="21"/>
          <w:highlight w:val="none"/>
        </w:rPr>
        <w:t>发包人不按照本项约定组织竣工验收、颁发工程接收证书的违约金的计算方法：</w:t>
      </w:r>
      <w:r>
        <w:rPr>
          <w:rFonts w:hint="eastAsia" w:ascii="宋体" w:cs="宋体"/>
          <w:szCs w:val="21"/>
          <w:highlight w:val="none"/>
          <w:u w:val="single"/>
        </w:rPr>
        <w:t xml:space="preserve">  不考虑 </w:t>
      </w:r>
      <w:r>
        <w:rPr>
          <w:rFonts w:hint="eastAsia" w:ascii="宋体" w:cs="宋体"/>
          <w:szCs w:val="21"/>
          <w:highlight w:val="none"/>
        </w:rPr>
        <w:t>。</w:t>
      </w:r>
    </w:p>
    <w:p w14:paraId="63B9CDA6">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13.2.5移交、接收全部与部分工程</w:t>
      </w:r>
    </w:p>
    <w:p w14:paraId="2FE239F5">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承包人向发包人移交工程的期限：</w:t>
      </w:r>
      <w:r>
        <w:rPr>
          <w:rFonts w:hint="eastAsia" w:ascii="宋体" w:cs="宋体"/>
          <w:szCs w:val="21"/>
          <w:highlight w:val="none"/>
          <w:u w:val="single"/>
        </w:rPr>
        <w:t xml:space="preserve"> 承包人应当无条件配合发包人在30日内将工程移交给管养单位。</w:t>
      </w:r>
    </w:p>
    <w:p w14:paraId="344CF107">
      <w:pPr>
        <w:snapToGrid w:val="0"/>
        <w:spacing w:line="440" w:lineRule="exact"/>
        <w:ind w:firstLine="420" w:firstLineChars="200"/>
        <w:jc w:val="left"/>
        <w:rPr>
          <w:rFonts w:hint="eastAsia" w:ascii="宋体" w:cs="宋体"/>
          <w:szCs w:val="21"/>
          <w:highlight w:val="none"/>
        </w:rPr>
      </w:pPr>
      <w:r>
        <w:rPr>
          <w:rFonts w:hint="eastAsia" w:ascii="宋体" w:cs="宋体"/>
          <w:kern w:val="0"/>
          <w:szCs w:val="21"/>
          <w:highlight w:val="none"/>
        </w:rPr>
        <w:t>发包人未按本合同约定接收全部或部分工程的，违约金的计算方法为：</w:t>
      </w:r>
      <w:r>
        <w:rPr>
          <w:rFonts w:hint="eastAsia" w:ascii="宋体" w:cs="宋体"/>
          <w:szCs w:val="21"/>
          <w:highlight w:val="none"/>
          <w:u w:val="single"/>
        </w:rPr>
        <w:t xml:space="preserve">  不考虑  </w:t>
      </w:r>
      <w:r>
        <w:rPr>
          <w:rFonts w:hint="eastAsia" w:ascii="宋体" w:cs="宋体"/>
          <w:szCs w:val="21"/>
          <w:highlight w:val="none"/>
        </w:rPr>
        <w:t>。</w:t>
      </w:r>
    </w:p>
    <w:p w14:paraId="2ADCE639">
      <w:pPr>
        <w:snapToGrid w:val="0"/>
        <w:spacing w:line="440" w:lineRule="exact"/>
        <w:ind w:firstLine="420" w:firstLineChars="200"/>
        <w:jc w:val="left"/>
        <w:rPr>
          <w:rFonts w:hint="eastAsia" w:ascii="宋体" w:cs="宋体"/>
          <w:color w:val="auto"/>
          <w:szCs w:val="21"/>
          <w:highlight w:val="none"/>
          <w:u w:val="single"/>
        </w:rPr>
      </w:pPr>
      <w:r>
        <w:rPr>
          <w:rFonts w:hint="eastAsia" w:ascii="宋体" w:cs="宋体"/>
          <w:szCs w:val="21"/>
          <w:highlight w:val="none"/>
        </w:rPr>
        <w:t>承包人未按时移交工程的，违约金的计算方法为：</w:t>
      </w:r>
      <w:r>
        <w:rPr>
          <w:rFonts w:hint="eastAsia" w:ascii="宋体" w:cs="宋体"/>
          <w:szCs w:val="21"/>
          <w:highlight w:val="none"/>
          <w:u w:val="single"/>
        </w:rPr>
        <w:t xml:space="preserve"> 因承包人原因，未按合同期限按时移交的，暂停工程款支付，发包人可动用质保金，用于工程质量整改，同时限制承包人一年内不得参与我单位项目</w:t>
      </w:r>
      <w:r>
        <w:rPr>
          <w:rFonts w:hint="eastAsia" w:ascii="宋体" w:cs="宋体"/>
          <w:color w:val="auto"/>
          <w:szCs w:val="21"/>
          <w:highlight w:val="none"/>
          <w:u w:val="single"/>
        </w:rPr>
        <w:t xml:space="preserve">投标 </w:t>
      </w:r>
      <w:r>
        <w:rPr>
          <w:rFonts w:hint="eastAsia" w:ascii="宋体" w:cs="宋体"/>
          <w:color w:val="auto"/>
          <w:szCs w:val="21"/>
          <w:highlight w:val="none"/>
          <w:u w:val="single"/>
          <w:lang w:eastAsia="zh-CN"/>
        </w:rPr>
        <w:t>，质保金不足以承担整改费用的，承包人应另行支付并承担由此产生的诉讼、鉴定、保全、律师费等</w:t>
      </w:r>
      <w:r>
        <w:rPr>
          <w:rFonts w:hint="eastAsia" w:ascii="宋体" w:cs="宋体"/>
          <w:color w:val="auto"/>
          <w:szCs w:val="21"/>
          <w:highlight w:val="none"/>
          <w:u w:val="single"/>
        </w:rPr>
        <w:t xml:space="preserve"> </w:t>
      </w:r>
      <w:r>
        <w:rPr>
          <w:rFonts w:hint="eastAsia" w:ascii="宋体" w:cs="宋体"/>
          <w:color w:val="auto"/>
          <w:szCs w:val="21"/>
          <w:highlight w:val="none"/>
        </w:rPr>
        <w:t>。</w:t>
      </w:r>
    </w:p>
    <w:p w14:paraId="69750784">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13.3 工程试车</w:t>
      </w:r>
    </w:p>
    <w:p w14:paraId="77C2EB8B">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13.3.1 试车程序</w:t>
      </w:r>
    </w:p>
    <w:p w14:paraId="7C418FC2">
      <w:pPr>
        <w:snapToGrid w:val="0"/>
        <w:spacing w:line="440" w:lineRule="exact"/>
        <w:ind w:firstLine="420" w:firstLineChars="200"/>
        <w:jc w:val="left"/>
        <w:rPr>
          <w:rFonts w:hint="eastAsia" w:ascii="宋体" w:cs="宋体"/>
          <w:szCs w:val="21"/>
          <w:highlight w:val="none"/>
          <w:u w:val="single"/>
        </w:rPr>
      </w:pPr>
      <w:r>
        <w:rPr>
          <w:rFonts w:hint="eastAsia" w:ascii="宋体" w:cs="宋体"/>
          <w:kern w:val="0"/>
          <w:szCs w:val="21"/>
          <w:highlight w:val="none"/>
        </w:rPr>
        <w:t>工程试车内容：</w:t>
      </w:r>
      <w:r>
        <w:rPr>
          <w:rFonts w:hint="eastAsia" w:ascii="宋体" w:cs="宋体"/>
          <w:szCs w:val="21"/>
          <w:highlight w:val="none"/>
          <w:u w:val="single"/>
        </w:rPr>
        <w:t>工程需要试车的，试车内容应与承包人承包范围相一致，试车费用由承包人承担。</w:t>
      </w:r>
    </w:p>
    <w:p w14:paraId="140554A2">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（1）单机无负荷试车费用由</w:t>
      </w:r>
      <w:r>
        <w:rPr>
          <w:rFonts w:hint="eastAsia" w:ascii="宋体" w:cs="宋体"/>
          <w:szCs w:val="21"/>
          <w:highlight w:val="none"/>
          <w:u w:val="single"/>
        </w:rPr>
        <w:t xml:space="preserve">  承包人  </w:t>
      </w:r>
      <w:r>
        <w:rPr>
          <w:rFonts w:hint="eastAsia" w:ascii="宋体" w:cs="宋体"/>
          <w:kern w:val="0"/>
          <w:szCs w:val="21"/>
          <w:highlight w:val="none"/>
        </w:rPr>
        <w:t>承担；</w:t>
      </w:r>
    </w:p>
    <w:p w14:paraId="3B6AD9C6">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（2）无负荷联动试车费用由</w:t>
      </w:r>
      <w:r>
        <w:rPr>
          <w:rFonts w:hint="eastAsia" w:ascii="宋体" w:cs="宋体"/>
          <w:szCs w:val="21"/>
          <w:highlight w:val="none"/>
          <w:u w:val="single"/>
        </w:rPr>
        <w:t xml:space="preserve">  承包人  </w:t>
      </w:r>
      <w:r>
        <w:rPr>
          <w:rFonts w:hint="eastAsia" w:ascii="宋体" w:cs="宋体"/>
          <w:kern w:val="0"/>
          <w:szCs w:val="21"/>
          <w:highlight w:val="none"/>
        </w:rPr>
        <w:t>承担。</w:t>
      </w:r>
    </w:p>
    <w:p w14:paraId="1B5B61A8">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13.3.3 投料试车</w:t>
      </w:r>
    </w:p>
    <w:p w14:paraId="0ABBF0D2">
      <w:pPr>
        <w:snapToGrid w:val="0"/>
        <w:spacing w:line="440" w:lineRule="exact"/>
        <w:ind w:firstLine="420" w:firstLineChars="200"/>
        <w:jc w:val="left"/>
        <w:rPr>
          <w:rFonts w:hint="eastAsia" w:ascii="宋体" w:cs="宋体"/>
          <w:szCs w:val="21"/>
          <w:highlight w:val="none"/>
          <w:u w:val="single"/>
        </w:rPr>
      </w:pPr>
      <w:r>
        <w:rPr>
          <w:rFonts w:hint="eastAsia" w:ascii="宋体" w:cs="宋体"/>
          <w:kern w:val="0"/>
          <w:szCs w:val="21"/>
          <w:highlight w:val="none"/>
        </w:rPr>
        <w:t>关于投料试车相关事项的约定：</w:t>
      </w:r>
      <w:r>
        <w:rPr>
          <w:rFonts w:hint="eastAsia" w:ascii="宋体" w:cs="宋体"/>
          <w:kern w:val="0"/>
          <w:szCs w:val="21"/>
          <w:highlight w:val="none"/>
          <w:u w:val="single"/>
        </w:rPr>
        <w:t>如需进行投料试车的，发包人应在工程竣工验收后组织投料试车。发包人要求在工程竣工验收前进行或需要承包人配合时，应征得承包人同意。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0C3FBF2D">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13.6 竣工退场</w:t>
      </w:r>
    </w:p>
    <w:p w14:paraId="21984A5F">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13.6.1 竣工退场</w:t>
      </w:r>
    </w:p>
    <w:p w14:paraId="721C3CF1">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承包人完成竣工退场的期限：</w:t>
      </w:r>
      <w:r>
        <w:rPr>
          <w:rFonts w:hint="eastAsia" w:ascii="宋体" w:cs="宋体"/>
          <w:szCs w:val="21"/>
          <w:highlight w:val="none"/>
          <w:u w:val="single"/>
        </w:rPr>
        <w:t>工程竣工合格后，7天内退场。</w:t>
      </w:r>
    </w:p>
    <w:p w14:paraId="4ACF087A">
      <w:pPr>
        <w:pStyle w:val="5"/>
        <w:snapToGrid w:val="0"/>
        <w:spacing w:before="0" w:after="0" w:line="44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14. 竣工结算</w:t>
      </w:r>
    </w:p>
    <w:p w14:paraId="48FCCD8B">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14.1 竣工付款申请</w:t>
      </w:r>
    </w:p>
    <w:p w14:paraId="1040422F">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承包人提交竣工付款申请单的期限：</w:t>
      </w:r>
      <w:r>
        <w:rPr>
          <w:rFonts w:hint="eastAsia" w:ascii="宋体" w:cs="宋体"/>
          <w:szCs w:val="21"/>
          <w:highlight w:val="none"/>
          <w:u w:val="single"/>
        </w:rPr>
        <w:t>承包人须于竣工验收合格后60日内完成竣工结算报告和完整结算资料上报，特殊情况，经分管领导批准的可以延长。凡因承包人原因，未能在规定时间内上报竣工结算的，处罚10000元/月的违约金。情节严重的，项目单位有权按已有资料或按已付款报相关部门办理结算。</w:t>
      </w:r>
    </w:p>
    <w:p w14:paraId="54CFBA26">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竣工结算申请单应包括的内容：</w:t>
      </w:r>
      <w:r>
        <w:rPr>
          <w:rFonts w:hint="eastAsia" w:ascii="宋体" w:cs="宋体"/>
          <w:szCs w:val="21"/>
          <w:highlight w:val="none"/>
          <w:u w:val="single"/>
        </w:rPr>
        <w:t>执行发包人统一内容格式。</w:t>
      </w:r>
    </w:p>
    <w:p w14:paraId="0FF1F596">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14.2 竣工结算审核</w:t>
      </w:r>
    </w:p>
    <w:p w14:paraId="45532D5D">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发包人审批竣工付款申请单的期限：</w:t>
      </w:r>
      <w:r>
        <w:rPr>
          <w:rFonts w:hint="eastAsia" w:ascii="宋体" w:cs="宋体"/>
          <w:szCs w:val="21"/>
          <w:highlight w:val="none"/>
          <w:u w:val="single"/>
        </w:rPr>
        <w:t>相关部门审核通过后7天内完成审批并签发结算款支付证书</w:t>
      </w:r>
      <w:r>
        <w:rPr>
          <w:rFonts w:hint="eastAsia" w:ascii="宋体" w:cs="宋体"/>
          <w:szCs w:val="21"/>
          <w:highlight w:val="none"/>
        </w:rPr>
        <w:t>。</w:t>
      </w:r>
    </w:p>
    <w:p w14:paraId="25182441">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发包人完成竣工付款的期限：</w:t>
      </w:r>
      <w:r>
        <w:rPr>
          <w:rFonts w:hint="eastAsia" w:ascii="宋体" w:cs="宋体"/>
          <w:szCs w:val="21"/>
          <w:highlight w:val="none"/>
          <w:u w:val="single"/>
        </w:rPr>
        <w:t xml:space="preserve">发包人在政府资金调度会批准且发票送达一周内完成支付 </w:t>
      </w:r>
      <w:r>
        <w:rPr>
          <w:rFonts w:hint="eastAsia" w:ascii="宋体" w:cs="宋体"/>
          <w:szCs w:val="21"/>
          <w:highlight w:val="none"/>
        </w:rPr>
        <w:t>。</w:t>
      </w:r>
    </w:p>
    <w:p w14:paraId="0F251D9F">
      <w:pPr>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szCs w:val="21"/>
          <w:highlight w:val="none"/>
        </w:rPr>
        <w:t>关于竣工付款证书异议部分复核的方式和程序：</w:t>
      </w:r>
      <w:r>
        <w:rPr>
          <w:rFonts w:hint="eastAsia" w:ascii="宋体" w:cs="宋体"/>
          <w:color w:val="auto"/>
          <w:szCs w:val="21"/>
          <w:highlight w:val="none"/>
          <w:u w:val="single"/>
        </w:rPr>
        <w:t>按照第20条〔争议解决〕约定处理。</w:t>
      </w:r>
    </w:p>
    <w:p w14:paraId="39A10FA1">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14.4 最终结清</w:t>
      </w:r>
    </w:p>
    <w:p w14:paraId="2E1B441A">
      <w:pPr>
        <w:snapToGrid w:val="0"/>
        <w:spacing w:line="440" w:lineRule="exact"/>
        <w:ind w:firstLine="420" w:firstLineChars="200"/>
        <w:jc w:val="left"/>
        <w:rPr>
          <w:rFonts w:hint="eastAsia" w:ascii="宋体" w:cs="宋体"/>
          <w:color w:val="auto"/>
          <w:kern w:val="0"/>
          <w:szCs w:val="21"/>
          <w:highlight w:val="none"/>
        </w:rPr>
      </w:pPr>
      <w:r>
        <w:rPr>
          <w:rFonts w:hint="eastAsia" w:ascii="宋体" w:cs="宋体"/>
          <w:color w:val="auto"/>
          <w:kern w:val="0"/>
          <w:szCs w:val="21"/>
          <w:highlight w:val="none"/>
        </w:rPr>
        <w:t>14.4.1 最终结清申请单</w:t>
      </w:r>
    </w:p>
    <w:p w14:paraId="15B31B73">
      <w:pPr>
        <w:snapToGrid w:val="0"/>
        <w:spacing w:line="440" w:lineRule="exact"/>
        <w:ind w:firstLine="420" w:firstLineChars="200"/>
        <w:jc w:val="left"/>
        <w:rPr>
          <w:rFonts w:hint="eastAsia" w:ascii="宋体" w:cs="宋体"/>
          <w:color w:val="auto"/>
          <w:kern w:val="0"/>
          <w:szCs w:val="21"/>
          <w:highlight w:val="none"/>
        </w:rPr>
      </w:pPr>
      <w:r>
        <w:rPr>
          <w:rFonts w:hint="eastAsia" w:ascii="宋体" w:cs="宋体"/>
          <w:color w:val="auto"/>
          <w:kern w:val="0"/>
          <w:szCs w:val="21"/>
          <w:highlight w:val="none"/>
        </w:rPr>
        <w:t>承包人提交最终结清申请单的份数：</w:t>
      </w:r>
      <w:r>
        <w:rPr>
          <w:rFonts w:hint="eastAsia" w:ascii="宋体" w:cs="宋体"/>
          <w:color w:val="auto"/>
          <w:szCs w:val="21"/>
          <w:highlight w:val="none"/>
          <w:u w:val="single"/>
        </w:rPr>
        <w:t xml:space="preserve"> 4份  </w:t>
      </w:r>
      <w:r>
        <w:rPr>
          <w:rFonts w:hint="eastAsia" w:ascii="宋体" w:cs="宋体"/>
          <w:color w:val="auto"/>
          <w:szCs w:val="21"/>
          <w:highlight w:val="none"/>
        </w:rPr>
        <w:t>。</w:t>
      </w:r>
    </w:p>
    <w:p w14:paraId="75312F00">
      <w:pPr>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kern w:val="0"/>
          <w:szCs w:val="21"/>
          <w:highlight w:val="none"/>
        </w:rPr>
        <w:t>承包人提交最终结算申请单的期限：</w:t>
      </w:r>
      <w:r>
        <w:rPr>
          <w:rFonts w:hint="eastAsia" w:ascii="宋体" w:cs="宋体"/>
          <w:color w:val="auto"/>
          <w:szCs w:val="21"/>
          <w:highlight w:val="none"/>
          <w:u w:val="single"/>
        </w:rPr>
        <w:t xml:space="preserve"> 缺陷责任期满经复查合格后7天内。</w:t>
      </w:r>
    </w:p>
    <w:p w14:paraId="1F0AD7A1">
      <w:pPr>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szCs w:val="21"/>
          <w:highlight w:val="none"/>
        </w:rPr>
        <w:t>14.4.2 最终结清证书和支付</w:t>
      </w:r>
    </w:p>
    <w:p w14:paraId="543B6DBD">
      <w:pPr>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szCs w:val="21"/>
          <w:highlight w:val="none"/>
        </w:rPr>
        <w:t>（1）发包人完成最终结清申请单的审批并颁发最终结清证书的期限：</w:t>
      </w:r>
      <w:r>
        <w:rPr>
          <w:rFonts w:hint="eastAsia" w:ascii="宋体" w:cs="宋体"/>
          <w:color w:val="auto"/>
          <w:szCs w:val="21"/>
          <w:highlight w:val="none"/>
          <w:u w:val="single"/>
        </w:rPr>
        <w:t xml:space="preserve"> 缺陷责任期满经复查合格后14天内。</w:t>
      </w:r>
    </w:p>
    <w:p w14:paraId="7D1CF9E9">
      <w:pPr>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szCs w:val="21"/>
          <w:highlight w:val="none"/>
        </w:rPr>
        <w:t>（2）发包人完成支付的期限：</w:t>
      </w:r>
      <w:r>
        <w:rPr>
          <w:rFonts w:hint="eastAsia" w:ascii="宋体" w:cs="宋体"/>
          <w:color w:val="auto"/>
          <w:szCs w:val="21"/>
          <w:highlight w:val="none"/>
          <w:u w:val="single"/>
        </w:rPr>
        <w:t xml:space="preserve">发包人发票送达一周内完成支付 </w:t>
      </w:r>
      <w:r>
        <w:rPr>
          <w:rFonts w:hint="eastAsia" w:ascii="宋体" w:cs="宋体"/>
          <w:color w:val="auto"/>
          <w:szCs w:val="21"/>
          <w:highlight w:val="none"/>
        </w:rPr>
        <w:t>。</w:t>
      </w:r>
    </w:p>
    <w:p w14:paraId="19EDB972">
      <w:pPr>
        <w:pStyle w:val="5"/>
        <w:snapToGrid w:val="0"/>
        <w:spacing w:before="0" w:after="0" w:line="440" w:lineRule="exact"/>
        <w:ind w:firstLine="420" w:firstLineChars="200"/>
        <w:rPr>
          <w:rFonts w:hint="eastAsia" w:ascii="宋体" w:eastAsia="宋体" w:cs="宋体"/>
          <w:b w:val="0"/>
          <w:color w:val="auto"/>
          <w:sz w:val="21"/>
          <w:szCs w:val="21"/>
          <w:highlight w:val="none"/>
        </w:rPr>
      </w:pPr>
      <w:r>
        <w:rPr>
          <w:rFonts w:hint="eastAsia" w:ascii="宋体" w:eastAsia="宋体" w:cs="宋体"/>
          <w:b w:val="0"/>
          <w:color w:val="auto"/>
          <w:sz w:val="21"/>
          <w:szCs w:val="21"/>
          <w:highlight w:val="none"/>
        </w:rPr>
        <w:t>15. 缺陷责任期与保修</w:t>
      </w:r>
    </w:p>
    <w:p w14:paraId="4739C256">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15.2缺陷责任期</w:t>
      </w:r>
    </w:p>
    <w:p w14:paraId="572CC6ED">
      <w:pPr>
        <w:snapToGrid w:val="0"/>
        <w:spacing w:line="440" w:lineRule="exact"/>
        <w:ind w:firstLine="420" w:firstLineChars="200"/>
        <w:jc w:val="left"/>
        <w:rPr>
          <w:rFonts w:hint="eastAsia" w:ascii="宋体" w:cs="宋体"/>
          <w:color w:val="auto"/>
          <w:szCs w:val="21"/>
          <w:highlight w:val="none"/>
          <w:u w:val="single"/>
        </w:rPr>
      </w:pPr>
      <w:r>
        <w:rPr>
          <w:rFonts w:hint="eastAsia" w:ascii="宋体" w:cs="宋体"/>
          <w:color w:val="auto"/>
          <w:szCs w:val="21"/>
          <w:highlight w:val="none"/>
        </w:rPr>
        <w:t>缺陷责任期的具体期限：</w:t>
      </w:r>
      <w:r>
        <w:rPr>
          <w:rFonts w:hint="eastAsia" w:ascii="黑体" w:hAnsi="黑体" w:eastAsia="黑体" w:cs="黑体"/>
          <w:b/>
          <w:bCs/>
          <w:color w:val="auto"/>
          <w:szCs w:val="21"/>
          <w:highlight w:val="none"/>
          <w:u w:val="single"/>
        </w:rPr>
        <w:t>自竣工验收合格之日起24个月（详见付款方式）</w:t>
      </w:r>
      <w:r>
        <w:rPr>
          <w:rFonts w:hint="eastAsia" w:ascii="宋体" w:cs="宋体"/>
          <w:color w:val="auto"/>
          <w:szCs w:val="21"/>
          <w:highlight w:val="none"/>
          <w:u w:val="single"/>
        </w:rPr>
        <w:t>。</w:t>
      </w:r>
    </w:p>
    <w:p w14:paraId="3CF0815E">
      <w:pPr>
        <w:keepNext w:val="0"/>
        <w:keepLines w:val="0"/>
        <w:pageBreakBefore w:val="0"/>
        <w:widowControl w:val="0"/>
        <w:kinsoku/>
        <w:wordWrap/>
        <w:overflowPunct/>
        <w:topLinePunct w:val="0"/>
        <w:autoSpaceDE/>
        <w:autoSpaceDN/>
        <w:bidi w:val="0"/>
        <w:snapToGrid w:val="0"/>
        <w:spacing w:line="440" w:lineRule="exact"/>
        <w:ind w:firstLine="420" w:firstLineChars="200"/>
        <w:textAlignment w:val="auto"/>
        <w:rPr>
          <w:rFonts w:hint="eastAsia" w:ascii="宋体" w:cs="宋体"/>
          <w:szCs w:val="21"/>
          <w:highlight w:val="none"/>
        </w:rPr>
      </w:pPr>
      <w:r>
        <w:rPr>
          <w:rFonts w:hint="eastAsia" w:ascii="宋体" w:cs="宋体"/>
          <w:szCs w:val="21"/>
          <w:highlight w:val="none"/>
        </w:rPr>
        <w:t>15.3 质量保证金</w:t>
      </w:r>
    </w:p>
    <w:p w14:paraId="5AFA4525">
      <w:pPr>
        <w:keepNext w:val="0"/>
        <w:keepLines w:val="0"/>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cs="宋体"/>
          <w:szCs w:val="21"/>
          <w:highlight w:val="none"/>
          <w:u w:val="single"/>
        </w:rPr>
      </w:pPr>
      <w:r>
        <w:rPr>
          <w:rFonts w:hint="eastAsia" w:ascii="宋体" w:cs="宋体"/>
          <w:szCs w:val="21"/>
          <w:highlight w:val="none"/>
        </w:rPr>
        <w:t>关于是否扣留质量保证金的约定：</w:t>
      </w:r>
      <w:r>
        <w:rPr>
          <w:rFonts w:hint="eastAsia" w:ascii="宋体" w:cs="宋体"/>
          <w:szCs w:val="21"/>
          <w:highlight w:val="none"/>
          <w:u w:val="single"/>
        </w:rPr>
        <w:t xml:space="preserve"> 是。   </w:t>
      </w:r>
    </w:p>
    <w:p w14:paraId="0623529D">
      <w:pPr>
        <w:keepNext w:val="0"/>
        <w:keepLines w:val="0"/>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hAnsi="宋体" w:cs="宋体"/>
          <w:highlight w:val="none"/>
        </w:rPr>
      </w:pPr>
      <w:r>
        <w:rPr>
          <w:rFonts w:hint="eastAsia" w:ascii="宋体" w:hAnsi="宋体" w:cs="宋体"/>
          <w:highlight w:val="none"/>
        </w:rPr>
        <w:t>在工程项目竣工前，承包人按专用合同条款第3.7条提供履约担保的，发包人不得同时预留工程质量保证金。</w:t>
      </w:r>
    </w:p>
    <w:p w14:paraId="49826814">
      <w:pPr>
        <w:keepNext w:val="0"/>
        <w:keepLines w:val="0"/>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hAnsi="宋体" w:cs="宋体"/>
          <w:color w:val="C00000"/>
          <w:szCs w:val="21"/>
          <w:highlight w:val="none"/>
        </w:rPr>
      </w:pPr>
      <w:r>
        <w:rPr>
          <w:rFonts w:hint="eastAsia" w:ascii="宋体" w:hAnsi="宋体" w:cs="宋体"/>
          <w:szCs w:val="21"/>
          <w:highlight w:val="none"/>
        </w:rPr>
        <w:t>15.3.1 承包人提供质量保证金的方式</w:t>
      </w:r>
    </w:p>
    <w:p w14:paraId="56B598C4">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default" w:ascii="宋体" w:hAnsi="宋体" w:eastAsia="宋体" w:cs="宋体"/>
          <w:color w:val="auto"/>
          <w:highlight w:val="none"/>
          <w:lang w:val="en-US" w:eastAsia="zh-CN"/>
        </w:rPr>
      </w:pPr>
      <w:r>
        <w:rPr>
          <w:rFonts w:hint="eastAsia" w:ascii="宋体" w:hAnsi="宋体" w:cs="宋体"/>
          <w:color w:val="auto"/>
          <w:highlight w:val="none"/>
        </w:rPr>
        <w:t>质量保证金的扣留采取以下方式：</w:t>
      </w:r>
      <w:r>
        <w:rPr>
          <w:rFonts w:hint="eastAsia" w:ascii="宋体" w:hAnsi="宋体" w:cs="宋体"/>
          <w:color w:val="auto"/>
          <w:highlight w:val="none"/>
          <w:lang w:val="en-US" w:eastAsia="zh-CN"/>
        </w:rPr>
        <w:t>第（2）种方式</w:t>
      </w:r>
    </w:p>
    <w:p w14:paraId="7641FE5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kern w:val="0"/>
          <w:highlight w:val="none"/>
        </w:rPr>
      </w:pPr>
      <w:r>
        <w:rPr>
          <w:rFonts w:hint="eastAsia" w:ascii="宋体" w:hAnsi="宋体" w:cs="宋体"/>
          <w:color w:val="auto"/>
          <w:kern w:val="0"/>
          <w:highlight w:val="none"/>
        </w:rPr>
        <w:t>（1）在支付工程进度款时逐次扣留，在此情形下，质量保证金的计算基数不包括预付款的支付、扣回以及价格调整的金额；</w:t>
      </w:r>
    </w:p>
    <w:p w14:paraId="198ECA89">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kern w:val="0"/>
          <w:highlight w:val="none"/>
        </w:rPr>
      </w:pPr>
      <w:r>
        <w:rPr>
          <w:rFonts w:hint="eastAsia" w:ascii="宋体" w:hAnsi="宋体" w:cs="宋体"/>
          <w:color w:val="auto"/>
          <w:kern w:val="0"/>
          <w:highlight w:val="none"/>
        </w:rPr>
        <w:t>（2）工程竣工结算时一次性扣留质量保证金；</w:t>
      </w:r>
    </w:p>
    <w:p w14:paraId="2E0F137A">
      <w:pPr>
        <w:keepNext w:val="0"/>
        <w:keepLines w:val="0"/>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eastAsia="宋体" w:cs="宋体"/>
          <w:kern w:val="0"/>
          <w:szCs w:val="21"/>
          <w:highlight w:val="none"/>
          <w:u w:val="single"/>
          <w:lang w:eastAsia="zh-CN"/>
        </w:rPr>
      </w:pPr>
      <w:r>
        <w:rPr>
          <w:rFonts w:hint="eastAsia" w:ascii="宋体" w:hAnsi="宋体" w:cs="宋体"/>
          <w:color w:val="auto"/>
          <w:highlight w:val="none"/>
        </w:rPr>
        <w:t>关于质量保证金的补充约定：</w:t>
      </w:r>
      <w:r>
        <w:rPr>
          <w:rFonts w:hint="eastAsia" w:ascii="宋体" w:hAnsi="宋体" w:cs="宋体"/>
          <w:color w:val="auto"/>
          <w:kern w:val="0"/>
          <w:highlight w:val="none"/>
          <w:u w:val="single"/>
        </w:rPr>
        <w:t>质量保证金支持保函（银行保函、担保机构担保、保证保险）使用。采用保函的，保函有效期须与缺陷责任期截止时间保持一致。</w:t>
      </w:r>
      <w:r>
        <w:rPr>
          <w:rFonts w:hint="eastAsia" w:ascii="宋体" w:cs="宋体"/>
          <w:kern w:val="0"/>
          <w:szCs w:val="21"/>
          <w:highlight w:val="none"/>
          <w:u w:val="single"/>
        </w:rPr>
        <w:t xml:space="preserve"> </w:t>
      </w:r>
      <w:r>
        <w:rPr>
          <w:rFonts w:hint="eastAsia" w:ascii="宋体" w:cs="宋体"/>
          <w:szCs w:val="21"/>
          <w:highlight w:val="none"/>
          <w:u w:val="single"/>
        </w:rPr>
        <w:t>承包人在缺陷责任期内未履行保修义务的，缺陷责任期满经复查不合格的，质量保证金不予退还。</w:t>
      </w:r>
      <w:r>
        <w:rPr>
          <w:rFonts w:hint="eastAsia" w:ascii="宋体" w:cs="宋体"/>
          <w:kern w:val="0"/>
          <w:szCs w:val="21"/>
          <w:highlight w:val="none"/>
          <w:u w:val="single"/>
        </w:rPr>
        <w:t>质量缺陷较多，多次催促整改不到位，处理不及时的，</w:t>
      </w:r>
      <w:r>
        <w:rPr>
          <w:rFonts w:hint="eastAsia" w:ascii="宋体" w:cs="宋体"/>
          <w:szCs w:val="21"/>
          <w:highlight w:val="none"/>
          <w:u w:val="single"/>
        </w:rPr>
        <w:t>发包人可动用质保金，用于工程质量整改，同时限制承包人一年内不得参与我单位项目投标。</w:t>
      </w:r>
    </w:p>
    <w:p w14:paraId="643D31C8">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15.4保修</w:t>
      </w:r>
    </w:p>
    <w:p w14:paraId="2CEB8E23">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15.4.1 保修责任</w:t>
      </w:r>
    </w:p>
    <w:p w14:paraId="2156CD60">
      <w:pPr>
        <w:snapToGrid w:val="0"/>
        <w:spacing w:line="440" w:lineRule="exact"/>
        <w:ind w:firstLine="420" w:firstLineChars="200"/>
        <w:jc w:val="left"/>
        <w:rPr>
          <w:rFonts w:hint="eastAsia" w:ascii="宋体" w:cs="宋体"/>
          <w:kern w:val="0"/>
          <w:szCs w:val="21"/>
          <w:highlight w:val="none"/>
          <w:u w:val="single"/>
        </w:rPr>
      </w:pPr>
      <w:r>
        <w:rPr>
          <w:rFonts w:hint="eastAsia" w:ascii="宋体" w:cs="宋体"/>
          <w:szCs w:val="21"/>
          <w:highlight w:val="none"/>
        </w:rPr>
        <w:t>工程保修期为：</w:t>
      </w:r>
      <w:r>
        <w:rPr>
          <w:rFonts w:hint="eastAsia" w:ascii="宋体" w:cs="宋体"/>
          <w:kern w:val="0"/>
          <w:szCs w:val="21"/>
          <w:highlight w:val="none"/>
          <w:u w:val="single"/>
        </w:rPr>
        <w:t xml:space="preserve">   执行《建设工程质量管理条例》及有关规定。     </w:t>
      </w:r>
    </w:p>
    <w:p w14:paraId="33035DF3">
      <w:pPr>
        <w:snapToGrid w:val="0"/>
        <w:spacing w:line="440" w:lineRule="exact"/>
        <w:ind w:firstLine="420" w:firstLineChars="200"/>
        <w:jc w:val="left"/>
        <w:rPr>
          <w:rFonts w:hint="eastAsia" w:ascii="宋体" w:cs="宋体"/>
          <w:kern w:val="0"/>
          <w:szCs w:val="21"/>
          <w:highlight w:val="none"/>
          <w:u w:val="single"/>
        </w:rPr>
      </w:pPr>
      <w:r>
        <w:rPr>
          <w:rFonts w:hint="eastAsia" w:ascii="宋体" w:cs="宋体"/>
          <w:kern w:val="0"/>
          <w:szCs w:val="21"/>
          <w:highlight w:val="none"/>
        </w:rPr>
        <w:t>承包人收到保修通知并到达工程现场的合理时间：</w:t>
      </w:r>
      <w:r>
        <w:rPr>
          <w:rFonts w:hint="eastAsia" w:ascii="宋体" w:cs="宋体"/>
          <w:kern w:val="0"/>
          <w:szCs w:val="21"/>
          <w:highlight w:val="none"/>
          <w:u w:val="single"/>
        </w:rPr>
        <w:t xml:space="preserve">自承包人收到保修通知起24小时内到达工程现场。  </w:t>
      </w:r>
    </w:p>
    <w:p w14:paraId="15CF42AB">
      <w:pPr>
        <w:pStyle w:val="5"/>
        <w:snapToGrid w:val="0"/>
        <w:spacing w:before="0" w:after="0" w:line="44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16. 违约</w:t>
      </w:r>
    </w:p>
    <w:p w14:paraId="21A2DA4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16.1 发包人违约</w:t>
      </w:r>
    </w:p>
    <w:p w14:paraId="320C463F">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16.1.1发包人违约的情形</w:t>
      </w:r>
    </w:p>
    <w:p w14:paraId="2353DD21">
      <w:pPr>
        <w:snapToGrid w:val="0"/>
        <w:spacing w:line="440" w:lineRule="exact"/>
        <w:ind w:firstLine="420" w:firstLineChars="200"/>
        <w:jc w:val="left"/>
        <w:rPr>
          <w:rFonts w:hint="eastAsia" w:ascii="宋体" w:cs="宋体"/>
          <w:kern w:val="0"/>
          <w:szCs w:val="21"/>
          <w:highlight w:val="none"/>
          <w:u w:val="single"/>
        </w:rPr>
      </w:pPr>
      <w:r>
        <w:rPr>
          <w:rFonts w:hint="eastAsia" w:ascii="宋体" w:cs="宋体"/>
          <w:kern w:val="0"/>
          <w:szCs w:val="21"/>
          <w:highlight w:val="none"/>
        </w:rPr>
        <w:t>发包人违约的其他情形：</w:t>
      </w:r>
      <w:r>
        <w:rPr>
          <w:rFonts w:hint="eastAsia" w:ascii="宋体" w:cs="宋体"/>
          <w:kern w:val="0"/>
          <w:szCs w:val="21"/>
          <w:highlight w:val="none"/>
          <w:u w:val="single"/>
        </w:rPr>
        <w:t xml:space="preserve">   无    </w:t>
      </w:r>
      <w:r>
        <w:rPr>
          <w:rFonts w:hint="eastAsia" w:ascii="宋体" w:cs="宋体"/>
          <w:kern w:val="0"/>
          <w:szCs w:val="21"/>
          <w:highlight w:val="none"/>
        </w:rPr>
        <w:t>。</w:t>
      </w:r>
    </w:p>
    <w:p w14:paraId="290C3EEB">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16.1.2 发包人违约的责任</w:t>
      </w:r>
    </w:p>
    <w:p w14:paraId="1DCFBA53">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发包人违约责任的承担方式和计算方法：</w:t>
      </w:r>
    </w:p>
    <w:p w14:paraId="6356C663">
      <w:pPr>
        <w:snapToGrid w:val="0"/>
        <w:spacing w:line="440" w:lineRule="exact"/>
        <w:ind w:firstLine="420" w:firstLineChars="200"/>
        <w:jc w:val="left"/>
        <w:rPr>
          <w:rFonts w:hint="eastAsia" w:ascii="宋体" w:cs="宋体"/>
          <w:kern w:val="0"/>
          <w:szCs w:val="21"/>
          <w:highlight w:val="none"/>
          <w:u w:val="single"/>
        </w:rPr>
      </w:pPr>
      <w:r>
        <w:rPr>
          <w:rFonts w:hint="eastAsia" w:ascii="宋体" w:cs="宋体"/>
          <w:kern w:val="0"/>
          <w:szCs w:val="21"/>
          <w:highlight w:val="none"/>
        </w:rPr>
        <w:t>（1）因发包人原因未能在计划开工日期前7天内下达开工通知的违约责任：</w:t>
      </w:r>
      <w:r>
        <w:rPr>
          <w:rFonts w:hint="eastAsia" w:ascii="宋体" w:cs="宋体"/>
          <w:kern w:val="0"/>
          <w:szCs w:val="21"/>
          <w:highlight w:val="none"/>
          <w:u w:val="single"/>
        </w:rPr>
        <w:t xml:space="preserve">  对工期造成影响的可顺延工期  </w:t>
      </w:r>
      <w:r>
        <w:rPr>
          <w:rFonts w:hint="eastAsia" w:ascii="宋体" w:cs="宋体"/>
          <w:kern w:val="0"/>
          <w:szCs w:val="21"/>
          <w:highlight w:val="none"/>
        </w:rPr>
        <w:t>。</w:t>
      </w:r>
    </w:p>
    <w:p w14:paraId="1779894E">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（2）因发包人原因未能按合同约定支付合同价款的违约责任：</w:t>
      </w:r>
      <w:r>
        <w:rPr>
          <w:rFonts w:hint="eastAsia" w:ascii="宋体" w:cs="宋体"/>
          <w:kern w:val="0"/>
          <w:szCs w:val="21"/>
          <w:highlight w:val="none"/>
          <w:u w:val="single"/>
        </w:rPr>
        <w:t xml:space="preserve">  可按照中国人民银行发布的同期同类贷款基准利率支付违约金</w:t>
      </w:r>
      <w:r>
        <w:rPr>
          <w:rFonts w:hint="eastAsia" w:ascii="宋体" w:cs="宋体"/>
          <w:kern w:val="0"/>
          <w:szCs w:val="21"/>
          <w:highlight w:val="none"/>
        </w:rPr>
        <w:t>。</w:t>
      </w:r>
    </w:p>
    <w:p w14:paraId="011B4F5C">
      <w:pPr>
        <w:snapToGrid w:val="0"/>
        <w:spacing w:line="440" w:lineRule="exact"/>
        <w:ind w:firstLine="420" w:firstLineChars="200"/>
        <w:jc w:val="left"/>
        <w:rPr>
          <w:rFonts w:hint="eastAsia" w:ascii="宋体" w:cs="宋体"/>
          <w:kern w:val="0"/>
          <w:szCs w:val="21"/>
          <w:highlight w:val="none"/>
          <w:u w:val="single"/>
        </w:rPr>
      </w:pPr>
      <w:r>
        <w:rPr>
          <w:rFonts w:hint="eastAsia" w:ascii="宋体" w:cs="宋体"/>
          <w:kern w:val="0"/>
          <w:szCs w:val="21"/>
          <w:highlight w:val="none"/>
        </w:rPr>
        <w:t>（3）发包人违反第10.1款〔变更的范围〕第（2）项约定，自行实施被取消的工作或转由他人实施的违约责任：</w:t>
      </w:r>
      <w:r>
        <w:rPr>
          <w:rFonts w:hint="eastAsia" w:ascii="宋体" w:cs="宋体"/>
          <w:kern w:val="0"/>
          <w:szCs w:val="21"/>
          <w:highlight w:val="none"/>
          <w:u w:val="single"/>
        </w:rPr>
        <w:t xml:space="preserve">   发包人可追加与被取消的工作造价相当的额外工作做为补偿   </w:t>
      </w:r>
      <w:r>
        <w:rPr>
          <w:rFonts w:hint="eastAsia" w:ascii="宋体" w:cs="宋体"/>
          <w:kern w:val="0"/>
          <w:szCs w:val="21"/>
          <w:highlight w:val="none"/>
        </w:rPr>
        <w:t>。</w:t>
      </w:r>
    </w:p>
    <w:p w14:paraId="3D77050F">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（4）发包人提供的材料、工程设备的规格、数量或质量不符合合同约定，或因发包人原因导致交货日期延误或交货地点变更等情况的违约责任：</w:t>
      </w:r>
      <w:r>
        <w:rPr>
          <w:rFonts w:hint="eastAsia" w:ascii="宋体" w:cs="宋体"/>
          <w:kern w:val="0"/>
          <w:szCs w:val="21"/>
          <w:highlight w:val="none"/>
          <w:u w:val="single"/>
        </w:rPr>
        <w:t xml:space="preserve">   发包人可补足或更换材料、工程设备；对工期造成延误的可以顺延；增加承包人成本的可予以补偿  </w:t>
      </w:r>
      <w:r>
        <w:rPr>
          <w:rFonts w:hint="eastAsia" w:ascii="宋体" w:cs="宋体"/>
          <w:kern w:val="0"/>
          <w:szCs w:val="21"/>
          <w:highlight w:val="none"/>
        </w:rPr>
        <w:t>。</w:t>
      </w:r>
    </w:p>
    <w:p w14:paraId="38C7ED0D">
      <w:pPr>
        <w:snapToGrid w:val="0"/>
        <w:spacing w:line="440" w:lineRule="exact"/>
        <w:ind w:firstLine="420" w:firstLineChars="200"/>
        <w:jc w:val="left"/>
        <w:rPr>
          <w:rFonts w:hint="eastAsia" w:ascii="宋体" w:cs="宋体"/>
          <w:kern w:val="0"/>
          <w:szCs w:val="21"/>
          <w:highlight w:val="none"/>
          <w:u w:val="single"/>
        </w:rPr>
      </w:pPr>
      <w:r>
        <w:rPr>
          <w:rFonts w:hint="eastAsia" w:ascii="宋体" w:cs="宋体"/>
          <w:kern w:val="0"/>
          <w:szCs w:val="21"/>
          <w:highlight w:val="none"/>
        </w:rPr>
        <w:t>（5）因发包人违反合同约定造成暂停施工的违约责任：</w:t>
      </w:r>
      <w:r>
        <w:rPr>
          <w:rFonts w:hint="eastAsia" w:ascii="宋体" w:cs="宋体"/>
          <w:kern w:val="0"/>
          <w:szCs w:val="21"/>
          <w:highlight w:val="none"/>
          <w:u w:val="single"/>
        </w:rPr>
        <w:t xml:space="preserve">  可顺延工期  </w:t>
      </w:r>
      <w:r>
        <w:rPr>
          <w:rFonts w:hint="eastAsia" w:ascii="宋体" w:cs="宋体"/>
          <w:kern w:val="0"/>
          <w:szCs w:val="21"/>
          <w:highlight w:val="none"/>
        </w:rPr>
        <w:t>。</w:t>
      </w:r>
    </w:p>
    <w:p w14:paraId="4FB25F50">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（6）发包人无正当理由没有在约定期限内发出复工指示，导致承包人无法复工的违约责任：</w:t>
      </w:r>
      <w:r>
        <w:rPr>
          <w:rFonts w:hint="eastAsia" w:ascii="宋体" w:cs="宋体"/>
          <w:kern w:val="0"/>
          <w:szCs w:val="21"/>
          <w:highlight w:val="none"/>
          <w:u w:val="single"/>
        </w:rPr>
        <w:t xml:space="preserve"> 对工期造成影响的可顺延工期  </w:t>
      </w:r>
      <w:r>
        <w:rPr>
          <w:rFonts w:hint="eastAsia" w:ascii="宋体" w:cs="宋体"/>
          <w:kern w:val="0"/>
          <w:szCs w:val="21"/>
          <w:highlight w:val="none"/>
        </w:rPr>
        <w:t>。</w:t>
      </w:r>
    </w:p>
    <w:p w14:paraId="07E5A5A7">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（7）其他：</w:t>
      </w:r>
      <w:r>
        <w:rPr>
          <w:rFonts w:hint="eastAsia" w:ascii="宋体" w:cs="宋体"/>
          <w:kern w:val="0"/>
          <w:szCs w:val="21"/>
          <w:highlight w:val="none"/>
          <w:u w:val="single"/>
        </w:rPr>
        <w:t xml:space="preserve">  无  </w:t>
      </w:r>
      <w:r>
        <w:rPr>
          <w:rFonts w:hint="eastAsia" w:ascii="宋体" w:cs="宋体"/>
          <w:kern w:val="0"/>
          <w:szCs w:val="21"/>
          <w:highlight w:val="none"/>
        </w:rPr>
        <w:t>。</w:t>
      </w:r>
    </w:p>
    <w:p w14:paraId="78D1480D">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16.1.3 因发包人违约解除合同</w:t>
      </w:r>
    </w:p>
    <w:p w14:paraId="71B4528B">
      <w:pPr>
        <w:autoSpaceDE w:val="0"/>
        <w:autoSpaceDN w:val="0"/>
        <w:adjustRightInd w:val="0"/>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承包人按16.1.1项〔发包人违约的情形〕约定暂停施工满</w:t>
      </w:r>
      <w:r>
        <w:rPr>
          <w:rFonts w:hint="eastAsia" w:ascii="宋体" w:cs="宋体"/>
          <w:kern w:val="0"/>
          <w:szCs w:val="21"/>
          <w:highlight w:val="none"/>
          <w:u w:val="single"/>
        </w:rPr>
        <w:t xml:space="preserve">  28  </w:t>
      </w:r>
      <w:r>
        <w:rPr>
          <w:rFonts w:hint="eastAsia" w:ascii="宋体" w:cs="宋体"/>
          <w:kern w:val="0"/>
          <w:szCs w:val="21"/>
          <w:highlight w:val="none"/>
        </w:rPr>
        <w:t>天后发包人仍不纠正其违约行为并致使合同目的不能实现的，承包人有权解除合同。</w:t>
      </w:r>
    </w:p>
    <w:p w14:paraId="73DCC081">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16.2 承包人违约</w:t>
      </w:r>
    </w:p>
    <w:p w14:paraId="7CB9B8CD">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16.2.1 承包人违约的情形</w:t>
      </w:r>
    </w:p>
    <w:p w14:paraId="2CE802B8">
      <w:pPr>
        <w:snapToGrid w:val="0"/>
        <w:spacing w:line="440" w:lineRule="exact"/>
        <w:ind w:firstLine="420" w:firstLineChars="200"/>
        <w:jc w:val="left"/>
        <w:rPr>
          <w:rFonts w:hint="eastAsia" w:ascii="宋体" w:cs="宋体"/>
          <w:kern w:val="0"/>
          <w:szCs w:val="21"/>
          <w:highlight w:val="none"/>
          <w:u w:val="single"/>
        </w:rPr>
      </w:pPr>
      <w:r>
        <w:rPr>
          <w:rFonts w:hint="eastAsia" w:ascii="宋体" w:cs="宋体"/>
          <w:kern w:val="0"/>
          <w:szCs w:val="21"/>
          <w:highlight w:val="none"/>
        </w:rPr>
        <w:t>承包人违约的其他情形：</w:t>
      </w:r>
      <w:r>
        <w:rPr>
          <w:rFonts w:hint="eastAsia" w:ascii="宋体" w:cs="宋体"/>
          <w:kern w:val="0"/>
          <w:szCs w:val="21"/>
          <w:highlight w:val="none"/>
          <w:u w:val="single"/>
        </w:rPr>
        <w:t xml:space="preserve">   执行补充条款   </w:t>
      </w:r>
      <w:r>
        <w:rPr>
          <w:rFonts w:hint="eastAsia" w:ascii="宋体" w:cs="宋体"/>
          <w:kern w:val="0"/>
          <w:szCs w:val="21"/>
          <w:highlight w:val="none"/>
        </w:rPr>
        <w:t>。</w:t>
      </w:r>
    </w:p>
    <w:p w14:paraId="20D51133">
      <w:pPr>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16.2.2承包人违约的责任</w:t>
      </w:r>
    </w:p>
    <w:p w14:paraId="2B5523EB">
      <w:pPr>
        <w:snapToGrid w:val="0"/>
        <w:spacing w:line="440" w:lineRule="exact"/>
        <w:ind w:firstLine="420" w:firstLineChars="200"/>
        <w:jc w:val="left"/>
        <w:rPr>
          <w:rFonts w:hint="eastAsia" w:ascii="宋体" w:cs="宋体"/>
          <w:kern w:val="0"/>
          <w:szCs w:val="21"/>
          <w:highlight w:val="none"/>
          <w:u w:val="single"/>
        </w:rPr>
      </w:pPr>
      <w:r>
        <w:rPr>
          <w:rFonts w:hint="eastAsia" w:ascii="宋体" w:cs="宋体"/>
          <w:kern w:val="0"/>
          <w:szCs w:val="21"/>
          <w:highlight w:val="none"/>
        </w:rPr>
        <w:t>承包人违约责任的承担方式和计算方法：</w:t>
      </w:r>
      <w:r>
        <w:rPr>
          <w:rFonts w:hint="eastAsia" w:ascii="宋体" w:cs="宋体"/>
          <w:kern w:val="0"/>
          <w:szCs w:val="21"/>
          <w:highlight w:val="none"/>
          <w:u w:val="single"/>
        </w:rPr>
        <w:t xml:space="preserve"> 执行补充条款   </w:t>
      </w:r>
      <w:r>
        <w:rPr>
          <w:rFonts w:hint="eastAsia" w:ascii="宋体" w:cs="宋体"/>
          <w:kern w:val="0"/>
          <w:szCs w:val="21"/>
          <w:highlight w:val="none"/>
        </w:rPr>
        <w:t>。</w:t>
      </w:r>
      <w:r>
        <w:rPr>
          <w:rFonts w:hint="eastAsia" w:ascii="宋体" w:cs="宋体"/>
          <w:szCs w:val="21"/>
          <w:highlight w:val="none"/>
        </w:rPr>
        <w:t xml:space="preserve">    </w:t>
      </w:r>
    </w:p>
    <w:p w14:paraId="0AD59456">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16.2.3 因承包人违约解除合同</w:t>
      </w:r>
    </w:p>
    <w:p w14:paraId="75F03C63">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关于承包人违约解除合同的特别约定：</w:t>
      </w:r>
      <w:r>
        <w:rPr>
          <w:rFonts w:hint="eastAsia" w:ascii="宋体" w:cs="宋体"/>
          <w:kern w:val="0"/>
          <w:szCs w:val="21"/>
          <w:highlight w:val="none"/>
          <w:u w:val="single"/>
        </w:rPr>
        <w:t>执行</w:t>
      </w:r>
      <w:r>
        <w:rPr>
          <w:rFonts w:hint="eastAsia" w:ascii="宋体" w:cs="宋体"/>
          <w:szCs w:val="21"/>
          <w:highlight w:val="none"/>
          <w:u w:val="single"/>
        </w:rPr>
        <w:t>补充条款。</w:t>
      </w:r>
    </w:p>
    <w:p w14:paraId="0F0F2C80">
      <w:pPr>
        <w:snapToGrid w:val="0"/>
        <w:spacing w:line="420" w:lineRule="exact"/>
        <w:ind w:firstLine="420" w:firstLineChars="200"/>
        <w:rPr>
          <w:rFonts w:hint="eastAsia" w:ascii="宋体" w:cs="宋体"/>
          <w:kern w:val="0"/>
          <w:szCs w:val="21"/>
          <w:highlight w:val="none"/>
        </w:rPr>
      </w:pPr>
      <w:r>
        <w:rPr>
          <w:rFonts w:hint="eastAsia" w:ascii="宋体" w:cs="宋体"/>
          <w:kern w:val="0"/>
          <w:szCs w:val="21"/>
          <w:highlight w:val="none"/>
        </w:rPr>
        <w:t>发包人继续使用承包人在施工现场的材料、设备、临时工程、承包人文件和由承包人或以其名义编制的其他文件的费用承担方式：</w:t>
      </w:r>
      <w:r>
        <w:rPr>
          <w:rFonts w:hint="eastAsia" w:ascii="宋体" w:cs="宋体"/>
          <w:kern w:val="0"/>
          <w:szCs w:val="21"/>
          <w:highlight w:val="none"/>
          <w:u w:val="single"/>
        </w:rPr>
        <w:t xml:space="preserve">   发包人不承担费用   </w:t>
      </w:r>
      <w:r>
        <w:rPr>
          <w:rFonts w:hint="eastAsia" w:ascii="宋体" w:cs="宋体"/>
          <w:kern w:val="0"/>
          <w:szCs w:val="21"/>
          <w:highlight w:val="none"/>
        </w:rPr>
        <w:t>。</w:t>
      </w:r>
    </w:p>
    <w:p w14:paraId="57D87209">
      <w:pPr>
        <w:pStyle w:val="5"/>
        <w:snapToGrid w:val="0"/>
        <w:spacing w:before="0" w:after="0" w:line="42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 xml:space="preserve">17. 不可抗力 </w:t>
      </w:r>
    </w:p>
    <w:p w14:paraId="0D008BF2">
      <w:pPr>
        <w:snapToGrid w:val="0"/>
        <w:spacing w:line="420" w:lineRule="exact"/>
        <w:ind w:firstLine="420" w:firstLineChars="200"/>
        <w:rPr>
          <w:rFonts w:hint="eastAsia" w:ascii="宋体" w:cs="宋体"/>
          <w:szCs w:val="21"/>
          <w:highlight w:val="none"/>
        </w:rPr>
      </w:pPr>
      <w:r>
        <w:rPr>
          <w:rFonts w:hint="eastAsia" w:ascii="宋体" w:cs="宋体"/>
          <w:szCs w:val="21"/>
          <w:highlight w:val="none"/>
        </w:rPr>
        <w:t>17.1 不可抗力的确认</w:t>
      </w:r>
    </w:p>
    <w:p w14:paraId="64D5803F">
      <w:pPr>
        <w:snapToGrid w:val="0"/>
        <w:spacing w:line="420" w:lineRule="exact"/>
        <w:ind w:firstLine="420" w:firstLineChars="200"/>
        <w:jc w:val="left"/>
        <w:rPr>
          <w:rFonts w:hint="eastAsia" w:ascii="宋体" w:cs="宋体"/>
          <w:kern w:val="0"/>
          <w:szCs w:val="21"/>
          <w:highlight w:val="none"/>
          <w:u w:val="single"/>
        </w:rPr>
      </w:pPr>
      <w:r>
        <w:rPr>
          <w:rFonts w:hint="eastAsia" w:ascii="宋体" w:cs="宋体"/>
          <w:szCs w:val="21"/>
          <w:highlight w:val="none"/>
        </w:rPr>
        <w:t>除通用合同条款约定的不可抗力事件之外，视为不可抗力的其他情形：</w:t>
      </w:r>
      <w:r>
        <w:rPr>
          <w:rFonts w:hint="eastAsia" w:ascii="宋体" w:cs="宋体"/>
          <w:kern w:val="0"/>
          <w:szCs w:val="21"/>
          <w:highlight w:val="none"/>
          <w:u w:val="single"/>
        </w:rPr>
        <w:t xml:space="preserve">   </w:t>
      </w:r>
      <w:r>
        <w:rPr>
          <w:rFonts w:hint="eastAsia" w:ascii="宋体" w:cs="宋体"/>
          <w:szCs w:val="21"/>
          <w:highlight w:val="none"/>
          <w:u w:val="single"/>
        </w:rPr>
        <w:t>无</w:t>
      </w:r>
      <w:r>
        <w:rPr>
          <w:rFonts w:hint="eastAsia" w:ascii="宋体" w:cs="宋体"/>
          <w:kern w:val="0"/>
          <w:szCs w:val="21"/>
          <w:highlight w:val="none"/>
          <w:u w:val="single"/>
        </w:rPr>
        <w:t xml:space="preserve">  </w:t>
      </w:r>
      <w:r>
        <w:rPr>
          <w:rFonts w:hint="eastAsia" w:ascii="宋体" w:cs="宋体"/>
          <w:kern w:val="0"/>
          <w:szCs w:val="21"/>
          <w:highlight w:val="none"/>
        </w:rPr>
        <w:t>。</w:t>
      </w:r>
    </w:p>
    <w:p w14:paraId="7ABBF228">
      <w:pPr>
        <w:snapToGrid w:val="0"/>
        <w:spacing w:line="420" w:lineRule="exact"/>
        <w:ind w:firstLine="420" w:firstLineChars="200"/>
        <w:rPr>
          <w:rFonts w:hint="eastAsia" w:ascii="宋体" w:cs="宋体"/>
          <w:szCs w:val="21"/>
          <w:highlight w:val="none"/>
        </w:rPr>
      </w:pPr>
      <w:r>
        <w:rPr>
          <w:rFonts w:hint="eastAsia" w:ascii="宋体" w:cs="宋体"/>
          <w:szCs w:val="21"/>
          <w:highlight w:val="none"/>
        </w:rPr>
        <w:t>17.4 因不可抗力解除合同</w:t>
      </w:r>
    </w:p>
    <w:p w14:paraId="404D1A65">
      <w:pPr>
        <w:snapToGrid w:val="0"/>
        <w:spacing w:line="420" w:lineRule="exact"/>
        <w:ind w:firstLine="420" w:firstLineChars="200"/>
        <w:jc w:val="left"/>
        <w:rPr>
          <w:rFonts w:hint="eastAsia" w:ascii="宋体" w:cs="宋体"/>
          <w:szCs w:val="21"/>
          <w:highlight w:val="none"/>
        </w:rPr>
      </w:pPr>
      <w:r>
        <w:rPr>
          <w:rFonts w:hint="eastAsia" w:ascii="宋体" w:cs="宋体"/>
          <w:szCs w:val="21"/>
          <w:highlight w:val="none"/>
        </w:rPr>
        <w:t>合同解除后，发包人应在</w:t>
      </w:r>
      <w:r>
        <w:rPr>
          <w:rFonts w:hint="eastAsia" w:ascii="宋体" w:cs="宋体"/>
          <w:szCs w:val="21"/>
          <w:highlight w:val="none"/>
          <w:u w:val="single"/>
        </w:rPr>
        <w:t>发票送达一周内</w:t>
      </w:r>
      <w:r>
        <w:rPr>
          <w:rFonts w:hint="eastAsia" w:ascii="宋体" w:cs="宋体"/>
          <w:szCs w:val="21"/>
          <w:highlight w:val="none"/>
        </w:rPr>
        <w:t>完成款项的支付。</w:t>
      </w:r>
    </w:p>
    <w:p w14:paraId="1B91FF85">
      <w:pPr>
        <w:pStyle w:val="5"/>
        <w:snapToGrid w:val="0"/>
        <w:spacing w:before="0" w:after="0" w:line="42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18. 保险</w:t>
      </w:r>
    </w:p>
    <w:p w14:paraId="4A9CD8E6">
      <w:pPr>
        <w:snapToGrid w:val="0"/>
        <w:spacing w:line="420" w:lineRule="exact"/>
        <w:ind w:firstLine="420" w:firstLineChars="200"/>
        <w:rPr>
          <w:rFonts w:hint="eastAsia" w:ascii="宋体" w:cs="宋体"/>
          <w:szCs w:val="21"/>
          <w:highlight w:val="none"/>
        </w:rPr>
      </w:pPr>
      <w:r>
        <w:rPr>
          <w:rFonts w:hint="eastAsia" w:ascii="宋体" w:cs="宋体"/>
          <w:szCs w:val="21"/>
          <w:highlight w:val="none"/>
        </w:rPr>
        <w:t>18.1 工程保险</w:t>
      </w:r>
    </w:p>
    <w:p w14:paraId="41CACA33">
      <w:pPr>
        <w:snapToGrid w:val="0"/>
        <w:spacing w:line="420" w:lineRule="exact"/>
        <w:ind w:firstLine="420" w:firstLineChars="200"/>
        <w:rPr>
          <w:rFonts w:hint="eastAsia"/>
          <w:highlight w:val="none"/>
        </w:rPr>
      </w:pPr>
      <w:r>
        <w:rPr>
          <w:rFonts w:hint="eastAsia"/>
          <w:highlight w:val="none"/>
        </w:rPr>
        <w:t>关于工程保险的特别约定：</w:t>
      </w:r>
      <w:r>
        <w:rPr>
          <w:rFonts w:hint="eastAsia"/>
          <w:highlight w:val="none"/>
          <w:u w:val="single"/>
        </w:rPr>
        <w:t xml:space="preserve"> 无   </w:t>
      </w:r>
      <w:r>
        <w:rPr>
          <w:rFonts w:hint="eastAsia"/>
          <w:highlight w:val="none"/>
        </w:rPr>
        <w:t>。</w:t>
      </w:r>
    </w:p>
    <w:p w14:paraId="4DC9B5E5">
      <w:pPr>
        <w:snapToGrid w:val="0"/>
        <w:spacing w:line="420" w:lineRule="exact"/>
        <w:ind w:firstLine="420" w:firstLineChars="200"/>
        <w:rPr>
          <w:rFonts w:hint="eastAsia" w:ascii="宋体" w:cs="宋体"/>
          <w:szCs w:val="21"/>
          <w:highlight w:val="none"/>
        </w:rPr>
      </w:pPr>
      <w:r>
        <w:rPr>
          <w:rFonts w:hint="eastAsia" w:ascii="宋体" w:cs="宋体"/>
          <w:szCs w:val="21"/>
          <w:highlight w:val="none"/>
        </w:rPr>
        <w:t>18.3 其他保险</w:t>
      </w:r>
    </w:p>
    <w:p w14:paraId="3C2CC8F0">
      <w:pPr>
        <w:snapToGrid w:val="0"/>
        <w:spacing w:line="420" w:lineRule="exact"/>
        <w:ind w:firstLine="420" w:firstLineChars="200"/>
        <w:jc w:val="left"/>
        <w:rPr>
          <w:rFonts w:hint="eastAsia" w:ascii="宋体" w:cs="宋体"/>
          <w:kern w:val="0"/>
          <w:szCs w:val="21"/>
          <w:highlight w:val="none"/>
        </w:rPr>
      </w:pPr>
      <w:r>
        <w:rPr>
          <w:rFonts w:hint="eastAsia" w:ascii="宋体" w:cs="宋体"/>
          <w:szCs w:val="21"/>
          <w:highlight w:val="none"/>
        </w:rPr>
        <w:t>关于其他保险的约定：</w:t>
      </w:r>
      <w:r>
        <w:rPr>
          <w:rFonts w:hint="eastAsia" w:ascii="宋体" w:cs="宋体"/>
          <w:kern w:val="0"/>
          <w:szCs w:val="21"/>
          <w:highlight w:val="none"/>
          <w:u w:val="single"/>
        </w:rPr>
        <w:t xml:space="preserve"> 执行国家、省、市有关规定</w:t>
      </w:r>
    </w:p>
    <w:p w14:paraId="0C9C511F">
      <w:pPr>
        <w:snapToGrid w:val="0"/>
        <w:spacing w:line="420" w:lineRule="exact"/>
        <w:ind w:firstLine="420" w:firstLineChars="200"/>
        <w:jc w:val="left"/>
        <w:rPr>
          <w:rFonts w:hint="eastAsia" w:ascii="宋体" w:cs="宋体"/>
          <w:szCs w:val="21"/>
          <w:highlight w:val="none"/>
          <w:u w:val="single"/>
        </w:rPr>
      </w:pPr>
      <w:r>
        <w:rPr>
          <w:rFonts w:hint="eastAsia" w:ascii="宋体" w:cs="宋体"/>
          <w:szCs w:val="21"/>
          <w:highlight w:val="none"/>
        </w:rPr>
        <w:t>承包人是否应为其施工设备等办理财产保险：</w:t>
      </w:r>
      <w:r>
        <w:rPr>
          <w:rFonts w:hint="eastAsia" w:ascii="宋体" w:cs="宋体"/>
          <w:szCs w:val="21"/>
          <w:highlight w:val="none"/>
          <w:u w:val="single"/>
        </w:rPr>
        <w:t xml:space="preserve"> 承包人应为其施工设备等办理财产保险。</w:t>
      </w:r>
    </w:p>
    <w:p w14:paraId="5C3AB220">
      <w:pPr>
        <w:snapToGrid w:val="0"/>
        <w:spacing w:line="420" w:lineRule="exact"/>
        <w:ind w:firstLine="420" w:firstLineChars="200"/>
        <w:rPr>
          <w:rFonts w:hint="eastAsia" w:ascii="宋体" w:cs="宋体"/>
          <w:szCs w:val="21"/>
          <w:highlight w:val="none"/>
        </w:rPr>
      </w:pPr>
      <w:r>
        <w:rPr>
          <w:rFonts w:hint="eastAsia" w:ascii="宋体" w:cs="宋体"/>
          <w:szCs w:val="21"/>
          <w:highlight w:val="none"/>
        </w:rPr>
        <w:t>18.7 通知义务</w:t>
      </w:r>
    </w:p>
    <w:p w14:paraId="2F3CC148">
      <w:pPr>
        <w:snapToGrid w:val="0"/>
        <w:spacing w:line="420" w:lineRule="exact"/>
        <w:ind w:firstLine="420" w:firstLineChars="200"/>
        <w:jc w:val="left"/>
        <w:rPr>
          <w:rFonts w:hint="eastAsia" w:ascii="宋体" w:cs="宋体"/>
          <w:kern w:val="0"/>
          <w:szCs w:val="21"/>
          <w:highlight w:val="none"/>
          <w:u w:val="single"/>
        </w:rPr>
      </w:pPr>
      <w:r>
        <w:rPr>
          <w:rFonts w:hint="eastAsia" w:ascii="宋体" w:cs="宋体"/>
          <w:kern w:val="0"/>
          <w:szCs w:val="21"/>
          <w:highlight w:val="none"/>
        </w:rPr>
        <w:t>关于变更保险合同时的通知义务的约定：</w:t>
      </w:r>
      <w:r>
        <w:rPr>
          <w:rFonts w:hint="eastAsia" w:ascii="宋体" w:cs="宋体"/>
          <w:kern w:val="0"/>
          <w:szCs w:val="21"/>
          <w:highlight w:val="none"/>
          <w:u w:val="single"/>
        </w:rPr>
        <w:t>发包人变更除工伤保险之外的保险合同时，应事先征得承包人同意，并通知监理人；承包人变更除工伤保险之外的保险合同时，应事先征得发包人同意，并通知监理人。</w:t>
      </w:r>
    </w:p>
    <w:p w14:paraId="22CAF1C3">
      <w:pPr>
        <w:snapToGrid w:val="0"/>
        <w:spacing w:line="420" w:lineRule="exact"/>
        <w:ind w:firstLine="420" w:firstLineChars="200"/>
        <w:jc w:val="left"/>
        <w:rPr>
          <w:rFonts w:hint="eastAsia" w:ascii="宋体" w:cs="宋体"/>
          <w:kern w:val="0"/>
          <w:szCs w:val="21"/>
          <w:highlight w:val="none"/>
          <w:u w:val="single"/>
        </w:rPr>
      </w:pPr>
      <w:r>
        <w:rPr>
          <w:rFonts w:hint="eastAsia" w:ascii="宋体" w:cs="宋体"/>
          <w:kern w:val="0"/>
          <w:szCs w:val="21"/>
          <w:highlight w:val="none"/>
          <w:u w:val="single"/>
        </w:rPr>
        <w:t>保险事故发生时，投保人应按照保险合同规定的条件和期限及时向保险人报告。发包人和承包人应当在知道保险事故发生后及时通知对方。</w:t>
      </w:r>
    </w:p>
    <w:p w14:paraId="5500005C">
      <w:pPr>
        <w:pStyle w:val="5"/>
        <w:snapToGrid w:val="0"/>
        <w:spacing w:before="0" w:after="0" w:line="42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20. 争议解决</w:t>
      </w:r>
    </w:p>
    <w:p w14:paraId="5E40BD8B">
      <w:pPr>
        <w:snapToGrid w:val="0"/>
        <w:spacing w:line="420" w:lineRule="exact"/>
        <w:ind w:firstLine="420" w:firstLineChars="200"/>
        <w:rPr>
          <w:rFonts w:hint="eastAsia" w:ascii="宋体" w:cs="宋体"/>
          <w:szCs w:val="21"/>
          <w:highlight w:val="none"/>
        </w:rPr>
      </w:pPr>
      <w:r>
        <w:rPr>
          <w:rFonts w:hint="eastAsia" w:ascii="宋体" w:cs="宋体"/>
          <w:szCs w:val="21"/>
          <w:highlight w:val="none"/>
        </w:rPr>
        <w:t>20.3 争议评审</w:t>
      </w:r>
    </w:p>
    <w:p w14:paraId="122C7CB9">
      <w:pPr>
        <w:snapToGrid w:val="0"/>
        <w:spacing w:line="420" w:lineRule="exact"/>
        <w:ind w:firstLine="420" w:firstLineChars="200"/>
        <w:jc w:val="left"/>
        <w:rPr>
          <w:rFonts w:hint="eastAsia" w:ascii="宋体" w:cs="宋体"/>
          <w:szCs w:val="21"/>
          <w:highlight w:val="none"/>
          <w:u w:val="single"/>
        </w:rPr>
      </w:pPr>
      <w:r>
        <w:rPr>
          <w:rFonts w:hint="eastAsia" w:ascii="宋体" w:cs="宋体"/>
          <w:szCs w:val="21"/>
          <w:highlight w:val="none"/>
        </w:rPr>
        <w:t>合同当事人是否同意将工程争议提交争议评审小组决定：</w:t>
      </w:r>
      <w:r>
        <w:rPr>
          <w:rFonts w:hint="eastAsia" w:ascii="宋体" w:cs="宋体"/>
          <w:szCs w:val="21"/>
          <w:highlight w:val="none"/>
          <w:u w:val="single"/>
        </w:rPr>
        <w:t xml:space="preserve">  不同意   </w:t>
      </w:r>
      <w:r>
        <w:rPr>
          <w:rFonts w:hint="eastAsia" w:ascii="宋体" w:cs="宋体"/>
          <w:szCs w:val="21"/>
          <w:highlight w:val="none"/>
        </w:rPr>
        <w:t xml:space="preserve">。  </w:t>
      </w:r>
    </w:p>
    <w:p w14:paraId="1FDAB0C3">
      <w:pPr>
        <w:snapToGrid w:val="0"/>
        <w:spacing w:line="420" w:lineRule="exact"/>
        <w:ind w:firstLine="420" w:firstLineChars="200"/>
        <w:jc w:val="left"/>
        <w:rPr>
          <w:rFonts w:hint="eastAsia" w:ascii="宋体" w:cs="宋体"/>
          <w:szCs w:val="21"/>
          <w:highlight w:val="none"/>
        </w:rPr>
      </w:pPr>
      <w:r>
        <w:rPr>
          <w:rFonts w:hint="eastAsia" w:ascii="宋体" w:cs="宋体"/>
          <w:szCs w:val="21"/>
          <w:highlight w:val="none"/>
        </w:rPr>
        <w:t>20.3.1 争议评审小组的确定</w:t>
      </w:r>
    </w:p>
    <w:p w14:paraId="5E4513A0">
      <w:pPr>
        <w:snapToGrid w:val="0"/>
        <w:spacing w:line="420" w:lineRule="exact"/>
        <w:ind w:firstLine="420" w:firstLineChars="200"/>
        <w:jc w:val="left"/>
        <w:rPr>
          <w:rFonts w:hint="eastAsia" w:ascii="宋体" w:cs="宋体"/>
          <w:szCs w:val="21"/>
          <w:highlight w:val="none"/>
          <w:u w:val="single"/>
        </w:rPr>
      </w:pPr>
      <w:r>
        <w:rPr>
          <w:rFonts w:hint="eastAsia" w:ascii="宋体" w:cs="宋体"/>
          <w:szCs w:val="21"/>
          <w:highlight w:val="none"/>
        </w:rPr>
        <w:t>争议评审小组成员的确定：</w:t>
      </w:r>
      <w:r>
        <w:rPr>
          <w:rFonts w:hint="eastAsia" w:ascii="宋体" w:cs="宋体"/>
          <w:szCs w:val="21"/>
          <w:highlight w:val="none"/>
          <w:u w:val="single"/>
        </w:rPr>
        <w:t xml:space="preserve">  无   </w:t>
      </w:r>
      <w:r>
        <w:rPr>
          <w:rFonts w:hint="eastAsia" w:ascii="宋体" w:cs="宋体"/>
          <w:szCs w:val="21"/>
          <w:highlight w:val="none"/>
        </w:rPr>
        <w:t>。</w:t>
      </w:r>
    </w:p>
    <w:p w14:paraId="56137968">
      <w:pPr>
        <w:snapToGrid w:val="0"/>
        <w:spacing w:line="420" w:lineRule="exact"/>
        <w:ind w:firstLine="420" w:firstLineChars="200"/>
        <w:jc w:val="left"/>
        <w:rPr>
          <w:rFonts w:hint="eastAsia" w:ascii="宋体" w:cs="宋体"/>
          <w:szCs w:val="21"/>
          <w:highlight w:val="none"/>
        </w:rPr>
      </w:pPr>
      <w:r>
        <w:rPr>
          <w:rFonts w:hint="eastAsia" w:ascii="宋体" w:cs="宋体"/>
          <w:szCs w:val="21"/>
          <w:highlight w:val="none"/>
        </w:rPr>
        <w:t>选定争议评审员的期限：</w:t>
      </w:r>
      <w:r>
        <w:rPr>
          <w:rFonts w:hint="eastAsia" w:ascii="宋体" w:cs="宋体"/>
          <w:szCs w:val="21"/>
          <w:highlight w:val="none"/>
          <w:u w:val="single"/>
        </w:rPr>
        <w:t xml:space="preserve">  无   </w:t>
      </w:r>
      <w:r>
        <w:rPr>
          <w:rFonts w:hint="eastAsia" w:ascii="宋体" w:cs="宋体"/>
          <w:szCs w:val="21"/>
          <w:highlight w:val="none"/>
        </w:rPr>
        <w:t>。</w:t>
      </w:r>
    </w:p>
    <w:p w14:paraId="4ECD594C">
      <w:pPr>
        <w:snapToGrid w:val="0"/>
        <w:spacing w:line="420" w:lineRule="exact"/>
        <w:ind w:firstLine="420" w:firstLineChars="200"/>
        <w:jc w:val="left"/>
        <w:rPr>
          <w:rFonts w:hint="eastAsia" w:ascii="宋体" w:cs="宋体"/>
          <w:szCs w:val="21"/>
          <w:highlight w:val="none"/>
        </w:rPr>
      </w:pPr>
      <w:r>
        <w:rPr>
          <w:rFonts w:hint="eastAsia" w:ascii="宋体" w:cs="宋体"/>
          <w:szCs w:val="21"/>
          <w:highlight w:val="none"/>
        </w:rPr>
        <w:t>争议评审小组成员的报酬承担方式：</w:t>
      </w:r>
      <w:r>
        <w:rPr>
          <w:rFonts w:hint="eastAsia" w:ascii="宋体" w:cs="宋体"/>
          <w:szCs w:val="21"/>
          <w:highlight w:val="none"/>
          <w:u w:val="single"/>
        </w:rPr>
        <w:t xml:space="preserve">  无   </w:t>
      </w:r>
      <w:r>
        <w:rPr>
          <w:rFonts w:hint="eastAsia" w:ascii="宋体" w:cs="宋体"/>
          <w:szCs w:val="21"/>
          <w:highlight w:val="none"/>
        </w:rPr>
        <w:t>。</w:t>
      </w:r>
    </w:p>
    <w:p w14:paraId="65008D3D">
      <w:pPr>
        <w:snapToGrid w:val="0"/>
        <w:spacing w:line="420" w:lineRule="exact"/>
        <w:ind w:firstLine="420" w:firstLineChars="200"/>
        <w:jc w:val="left"/>
        <w:rPr>
          <w:rFonts w:hint="eastAsia" w:ascii="宋体" w:cs="宋体"/>
          <w:szCs w:val="21"/>
          <w:highlight w:val="none"/>
        </w:rPr>
      </w:pPr>
      <w:r>
        <w:rPr>
          <w:rFonts w:hint="eastAsia" w:ascii="宋体" w:cs="宋体"/>
          <w:szCs w:val="21"/>
          <w:highlight w:val="none"/>
        </w:rPr>
        <w:t>其他事项的约定：</w:t>
      </w:r>
      <w:r>
        <w:rPr>
          <w:rFonts w:hint="eastAsia" w:ascii="宋体" w:cs="宋体"/>
          <w:szCs w:val="21"/>
          <w:highlight w:val="none"/>
          <w:u w:val="single"/>
        </w:rPr>
        <w:t xml:space="preserve">  无   </w:t>
      </w:r>
      <w:r>
        <w:rPr>
          <w:rFonts w:hint="eastAsia" w:ascii="宋体" w:cs="宋体"/>
          <w:szCs w:val="21"/>
          <w:highlight w:val="none"/>
        </w:rPr>
        <w:t>。</w:t>
      </w:r>
    </w:p>
    <w:p w14:paraId="03B06A94">
      <w:pPr>
        <w:autoSpaceDE w:val="0"/>
        <w:autoSpaceDN w:val="0"/>
        <w:adjustRightInd w:val="0"/>
        <w:snapToGrid w:val="0"/>
        <w:spacing w:line="420" w:lineRule="exact"/>
        <w:ind w:firstLine="420" w:firstLineChars="200"/>
        <w:jc w:val="left"/>
        <w:rPr>
          <w:rFonts w:hint="eastAsia" w:ascii="宋体" w:cs="宋体"/>
          <w:kern w:val="0"/>
          <w:szCs w:val="21"/>
          <w:highlight w:val="none"/>
        </w:rPr>
      </w:pPr>
      <w:r>
        <w:rPr>
          <w:rFonts w:hint="eastAsia" w:ascii="宋体" w:cs="宋体"/>
          <w:kern w:val="0"/>
          <w:szCs w:val="21"/>
          <w:highlight w:val="none"/>
        </w:rPr>
        <w:t>20.3.2 争议评审小组的决定</w:t>
      </w:r>
    </w:p>
    <w:p w14:paraId="1784E084">
      <w:pPr>
        <w:snapToGrid w:val="0"/>
        <w:spacing w:line="420" w:lineRule="exact"/>
        <w:ind w:firstLine="420" w:firstLineChars="200"/>
        <w:jc w:val="left"/>
        <w:rPr>
          <w:rFonts w:hint="eastAsia" w:ascii="宋体" w:cs="宋体"/>
          <w:szCs w:val="21"/>
          <w:highlight w:val="none"/>
        </w:rPr>
      </w:pPr>
      <w:r>
        <w:rPr>
          <w:rFonts w:hint="eastAsia" w:ascii="宋体" w:cs="宋体"/>
          <w:szCs w:val="21"/>
          <w:highlight w:val="none"/>
        </w:rPr>
        <w:t>合同当事人关于本项的约定：</w:t>
      </w:r>
      <w:r>
        <w:rPr>
          <w:rFonts w:hint="eastAsia" w:ascii="宋体" w:cs="宋体"/>
          <w:szCs w:val="21"/>
          <w:highlight w:val="none"/>
          <w:u w:val="single"/>
        </w:rPr>
        <w:t xml:space="preserve">  无   </w:t>
      </w:r>
      <w:r>
        <w:rPr>
          <w:rFonts w:hint="eastAsia" w:ascii="宋体" w:cs="宋体"/>
          <w:szCs w:val="21"/>
          <w:highlight w:val="none"/>
        </w:rPr>
        <w:t>。</w:t>
      </w:r>
    </w:p>
    <w:p w14:paraId="3A893488">
      <w:pPr>
        <w:autoSpaceDE w:val="0"/>
        <w:autoSpaceDN w:val="0"/>
        <w:adjustRightInd w:val="0"/>
        <w:snapToGrid w:val="0"/>
        <w:spacing w:line="420" w:lineRule="exact"/>
        <w:ind w:firstLine="420" w:firstLineChars="200"/>
        <w:jc w:val="left"/>
        <w:rPr>
          <w:rFonts w:hint="eastAsia" w:ascii="宋体" w:cs="宋体"/>
          <w:kern w:val="0"/>
          <w:szCs w:val="21"/>
          <w:highlight w:val="none"/>
        </w:rPr>
      </w:pPr>
      <w:r>
        <w:rPr>
          <w:rFonts w:hint="eastAsia" w:ascii="宋体" w:cs="宋体"/>
          <w:kern w:val="0"/>
          <w:szCs w:val="21"/>
          <w:highlight w:val="none"/>
        </w:rPr>
        <w:t>20.4仲裁或诉讼</w:t>
      </w:r>
    </w:p>
    <w:p w14:paraId="1647000D">
      <w:pPr>
        <w:autoSpaceDE w:val="0"/>
        <w:autoSpaceDN w:val="0"/>
        <w:adjustRightInd w:val="0"/>
        <w:snapToGrid w:val="0"/>
        <w:spacing w:line="420" w:lineRule="exact"/>
        <w:ind w:firstLine="420" w:firstLineChars="200"/>
        <w:jc w:val="left"/>
        <w:rPr>
          <w:rFonts w:hint="eastAsia" w:ascii="宋体" w:cs="宋体"/>
          <w:kern w:val="0"/>
          <w:szCs w:val="21"/>
          <w:highlight w:val="none"/>
        </w:rPr>
      </w:pPr>
      <w:r>
        <w:rPr>
          <w:rFonts w:hint="eastAsia" w:ascii="宋体" w:cs="宋体"/>
          <w:kern w:val="0"/>
          <w:szCs w:val="21"/>
          <w:highlight w:val="none"/>
        </w:rPr>
        <w:t>因合同及合同有关事项发生的争议，按下列第</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u w:val="single"/>
          <w:lang w:val="en-US" w:eastAsia="zh-CN"/>
        </w:rPr>
        <w:t>2</w:t>
      </w:r>
      <w:r>
        <w:rPr>
          <w:rFonts w:hint="eastAsia" w:ascii="宋体" w:cs="宋体"/>
          <w:color w:val="auto"/>
          <w:kern w:val="0"/>
          <w:szCs w:val="21"/>
          <w:highlight w:val="none"/>
          <w:u w:val="single"/>
        </w:rPr>
        <w:t xml:space="preserve">）   </w:t>
      </w:r>
      <w:r>
        <w:rPr>
          <w:rFonts w:hint="eastAsia" w:ascii="宋体" w:cs="宋体"/>
          <w:kern w:val="0"/>
          <w:szCs w:val="21"/>
          <w:highlight w:val="none"/>
        </w:rPr>
        <w:t>种方式解决：</w:t>
      </w:r>
    </w:p>
    <w:p w14:paraId="3AE41BB3">
      <w:pPr>
        <w:numPr>
          <w:ilvl w:val="0"/>
          <w:numId w:val="4"/>
        </w:numPr>
        <w:autoSpaceDE w:val="0"/>
        <w:autoSpaceDN w:val="0"/>
        <w:adjustRightInd w:val="0"/>
        <w:snapToGrid w:val="0"/>
        <w:spacing w:line="420" w:lineRule="exact"/>
        <w:ind w:left="315" w:firstLine="420" w:firstLineChars="200"/>
        <w:jc w:val="left"/>
        <w:rPr>
          <w:rFonts w:hint="eastAsia" w:ascii="宋体" w:cs="宋体"/>
          <w:kern w:val="0"/>
          <w:szCs w:val="21"/>
          <w:highlight w:val="none"/>
        </w:rPr>
      </w:pPr>
      <w:r>
        <w:rPr>
          <w:rFonts w:hint="eastAsia" w:ascii="宋体" w:cs="宋体"/>
          <w:kern w:val="0"/>
          <w:szCs w:val="21"/>
          <w:highlight w:val="none"/>
        </w:rPr>
        <w:t>向</w:t>
      </w:r>
      <w:r>
        <w:rPr>
          <w:rFonts w:hint="eastAsia" w:ascii="宋体" w:cs="宋体"/>
          <w:kern w:val="0"/>
          <w:szCs w:val="21"/>
          <w:highlight w:val="none"/>
          <w:u w:val="single"/>
        </w:rPr>
        <w:t xml:space="preserve">        滁州     </w:t>
      </w:r>
      <w:r>
        <w:rPr>
          <w:rFonts w:hint="eastAsia" w:ascii="宋体" w:cs="宋体"/>
          <w:kern w:val="0"/>
          <w:szCs w:val="21"/>
          <w:highlight w:val="none"/>
        </w:rPr>
        <w:t>仲裁委员会申请仲裁；</w:t>
      </w:r>
    </w:p>
    <w:p w14:paraId="12A8A368">
      <w:pPr>
        <w:numPr>
          <w:ilvl w:val="0"/>
          <w:numId w:val="4"/>
        </w:numPr>
        <w:autoSpaceDE w:val="0"/>
        <w:autoSpaceDN w:val="0"/>
        <w:adjustRightInd w:val="0"/>
        <w:snapToGrid w:val="0"/>
        <w:spacing w:line="420" w:lineRule="exact"/>
        <w:ind w:left="315" w:firstLine="420" w:firstLineChars="200"/>
        <w:jc w:val="left"/>
        <w:rPr>
          <w:rFonts w:hint="eastAsia" w:ascii="宋体" w:cs="宋体"/>
          <w:kern w:val="0"/>
          <w:szCs w:val="21"/>
          <w:highlight w:val="none"/>
        </w:rPr>
      </w:pPr>
      <w:r>
        <w:rPr>
          <w:rFonts w:hint="eastAsia" w:ascii="宋体" w:cs="宋体"/>
          <w:kern w:val="0"/>
          <w:szCs w:val="21"/>
          <w:highlight w:val="none"/>
        </w:rPr>
        <w:t>向</w:t>
      </w:r>
      <w:r>
        <w:rPr>
          <w:rFonts w:hint="eastAsia" w:ascii="宋体" w:cs="宋体"/>
          <w:kern w:val="0"/>
          <w:szCs w:val="21"/>
          <w:highlight w:val="none"/>
          <w:u w:val="single"/>
        </w:rPr>
        <w:t xml:space="preserve">     </w:t>
      </w:r>
      <w:r>
        <w:rPr>
          <w:rFonts w:hint="eastAsia" w:ascii="宋体" w:cs="宋体"/>
          <w:szCs w:val="21"/>
          <w:highlight w:val="none"/>
          <w:u w:val="single"/>
          <w:lang w:val="en-US" w:eastAsia="zh-CN"/>
        </w:rPr>
        <w:t>招标人所在地</w:t>
      </w:r>
      <w:r>
        <w:rPr>
          <w:rFonts w:hint="eastAsia" w:ascii="宋体" w:cs="宋体"/>
          <w:kern w:val="0"/>
          <w:szCs w:val="21"/>
          <w:highlight w:val="none"/>
          <w:u w:val="single"/>
        </w:rPr>
        <w:t xml:space="preserve">   </w:t>
      </w:r>
      <w:r>
        <w:rPr>
          <w:rFonts w:hint="eastAsia" w:ascii="宋体" w:cs="宋体"/>
          <w:kern w:val="0"/>
          <w:szCs w:val="21"/>
          <w:highlight w:val="none"/>
        </w:rPr>
        <w:t>人民法院起诉。</w:t>
      </w:r>
    </w:p>
    <w:p w14:paraId="6DA99E0C">
      <w:pPr>
        <w:rPr>
          <w:highlight w:val="none"/>
        </w:rPr>
      </w:pPr>
    </w:p>
    <w:p w14:paraId="461A6CA7">
      <w:pPr>
        <w:adjustRightInd w:val="0"/>
        <w:snapToGrid w:val="0"/>
        <w:spacing w:line="360" w:lineRule="auto"/>
        <w:rPr>
          <w:rFonts w:hint="eastAsia" w:ascii="宋体" w:hAnsi="宋体" w:cs="宋体"/>
          <w:color w:val="000000"/>
          <w:highlight w:val="none"/>
        </w:rPr>
      </w:pPr>
      <w:r>
        <w:rPr>
          <w:rFonts w:hint="eastAsia" w:ascii="宋体" w:hAnsi="宋体" w:cs="宋体"/>
          <w:color w:val="000000"/>
          <w:highlight w:val="none"/>
        </w:rPr>
        <w:t>发包人：  (公章)                           承包人：  (公章)</w:t>
      </w:r>
    </w:p>
    <w:p w14:paraId="75AFBB71">
      <w:pPr>
        <w:adjustRightInd w:val="0"/>
        <w:snapToGrid w:val="0"/>
        <w:spacing w:line="360" w:lineRule="auto"/>
        <w:rPr>
          <w:rFonts w:hint="eastAsia" w:ascii="宋体" w:hAnsi="宋体" w:cs="宋体"/>
          <w:color w:val="000000"/>
          <w:highlight w:val="none"/>
        </w:rPr>
      </w:pPr>
      <w:r>
        <w:rPr>
          <w:rFonts w:hint="eastAsia" w:ascii="宋体" w:hAnsi="宋体" w:cs="宋体"/>
          <w:color w:val="000000"/>
          <w:highlight w:val="none"/>
        </w:rPr>
        <w:t>法定代表人或其委托代理人：                 法定代表人或其委托代理人：</w:t>
      </w:r>
    </w:p>
    <w:p w14:paraId="2082B6C9">
      <w:pPr>
        <w:adjustRightInd w:val="0"/>
        <w:snapToGrid w:val="0"/>
        <w:spacing w:line="360" w:lineRule="auto"/>
        <w:rPr>
          <w:rFonts w:hint="eastAsia" w:ascii="宋体" w:hAnsi="宋体" w:cs="宋体"/>
          <w:color w:val="000000"/>
          <w:highlight w:val="none"/>
        </w:rPr>
      </w:pPr>
      <w:r>
        <w:rPr>
          <w:rFonts w:hint="eastAsia" w:ascii="宋体" w:hAnsi="宋体" w:cs="宋体"/>
          <w:color w:val="000000"/>
          <w:highlight w:val="none"/>
        </w:rPr>
        <w:t>（签字）                                  （签字）</w:t>
      </w:r>
    </w:p>
    <w:p w14:paraId="4F72921B">
      <w:pPr>
        <w:adjustRightInd w:val="0"/>
        <w:snapToGrid w:val="0"/>
        <w:spacing w:line="360" w:lineRule="auto"/>
        <w:rPr>
          <w:rFonts w:hint="eastAsia" w:ascii="宋体" w:hAnsi="宋体" w:cs="宋体"/>
          <w:color w:val="000000"/>
          <w:highlight w:val="none"/>
          <w:u w:val="single"/>
        </w:rPr>
      </w:pPr>
      <w:r>
        <w:rPr>
          <w:rFonts w:hint="eastAsia" w:ascii="宋体" w:hAnsi="宋体" w:cs="宋体"/>
          <w:color w:val="000000"/>
          <w:highlight w:val="none"/>
        </w:rPr>
        <w:t>组织机构代码：</w:t>
      </w:r>
      <w:r>
        <w:rPr>
          <w:rFonts w:hint="eastAsia" w:ascii="宋体" w:hAnsi="宋体" w:cs="宋体"/>
          <w:color w:val="000000"/>
          <w:highlight w:val="none"/>
          <w:u w:val="single"/>
        </w:rPr>
        <w:t xml:space="preserve">            </w:t>
      </w:r>
      <w:r>
        <w:rPr>
          <w:rFonts w:hint="eastAsia" w:ascii="宋体" w:hAnsi="宋体" w:cs="宋体"/>
          <w:color w:val="000000"/>
          <w:highlight w:val="none"/>
        </w:rPr>
        <w:t xml:space="preserve">                组织机构代码：</w:t>
      </w:r>
      <w:r>
        <w:rPr>
          <w:rFonts w:hint="eastAsia" w:ascii="宋体" w:hAnsi="宋体" w:cs="宋体"/>
          <w:color w:val="000000"/>
          <w:highlight w:val="none"/>
          <w:u w:val="single"/>
        </w:rPr>
        <w:t xml:space="preserve">          </w:t>
      </w:r>
    </w:p>
    <w:p w14:paraId="510A5AAC">
      <w:pPr>
        <w:adjustRightInd w:val="0"/>
        <w:snapToGrid w:val="0"/>
        <w:spacing w:line="360" w:lineRule="auto"/>
        <w:rPr>
          <w:rFonts w:hint="eastAsia" w:ascii="宋体" w:hAnsi="宋体" w:cs="宋体"/>
          <w:color w:val="000000"/>
          <w:highlight w:val="none"/>
        </w:rPr>
      </w:pPr>
      <w:r>
        <w:rPr>
          <w:rFonts w:hint="eastAsia" w:ascii="宋体" w:hAnsi="宋体" w:cs="宋体"/>
          <w:color w:val="000000"/>
          <w:highlight w:val="none"/>
        </w:rPr>
        <w:t>地  址：</w:t>
      </w:r>
      <w:r>
        <w:rPr>
          <w:rFonts w:hint="eastAsia" w:ascii="宋体" w:hAnsi="宋体" w:cs="宋体"/>
          <w:color w:val="000000"/>
          <w:highlight w:val="none"/>
          <w:u w:val="single"/>
        </w:rPr>
        <w:t xml:space="preserve">                    </w:t>
      </w:r>
      <w:r>
        <w:rPr>
          <w:rFonts w:hint="eastAsia" w:ascii="宋体" w:hAnsi="宋体" w:cs="宋体"/>
          <w:color w:val="000000"/>
          <w:highlight w:val="none"/>
        </w:rPr>
        <w:t xml:space="preserve">                地  址：</w:t>
      </w:r>
      <w:r>
        <w:rPr>
          <w:rFonts w:hint="eastAsia" w:ascii="宋体" w:hAnsi="宋体" w:cs="宋体"/>
          <w:color w:val="000000"/>
          <w:highlight w:val="none"/>
          <w:u w:val="single"/>
        </w:rPr>
        <w:t xml:space="preserve">                  </w:t>
      </w:r>
    </w:p>
    <w:p w14:paraId="00262A33">
      <w:pPr>
        <w:adjustRightInd w:val="0"/>
        <w:snapToGrid w:val="0"/>
        <w:spacing w:line="360" w:lineRule="auto"/>
        <w:rPr>
          <w:rFonts w:hint="eastAsia" w:ascii="宋体" w:hAnsi="宋体" w:cs="宋体"/>
          <w:color w:val="000000"/>
          <w:highlight w:val="none"/>
        </w:rPr>
      </w:pPr>
      <w:r>
        <w:rPr>
          <w:rFonts w:hint="eastAsia" w:ascii="宋体" w:hAnsi="宋体" w:cs="宋体"/>
          <w:color w:val="000000"/>
          <w:highlight w:val="none"/>
        </w:rPr>
        <w:t>邮政编码：</w:t>
      </w:r>
      <w:r>
        <w:rPr>
          <w:rFonts w:hint="eastAsia" w:ascii="宋体" w:hAnsi="宋体" w:cs="宋体"/>
          <w:color w:val="000000"/>
          <w:highlight w:val="none"/>
          <w:u w:val="single"/>
        </w:rPr>
        <w:t xml:space="preserve">                </w:t>
      </w:r>
      <w:r>
        <w:rPr>
          <w:rFonts w:hint="eastAsia" w:ascii="宋体" w:hAnsi="宋体" w:cs="宋体"/>
          <w:color w:val="000000"/>
          <w:highlight w:val="none"/>
        </w:rPr>
        <w:t xml:space="preserve">               邮政编码：</w:t>
      </w:r>
      <w:r>
        <w:rPr>
          <w:rFonts w:hint="eastAsia" w:ascii="宋体" w:hAnsi="宋体" w:cs="宋体"/>
          <w:color w:val="000000"/>
          <w:highlight w:val="none"/>
          <w:u w:val="single"/>
        </w:rPr>
        <w:t xml:space="preserve">                   </w:t>
      </w:r>
    </w:p>
    <w:p w14:paraId="636C657E">
      <w:pPr>
        <w:adjustRightInd w:val="0"/>
        <w:snapToGrid w:val="0"/>
        <w:spacing w:line="360" w:lineRule="auto"/>
        <w:rPr>
          <w:rFonts w:hint="eastAsia" w:ascii="宋体" w:hAnsi="宋体" w:cs="宋体"/>
          <w:color w:val="000000"/>
          <w:highlight w:val="none"/>
        </w:rPr>
      </w:pPr>
      <w:r>
        <w:rPr>
          <w:rFonts w:hint="eastAsia" w:ascii="宋体" w:hAnsi="宋体" w:cs="宋体"/>
          <w:color w:val="000000"/>
          <w:highlight w:val="none"/>
        </w:rPr>
        <w:t>法定代表人：</w:t>
      </w:r>
      <w:r>
        <w:rPr>
          <w:rFonts w:hint="eastAsia" w:ascii="宋体" w:hAnsi="宋体" w:cs="宋体"/>
          <w:color w:val="000000"/>
          <w:highlight w:val="none"/>
          <w:u w:val="single"/>
        </w:rPr>
        <w:t xml:space="preserve">            </w:t>
      </w:r>
      <w:r>
        <w:rPr>
          <w:rFonts w:hint="eastAsia" w:ascii="宋体" w:hAnsi="宋体" w:cs="宋体"/>
          <w:color w:val="000000"/>
          <w:highlight w:val="none"/>
        </w:rPr>
        <w:t xml:space="preserve">                法定代表人：</w:t>
      </w:r>
      <w:r>
        <w:rPr>
          <w:rFonts w:hint="eastAsia" w:ascii="宋体" w:hAnsi="宋体" w:cs="宋体"/>
          <w:color w:val="000000"/>
          <w:highlight w:val="none"/>
          <w:u w:val="single"/>
        </w:rPr>
        <w:t xml:space="preserve">            </w:t>
      </w:r>
    </w:p>
    <w:p w14:paraId="0D000CD5">
      <w:pPr>
        <w:adjustRightInd w:val="0"/>
        <w:snapToGrid w:val="0"/>
        <w:spacing w:line="360" w:lineRule="auto"/>
        <w:rPr>
          <w:rFonts w:hint="eastAsia" w:ascii="宋体" w:hAnsi="宋体" w:cs="宋体"/>
          <w:color w:val="000000"/>
          <w:highlight w:val="none"/>
        </w:rPr>
      </w:pPr>
      <w:r>
        <w:rPr>
          <w:rFonts w:hint="eastAsia" w:ascii="宋体" w:hAnsi="宋体" w:cs="宋体"/>
          <w:color w:val="000000"/>
          <w:highlight w:val="none"/>
        </w:rPr>
        <w:t>委托代理人：</w:t>
      </w:r>
      <w:r>
        <w:rPr>
          <w:rFonts w:hint="eastAsia" w:ascii="宋体" w:hAnsi="宋体" w:cs="宋体"/>
          <w:color w:val="000000"/>
          <w:highlight w:val="none"/>
          <w:u w:val="single"/>
        </w:rPr>
        <w:t xml:space="preserve">                </w:t>
      </w:r>
      <w:r>
        <w:rPr>
          <w:rFonts w:hint="eastAsia" w:ascii="宋体" w:hAnsi="宋体" w:cs="宋体"/>
          <w:color w:val="000000"/>
          <w:highlight w:val="none"/>
        </w:rPr>
        <w:t xml:space="preserve">                委托代理人：</w:t>
      </w:r>
      <w:r>
        <w:rPr>
          <w:rFonts w:hint="eastAsia" w:ascii="宋体" w:hAnsi="宋体" w:cs="宋体"/>
          <w:color w:val="000000"/>
          <w:highlight w:val="none"/>
          <w:u w:val="single"/>
        </w:rPr>
        <w:t xml:space="preserve">                </w:t>
      </w:r>
    </w:p>
    <w:p w14:paraId="74C80206">
      <w:pPr>
        <w:adjustRightInd w:val="0"/>
        <w:snapToGrid w:val="0"/>
        <w:spacing w:line="360" w:lineRule="auto"/>
        <w:rPr>
          <w:rFonts w:hint="eastAsia" w:ascii="宋体" w:hAnsi="宋体" w:cs="宋体"/>
          <w:color w:val="000000"/>
          <w:highlight w:val="none"/>
        </w:rPr>
      </w:pPr>
      <w:r>
        <w:rPr>
          <w:rFonts w:hint="eastAsia" w:ascii="宋体" w:hAnsi="宋体" w:cs="宋体"/>
          <w:color w:val="000000"/>
          <w:highlight w:val="none"/>
        </w:rPr>
        <w:t>电  话：</w:t>
      </w:r>
      <w:r>
        <w:rPr>
          <w:rFonts w:hint="eastAsia" w:ascii="宋体" w:hAnsi="宋体" w:cs="宋体"/>
          <w:color w:val="000000"/>
          <w:highlight w:val="none"/>
          <w:u w:val="single"/>
        </w:rPr>
        <w:t xml:space="preserve">                   </w:t>
      </w:r>
      <w:r>
        <w:rPr>
          <w:rFonts w:hint="eastAsia" w:ascii="宋体" w:hAnsi="宋体" w:cs="宋体"/>
          <w:color w:val="000000"/>
          <w:highlight w:val="none"/>
        </w:rPr>
        <w:t xml:space="preserve">                电  话：</w:t>
      </w:r>
      <w:r>
        <w:rPr>
          <w:rFonts w:hint="eastAsia" w:ascii="宋体" w:hAnsi="宋体" w:cs="宋体"/>
          <w:color w:val="000000"/>
          <w:highlight w:val="none"/>
          <w:u w:val="single"/>
        </w:rPr>
        <w:t xml:space="preserve">                     </w:t>
      </w:r>
    </w:p>
    <w:p w14:paraId="6A8BE3C8">
      <w:pPr>
        <w:adjustRightInd w:val="0"/>
        <w:snapToGrid w:val="0"/>
        <w:spacing w:line="360" w:lineRule="auto"/>
        <w:rPr>
          <w:rFonts w:hint="eastAsia" w:ascii="宋体" w:hAnsi="宋体" w:cs="宋体"/>
          <w:color w:val="000000"/>
          <w:highlight w:val="none"/>
        </w:rPr>
      </w:pPr>
      <w:r>
        <w:rPr>
          <w:rFonts w:hint="eastAsia" w:ascii="宋体" w:hAnsi="宋体" w:cs="宋体"/>
          <w:color w:val="000000"/>
          <w:highlight w:val="none"/>
        </w:rPr>
        <w:t>传  真：</w:t>
      </w:r>
      <w:r>
        <w:rPr>
          <w:rFonts w:hint="eastAsia" w:ascii="宋体" w:hAnsi="宋体" w:cs="宋体"/>
          <w:color w:val="000000"/>
          <w:highlight w:val="none"/>
          <w:u w:val="single"/>
        </w:rPr>
        <w:t xml:space="preserve">                   </w:t>
      </w:r>
      <w:r>
        <w:rPr>
          <w:rFonts w:hint="eastAsia" w:ascii="宋体" w:hAnsi="宋体" w:cs="宋体"/>
          <w:color w:val="000000"/>
          <w:highlight w:val="none"/>
        </w:rPr>
        <w:t xml:space="preserve">                传  真：</w:t>
      </w:r>
      <w:r>
        <w:rPr>
          <w:rFonts w:hint="eastAsia" w:ascii="宋体" w:hAnsi="宋体" w:cs="宋体"/>
          <w:color w:val="000000"/>
          <w:highlight w:val="none"/>
          <w:u w:val="single"/>
        </w:rPr>
        <w:t xml:space="preserve">                   </w:t>
      </w:r>
    </w:p>
    <w:p w14:paraId="15720D2F">
      <w:pPr>
        <w:adjustRightInd w:val="0"/>
        <w:snapToGrid w:val="0"/>
        <w:spacing w:line="360" w:lineRule="auto"/>
        <w:rPr>
          <w:rFonts w:hint="eastAsia" w:ascii="宋体" w:hAnsi="宋体" w:cs="宋体"/>
          <w:color w:val="000000"/>
          <w:highlight w:val="none"/>
        </w:rPr>
      </w:pPr>
      <w:r>
        <w:rPr>
          <w:rFonts w:hint="eastAsia" w:ascii="宋体" w:hAnsi="宋体" w:cs="宋体"/>
          <w:color w:val="000000"/>
          <w:highlight w:val="none"/>
        </w:rPr>
        <w:t>电子信箱：</w:t>
      </w:r>
      <w:r>
        <w:rPr>
          <w:rFonts w:hint="eastAsia" w:ascii="宋体" w:hAnsi="宋体" w:cs="宋体"/>
          <w:color w:val="000000"/>
          <w:highlight w:val="none"/>
          <w:u w:val="single"/>
        </w:rPr>
        <w:t xml:space="preserve">                 </w:t>
      </w:r>
      <w:r>
        <w:rPr>
          <w:rFonts w:hint="eastAsia" w:ascii="宋体" w:hAnsi="宋体" w:cs="宋体"/>
          <w:color w:val="000000"/>
          <w:highlight w:val="none"/>
        </w:rPr>
        <w:t xml:space="preserve">                电子信箱：</w:t>
      </w:r>
      <w:r>
        <w:rPr>
          <w:rFonts w:hint="eastAsia" w:ascii="宋体" w:hAnsi="宋体" w:cs="宋体"/>
          <w:color w:val="000000"/>
          <w:highlight w:val="none"/>
          <w:u w:val="single"/>
        </w:rPr>
        <w:t xml:space="preserve">                   </w:t>
      </w:r>
    </w:p>
    <w:p w14:paraId="35DB4CDB">
      <w:pPr>
        <w:adjustRightInd w:val="0"/>
        <w:snapToGrid w:val="0"/>
        <w:spacing w:line="360" w:lineRule="auto"/>
        <w:rPr>
          <w:rFonts w:hint="eastAsia" w:ascii="宋体" w:hAnsi="宋体" w:cs="宋体"/>
          <w:color w:val="000000"/>
          <w:highlight w:val="none"/>
        </w:rPr>
      </w:pPr>
      <w:r>
        <w:rPr>
          <w:rFonts w:hint="eastAsia" w:ascii="宋体" w:hAnsi="宋体" w:cs="宋体"/>
          <w:color w:val="000000"/>
          <w:highlight w:val="none"/>
        </w:rPr>
        <w:t>开户银行：</w:t>
      </w:r>
      <w:r>
        <w:rPr>
          <w:rFonts w:hint="eastAsia" w:ascii="宋体" w:hAnsi="宋体" w:cs="宋体"/>
          <w:color w:val="000000"/>
          <w:highlight w:val="none"/>
          <w:u w:val="single"/>
        </w:rPr>
        <w:t xml:space="preserve">                 </w:t>
      </w:r>
      <w:r>
        <w:rPr>
          <w:rFonts w:hint="eastAsia" w:ascii="宋体" w:hAnsi="宋体" w:cs="宋体"/>
          <w:color w:val="000000"/>
          <w:highlight w:val="none"/>
        </w:rPr>
        <w:t xml:space="preserve">                开户银行：</w:t>
      </w:r>
      <w:r>
        <w:rPr>
          <w:rFonts w:hint="eastAsia" w:ascii="宋体" w:hAnsi="宋体" w:cs="宋体"/>
          <w:color w:val="000000"/>
          <w:highlight w:val="none"/>
          <w:u w:val="single"/>
        </w:rPr>
        <w:t xml:space="preserve">                   </w:t>
      </w:r>
    </w:p>
    <w:p w14:paraId="14E0EC43">
      <w:pPr>
        <w:adjustRightInd w:val="0"/>
        <w:snapToGrid w:val="0"/>
        <w:spacing w:line="360" w:lineRule="auto"/>
        <w:rPr>
          <w:rFonts w:hint="eastAsia" w:ascii="宋体" w:hAnsi="宋体" w:cs="宋体"/>
          <w:color w:val="000000"/>
          <w:highlight w:val="none"/>
        </w:rPr>
      </w:pPr>
      <w:r>
        <w:rPr>
          <w:rFonts w:hint="eastAsia" w:ascii="宋体" w:hAnsi="宋体" w:cs="宋体"/>
          <w:color w:val="000000"/>
          <w:highlight w:val="none"/>
        </w:rPr>
        <w:t>账  号：</w:t>
      </w:r>
      <w:r>
        <w:rPr>
          <w:rFonts w:hint="eastAsia" w:ascii="宋体" w:hAnsi="宋体" w:cs="宋体"/>
          <w:color w:val="000000"/>
          <w:highlight w:val="none"/>
          <w:u w:val="single"/>
        </w:rPr>
        <w:t xml:space="preserve">                 </w:t>
      </w:r>
      <w:r>
        <w:rPr>
          <w:rFonts w:hint="eastAsia" w:ascii="宋体" w:hAnsi="宋体" w:cs="宋体"/>
          <w:color w:val="000000"/>
          <w:highlight w:val="none"/>
        </w:rPr>
        <w:t xml:space="preserve">                账  号：</w:t>
      </w:r>
      <w:r>
        <w:rPr>
          <w:rFonts w:hint="eastAsia" w:ascii="宋体" w:hAnsi="宋体" w:cs="宋体"/>
          <w:color w:val="000000"/>
          <w:highlight w:val="none"/>
          <w:u w:val="single"/>
        </w:rPr>
        <w:t xml:space="preserve">                     </w:t>
      </w:r>
    </w:p>
    <w:p w14:paraId="157F105B">
      <w:pPr>
        <w:pStyle w:val="14"/>
        <w:ind w:left="0" w:leftChars="0" w:firstLine="0" w:firstLineChars="0"/>
        <w:rPr>
          <w:rFonts w:hint="eastAsia" w:ascii="黑体" w:eastAsia="黑体"/>
          <w:b/>
          <w:sz w:val="32"/>
          <w:szCs w:val="32"/>
          <w:highlight w:val="none"/>
          <w:lang w:val="en-US" w:eastAsia="zh-CN"/>
        </w:rPr>
      </w:pPr>
    </w:p>
    <w:p w14:paraId="7D29C607">
      <w:pPr>
        <w:rPr>
          <w:rFonts w:hint="eastAsia" w:ascii="黑体" w:eastAsia="黑体"/>
          <w:b/>
          <w:sz w:val="32"/>
          <w:szCs w:val="32"/>
          <w:highlight w:val="none"/>
          <w:lang w:val="en-US" w:eastAsia="zh-CN"/>
        </w:rPr>
      </w:pPr>
      <w:r>
        <w:rPr>
          <w:rFonts w:hint="eastAsia" w:ascii="黑体" w:eastAsia="黑体"/>
          <w:b/>
          <w:sz w:val="32"/>
          <w:szCs w:val="32"/>
          <w:highlight w:val="none"/>
          <w:lang w:val="en-US" w:eastAsia="zh-CN"/>
        </w:rPr>
        <w:br w:type="page"/>
      </w:r>
    </w:p>
    <w:p w14:paraId="4C397CA0">
      <w:pPr>
        <w:keepNext/>
        <w:keepLines/>
        <w:spacing w:before="120" w:after="120" w:line="360" w:lineRule="auto"/>
        <w:jc w:val="left"/>
        <w:outlineLvl w:val="2"/>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 xml:space="preserve">附件1 </w:t>
      </w:r>
    </w:p>
    <w:p w14:paraId="4766C347">
      <w:pPr>
        <w:spacing w:before="156" w:beforeLines="50" w:after="156" w:afterLines="50" w:line="380" w:lineRule="exact"/>
        <w:jc w:val="center"/>
        <w:rPr>
          <w:rFonts w:hint="eastAsia" w:ascii="黑体" w:eastAsia="黑体" w:cs="宋体"/>
          <w:b/>
          <w:bCs/>
          <w:sz w:val="32"/>
          <w:szCs w:val="32"/>
          <w:highlight w:val="none"/>
          <w:lang w:bidi="ar"/>
        </w:rPr>
      </w:pPr>
      <w:r>
        <w:rPr>
          <w:rFonts w:hint="eastAsia" w:ascii="黑体" w:eastAsia="黑体" w:cs="宋体"/>
          <w:b/>
          <w:bCs/>
          <w:sz w:val="32"/>
          <w:szCs w:val="32"/>
          <w:highlight w:val="none"/>
          <w:lang w:bidi="ar"/>
        </w:rPr>
        <w:t>工程质量保修书</w:t>
      </w:r>
    </w:p>
    <w:p w14:paraId="7C4FE380">
      <w:pPr>
        <w:spacing w:line="440" w:lineRule="exact"/>
        <w:rPr>
          <w:rFonts w:hint="eastAsia" w:ascii="宋体" w:hAnsi="宋体" w:cs="宋体"/>
          <w:szCs w:val="21"/>
          <w:highlight w:val="none"/>
        </w:rPr>
      </w:pPr>
      <w:r>
        <w:rPr>
          <w:rFonts w:hint="eastAsia" w:ascii="宋体" w:hAnsi="宋体" w:cs="宋体"/>
          <w:szCs w:val="21"/>
          <w:highlight w:val="none"/>
        </w:rPr>
        <w:t>发包人：（全称）：</w:t>
      </w:r>
      <w:r>
        <w:rPr>
          <w:rFonts w:hint="eastAsia" w:ascii="宋体" w:hAnsi="宋体" w:cs="宋体"/>
          <w:szCs w:val="21"/>
          <w:highlight w:val="none"/>
          <w:u w:val="single"/>
        </w:rPr>
        <w:t xml:space="preserve">                            ；</w:t>
      </w:r>
    </w:p>
    <w:p w14:paraId="5D49E8E8">
      <w:pPr>
        <w:spacing w:line="440" w:lineRule="exact"/>
        <w:rPr>
          <w:rFonts w:hint="eastAsia" w:ascii="宋体" w:hAnsi="宋体" w:cs="宋体"/>
          <w:szCs w:val="21"/>
          <w:highlight w:val="none"/>
          <w:u w:val="single"/>
        </w:rPr>
      </w:pPr>
      <w:r>
        <w:rPr>
          <w:rFonts w:hint="eastAsia" w:ascii="宋体" w:hAnsi="宋体" w:cs="宋体"/>
          <w:szCs w:val="21"/>
          <w:highlight w:val="none"/>
        </w:rPr>
        <w:t>承包人：（全称）：</w:t>
      </w:r>
      <w:r>
        <w:rPr>
          <w:rFonts w:hint="eastAsia" w:ascii="宋体" w:hAnsi="宋体" w:cs="宋体"/>
          <w:szCs w:val="21"/>
          <w:highlight w:val="none"/>
          <w:u w:val="single"/>
        </w:rPr>
        <w:t xml:space="preserve">                            ；</w:t>
      </w:r>
    </w:p>
    <w:p w14:paraId="5816A768">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发包人和承包人根据《中华人民共和国建筑法》和《建设工程质量管理条例》，经协商一致就</w:t>
      </w:r>
    </w:p>
    <w:p w14:paraId="0E443565">
      <w:pPr>
        <w:spacing w:line="44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                </w:t>
      </w:r>
      <w:r>
        <w:rPr>
          <w:rFonts w:hint="eastAsia" w:ascii="宋体" w:hAnsi="宋体" w:cs="宋体"/>
          <w:szCs w:val="21"/>
          <w:highlight w:val="none"/>
        </w:rPr>
        <w:t xml:space="preserve">（工程全称）签订工程质量保修书。    </w:t>
      </w:r>
    </w:p>
    <w:p w14:paraId="294C3B2E">
      <w:p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一、工程质量保修范围和内容</w:t>
      </w:r>
    </w:p>
    <w:p w14:paraId="51A1FF42">
      <w:p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按照《建设工程质量管理条例》及有关法律、法规、规章的管理规定和双方约定由施工单位在质量保修期内，承担本工程质量保修责任。</w:t>
      </w:r>
    </w:p>
    <w:p w14:paraId="093CEA59">
      <w:p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质量保修范围和内容：</w:t>
      </w:r>
    </w:p>
    <w:p w14:paraId="0870BCD6">
      <w:p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合同文件中明确的全部内容（含设计变更及签证以及决算中所含的全部内容）。</w:t>
      </w:r>
    </w:p>
    <w:p w14:paraId="16BB05F0">
      <w:p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二、质量保修期</w:t>
      </w:r>
    </w:p>
    <w:p w14:paraId="0656D337">
      <w:pPr>
        <w:numPr>
          <w:ilvl w:val="0"/>
          <w:numId w:val="5"/>
        </w:num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双方根据《建设工程质量管理条例》及有关规定，约定本工程的质量保修期如下：</w:t>
      </w:r>
      <w:r>
        <w:rPr>
          <w:rFonts w:hint="eastAsia" w:ascii="宋体" w:hAnsi="宋体" w:cs="宋体"/>
          <w:szCs w:val="21"/>
          <w:highlight w:val="none"/>
        </w:rPr>
        <w:br w:type="textWrapping"/>
      </w:r>
      <w:r>
        <w:rPr>
          <w:rFonts w:hint="eastAsia" w:ascii="宋体" w:hAnsi="宋体" w:cs="宋体"/>
          <w:szCs w:val="21"/>
          <w:highlight w:val="none"/>
        </w:rPr>
        <w:t>1、地基基础工程和主体结构工程为设计文件规定的该工程合理使用年限；</w:t>
      </w:r>
      <w:r>
        <w:rPr>
          <w:rFonts w:hint="eastAsia" w:ascii="宋体" w:hAnsi="宋体" w:cs="宋体"/>
          <w:szCs w:val="21"/>
          <w:highlight w:val="none"/>
        </w:rPr>
        <w:br w:type="textWrapping"/>
      </w:r>
      <w:r>
        <w:rPr>
          <w:rFonts w:hint="eastAsia" w:ascii="宋体" w:hAnsi="宋体" w:cs="宋体"/>
          <w:szCs w:val="21"/>
          <w:highlight w:val="none"/>
        </w:rPr>
        <w:t>2、屋面防水工程、有防水要求的卫生间、房间的外墙面的防渗漏为5年；</w:t>
      </w:r>
      <w:r>
        <w:rPr>
          <w:rFonts w:hint="eastAsia" w:ascii="宋体" w:hAnsi="宋体" w:cs="宋体"/>
          <w:szCs w:val="21"/>
          <w:highlight w:val="none"/>
        </w:rPr>
        <w:br w:type="textWrapping"/>
      </w:r>
      <w:r>
        <w:rPr>
          <w:rFonts w:hint="eastAsia" w:ascii="宋体" w:hAnsi="宋体" w:cs="宋体"/>
          <w:szCs w:val="21"/>
          <w:highlight w:val="none"/>
        </w:rPr>
        <w:t>3、装修工程为  2 年；</w:t>
      </w:r>
      <w:r>
        <w:rPr>
          <w:rFonts w:hint="eastAsia" w:ascii="宋体" w:hAnsi="宋体" w:cs="宋体"/>
          <w:szCs w:val="21"/>
          <w:highlight w:val="none"/>
        </w:rPr>
        <w:br w:type="textWrapping"/>
      </w:r>
      <w:r>
        <w:rPr>
          <w:rFonts w:hint="eastAsia" w:ascii="宋体" w:hAnsi="宋体" w:cs="宋体"/>
          <w:szCs w:val="21"/>
          <w:highlight w:val="none"/>
        </w:rPr>
        <w:t>4、电气管线、给排水管道、设备安装工程为  2  年；</w:t>
      </w:r>
      <w:r>
        <w:rPr>
          <w:rFonts w:hint="eastAsia" w:ascii="宋体" w:hAnsi="宋体" w:cs="宋体"/>
          <w:szCs w:val="21"/>
          <w:highlight w:val="none"/>
        </w:rPr>
        <w:br w:type="textWrapping"/>
      </w:r>
      <w:r>
        <w:rPr>
          <w:rFonts w:hint="eastAsia" w:ascii="宋体" w:hAnsi="宋体" w:cs="宋体"/>
          <w:szCs w:val="21"/>
          <w:highlight w:val="none"/>
        </w:rPr>
        <w:t>5、供热与供冷系统为 2个采暖期、供冷期；</w:t>
      </w:r>
      <w:r>
        <w:rPr>
          <w:rFonts w:hint="eastAsia" w:ascii="宋体" w:hAnsi="宋体" w:cs="宋体"/>
          <w:szCs w:val="21"/>
          <w:highlight w:val="none"/>
        </w:rPr>
        <w:br w:type="textWrapping"/>
      </w:r>
      <w:r>
        <w:rPr>
          <w:rFonts w:hint="eastAsia" w:ascii="宋体" w:hAnsi="宋体" w:cs="宋体"/>
          <w:szCs w:val="21"/>
          <w:highlight w:val="none"/>
        </w:rPr>
        <w:t>6、给排水设施、道路等配套工程为  2 年；</w:t>
      </w:r>
      <w:r>
        <w:rPr>
          <w:rFonts w:hint="eastAsia" w:ascii="宋体" w:hAnsi="宋体" w:cs="宋体"/>
          <w:szCs w:val="21"/>
          <w:highlight w:val="none"/>
        </w:rPr>
        <w:br w:type="textWrapping"/>
      </w:r>
      <w:r>
        <w:rPr>
          <w:rFonts w:hint="eastAsia" w:ascii="宋体" w:hAnsi="宋体" w:cs="宋体"/>
          <w:szCs w:val="21"/>
          <w:highlight w:val="none"/>
        </w:rPr>
        <w:t>7、保温工程：5年；</w:t>
      </w:r>
    </w:p>
    <w:p w14:paraId="614FBAFE">
      <w:pPr>
        <w:tabs>
          <w:tab w:val="left" w:pos="0"/>
        </w:tabs>
        <w:spacing w:line="440" w:lineRule="exact"/>
        <w:rPr>
          <w:rFonts w:hint="eastAsia" w:ascii="宋体" w:hAnsi="宋体" w:cs="宋体"/>
          <w:szCs w:val="21"/>
          <w:highlight w:val="none"/>
        </w:rPr>
      </w:pPr>
      <w:r>
        <w:rPr>
          <w:rFonts w:hint="eastAsia" w:ascii="宋体" w:hAnsi="宋体" w:cs="宋体"/>
          <w:szCs w:val="21"/>
          <w:highlight w:val="none"/>
        </w:rPr>
        <w:t>8、建筑幕墙：5年</w:t>
      </w:r>
      <w:r>
        <w:rPr>
          <w:rFonts w:hint="eastAsia" w:ascii="宋体" w:hAnsi="宋体" w:cs="宋体"/>
          <w:szCs w:val="21"/>
          <w:highlight w:val="none"/>
        </w:rPr>
        <w:br w:type="textWrapping"/>
      </w:r>
      <w:r>
        <w:rPr>
          <w:rFonts w:hint="eastAsia" w:ascii="宋体" w:hAnsi="宋体" w:cs="宋体"/>
          <w:szCs w:val="21"/>
          <w:highlight w:val="none"/>
        </w:rPr>
        <w:t>9、其他项目保修期限约定如下：其他项目的保修期限由发包方与承包方约定。   </w:t>
      </w:r>
      <w:r>
        <w:rPr>
          <w:rFonts w:hint="eastAsia" w:ascii="宋体" w:hAnsi="宋体" w:cs="宋体"/>
          <w:szCs w:val="21"/>
          <w:highlight w:val="none"/>
        </w:rPr>
        <w:br w:type="textWrapping"/>
      </w:r>
      <w:r>
        <w:rPr>
          <w:rFonts w:hint="eastAsia" w:ascii="宋体" w:hAnsi="宋体" w:cs="宋体"/>
          <w:szCs w:val="21"/>
          <w:highlight w:val="none"/>
        </w:rPr>
        <w:t>质量保修期自工程竣工验收合格之日起计算。</w:t>
      </w:r>
    </w:p>
    <w:p w14:paraId="717F8F40">
      <w:pPr>
        <w:numPr>
          <w:ilvl w:val="0"/>
          <w:numId w:val="5"/>
        </w:num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缺陷责任期</w:t>
      </w:r>
    </w:p>
    <w:p w14:paraId="216E5F3D">
      <w:pPr>
        <w:pStyle w:val="14"/>
        <w:spacing w:after="0" w:line="440" w:lineRule="exact"/>
        <w:ind w:left="0" w:leftChars="0"/>
        <w:rPr>
          <w:rFonts w:hint="eastAsia" w:hAnsi="宋体" w:cs="宋体"/>
          <w:szCs w:val="21"/>
          <w:highlight w:val="none"/>
        </w:rPr>
      </w:pPr>
      <w:r>
        <w:rPr>
          <w:rFonts w:hint="eastAsia" w:hAnsi="宋体" w:cs="宋体"/>
          <w:szCs w:val="21"/>
          <w:highlight w:val="none"/>
        </w:rPr>
        <w:t>工程缺陷责任期为24个月，缺陷责任期自工程通过竣工验收之日起计算。单位工程先于全部工程进行验收，单位工程缺陷责任期自单位工程验收合格之日起算。</w:t>
      </w:r>
    </w:p>
    <w:p w14:paraId="64B9DFF3">
      <w:pPr>
        <w:pStyle w:val="14"/>
        <w:spacing w:after="0" w:line="440" w:lineRule="exact"/>
        <w:ind w:left="0" w:leftChars="0"/>
        <w:rPr>
          <w:rFonts w:hint="eastAsia" w:hAnsi="宋体" w:cs="宋体"/>
          <w:szCs w:val="21"/>
          <w:highlight w:val="none"/>
        </w:rPr>
      </w:pPr>
      <w:r>
        <w:rPr>
          <w:rFonts w:hint="eastAsia" w:hAnsi="宋体" w:cs="宋体"/>
          <w:szCs w:val="21"/>
          <w:highlight w:val="none"/>
        </w:rPr>
        <w:t>缺陷责任期终止后，发包人应退还剩余的质量保证金。</w:t>
      </w:r>
    </w:p>
    <w:p w14:paraId="129C41BB">
      <w:p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四、质量保修责任</w:t>
      </w:r>
    </w:p>
    <w:p w14:paraId="1C119FF5">
      <w:p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1、属于保修范围、内容的项目，承包人应当在接到保修通知之日起48小时内派人保修。承包人</w:t>
      </w:r>
      <w:r>
        <w:rPr>
          <w:rFonts w:hint="eastAsia" w:ascii="宋体" w:hAnsi="宋体" w:cs="宋体"/>
          <w:szCs w:val="21"/>
          <w:highlight w:val="none"/>
          <w:lang w:eastAsia="zh-CN"/>
        </w:rPr>
        <w:t>不在</w:t>
      </w:r>
      <w:r>
        <w:rPr>
          <w:rFonts w:hint="eastAsia" w:ascii="宋体" w:hAnsi="宋体" w:cs="宋体"/>
          <w:szCs w:val="21"/>
          <w:highlight w:val="none"/>
        </w:rPr>
        <w:t>约定期限内派人保修的，发包人可以委托他人修理。</w:t>
      </w:r>
    </w:p>
    <w:p w14:paraId="4FF54C34">
      <w:p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2、发生紧急抢修事故的，承包人在接到事故通知后，应当立即到达事故现场抢修。</w:t>
      </w:r>
    </w:p>
    <w:p w14:paraId="4A27CE68">
      <w:p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75935364">
      <w:p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4、质量保修完成后，由发包人组织验收。</w:t>
      </w:r>
    </w:p>
    <w:p w14:paraId="33E5A28B">
      <w:p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五、保修费用</w:t>
      </w:r>
    </w:p>
    <w:p w14:paraId="12BA9DA0">
      <w:p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保修费用由造成质量缺陷的责任方承担。</w:t>
      </w:r>
    </w:p>
    <w:p w14:paraId="61BB18BA">
      <w:pP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六、因不可抗力或使用不当造成的质量缺陷，不属保修范围。</w:t>
      </w:r>
    </w:p>
    <w:p w14:paraId="1E1EDB32">
      <w:pPr>
        <w:spacing w:line="440" w:lineRule="exact"/>
        <w:ind w:firstLine="420" w:firstLineChars="200"/>
        <w:rPr>
          <w:rFonts w:hint="eastAsia" w:ascii="宋体" w:hAnsi="宋体" w:cs="宋体"/>
          <w:b/>
          <w:bCs/>
          <w:szCs w:val="21"/>
          <w:highlight w:val="none"/>
        </w:rPr>
      </w:pPr>
      <w:r>
        <w:rPr>
          <w:rFonts w:hint="eastAsia" w:ascii="宋体" w:hAnsi="宋体" w:cs="宋体"/>
          <w:szCs w:val="21"/>
          <w:highlight w:val="none"/>
        </w:rPr>
        <w:t xml:space="preserve">七、本工程质量保修书，由施工合同发包人、承包人双方在竣工验收前共同签署，作为施工合同附件，其有效期限至保修期满。  </w:t>
      </w:r>
      <w:r>
        <w:rPr>
          <w:rFonts w:hint="eastAsia" w:ascii="宋体" w:hAnsi="宋体" w:cs="宋体"/>
          <w:b/>
          <w:bCs/>
          <w:szCs w:val="21"/>
          <w:highlight w:val="none"/>
        </w:rPr>
        <w:t xml:space="preserve">  </w:t>
      </w:r>
    </w:p>
    <w:p w14:paraId="60BF7278">
      <w:pPr>
        <w:pStyle w:val="14"/>
        <w:ind w:firstLine="422"/>
        <w:rPr>
          <w:rFonts w:hint="eastAsia" w:hAnsi="宋体" w:cs="宋体"/>
          <w:b/>
          <w:bCs/>
          <w:szCs w:val="21"/>
          <w:highlight w:val="none"/>
        </w:rPr>
      </w:pPr>
    </w:p>
    <w:p w14:paraId="37BE6E6D">
      <w:pPr>
        <w:pStyle w:val="14"/>
        <w:ind w:firstLine="422"/>
        <w:rPr>
          <w:rFonts w:hint="eastAsia" w:hAnsi="宋体" w:cs="宋体"/>
          <w:b/>
          <w:bCs/>
          <w:szCs w:val="21"/>
          <w:highlight w:val="none"/>
        </w:rPr>
      </w:pPr>
    </w:p>
    <w:p w14:paraId="13173A5A">
      <w:pPr>
        <w:pStyle w:val="14"/>
        <w:ind w:firstLine="422"/>
        <w:rPr>
          <w:rFonts w:hint="eastAsia" w:hAnsi="宋体" w:cs="宋体"/>
          <w:b/>
          <w:bCs/>
          <w:szCs w:val="21"/>
          <w:highlight w:val="none"/>
        </w:rPr>
      </w:pPr>
    </w:p>
    <w:p w14:paraId="407BC48A">
      <w:pPr>
        <w:spacing w:line="360" w:lineRule="auto"/>
        <w:rPr>
          <w:rFonts w:hint="eastAsia" w:ascii="宋体" w:hAnsi="宋体" w:cs="宋体"/>
          <w:szCs w:val="21"/>
          <w:highlight w:val="none"/>
        </w:rPr>
      </w:pPr>
      <w:r>
        <w:rPr>
          <w:rFonts w:hint="eastAsia" w:ascii="宋体" w:hAnsi="宋体" w:cs="宋体"/>
          <w:szCs w:val="21"/>
          <w:highlight w:val="none"/>
        </w:rPr>
        <w:t>发包人</w:t>
      </w:r>
      <w:r>
        <w:rPr>
          <w:rFonts w:hint="eastAsia" w:ascii="宋体" w:hAnsi="宋体" w:cs="宋体"/>
          <w:szCs w:val="21"/>
          <w:highlight w:val="none"/>
          <w:lang w:eastAsia="zh-CN"/>
        </w:rPr>
        <w:t>（</w:t>
      </w:r>
      <w:r>
        <w:rPr>
          <w:rFonts w:hint="eastAsia" w:ascii="宋体" w:hAnsi="宋体" w:cs="宋体"/>
          <w:szCs w:val="21"/>
          <w:highlight w:val="none"/>
        </w:rPr>
        <w:t>公章</w:t>
      </w:r>
      <w:r>
        <w:rPr>
          <w:rFonts w:hint="eastAsia" w:ascii="宋体" w:hAnsi="宋体" w:cs="宋体"/>
          <w:szCs w:val="21"/>
          <w:highlight w:val="none"/>
          <w:lang w:eastAsia="zh-CN"/>
        </w:rPr>
        <w:t>）</w:t>
      </w:r>
      <w:r>
        <w:rPr>
          <w:rFonts w:hint="eastAsia" w:ascii="宋体" w:hAnsi="宋体" w:cs="宋体"/>
          <w:szCs w:val="21"/>
          <w:highlight w:val="none"/>
        </w:rPr>
        <w:t>：</w:t>
      </w:r>
      <w:r>
        <w:rPr>
          <w:rFonts w:hint="eastAsia" w:ascii="宋体" w:hAnsi="宋体" w:cs="宋体"/>
          <w:szCs w:val="21"/>
          <w:highlight w:val="none"/>
          <w:u w:val="single"/>
        </w:rPr>
        <w:t xml:space="preserve">        </w:t>
      </w:r>
      <w:r>
        <w:rPr>
          <w:rFonts w:hint="eastAsia" w:ascii="宋体" w:hAnsi="宋体" w:cs="宋体"/>
          <w:szCs w:val="21"/>
          <w:highlight w:val="none"/>
        </w:rPr>
        <w:t xml:space="preserve">              承包人</w:t>
      </w:r>
      <w:r>
        <w:rPr>
          <w:rFonts w:hint="eastAsia" w:ascii="宋体" w:hAnsi="宋体" w:cs="宋体"/>
          <w:szCs w:val="21"/>
          <w:highlight w:val="none"/>
          <w:lang w:eastAsia="zh-CN"/>
        </w:rPr>
        <w:t>（</w:t>
      </w:r>
      <w:r>
        <w:rPr>
          <w:rFonts w:hint="eastAsia" w:ascii="宋体" w:hAnsi="宋体" w:cs="宋体"/>
          <w:szCs w:val="21"/>
          <w:highlight w:val="none"/>
        </w:rPr>
        <w:t>公章</w:t>
      </w:r>
      <w:r>
        <w:rPr>
          <w:rFonts w:hint="eastAsia" w:ascii="宋体" w:hAnsi="宋体" w:cs="宋体"/>
          <w:szCs w:val="21"/>
          <w:highlight w:val="none"/>
          <w:lang w:eastAsia="zh-CN"/>
        </w:rPr>
        <w:t>）</w:t>
      </w:r>
      <w:r>
        <w:rPr>
          <w:rFonts w:hint="eastAsia" w:ascii="宋体" w:hAnsi="宋体" w:cs="宋体"/>
          <w:szCs w:val="21"/>
          <w:highlight w:val="none"/>
        </w:rPr>
        <w:t>：</w:t>
      </w:r>
      <w:r>
        <w:rPr>
          <w:rFonts w:hint="eastAsia" w:ascii="宋体" w:hAnsi="宋体" w:cs="宋体"/>
          <w:szCs w:val="21"/>
          <w:highlight w:val="none"/>
          <w:u w:val="single"/>
        </w:rPr>
        <w:t xml:space="preserve">               </w:t>
      </w:r>
    </w:p>
    <w:p w14:paraId="2955A189">
      <w:pPr>
        <w:spacing w:line="360" w:lineRule="auto"/>
        <w:rPr>
          <w:rFonts w:hint="eastAsia" w:ascii="宋体" w:hAnsi="宋体" w:cs="宋体"/>
          <w:szCs w:val="21"/>
          <w:highlight w:val="none"/>
        </w:rPr>
      </w:pPr>
      <w:r>
        <w:rPr>
          <w:rFonts w:hint="eastAsia" w:ascii="宋体" w:hAnsi="宋体" w:cs="宋体"/>
          <w:szCs w:val="21"/>
          <w:highlight w:val="none"/>
        </w:rPr>
        <w:t>地  址：</w:t>
      </w:r>
      <w:r>
        <w:rPr>
          <w:rFonts w:hint="eastAsia" w:ascii="宋体" w:hAnsi="宋体" w:cs="宋体"/>
          <w:szCs w:val="21"/>
          <w:highlight w:val="none"/>
          <w:u w:val="single"/>
        </w:rPr>
        <w:t xml:space="preserve">      </w:t>
      </w:r>
      <w:r>
        <w:rPr>
          <w:rFonts w:hint="eastAsia" w:ascii="宋体" w:hAnsi="宋体" w:cs="宋体"/>
          <w:szCs w:val="21"/>
          <w:highlight w:val="none"/>
        </w:rPr>
        <w:t xml:space="preserve">              地  址：</w:t>
      </w:r>
      <w:r>
        <w:rPr>
          <w:rFonts w:hint="eastAsia" w:ascii="宋体" w:hAnsi="宋体" w:cs="宋体"/>
          <w:szCs w:val="21"/>
          <w:highlight w:val="none"/>
          <w:u w:val="single"/>
        </w:rPr>
        <w:t xml:space="preserve">                </w:t>
      </w:r>
    </w:p>
    <w:p w14:paraId="2EF10583">
      <w:pPr>
        <w:spacing w:line="360" w:lineRule="auto"/>
        <w:rPr>
          <w:rFonts w:hint="eastAsia" w:ascii="宋体" w:hAnsi="宋体" w:cs="宋体"/>
          <w:szCs w:val="21"/>
          <w:highlight w:val="none"/>
        </w:rPr>
      </w:pPr>
      <w:r>
        <w:rPr>
          <w:rFonts w:hint="eastAsia" w:ascii="宋体" w:hAnsi="宋体" w:cs="宋体"/>
          <w:szCs w:val="21"/>
          <w:highlight w:val="none"/>
        </w:rPr>
        <w:t>法定代表人</w:t>
      </w:r>
      <w:r>
        <w:rPr>
          <w:rFonts w:hint="eastAsia" w:ascii="宋体" w:hAnsi="宋体" w:cs="宋体"/>
          <w:szCs w:val="21"/>
          <w:highlight w:val="none"/>
          <w:lang w:eastAsia="zh-CN"/>
        </w:rPr>
        <w:t>（</w:t>
      </w:r>
      <w:r>
        <w:rPr>
          <w:rFonts w:hint="eastAsia" w:ascii="宋体" w:hAnsi="宋体" w:cs="宋体"/>
          <w:szCs w:val="21"/>
          <w:highlight w:val="none"/>
        </w:rPr>
        <w:t>签字</w:t>
      </w:r>
      <w:r>
        <w:rPr>
          <w:rFonts w:hint="eastAsia" w:ascii="宋体" w:hAnsi="宋体" w:cs="宋体"/>
          <w:szCs w:val="21"/>
          <w:highlight w:val="none"/>
          <w:lang w:eastAsia="zh-CN"/>
        </w:rPr>
        <w:t>）</w:t>
      </w:r>
      <w:r>
        <w:rPr>
          <w:rFonts w:hint="eastAsia" w:ascii="宋体" w:hAnsi="宋体" w:cs="宋体"/>
          <w:szCs w:val="21"/>
          <w:highlight w:val="none"/>
        </w:rPr>
        <w:t>：</w:t>
      </w:r>
      <w:r>
        <w:rPr>
          <w:rFonts w:hint="eastAsia" w:ascii="宋体" w:hAnsi="宋体" w:cs="宋体"/>
          <w:szCs w:val="21"/>
          <w:highlight w:val="none"/>
          <w:u w:val="single"/>
        </w:rPr>
        <w:t xml:space="preserve">      </w:t>
      </w:r>
      <w:r>
        <w:rPr>
          <w:rFonts w:hint="eastAsia" w:ascii="宋体" w:hAnsi="宋体" w:cs="宋体"/>
          <w:szCs w:val="21"/>
          <w:highlight w:val="none"/>
        </w:rPr>
        <w:t xml:space="preserve">              法定代表人</w:t>
      </w:r>
      <w:r>
        <w:rPr>
          <w:rFonts w:hint="eastAsia" w:ascii="宋体" w:hAnsi="宋体" w:cs="宋体"/>
          <w:szCs w:val="21"/>
          <w:highlight w:val="none"/>
          <w:lang w:eastAsia="zh-CN"/>
        </w:rPr>
        <w:t>（</w:t>
      </w:r>
      <w:r>
        <w:rPr>
          <w:rFonts w:hint="eastAsia" w:ascii="宋体" w:hAnsi="宋体" w:cs="宋体"/>
          <w:szCs w:val="21"/>
          <w:highlight w:val="none"/>
        </w:rPr>
        <w:t>签字</w:t>
      </w:r>
      <w:r>
        <w:rPr>
          <w:rFonts w:hint="eastAsia" w:ascii="宋体" w:hAnsi="宋体" w:cs="宋体"/>
          <w:szCs w:val="21"/>
          <w:highlight w:val="none"/>
          <w:lang w:eastAsia="zh-CN"/>
        </w:rPr>
        <w:t>）</w:t>
      </w:r>
      <w:r>
        <w:rPr>
          <w:rFonts w:hint="eastAsia" w:ascii="宋体" w:hAnsi="宋体" w:cs="宋体"/>
          <w:szCs w:val="21"/>
          <w:highlight w:val="none"/>
        </w:rPr>
        <w:t>：</w:t>
      </w:r>
      <w:r>
        <w:rPr>
          <w:rFonts w:hint="eastAsia" w:ascii="宋体" w:hAnsi="宋体" w:cs="宋体"/>
          <w:szCs w:val="21"/>
          <w:highlight w:val="none"/>
          <w:u w:val="single"/>
        </w:rPr>
        <w:t xml:space="preserve">                  </w:t>
      </w:r>
    </w:p>
    <w:p w14:paraId="30DF4425">
      <w:pPr>
        <w:spacing w:line="360" w:lineRule="auto"/>
        <w:rPr>
          <w:rFonts w:hint="eastAsia" w:ascii="宋体" w:hAnsi="宋体" w:cs="宋体"/>
          <w:szCs w:val="21"/>
          <w:highlight w:val="none"/>
        </w:rPr>
      </w:pPr>
      <w:r>
        <w:rPr>
          <w:rFonts w:hint="eastAsia" w:ascii="宋体" w:hAnsi="宋体" w:cs="宋体"/>
          <w:szCs w:val="21"/>
          <w:highlight w:val="none"/>
        </w:rPr>
        <w:t>委托代理人</w:t>
      </w:r>
      <w:r>
        <w:rPr>
          <w:rFonts w:hint="eastAsia" w:ascii="宋体" w:hAnsi="宋体" w:cs="宋体"/>
          <w:szCs w:val="21"/>
          <w:highlight w:val="none"/>
          <w:lang w:eastAsia="zh-CN"/>
        </w:rPr>
        <w:t>（</w:t>
      </w:r>
      <w:r>
        <w:rPr>
          <w:rFonts w:hint="eastAsia" w:ascii="宋体" w:hAnsi="宋体" w:cs="宋体"/>
          <w:szCs w:val="21"/>
          <w:highlight w:val="none"/>
        </w:rPr>
        <w:t>签字</w:t>
      </w:r>
      <w:r>
        <w:rPr>
          <w:rFonts w:hint="eastAsia" w:ascii="宋体" w:hAnsi="宋体" w:cs="宋体"/>
          <w:szCs w:val="21"/>
          <w:highlight w:val="none"/>
          <w:lang w:eastAsia="zh-CN"/>
        </w:rPr>
        <w:t>）</w:t>
      </w:r>
      <w:r>
        <w:rPr>
          <w:rFonts w:hint="eastAsia" w:ascii="宋体" w:hAnsi="宋体" w:cs="宋体"/>
          <w:szCs w:val="21"/>
          <w:highlight w:val="none"/>
        </w:rPr>
        <w:t>：</w:t>
      </w:r>
      <w:r>
        <w:rPr>
          <w:rFonts w:hint="eastAsia" w:ascii="宋体" w:hAnsi="宋体" w:cs="宋体"/>
          <w:szCs w:val="21"/>
          <w:highlight w:val="none"/>
          <w:u w:val="single"/>
        </w:rPr>
        <w:t xml:space="preserve">      </w:t>
      </w:r>
      <w:r>
        <w:rPr>
          <w:rFonts w:hint="eastAsia" w:ascii="宋体" w:hAnsi="宋体" w:cs="宋体"/>
          <w:szCs w:val="21"/>
          <w:highlight w:val="none"/>
        </w:rPr>
        <w:t xml:space="preserve">              委托代理人</w:t>
      </w:r>
      <w:r>
        <w:rPr>
          <w:rFonts w:hint="eastAsia" w:ascii="宋体" w:hAnsi="宋体" w:cs="宋体"/>
          <w:szCs w:val="21"/>
          <w:highlight w:val="none"/>
          <w:lang w:eastAsia="zh-CN"/>
        </w:rPr>
        <w:t>（</w:t>
      </w:r>
      <w:r>
        <w:rPr>
          <w:rFonts w:hint="eastAsia" w:ascii="宋体" w:hAnsi="宋体" w:cs="宋体"/>
          <w:szCs w:val="21"/>
          <w:highlight w:val="none"/>
        </w:rPr>
        <w:t>签字</w:t>
      </w:r>
      <w:r>
        <w:rPr>
          <w:rFonts w:hint="eastAsia" w:ascii="宋体" w:hAnsi="宋体" w:cs="宋体"/>
          <w:szCs w:val="21"/>
          <w:highlight w:val="none"/>
          <w:lang w:eastAsia="zh-CN"/>
        </w:rPr>
        <w:t>）</w:t>
      </w:r>
      <w:r>
        <w:rPr>
          <w:rFonts w:hint="eastAsia" w:ascii="宋体" w:hAnsi="宋体" w:cs="宋体"/>
          <w:szCs w:val="21"/>
          <w:highlight w:val="none"/>
        </w:rPr>
        <w:t>：</w:t>
      </w:r>
      <w:r>
        <w:rPr>
          <w:rFonts w:hint="eastAsia" w:ascii="宋体" w:hAnsi="宋体" w:cs="宋体"/>
          <w:szCs w:val="21"/>
          <w:highlight w:val="none"/>
          <w:u w:val="single"/>
        </w:rPr>
        <w:t xml:space="preserve">                 </w:t>
      </w:r>
    </w:p>
    <w:p w14:paraId="3439B74B">
      <w:pPr>
        <w:spacing w:line="360" w:lineRule="auto"/>
        <w:rPr>
          <w:rFonts w:hint="eastAsia" w:ascii="宋体" w:hAnsi="宋体" w:cs="宋体"/>
          <w:szCs w:val="21"/>
          <w:highlight w:val="none"/>
        </w:rPr>
      </w:pPr>
      <w:r>
        <w:rPr>
          <w:rFonts w:hint="eastAsia" w:ascii="宋体" w:hAnsi="宋体" w:cs="宋体"/>
          <w:szCs w:val="21"/>
          <w:highlight w:val="none"/>
        </w:rPr>
        <w:t>电  话：</w:t>
      </w:r>
      <w:r>
        <w:rPr>
          <w:rFonts w:hint="eastAsia" w:ascii="宋体" w:hAnsi="宋体" w:cs="宋体"/>
          <w:szCs w:val="21"/>
          <w:highlight w:val="none"/>
          <w:u w:val="single"/>
        </w:rPr>
        <w:t xml:space="preserve">    </w:t>
      </w:r>
      <w:r>
        <w:rPr>
          <w:rFonts w:hint="eastAsia" w:ascii="宋体" w:hAnsi="宋体" w:cs="宋体"/>
          <w:szCs w:val="21"/>
          <w:highlight w:val="none"/>
        </w:rPr>
        <w:t xml:space="preserve">              电  话：</w:t>
      </w:r>
      <w:r>
        <w:rPr>
          <w:rFonts w:hint="eastAsia" w:ascii="宋体" w:hAnsi="宋体" w:cs="宋体"/>
          <w:szCs w:val="21"/>
          <w:highlight w:val="none"/>
          <w:u w:val="single"/>
        </w:rPr>
        <w:t xml:space="preserve">             </w:t>
      </w:r>
    </w:p>
    <w:p w14:paraId="34C91E96">
      <w:pPr>
        <w:spacing w:line="360" w:lineRule="auto"/>
        <w:rPr>
          <w:rFonts w:hint="eastAsia" w:ascii="宋体" w:hAnsi="宋体" w:cs="宋体"/>
          <w:szCs w:val="21"/>
          <w:highlight w:val="none"/>
        </w:rPr>
      </w:pPr>
      <w:r>
        <w:rPr>
          <w:rFonts w:hint="eastAsia" w:ascii="宋体" w:hAnsi="宋体" w:cs="宋体"/>
          <w:szCs w:val="21"/>
          <w:highlight w:val="none"/>
        </w:rPr>
        <w:t>传  真：</w:t>
      </w:r>
      <w:r>
        <w:rPr>
          <w:rFonts w:hint="eastAsia" w:ascii="宋体" w:hAnsi="宋体" w:cs="宋体"/>
          <w:szCs w:val="21"/>
          <w:highlight w:val="none"/>
          <w:u w:val="single"/>
        </w:rPr>
        <w:t xml:space="preserve">    </w:t>
      </w:r>
      <w:r>
        <w:rPr>
          <w:rFonts w:hint="eastAsia" w:ascii="宋体" w:hAnsi="宋体" w:cs="宋体"/>
          <w:szCs w:val="21"/>
          <w:highlight w:val="none"/>
        </w:rPr>
        <w:t xml:space="preserve">              传  真：</w:t>
      </w:r>
      <w:r>
        <w:rPr>
          <w:rFonts w:hint="eastAsia" w:ascii="宋体" w:hAnsi="宋体" w:cs="宋体"/>
          <w:szCs w:val="21"/>
          <w:highlight w:val="none"/>
          <w:u w:val="single"/>
        </w:rPr>
        <w:t xml:space="preserve">           </w:t>
      </w:r>
    </w:p>
    <w:p w14:paraId="683D3514">
      <w:pPr>
        <w:spacing w:line="360" w:lineRule="auto"/>
        <w:rPr>
          <w:rFonts w:hint="eastAsia" w:ascii="宋体" w:hAnsi="宋体" w:cs="宋体"/>
          <w:szCs w:val="21"/>
          <w:highlight w:val="none"/>
        </w:rPr>
      </w:pPr>
      <w:r>
        <w:rPr>
          <w:rFonts w:hint="eastAsia" w:ascii="宋体" w:hAnsi="宋体" w:cs="宋体"/>
          <w:szCs w:val="21"/>
          <w:highlight w:val="none"/>
        </w:rPr>
        <w:t>开户银行：</w:t>
      </w:r>
      <w:r>
        <w:rPr>
          <w:rFonts w:hint="eastAsia" w:ascii="宋体" w:hAnsi="宋体" w:cs="宋体"/>
          <w:szCs w:val="21"/>
          <w:highlight w:val="none"/>
          <w:u w:val="single"/>
        </w:rPr>
        <w:t xml:space="preserve">    </w:t>
      </w:r>
      <w:r>
        <w:rPr>
          <w:rFonts w:hint="eastAsia" w:ascii="宋体" w:hAnsi="宋体" w:cs="宋体"/>
          <w:szCs w:val="21"/>
          <w:highlight w:val="none"/>
        </w:rPr>
        <w:t xml:space="preserve">              开户银行：</w:t>
      </w:r>
      <w:r>
        <w:rPr>
          <w:rFonts w:hint="eastAsia" w:ascii="宋体" w:hAnsi="宋体" w:cs="宋体"/>
          <w:szCs w:val="21"/>
          <w:highlight w:val="none"/>
          <w:u w:val="single"/>
        </w:rPr>
        <w:t xml:space="preserve">         </w:t>
      </w:r>
    </w:p>
    <w:p w14:paraId="4206D10B">
      <w:pPr>
        <w:spacing w:line="360" w:lineRule="auto"/>
        <w:rPr>
          <w:rFonts w:hint="eastAsia" w:ascii="宋体" w:hAnsi="宋体" w:cs="宋体"/>
          <w:szCs w:val="21"/>
          <w:highlight w:val="none"/>
        </w:rPr>
      </w:pPr>
      <w:r>
        <w:rPr>
          <w:rFonts w:hint="eastAsia" w:ascii="宋体" w:hAnsi="宋体" w:cs="宋体"/>
          <w:szCs w:val="21"/>
          <w:highlight w:val="none"/>
        </w:rPr>
        <w:t>账  号：</w:t>
      </w:r>
      <w:r>
        <w:rPr>
          <w:rFonts w:hint="eastAsia" w:ascii="宋体" w:hAnsi="宋体" w:cs="宋体"/>
          <w:szCs w:val="21"/>
          <w:highlight w:val="none"/>
          <w:u w:val="single"/>
        </w:rPr>
        <w:t xml:space="preserve">        </w:t>
      </w:r>
      <w:r>
        <w:rPr>
          <w:rFonts w:hint="eastAsia" w:ascii="宋体" w:hAnsi="宋体" w:cs="宋体"/>
          <w:szCs w:val="21"/>
          <w:highlight w:val="none"/>
        </w:rPr>
        <w:t xml:space="preserve">              账  号：</w:t>
      </w:r>
      <w:r>
        <w:rPr>
          <w:rFonts w:hint="eastAsia" w:ascii="宋体" w:hAnsi="宋体" w:cs="宋体"/>
          <w:szCs w:val="21"/>
          <w:highlight w:val="none"/>
          <w:u w:val="single"/>
        </w:rPr>
        <w:t xml:space="preserve">             </w:t>
      </w:r>
    </w:p>
    <w:p w14:paraId="35D9D8B3">
      <w:pPr>
        <w:spacing w:line="360" w:lineRule="auto"/>
        <w:rPr>
          <w:rFonts w:hint="eastAsia" w:ascii="宋体" w:hAnsi="宋体" w:cs="宋体"/>
          <w:szCs w:val="21"/>
          <w:highlight w:val="none"/>
          <w:u w:val="single"/>
        </w:rPr>
      </w:pPr>
      <w:r>
        <w:rPr>
          <w:rFonts w:hint="eastAsia" w:ascii="宋体" w:hAnsi="宋体" w:cs="宋体"/>
          <w:szCs w:val="21"/>
          <w:highlight w:val="none"/>
        </w:rPr>
        <w:t>邮政编码：</w:t>
      </w:r>
      <w:r>
        <w:rPr>
          <w:rFonts w:hint="eastAsia" w:ascii="宋体" w:hAnsi="宋体" w:cs="宋体"/>
          <w:szCs w:val="21"/>
          <w:highlight w:val="none"/>
          <w:u w:val="single"/>
        </w:rPr>
        <w:t xml:space="preserve">      </w:t>
      </w:r>
      <w:r>
        <w:rPr>
          <w:rFonts w:hint="eastAsia" w:ascii="宋体" w:hAnsi="宋体" w:cs="宋体"/>
          <w:szCs w:val="21"/>
          <w:highlight w:val="none"/>
        </w:rPr>
        <w:t xml:space="preserve">              邮政编码：</w:t>
      </w:r>
      <w:r>
        <w:rPr>
          <w:rFonts w:hint="eastAsia" w:ascii="宋体" w:hAnsi="宋体" w:cs="宋体"/>
          <w:szCs w:val="21"/>
          <w:highlight w:val="none"/>
          <w:u w:val="single"/>
        </w:rPr>
        <w:t xml:space="preserve">         </w:t>
      </w:r>
    </w:p>
    <w:p w14:paraId="3C86D10E">
      <w:pPr>
        <w:rPr>
          <w:rFonts w:hint="eastAsia" w:ascii="宋体" w:hAnsi="宋体" w:cs="宋体"/>
          <w:szCs w:val="21"/>
          <w:highlight w:val="none"/>
          <w:u w:val="single"/>
        </w:rPr>
      </w:pPr>
      <w:r>
        <w:rPr>
          <w:rFonts w:hint="eastAsia" w:ascii="宋体" w:hAnsi="宋体" w:cs="宋体"/>
          <w:szCs w:val="21"/>
          <w:highlight w:val="none"/>
          <w:u w:val="single"/>
        </w:rPr>
        <w:br w:type="page"/>
      </w:r>
    </w:p>
    <w:p w14:paraId="1D2964F0">
      <w:pPr>
        <w:keepNext/>
        <w:keepLines/>
        <w:spacing w:before="120" w:after="120" w:line="360" w:lineRule="auto"/>
        <w:jc w:val="left"/>
        <w:outlineLvl w:val="2"/>
        <w:rPr>
          <w:rFonts w:hint="eastAsia" w:ascii="宋体" w:hAnsi="宋体" w:eastAsia="宋体" w:cs="宋体"/>
          <w:bCs/>
          <w:color w:val="000000"/>
          <w:sz w:val="24"/>
          <w:highlight w:val="none"/>
          <w:lang w:val="en-US" w:eastAsia="zh-CN"/>
        </w:rPr>
      </w:pPr>
      <w:r>
        <w:rPr>
          <w:rFonts w:hint="eastAsia" w:ascii="宋体" w:hAnsi="宋体" w:eastAsia="宋体" w:cs="宋体"/>
          <w:bCs/>
          <w:color w:val="000000"/>
          <w:sz w:val="24"/>
          <w:highlight w:val="none"/>
          <w:lang w:val="en-US" w:eastAsia="zh-CN"/>
        </w:rPr>
        <w:t>附件2</w:t>
      </w:r>
    </w:p>
    <w:p w14:paraId="72E1178C">
      <w:pPr>
        <w:widowControl/>
        <w:spacing w:line="360" w:lineRule="auto"/>
        <w:jc w:val="center"/>
        <w:rPr>
          <w:rFonts w:hint="eastAsia" w:ascii="宋体" w:hAnsi="宋体" w:cs="宋体"/>
          <w:b/>
          <w:bCs/>
          <w:color w:val="000000"/>
          <w:kern w:val="0"/>
          <w:sz w:val="32"/>
          <w:szCs w:val="32"/>
          <w:highlight w:val="none"/>
        </w:rPr>
      </w:pPr>
      <w:bookmarkStart w:id="873" w:name="_Toc7607"/>
      <w:bookmarkStart w:id="874" w:name="_Toc95223496"/>
      <w:bookmarkStart w:id="875" w:name="_Toc9808"/>
      <w:r>
        <w:rPr>
          <w:rFonts w:hint="eastAsia" w:ascii="宋体" w:hAnsi="宋体" w:cs="宋体"/>
          <w:b/>
          <w:bCs/>
          <w:color w:val="000000"/>
          <w:kern w:val="0"/>
          <w:sz w:val="32"/>
          <w:szCs w:val="32"/>
          <w:highlight w:val="none"/>
        </w:rPr>
        <w:t>廉 政 协 议</w:t>
      </w:r>
      <w:bookmarkEnd w:id="873"/>
      <w:bookmarkEnd w:id="874"/>
      <w:bookmarkEnd w:id="875"/>
    </w:p>
    <w:p w14:paraId="1CF43027">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为促进双方诚信经营、廉洁从业，防范商业贿赂，保护国家、集体和当事人的合法权益，根据国家有关法律法规和安徽省、项目所在地廉政建设的规定，</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(以下称甲方)与</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(以下称乙方)，特此订立本协议共同遵照执行。</w:t>
      </w:r>
    </w:p>
    <w:p w14:paraId="3DF9C1E4">
      <w:pPr>
        <w:widowControl/>
        <w:spacing w:line="360" w:lineRule="auto"/>
        <w:ind w:firstLine="420" w:firstLineChars="200"/>
        <w:jc w:val="left"/>
        <w:rPr>
          <w:rFonts w:hint="eastAsia" w:ascii="宋体" w:hAnsi="宋体" w:cs="宋体"/>
          <w:color w:val="000000"/>
          <w:kern w:val="0"/>
          <w:szCs w:val="21"/>
          <w:highlight w:val="none"/>
        </w:rPr>
      </w:pPr>
      <w:bookmarkStart w:id="876" w:name="_Toc9888"/>
      <w:bookmarkStart w:id="877" w:name="_Toc21306"/>
      <w:bookmarkStart w:id="878" w:name="_Toc95223497"/>
      <w:r>
        <w:rPr>
          <w:rFonts w:hint="eastAsia" w:ascii="宋体" w:hAnsi="宋体" w:cs="宋体"/>
          <w:color w:val="000000"/>
          <w:kern w:val="0"/>
          <w:szCs w:val="21"/>
          <w:highlight w:val="none"/>
        </w:rPr>
        <w:t>第一条 甲乙双方的权利和义务</w:t>
      </w:r>
      <w:bookmarkEnd w:id="876"/>
      <w:bookmarkEnd w:id="877"/>
      <w:bookmarkEnd w:id="878"/>
    </w:p>
    <w:p w14:paraId="04E5C154">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2A0D6B7C">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（二）严格执行</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的合同要求，自觉履行合同约定的相关义务。</w:t>
      </w:r>
    </w:p>
    <w:p w14:paraId="7D167949">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（三）在业务活动中坚持公开、公正、诚信、透明的原则，不得损害国家、集体利益。</w:t>
      </w:r>
    </w:p>
    <w:p w14:paraId="54153F49">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（四）建立健全廉政制度，开展廉政教育，公布举报电话，监督并认真查处违法违纪行为。</w:t>
      </w:r>
    </w:p>
    <w:p w14:paraId="36C5AE50">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（五）发现对方在业务活动中有违反廉政规定的行为，应及时提醒对方纠正。情节严重的，应向其上级有关部门举报、建议给予处理，并有权要求告知处理结果。</w:t>
      </w:r>
    </w:p>
    <w:p w14:paraId="232BC116">
      <w:pPr>
        <w:widowControl/>
        <w:spacing w:line="360" w:lineRule="auto"/>
        <w:ind w:firstLine="420" w:firstLineChars="200"/>
        <w:jc w:val="left"/>
        <w:rPr>
          <w:rFonts w:hint="eastAsia" w:ascii="宋体" w:hAnsi="宋体" w:cs="宋体"/>
          <w:color w:val="000000"/>
          <w:kern w:val="0"/>
          <w:szCs w:val="21"/>
          <w:highlight w:val="none"/>
        </w:rPr>
      </w:pPr>
      <w:bookmarkStart w:id="879" w:name="_Toc3866"/>
      <w:bookmarkStart w:id="880" w:name="_Toc95223498"/>
      <w:bookmarkStart w:id="881" w:name="_Toc1917"/>
      <w:r>
        <w:rPr>
          <w:rFonts w:hint="eastAsia" w:ascii="宋体" w:hAnsi="宋体" w:cs="宋体"/>
          <w:color w:val="000000"/>
          <w:kern w:val="0"/>
          <w:szCs w:val="21"/>
          <w:highlight w:val="none"/>
        </w:rPr>
        <w:t>第二条 甲方的义务</w:t>
      </w:r>
      <w:bookmarkEnd w:id="879"/>
      <w:bookmarkEnd w:id="880"/>
      <w:bookmarkEnd w:id="881"/>
    </w:p>
    <w:p w14:paraId="6BFE6226">
      <w:pPr>
        <w:widowControl/>
        <w:spacing w:line="360" w:lineRule="auto"/>
        <w:ind w:firstLine="525" w:firstLineChars="25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(一)甲方及其工作人员不得索要或接受乙方的礼金、有价证券和贵重物品，不得在乙方报销任何应由甲方单位或个人支付的费用等。</w:t>
      </w:r>
    </w:p>
    <w:p w14:paraId="7EF959FD">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7058F77E">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（三） 甲方及其工作人员不得要求或者接受乙方为其住房装修、婚丧嫁娶活动、配偶子女工作安排以及出国出境、旅游等提供方便等。</w:t>
      </w:r>
    </w:p>
    <w:p w14:paraId="58D1C752">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（四） 甲方工作人员不得在乙方有股权关联的企业兼职，不得向乙方介绍家属或者亲友从事与甲方业务有关的经济活动。</w:t>
      </w:r>
    </w:p>
    <w:p w14:paraId="3A78AD46">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（五）甲方工作人员不得以明显低于市场的价格向乙方购买房屋、汽车等物品；不得以明显高于市场的价格向乙方出售房屋、汽车等物品；不得以其他交易形式非法收受请托人财物。</w:t>
      </w:r>
    </w:p>
    <w:p w14:paraId="701E27F3">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（六）甲方工作人员不得利用职务之便收受乙方以回扣、手续费、加班费、咨询费、劳务费、协调费、辛苦费等各种名义给予或赠送的钱物。</w:t>
      </w:r>
    </w:p>
    <w:p w14:paraId="1D7B88E8">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（七）甲方工作人员不得接受乙方给予或赠送的干股或红利。</w:t>
      </w:r>
    </w:p>
    <w:p w14:paraId="70CDADAE">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（八）甲方任何人不得以个人的名义向乙方推荐设备、部件等供货商以及其他合作单位。</w:t>
      </w:r>
    </w:p>
    <w:p w14:paraId="6A877D54">
      <w:pPr>
        <w:widowControl/>
        <w:spacing w:line="360" w:lineRule="auto"/>
        <w:ind w:firstLine="420" w:firstLineChars="200"/>
        <w:jc w:val="left"/>
        <w:rPr>
          <w:rFonts w:hint="eastAsia" w:ascii="宋体" w:hAnsi="宋体" w:cs="宋体"/>
          <w:color w:val="000000"/>
          <w:kern w:val="0"/>
          <w:szCs w:val="21"/>
          <w:highlight w:val="none"/>
        </w:rPr>
      </w:pPr>
      <w:bookmarkStart w:id="882" w:name="_Toc95223499"/>
      <w:bookmarkStart w:id="883" w:name="_Toc20831"/>
      <w:bookmarkStart w:id="884" w:name="_Toc10556"/>
      <w:r>
        <w:rPr>
          <w:rFonts w:hint="eastAsia" w:ascii="宋体" w:hAnsi="宋体" w:cs="宋体"/>
          <w:color w:val="000000"/>
          <w:kern w:val="0"/>
          <w:szCs w:val="21"/>
          <w:highlight w:val="none"/>
        </w:rPr>
        <w:t>第三条 乙方的义务</w:t>
      </w:r>
      <w:bookmarkEnd w:id="882"/>
      <w:bookmarkEnd w:id="883"/>
      <w:bookmarkEnd w:id="884"/>
    </w:p>
    <w:p w14:paraId="50A8B1C6">
      <w:pPr>
        <w:widowControl/>
        <w:spacing w:line="360" w:lineRule="auto"/>
        <w:ind w:firstLine="525" w:firstLineChars="25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(一)乙方不得以任何理由向甲方及其工作人员行贿或馈赠礼金、有价证券、贵重礼品。</w:t>
      </w:r>
    </w:p>
    <w:p w14:paraId="7DE1CAFA">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（二)乙方不得以任何名义为甲方及其工作人员报销应由甲方单位或个人支付的任何费用。</w:t>
      </w:r>
    </w:p>
    <w:p w14:paraId="09AA2B5A">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(三)乙方不得以任何理由安排甲方工作人员参加可能影响相关业务公开、公正、公平性的宴请及娱乐活动。</w:t>
      </w:r>
    </w:p>
    <w:p w14:paraId="420EE2A1">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（四）乙方不得为甲方单位和个人购置或提供通讯工具和高档办公用品等物品，也不得为甲方提供与工作无关的房屋、汽车等。</w:t>
      </w:r>
    </w:p>
    <w:p w14:paraId="63022559">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（五）乙方不得与甲方工作人员就合同中的质量、数量、价格、工程量、验收等条款进行私下商谈或者达成默契。</w:t>
      </w:r>
    </w:p>
    <w:p w14:paraId="3234258B">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（六）乙方不得以回扣、手续费、加班费、咨询费、劳务费、协调费、辛苦费等各种名义向甲方工作人员给予或赠送钱物。</w:t>
      </w:r>
    </w:p>
    <w:p w14:paraId="4D977A9D">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（七）乙方不得向甲方工作人员提供干股或红利。</w:t>
      </w:r>
    </w:p>
    <w:p w14:paraId="119AFC54">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（八）乙方须按</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专项纪检监察工作组(如有)要求开展相关工作。</w:t>
      </w:r>
    </w:p>
    <w:p w14:paraId="6F37DBAD">
      <w:pPr>
        <w:widowControl/>
        <w:spacing w:line="360" w:lineRule="auto"/>
        <w:ind w:firstLine="420" w:firstLineChars="200"/>
        <w:jc w:val="left"/>
        <w:rPr>
          <w:rFonts w:hint="eastAsia" w:ascii="宋体" w:hAnsi="宋体" w:cs="宋体"/>
          <w:color w:val="000000"/>
          <w:kern w:val="0"/>
          <w:szCs w:val="21"/>
          <w:highlight w:val="none"/>
        </w:rPr>
      </w:pPr>
      <w:bookmarkStart w:id="885" w:name="_Toc14507"/>
      <w:bookmarkStart w:id="886" w:name="_Toc95223500"/>
      <w:bookmarkStart w:id="887" w:name="_Toc2198"/>
      <w:r>
        <w:rPr>
          <w:rFonts w:hint="eastAsia" w:ascii="宋体" w:hAnsi="宋体" w:cs="宋体"/>
          <w:color w:val="000000"/>
          <w:kern w:val="0"/>
          <w:szCs w:val="21"/>
          <w:highlight w:val="none"/>
        </w:rPr>
        <w:t>第四条 违约责任</w:t>
      </w:r>
      <w:bookmarkEnd w:id="885"/>
      <w:bookmarkEnd w:id="886"/>
      <w:bookmarkEnd w:id="887"/>
    </w:p>
    <w:p w14:paraId="6B924D8B">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454D91D8">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甲方投诉联系部门：</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，联系电话：</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w:t>
      </w:r>
    </w:p>
    <w:p w14:paraId="200FD89D">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（二）乙方及其工作人员违反本协议第一、三条规定。根据具体情节和造成的后果，甲方有权对乙方采取以下一种或多种处理办法：</w:t>
      </w:r>
    </w:p>
    <w:p w14:paraId="751887E0">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1. 全额收取乙方合同履约保证金不予退还； </w:t>
      </w:r>
    </w:p>
    <w:p w14:paraId="4BA8D6B0">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2. 追究乙方其他违约责任；</w:t>
      </w:r>
    </w:p>
    <w:p w14:paraId="30A5CCBB">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3. 终止或解除双方已签订的包括本合同在内的所有合同；</w:t>
      </w:r>
    </w:p>
    <w:p w14:paraId="5440622F">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4. 乙方一定期限内（6个月至3年，具体由甲方根据情况而定）不得参与甲方作为发包人（业主）的工程项目投标。</w:t>
      </w:r>
    </w:p>
    <w:p w14:paraId="04D26370">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甲方作出的处理意见，乙方应无条件接受并承担给甲方造成的损失，全额返还通过不正当手段从甲方获取的非法所得，并承担相应的法律责任。</w:t>
      </w:r>
    </w:p>
    <w:p w14:paraId="79AC8492">
      <w:pPr>
        <w:widowControl/>
        <w:spacing w:line="360" w:lineRule="auto"/>
        <w:ind w:firstLine="420" w:firstLineChars="200"/>
        <w:jc w:val="left"/>
        <w:rPr>
          <w:rFonts w:hint="eastAsia" w:ascii="宋体" w:hAnsi="宋体" w:cs="宋体"/>
          <w:color w:val="000000"/>
          <w:kern w:val="0"/>
          <w:szCs w:val="21"/>
          <w:highlight w:val="none"/>
        </w:rPr>
      </w:pPr>
      <w:bookmarkStart w:id="888" w:name="_Toc95223501"/>
      <w:bookmarkStart w:id="889" w:name="_Toc10228"/>
      <w:bookmarkStart w:id="890" w:name="_Toc2334"/>
      <w:r>
        <w:rPr>
          <w:rFonts w:hint="eastAsia" w:ascii="宋体" w:hAnsi="宋体" w:cs="宋体"/>
          <w:color w:val="000000"/>
          <w:kern w:val="0"/>
          <w:szCs w:val="21"/>
          <w:highlight w:val="none"/>
        </w:rPr>
        <w:t>第五条 双方约定</w:t>
      </w:r>
      <w:bookmarkEnd w:id="888"/>
      <w:bookmarkEnd w:id="889"/>
      <w:bookmarkEnd w:id="890"/>
    </w:p>
    <w:p w14:paraId="3FE168F8">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本协议由双方或双方上级单位负责监督。可由甲方或甲方上级单位的纪检监察部门约请乙方或乙方上级单位的纪检监察部门对本协议履行情况进行检查，提出在本协议规定范围内的裁定意见。</w:t>
      </w:r>
    </w:p>
    <w:p w14:paraId="4CF60E17">
      <w:pPr>
        <w:widowControl/>
        <w:spacing w:line="360" w:lineRule="auto"/>
        <w:ind w:firstLine="420" w:firstLineChars="200"/>
        <w:jc w:val="left"/>
        <w:rPr>
          <w:rFonts w:hint="eastAsia" w:ascii="宋体" w:hAnsi="宋体" w:cs="宋体"/>
          <w:color w:val="000000"/>
          <w:kern w:val="0"/>
          <w:szCs w:val="21"/>
          <w:highlight w:val="none"/>
        </w:rPr>
      </w:pPr>
      <w:bookmarkStart w:id="891" w:name="_Toc17717"/>
      <w:bookmarkStart w:id="892" w:name="_Toc95223502"/>
      <w:bookmarkStart w:id="893" w:name="_Toc32140"/>
      <w:r>
        <w:rPr>
          <w:rFonts w:hint="eastAsia" w:ascii="宋体" w:hAnsi="宋体" w:cs="宋体"/>
          <w:color w:val="000000"/>
          <w:kern w:val="0"/>
          <w:szCs w:val="21"/>
          <w:highlight w:val="none"/>
        </w:rPr>
        <w:t>第六条  本协议有效期为甲乙双方签署之日起至合同终止。</w:t>
      </w:r>
      <w:bookmarkEnd w:id="891"/>
      <w:bookmarkEnd w:id="892"/>
      <w:bookmarkEnd w:id="893"/>
      <w:r>
        <w:rPr>
          <w:rFonts w:hint="eastAsia" w:ascii="宋体" w:hAnsi="宋体" w:cs="宋体"/>
          <w:color w:val="000000"/>
          <w:kern w:val="0"/>
          <w:szCs w:val="21"/>
          <w:highlight w:val="none"/>
        </w:rPr>
        <w:t xml:space="preserve">  </w:t>
      </w:r>
    </w:p>
    <w:p w14:paraId="2650DAD5">
      <w:pPr>
        <w:widowControl/>
        <w:spacing w:line="360" w:lineRule="auto"/>
        <w:ind w:firstLine="420" w:firstLineChars="200"/>
        <w:jc w:val="left"/>
        <w:rPr>
          <w:rFonts w:hint="eastAsia" w:ascii="宋体" w:hAnsi="宋体" w:cs="宋体"/>
          <w:color w:val="000000"/>
          <w:kern w:val="0"/>
          <w:szCs w:val="21"/>
          <w:highlight w:val="none"/>
        </w:rPr>
      </w:pPr>
      <w:bookmarkStart w:id="894" w:name="_Toc24032"/>
      <w:bookmarkStart w:id="895" w:name="_Toc1871"/>
      <w:bookmarkStart w:id="896" w:name="_Toc95223503"/>
      <w:r>
        <w:rPr>
          <w:rFonts w:hint="eastAsia" w:ascii="宋体" w:hAnsi="宋体" w:cs="宋体"/>
          <w:color w:val="000000"/>
          <w:kern w:val="0"/>
          <w:szCs w:val="21"/>
          <w:highlight w:val="none"/>
        </w:rPr>
        <w:t>第七条  本协议作为合同的附件，与本合同具有同等法律效力。</w:t>
      </w:r>
      <w:bookmarkEnd w:id="894"/>
      <w:bookmarkEnd w:id="895"/>
      <w:bookmarkEnd w:id="896"/>
    </w:p>
    <w:p w14:paraId="5816D55E">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 </w:t>
      </w:r>
    </w:p>
    <w:p w14:paraId="27C3067C">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甲方（盖章）：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乙方（盖章）：</w:t>
      </w:r>
      <w:r>
        <w:rPr>
          <w:rFonts w:hint="eastAsia" w:ascii="宋体" w:hAnsi="宋体" w:cs="宋体"/>
          <w:color w:val="000000"/>
          <w:kern w:val="0"/>
          <w:szCs w:val="21"/>
          <w:highlight w:val="none"/>
          <w:u w:val="single"/>
        </w:rPr>
        <w:t xml:space="preserve">                      </w:t>
      </w:r>
    </w:p>
    <w:p w14:paraId="01F0A776">
      <w:pPr>
        <w:widowControl/>
        <w:spacing w:line="360" w:lineRule="auto"/>
        <w:ind w:firstLine="420" w:firstLineChars="200"/>
        <w:jc w:val="left"/>
        <w:rPr>
          <w:rFonts w:hint="eastAsia" w:ascii="宋体" w:hAnsi="宋体" w:cs="宋体"/>
          <w:color w:val="000000"/>
          <w:kern w:val="0"/>
          <w:szCs w:val="21"/>
          <w:highlight w:val="none"/>
        </w:rPr>
      </w:pPr>
    </w:p>
    <w:p w14:paraId="3D7228EC">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法定代表人或                                法定代表人或</w:t>
      </w:r>
    </w:p>
    <w:p w14:paraId="144C5747">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授权代表：</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(职务)              授权代表：</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(职务)</w:t>
      </w:r>
    </w:p>
    <w:p w14:paraId="5C7F65E8">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姓名：</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姓名：</w:t>
      </w:r>
      <w:r>
        <w:rPr>
          <w:rFonts w:hint="eastAsia" w:ascii="宋体" w:hAnsi="宋体" w:cs="宋体"/>
          <w:color w:val="000000"/>
          <w:kern w:val="0"/>
          <w:szCs w:val="21"/>
          <w:highlight w:val="none"/>
          <w:u w:val="single"/>
        </w:rPr>
        <w:t xml:space="preserve">             </w:t>
      </w:r>
    </w:p>
    <w:p w14:paraId="6E8DD63D">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签字：</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签字：</w:t>
      </w:r>
      <w:r>
        <w:rPr>
          <w:rFonts w:hint="eastAsia" w:ascii="宋体" w:hAnsi="宋体" w:cs="宋体"/>
          <w:color w:val="000000"/>
          <w:kern w:val="0"/>
          <w:szCs w:val="21"/>
          <w:highlight w:val="none"/>
          <w:u w:val="single"/>
        </w:rPr>
        <w:t xml:space="preserve">             </w:t>
      </w:r>
    </w:p>
    <w:p w14:paraId="3355D58A">
      <w:pPr>
        <w:widowControl/>
        <w:spacing w:line="360" w:lineRule="auto"/>
        <w:ind w:firstLine="420" w:firstLineChars="200"/>
        <w:jc w:val="left"/>
        <w:rPr>
          <w:rFonts w:hint="eastAsia" w:ascii="宋体" w:hAnsi="宋体" w:cs="宋体"/>
          <w:color w:val="000000"/>
          <w:kern w:val="0"/>
          <w:szCs w:val="21"/>
          <w:highlight w:val="none"/>
        </w:rPr>
      </w:pPr>
    </w:p>
    <w:p w14:paraId="6DF7D46C">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廉政监督联系人                              廉政监督联系人</w:t>
      </w:r>
    </w:p>
    <w:p w14:paraId="32B3B36C">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姓名：</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姓名：</w:t>
      </w:r>
      <w:r>
        <w:rPr>
          <w:rFonts w:hint="eastAsia" w:ascii="宋体" w:hAnsi="宋体" w:cs="宋体"/>
          <w:color w:val="000000"/>
          <w:kern w:val="0"/>
          <w:szCs w:val="21"/>
          <w:highlight w:val="none"/>
          <w:u w:val="single"/>
        </w:rPr>
        <w:t xml:space="preserve">                       </w:t>
      </w:r>
    </w:p>
    <w:p w14:paraId="7DDED254">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签字：</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签字：</w:t>
      </w:r>
      <w:r>
        <w:rPr>
          <w:rFonts w:hint="eastAsia" w:ascii="宋体" w:hAnsi="宋体" w:cs="宋体"/>
          <w:color w:val="000000"/>
          <w:kern w:val="0"/>
          <w:szCs w:val="21"/>
          <w:highlight w:val="none"/>
          <w:u w:val="single"/>
        </w:rPr>
        <w:t xml:space="preserve">                       </w:t>
      </w:r>
    </w:p>
    <w:p w14:paraId="33108BE0">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电话：</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电话：</w:t>
      </w:r>
      <w:r>
        <w:rPr>
          <w:rFonts w:hint="eastAsia" w:ascii="宋体" w:hAnsi="宋体" w:cs="宋体"/>
          <w:color w:val="000000"/>
          <w:kern w:val="0"/>
          <w:szCs w:val="21"/>
          <w:highlight w:val="none"/>
          <w:u w:val="single"/>
        </w:rPr>
        <w:t xml:space="preserve">                       </w:t>
      </w:r>
    </w:p>
    <w:p w14:paraId="713EF8F1">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地址：</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地址：</w:t>
      </w:r>
      <w:r>
        <w:rPr>
          <w:rFonts w:hint="eastAsia" w:ascii="宋体" w:hAnsi="宋体" w:cs="宋体"/>
          <w:color w:val="000000"/>
          <w:kern w:val="0"/>
          <w:szCs w:val="21"/>
          <w:highlight w:val="none"/>
          <w:u w:val="single"/>
        </w:rPr>
        <w:t xml:space="preserve">                       </w:t>
      </w:r>
    </w:p>
    <w:p w14:paraId="2C722779">
      <w:pPr>
        <w:widowControl/>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日期：</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日期：</w:t>
      </w:r>
      <w:r>
        <w:rPr>
          <w:rFonts w:hint="eastAsia" w:ascii="宋体" w:hAnsi="宋体" w:cs="宋体"/>
          <w:color w:val="000000"/>
          <w:kern w:val="0"/>
          <w:szCs w:val="21"/>
          <w:highlight w:val="none"/>
          <w:u w:val="single"/>
        </w:rPr>
        <w:t xml:space="preserve">                       </w:t>
      </w:r>
    </w:p>
    <w:p w14:paraId="79153133">
      <w:pPr>
        <w:pStyle w:val="14"/>
        <w:rPr>
          <w:rFonts w:hint="default"/>
          <w:highlight w:val="none"/>
          <w:lang w:val="en-US" w:eastAsia="zh-CN"/>
        </w:rPr>
      </w:pPr>
    </w:p>
    <w:p w14:paraId="1C990BD6">
      <w:pPr>
        <w:spacing w:line="440" w:lineRule="exact"/>
        <w:ind w:firstLine="420" w:firstLineChars="200"/>
        <w:rPr>
          <w:highlight w:val="none"/>
        </w:rPr>
      </w:pPr>
    </w:p>
    <w:p w14:paraId="77449296">
      <w:pPr>
        <w:rPr>
          <w:rFonts w:hint="eastAsia" w:ascii="宋体" w:hAnsi="宋体" w:eastAsia="宋体" w:cs="宋体"/>
          <w:bCs/>
          <w:color w:val="000000"/>
          <w:sz w:val="24"/>
          <w:highlight w:val="none"/>
          <w:lang w:val="en-US" w:eastAsia="zh-CN"/>
        </w:rPr>
      </w:pPr>
      <w:r>
        <w:rPr>
          <w:rFonts w:hint="eastAsia" w:ascii="宋体" w:hAnsi="宋体" w:eastAsia="宋体" w:cs="宋体"/>
          <w:bCs/>
          <w:color w:val="000000"/>
          <w:sz w:val="24"/>
          <w:highlight w:val="none"/>
          <w:lang w:val="en-US" w:eastAsia="zh-CN"/>
        </w:rPr>
        <w:br w:type="page"/>
      </w:r>
    </w:p>
    <w:p w14:paraId="08A11361">
      <w:pPr>
        <w:keepNext/>
        <w:keepLines/>
        <w:spacing w:before="120" w:after="120" w:line="360" w:lineRule="auto"/>
        <w:jc w:val="left"/>
        <w:outlineLvl w:val="2"/>
        <w:rPr>
          <w:rFonts w:hint="eastAsia" w:ascii="宋体" w:hAnsi="宋体" w:eastAsia="宋体" w:cs="宋体"/>
          <w:bCs/>
          <w:color w:val="000000"/>
          <w:sz w:val="24"/>
          <w:highlight w:val="none"/>
          <w:lang w:val="en-US" w:eastAsia="zh-CN"/>
        </w:rPr>
      </w:pPr>
      <w:r>
        <w:rPr>
          <w:rFonts w:hint="eastAsia" w:ascii="宋体" w:hAnsi="宋体" w:eastAsia="宋体" w:cs="宋体"/>
          <w:bCs/>
          <w:color w:val="000000"/>
          <w:sz w:val="24"/>
          <w:highlight w:val="none"/>
          <w:lang w:val="en-US" w:eastAsia="zh-CN"/>
        </w:rPr>
        <w:t>附件3</w:t>
      </w:r>
    </w:p>
    <w:p w14:paraId="24590F35">
      <w:pPr>
        <w:pStyle w:val="14"/>
        <w:rPr>
          <w:rFonts w:hint="eastAsia"/>
          <w:highlight w:val="none"/>
        </w:rPr>
      </w:pPr>
    </w:p>
    <w:p w14:paraId="2EB88414">
      <w:pPr>
        <w:adjustRightInd w:val="0"/>
        <w:snapToGrid w:val="0"/>
        <w:spacing w:line="360" w:lineRule="auto"/>
        <w:jc w:val="center"/>
        <w:rPr>
          <w:rFonts w:hint="eastAsia" w:ascii="宋体" w:hAnsi="宋体" w:cs="宋体"/>
          <w:b/>
          <w:color w:val="000000"/>
          <w:sz w:val="32"/>
          <w:szCs w:val="32"/>
          <w:highlight w:val="none"/>
        </w:rPr>
      </w:pPr>
      <w:bookmarkStart w:id="897" w:name="_Toc16956"/>
      <w:bookmarkStart w:id="898" w:name="_Toc32439"/>
      <w:bookmarkStart w:id="899" w:name="_Toc95223512"/>
      <w:r>
        <w:rPr>
          <w:rFonts w:hint="eastAsia" w:ascii="宋体" w:hAnsi="宋体" w:cs="宋体"/>
          <w:b/>
          <w:color w:val="000000"/>
          <w:sz w:val="32"/>
          <w:szCs w:val="32"/>
          <w:highlight w:val="none"/>
        </w:rPr>
        <w:t>安全生产合同</w:t>
      </w:r>
      <w:bookmarkEnd w:id="897"/>
      <w:bookmarkEnd w:id="898"/>
      <w:bookmarkEnd w:id="899"/>
    </w:p>
    <w:p w14:paraId="0935EC58">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为在</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（项目名称）</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（标段）施工合同的实施过程中创造安全、高效的施工环境，切实搞好本项目的安全管理工作，本项目发包人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（发包人名称，以下简称“发包人”）与承包人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（承包人名称，以下简称“承包人”）特此签订安全生产合同：</w:t>
      </w:r>
    </w:p>
    <w:p w14:paraId="645B1C57">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1.发包人职责</w:t>
      </w:r>
    </w:p>
    <w:p w14:paraId="0155532B">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（1）严格遵守国家有关安全生产的法律法规，认真执行工程承包合同中的有关安全要求。</w:t>
      </w:r>
    </w:p>
    <w:p w14:paraId="197F9A72">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（2）按照“安全第一、预防为主”和坚持“管生产必须管安全”的原则进行安全生产管理，做到生产与安全工作同时计划、布置、检查、总结和评比。</w:t>
      </w:r>
    </w:p>
    <w:p w14:paraId="3A5647CC">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（3）重要的安全设施必须坚持与主体工程“三同时”的原则，即：同时设计、审批，同时施工，同时验收，投入使用。</w:t>
      </w:r>
    </w:p>
    <w:p w14:paraId="31922DF6">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（4）定期召开安全生产调度会，及时传达中央及地方有关安全生产的精神。</w:t>
      </w:r>
    </w:p>
    <w:p w14:paraId="751DAF3F">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（5）组织对承包人施工现场安全生产检查，监督承包人及时处理发现的各种安全隐患。</w:t>
      </w:r>
    </w:p>
    <w:p w14:paraId="690FFAFC">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2.承包人职责</w:t>
      </w:r>
    </w:p>
    <w:p w14:paraId="55E6EC2D">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4B0632E9">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359AC2F4">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建立健全安全生产责任制。从派往项目实施的项目经理到生产工人（包括临时雇请的民工）的安全生产管理系统必须做到纵向到底，—环不漏；各职能部门、人员的安全生产责任制做到横向到边，人人有责。项目经理是安全生产的第一责任人。现场设置的安全机构，应按《建设工程安全生产管理条例》及有关规定的配备专职安全生产管理人员，专职负责所有员工的安全和治安保卫工作及预防事故的发生。安全机构人员有权按有关规定发布指令，并采取保护性措施防止事故发生。</w:t>
      </w:r>
    </w:p>
    <w:p w14:paraId="37B4EE2C">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（4）承包人在任何时候都应采取各种合理的预防措施，防止其员工发生任何违法、违禁、暴力或妨碍治安的行为。</w:t>
      </w:r>
    </w:p>
    <w:p w14:paraId="7E10E317">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7AA4D4D9">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344F7A7E">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（7）操作人员上岗，必须按规定穿戴防护用品。施工负责人和安全检查员应随时检查劳动防护用品的穿戴情况，不按规定穿戴防护用品的人员不得上岗。</w:t>
      </w:r>
    </w:p>
    <w:p w14:paraId="33E7A185">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（8）所有施工机具设备和高空作业的设备均应定期检查，并有安全员的签字记录，保证其经常处于完好状态；不合格的机具、设备和劳动保护用品严禁使用：</w:t>
      </w:r>
    </w:p>
    <w:p w14:paraId="3AF18C1B">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（9）施工中采用新技术、新工艺、新设备、新材料时，必须制定相应的安全技术措施，施工现场必须具有相关的安全标志牌。</w:t>
      </w:r>
    </w:p>
    <w:p w14:paraId="3433C995">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2708AB12">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（11）安全生产费用按照《建设工程安全生产管理条例》的相关规定使用和管理。</w:t>
      </w:r>
    </w:p>
    <w:p w14:paraId="088D773E">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3.违约责任</w:t>
      </w:r>
    </w:p>
    <w:p w14:paraId="3E794C3C">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如因发包人或承包人违约造成安全事故，将依法追究责任。</w:t>
      </w:r>
    </w:p>
    <w:p w14:paraId="7ED02E46">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4.本合同由双方法定代表人或其授权的代理人签署并加盖单位章后生效，全部工程竣工验收后失效。</w:t>
      </w:r>
    </w:p>
    <w:p w14:paraId="23B5D1FA">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5.本合同正本—式</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份，副本</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份，合同双方各执正本—份，副本</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份，当正本与副本的内容不一致时，以正本为准。</w:t>
      </w:r>
    </w:p>
    <w:p w14:paraId="5A45E569">
      <w:pPr>
        <w:spacing w:line="360" w:lineRule="auto"/>
        <w:rPr>
          <w:rFonts w:hint="eastAsia" w:ascii="宋体" w:hAnsi="宋体" w:cs="宋体"/>
          <w:color w:val="000000"/>
          <w:szCs w:val="21"/>
          <w:highlight w:val="none"/>
        </w:rPr>
      </w:pPr>
      <w:bookmarkStart w:id="900" w:name="_Toc95223513"/>
      <w:r>
        <w:rPr>
          <w:rFonts w:hint="eastAsia" w:ascii="宋体" w:hAnsi="宋体" w:cs="宋体"/>
          <w:color w:val="000000"/>
          <w:szCs w:val="21"/>
          <w:highlight w:val="none"/>
        </w:rPr>
        <w:t>发包人：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（盖单位章）           承包人：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（盖单位章）</w:t>
      </w:r>
    </w:p>
    <w:p w14:paraId="0623CE4C">
      <w:pPr>
        <w:spacing w:line="360" w:lineRule="auto"/>
        <w:rPr>
          <w:rFonts w:hint="eastAsia" w:ascii="宋体" w:hAnsi="宋体" w:cs="宋体"/>
          <w:color w:val="000000"/>
          <w:szCs w:val="21"/>
          <w:highlight w:val="none"/>
        </w:rPr>
      </w:pPr>
    </w:p>
    <w:p w14:paraId="4B7C45CA">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法定代表人或其委托代理人：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（签字）           法定代表人或其委托代理人：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（签字）</w:t>
      </w:r>
    </w:p>
    <w:p w14:paraId="0B425427">
      <w:pPr>
        <w:spacing w:line="360" w:lineRule="auto"/>
        <w:rPr>
          <w:rFonts w:hint="eastAsia" w:ascii="宋体" w:hAnsi="宋体" w:cs="宋体"/>
          <w:color w:val="000000"/>
          <w:szCs w:val="21"/>
          <w:highlight w:val="none"/>
        </w:rPr>
      </w:pPr>
    </w:p>
    <w:p w14:paraId="2857EC93">
      <w:pPr>
        <w:spacing w:line="360" w:lineRule="auto"/>
        <w:ind w:firstLine="840"/>
        <w:rPr>
          <w:rFonts w:ascii="宋体" w:hAnsi="宋体" w:cs="宋体"/>
          <w:bCs/>
          <w:color w:val="000000"/>
          <w:kern w:val="44"/>
          <w:sz w:val="32"/>
          <w:szCs w:val="44"/>
          <w:highlight w:val="none"/>
        </w:rPr>
      </w:pPr>
      <w:r>
        <w:rPr>
          <w:rFonts w:hint="eastAsia" w:ascii="宋体" w:hAnsi="宋体" w:cs="宋体"/>
          <w:color w:val="000000"/>
          <w:szCs w:val="21"/>
          <w:highlight w:val="none"/>
        </w:rPr>
        <w:t xml:space="preserve">   </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日                       </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日</w:t>
      </w:r>
    </w:p>
    <w:p w14:paraId="7DD362C9">
      <w:pPr>
        <w:rPr>
          <w:rFonts w:hint="eastAsia" w:ascii="宋体" w:hAnsi="宋体" w:cs="宋体"/>
          <w:bCs/>
          <w:color w:val="000000"/>
          <w:sz w:val="24"/>
          <w:highlight w:val="none"/>
        </w:rPr>
      </w:pPr>
    </w:p>
    <w:p w14:paraId="2718000F">
      <w:pPr>
        <w:rPr>
          <w:rFonts w:hint="eastAsia" w:ascii="宋体" w:hAnsi="宋体" w:cs="宋体"/>
          <w:bCs/>
          <w:color w:val="000000"/>
          <w:sz w:val="24"/>
          <w:highlight w:val="none"/>
        </w:rPr>
      </w:pPr>
      <w:r>
        <w:rPr>
          <w:rFonts w:hint="eastAsia" w:ascii="宋体" w:hAnsi="宋体" w:cs="宋体"/>
          <w:bCs/>
          <w:color w:val="000000"/>
          <w:sz w:val="24"/>
          <w:highlight w:val="none"/>
        </w:rPr>
        <w:br w:type="page"/>
      </w:r>
    </w:p>
    <w:p w14:paraId="57629D5C">
      <w:pPr>
        <w:keepNext/>
        <w:keepLines/>
        <w:spacing w:before="120" w:after="120" w:line="360" w:lineRule="auto"/>
        <w:jc w:val="left"/>
        <w:outlineLvl w:val="2"/>
        <w:rPr>
          <w:rFonts w:hint="eastAsia" w:ascii="宋体" w:hAnsi="宋体" w:cs="宋体"/>
          <w:bCs/>
          <w:color w:val="000000"/>
          <w:sz w:val="24"/>
          <w:highlight w:val="none"/>
        </w:rPr>
      </w:pPr>
      <w:r>
        <w:rPr>
          <w:rFonts w:hint="eastAsia" w:ascii="宋体" w:hAnsi="宋体" w:cs="宋体"/>
          <w:bCs/>
          <w:color w:val="000000"/>
          <w:sz w:val="24"/>
          <w:highlight w:val="none"/>
        </w:rPr>
        <w:t>附</w:t>
      </w:r>
      <w:bookmarkStart w:id="901" w:name="_Toc296346729"/>
      <w:bookmarkStart w:id="902" w:name="_Toc296503228"/>
      <w:bookmarkStart w:id="903" w:name="_Toc296347227"/>
      <w:bookmarkStart w:id="904" w:name="_Toc296891268"/>
      <w:bookmarkStart w:id="905" w:name="_Toc296944567"/>
      <w:bookmarkStart w:id="906" w:name="_Toc296891056"/>
      <w:bookmarkStart w:id="907" w:name="_Toc267261699"/>
      <w:r>
        <w:rPr>
          <w:rFonts w:hint="eastAsia" w:ascii="宋体" w:hAnsi="宋体" w:cs="宋体"/>
          <w:bCs/>
          <w:color w:val="000000"/>
          <w:sz w:val="24"/>
          <w:highlight w:val="none"/>
        </w:rPr>
        <w:t>件</w:t>
      </w:r>
      <w:bookmarkEnd w:id="901"/>
      <w:bookmarkEnd w:id="902"/>
      <w:bookmarkEnd w:id="903"/>
      <w:bookmarkEnd w:id="904"/>
      <w:bookmarkEnd w:id="905"/>
      <w:bookmarkEnd w:id="906"/>
      <w:bookmarkEnd w:id="907"/>
      <w:r>
        <w:rPr>
          <w:rFonts w:hint="eastAsia" w:ascii="宋体" w:hAnsi="宋体" w:cs="宋体"/>
          <w:bCs/>
          <w:color w:val="000000"/>
          <w:sz w:val="24"/>
          <w:highlight w:val="none"/>
          <w:lang w:val="en-US" w:eastAsia="zh-CN"/>
        </w:rPr>
        <w:t>4</w:t>
      </w:r>
    </w:p>
    <w:p w14:paraId="48C0DE05">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承包人主要施工管理人员表</w:t>
      </w:r>
    </w:p>
    <w:tbl>
      <w:tblPr>
        <w:tblStyle w:val="47"/>
        <w:tblW w:w="5113"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954"/>
        <w:gridCol w:w="1306"/>
        <w:gridCol w:w="1046"/>
        <w:gridCol w:w="1046"/>
        <w:gridCol w:w="2664"/>
        <w:gridCol w:w="2400"/>
      </w:tblGrid>
      <w:tr w14:paraId="45AAFA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top w:val="single" w:color="auto" w:sz="12" w:space="0"/>
              <w:bottom w:val="double" w:color="auto" w:sz="6" w:space="0"/>
            </w:tcBorders>
            <w:noWrap w:val="0"/>
            <w:vAlign w:val="center"/>
          </w:tcPr>
          <w:p w14:paraId="26CC3180">
            <w:pPr>
              <w:keepNext/>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名    称</w:t>
            </w:r>
          </w:p>
        </w:tc>
        <w:tc>
          <w:tcPr>
            <w:tcW w:w="627" w:type="pct"/>
            <w:tcBorders>
              <w:top w:val="single" w:color="auto" w:sz="12" w:space="0"/>
              <w:bottom w:val="double" w:color="auto" w:sz="6" w:space="0"/>
            </w:tcBorders>
            <w:noWrap w:val="0"/>
            <w:vAlign w:val="center"/>
          </w:tcPr>
          <w:p w14:paraId="54564E25">
            <w:pPr>
              <w:keepNext/>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姓名</w:t>
            </w:r>
          </w:p>
        </w:tc>
        <w:tc>
          <w:tcPr>
            <w:tcW w:w="502" w:type="pct"/>
            <w:tcBorders>
              <w:top w:val="single" w:color="auto" w:sz="12" w:space="0"/>
              <w:bottom w:val="double" w:color="auto" w:sz="6" w:space="0"/>
            </w:tcBorders>
            <w:noWrap w:val="0"/>
            <w:vAlign w:val="center"/>
          </w:tcPr>
          <w:p w14:paraId="4D9FDD31">
            <w:pPr>
              <w:keepNext/>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职务</w:t>
            </w:r>
          </w:p>
        </w:tc>
        <w:tc>
          <w:tcPr>
            <w:tcW w:w="502" w:type="pct"/>
            <w:tcBorders>
              <w:top w:val="single" w:color="auto" w:sz="12" w:space="0"/>
              <w:bottom w:val="double" w:color="auto" w:sz="6" w:space="0"/>
            </w:tcBorders>
            <w:noWrap w:val="0"/>
            <w:vAlign w:val="center"/>
          </w:tcPr>
          <w:p w14:paraId="2AE5D33D">
            <w:pPr>
              <w:keepNext/>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职称</w:t>
            </w:r>
          </w:p>
        </w:tc>
        <w:tc>
          <w:tcPr>
            <w:tcW w:w="1279" w:type="pct"/>
            <w:tcBorders>
              <w:top w:val="single" w:color="auto" w:sz="12" w:space="0"/>
              <w:bottom w:val="double" w:color="auto" w:sz="6" w:space="0"/>
            </w:tcBorders>
            <w:noWrap w:val="0"/>
            <w:vAlign w:val="center"/>
          </w:tcPr>
          <w:p w14:paraId="376F7BFD">
            <w:pPr>
              <w:keepNext/>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主要资历、经验及承担过的项目</w:t>
            </w:r>
          </w:p>
        </w:tc>
        <w:tc>
          <w:tcPr>
            <w:tcW w:w="1153" w:type="pct"/>
            <w:tcBorders>
              <w:top w:val="single" w:color="auto" w:sz="12" w:space="0"/>
              <w:bottom w:val="double" w:color="auto" w:sz="6" w:space="0"/>
            </w:tcBorders>
            <w:noWrap w:val="0"/>
            <w:vAlign w:val="top"/>
          </w:tcPr>
          <w:p w14:paraId="033C9F64">
            <w:pPr>
              <w:keepNext/>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身份证号码</w:t>
            </w:r>
          </w:p>
        </w:tc>
      </w:tr>
      <w:tr w14:paraId="7A8917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3847" w:type="pct"/>
            <w:gridSpan w:val="5"/>
            <w:tcBorders>
              <w:top w:val="double" w:color="auto" w:sz="6" w:space="0"/>
            </w:tcBorders>
            <w:noWrap w:val="0"/>
            <w:vAlign w:val="center"/>
          </w:tcPr>
          <w:p w14:paraId="576DC709">
            <w:pPr>
              <w:keepNext/>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一、总部人员</w:t>
            </w:r>
          </w:p>
        </w:tc>
        <w:tc>
          <w:tcPr>
            <w:tcW w:w="1153" w:type="pct"/>
            <w:tcBorders>
              <w:top w:val="double" w:color="auto" w:sz="6" w:space="0"/>
            </w:tcBorders>
            <w:noWrap w:val="0"/>
            <w:vAlign w:val="top"/>
          </w:tcPr>
          <w:p w14:paraId="6497B805">
            <w:pPr>
              <w:keepNext/>
              <w:spacing w:line="360" w:lineRule="auto"/>
              <w:jc w:val="center"/>
              <w:rPr>
                <w:rFonts w:hint="eastAsia" w:ascii="宋体" w:hAnsi="宋体" w:cs="宋体"/>
                <w:color w:val="000000"/>
                <w:szCs w:val="21"/>
                <w:highlight w:val="none"/>
              </w:rPr>
            </w:pPr>
          </w:p>
        </w:tc>
      </w:tr>
      <w:tr w14:paraId="47D2F9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top w:val="nil"/>
              <w:bottom w:val="nil"/>
            </w:tcBorders>
            <w:noWrap w:val="0"/>
            <w:vAlign w:val="center"/>
          </w:tcPr>
          <w:p w14:paraId="2FD14250">
            <w:pP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项目主管</w:t>
            </w:r>
          </w:p>
        </w:tc>
        <w:tc>
          <w:tcPr>
            <w:tcW w:w="627" w:type="pct"/>
            <w:tcBorders>
              <w:top w:val="nil"/>
            </w:tcBorders>
            <w:noWrap w:val="0"/>
            <w:vAlign w:val="center"/>
          </w:tcPr>
          <w:p w14:paraId="3B513D26">
            <w:pPr>
              <w:keepNext/>
              <w:spacing w:line="360" w:lineRule="auto"/>
              <w:jc w:val="center"/>
              <w:rPr>
                <w:rFonts w:hint="eastAsia" w:ascii="宋体" w:hAnsi="宋体" w:cs="宋体"/>
                <w:color w:val="000000"/>
                <w:szCs w:val="21"/>
                <w:highlight w:val="none"/>
              </w:rPr>
            </w:pPr>
          </w:p>
        </w:tc>
        <w:tc>
          <w:tcPr>
            <w:tcW w:w="502" w:type="pct"/>
            <w:tcBorders>
              <w:top w:val="nil"/>
            </w:tcBorders>
            <w:noWrap w:val="0"/>
            <w:vAlign w:val="center"/>
          </w:tcPr>
          <w:p w14:paraId="1C5B7FB1">
            <w:pPr>
              <w:keepNext/>
              <w:spacing w:line="360" w:lineRule="auto"/>
              <w:jc w:val="center"/>
              <w:rPr>
                <w:rFonts w:hint="eastAsia" w:ascii="宋体" w:hAnsi="宋体" w:cs="宋体"/>
                <w:color w:val="000000"/>
                <w:szCs w:val="21"/>
                <w:highlight w:val="none"/>
              </w:rPr>
            </w:pPr>
          </w:p>
        </w:tc>
        <w:tc>
          <w:tcPr>
            <w:tcW w:w="502" w:type="pct"/>
            <w:tcBorders>
              <w:top w:val="nil"/>
            </w:tcBorders>
            <w:noWrap w:val="0"/>
            <w:vAlign w:val="center"/>
          </w:tcPr>
          <w:p w14:paraId="759E8D2F">
            <w:pPr>
              <w:keepNext/>
              <w:spacing w:line="360" w:lineRule="auto"/>
              <w:jc w:val="center"/>
              <w:rPr>
                <w:rFonts w:hint="eastAsia" w:ascii="宋体" w:hAnsi="宋体" w:cs="宋体"/>
                <w:color w:val="000000"/>
                <w:szCs w:val="21"/>
                <w:highlight w:val="none"/>
              </w:rPr>
            </w:pPr>
          </w:p>
        </w:tc>
        <w:tc>
          <w:tcPr>
            <w:tcW w:w="1279" w:type="pct"/>
            <w:tcBorders>
              <w:top w:val="nil"/>
            </w:tcBorders>
            <w:noWrap w:val="0"/>
            <w:vAlign w:val="center"/>
          </w:tcPr>
          <w:p w14:paraId="0FA40590">
            <w:pPr>
              <w:keepNext/>
              <w:spacing w:line="360" w:lineRule="auto"/>
              <w:jc w:val="center"/>
              <w:rPr>
                <w:rFonts w:hint="eastAsia" w:ascii="宋体" w:hAnsi="宋体" w:cs="宋体"/>
                <w:color w:val="000000"/>
                <w:szCs w:val="21"/>
                <w:highlight w:val="none"/>
              </w:rPr>
            </w:pPr>
          </w:p>
        </w:tc>
        <w:tc>
          <w:tcPr>
            <w:tcW w:w="1153" w:type="pct"/>
            <w:tcBorders>
              <w:top w:val="nil"/>
            </w:tcBorders>
            <w:noWrap w:val="0"/>
            <w:vAlign w:val="top"/>
          </w:tcPr>
          <w:p w14:paraId="3E776B47">
            <w:pPr>
              <w:keepNext/>
              <w:spacing w:line="360" w:lineRule="auto"/>
              <w:jc w:val="center"/>
              <w:rPr>
                <w:rFonts w:hint="eastAsia" w:ascii="宋体" w:hAnsi="宋体" w:cs="宋体"/>
                <w:color w:val="000000"/>
                <w:szCs w:val="21"/>
                <w:highlight w:val="none"/>
              </w:rPr>
            </w:pPr>
          </w:p>
        </w:tc>
      </w:tr>
      <w:tr w14:paraId="74CC83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bottom w:val="nil"/>
            </w:tcBorders>
            <w:noWrap w:val="0"/>
            <w:vAlign w:val="center"/>
          </w:tcPr>
          <w:p w14:paraId="55A54D34">
            <w:pPr>
              <w:spacing w:line="360" w:lineRule="auto"/>
              <w:jc w:val="center"/>
              <w:rPr>
                <w:rFonts w:hint="eastAsia" w:ascii="宋体" w:hAnsi="宋体" w:cs="宋体"/>
                <w:color w:val="000000"/>
                <w:szCs w:val="21"/>
                <w:highlight w:val="none"/>
              </w:rPr>
            </w:pPr>
          </w:p>
        </w:tc>
        <w:tc>
          <w:tcPr>
            <w:tcW w:w="627" w:type="pct"/>
            <w:noWrap w:val="0"/>
            <w:vAlign w:val="center"/>
          </w:tcPr>
          <w:p w14:paraId="42CCDBA4">
            <w:pPr>
              <w:keepNext/>
              <w:spacing w:line="360" w:lineRule="auto"/>
              <w:jc w:val="center"/>
              <w:rPr>
                <w:rFonts w:hint="eastAsia" w:ascii="宋体" w:hAnsi="宋体" w:cs="宋体"/>
                <w:color w:val="000000"/>
                <w:szCs w:val="21"/>
                <w:highlight w:val="none"/>
              </w:rPr>
            </w:pPr>
          </w:p>
        </w:tc>
        <w:tc>
          <w:tcPr>
            <w:tcW w:w="502" w:type="pct"/>
            <w:noWrap w:val="0"/>
            <w:vAlign w:val="center"/>
          </w:tcPr>
          <w:p w14:paraId="0654E554">
            <w:pPr>
              <w:keepNext/>
              <w:spacing w:line="360" w:lineRule="auto"/>
              <w:jc w:val="center"/>
              <w:rPr>
                <w:rFonts w:hint="eastAsia" w:ascii="宋体" w:hAnsi="宋体" w:cs="宋体"/>
                <w:color w:val="000000"/>
                <w:szCs w:val="21"/>
                <w:highlight w:val="none"/>
              </w:rPr>
            </w:pPr>
          </w:p>
        </w:tc>
        <w:tc>
          <w:tcPr>
            <w:tcW w:w="502" w:type="pct"/>
            <w:noWrap w:val="0"/>
            <w:vAlign w:val="center"/>
          </w:tcPr>
          <w:p w14:paraId="7E743FB3">
            <w:pPr>
              <w:keepNext/>
              <w:spacing w:line="360" w:lineRule="auto"/>
              <w:jc w:val="center"/>
              <w:rPr>
                <w:rFonts w:hint="eastAsia" w:ascii="宋体" w:hAnsi="宋体" w:cs="宋体"/>
                <w:color w:val="000000"/>
                <w:szCs w:val="21"/>
                <w:highlight w:val="none"/>
              </w:rPr>
            </w:pPr>
          </w:p>
        </w:tc>
        <w:tc>
          <w:tcPr>
            <w:tcW w:w="1279" w:type="pct"/>
            <w:noWrap w:val="0"/>
            <w:vAlign w:val="center"/>
          </w:tcPr>
          <w:p w14:paraId="45D7C569">
            <w:pPr>
              <w:keepNext/>
              <w:spacing w:line="360" w:lineRule="auto"/>
              <w:jc w:val="center"/>
              <w:rPr>
                <w:rFonts w:hint="eastAsia" w:ascii="宋体" w:hAnsi="宋体" w:cs="宋体"/>
                <w:color w:val="000000"/>
                <w:szCs w:val="21"/>
                <w:highlight w:val="none"/>
              </w:rPr>
            </w:pPr>
          </w:p>
        </w:tc>
        <w:tc>
          <w:tcPr>
            <w:tcW w:w="1153" w:type="pct"/>
            <w:noWrap w:val="0"/>
            <w:vAlign w:val="top"/>
          </w:tcPr>
          <w:p w14:paraId="518EE1E0">
            <w:pPr>
              <w:keepNext/>
              <w:spacing w:line="360" w:lineRule="auto"/>
              <w:jc w:val="center"/>
              <w:rPr>
                <w:rFonts w:hint="eastAsia" w:ascii="宋体" w:hAnsi="宋体" w:cs="宋体"/>
                <w:color w:val="000000"/>
                <w:szCs w:val="21"/>
                <w:highlight w:val="none"/>
              </w:rPr>
            </w:pPr>
          </w:p>
        </w:tc>
      </w:tr>
      <w:tr w14:paraId="5F8313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top w:val="nil"/>
              <w:bottom w:val="nil"/>
            </w:tcBorders>
            <w:noWrap w:val="0"/>
            <w:vAlign w:val="center"/>
          </w:tcPr>
          <w:p w14:paraId="53D57634">
            <w:pP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其他人员</w:t>
            </w:r>
          </w:p>
        </w:tc>
        <w:tc>
          <w:tcPr>
            <w:tcW w:w="627" w:type="pct"/>
            <w:noWrap w:val="0"/>
            <w:vAlign w:val="center"/>
          </w:tcPr>
          <w:p w14:paraId="62EDB3CE">
            <w:pPr>
              <w:keepNext/>
              <w:spacing w:line="360" w:lineRule="auto"/>
              <w:jc w:val="center"/>
              <w:rPr>
                <w:rFonts w:hint="eastAsia" w:ascii="宋体" w:hAnsi="宋体" w:cs="宋体"/>
                <w:color w:val="000000"/>
                <w:szCs w:val="21"/>
                <w:highlight w:val="none"/>
              </w:rPr>
            </w:pPr>
          </w:p>
        </w:tc>
        <w:tc>
          <w:tcPr>
            <w:tcW w:w="502" w:type="pct"/>
            <w:noWrap w:val="0"/>
            <w:vAlign w:val="center"/>
          </w:tcPr>
          <w:p w14:paraId="6FD0096F">
            <w:pPr>
              <w:keepNext/>
              <w:spacing w:line="360" w:lineRule="auto"/>
              <w:jc w:val="center"/>
              <w:rPr>
                <w:rFonts w:hint="eastAsia" w:ascii="宋体" w:hAnsi="宋体" w:cs="宋体"/>
                <w:color w:val="000000"/>
                <w:szCs w:val="21"/>
                <w:highlight w:val="none"/>
              </w:rPr>
            </w:pPr>
          </w:p>
        </w:tc>
        <w:tc>
          <w:tcPr>
            <w:tcW w:w="502" w:type="pct"/>
            <w:noWrap w:val="0"/>
            <w:vAlign w:val="center"/>
          </w:tcPr>
          <w:p w14:paraId="57C00A67">
            <w:pPr>
              <w:keepNext/>
              <w:spacing w:line="360" w:lineRule="auto"/>
              <w:jc w:val="center"/>
              <w:rPr>
                <w:rFonts w:hint="eastAsia" w:ascii="宋体" w:hAnsi="宋体" w:cs="宋体"/>
                <w:color w:val="000000"/>
                <w:szCs w:val="21"/>
                <w:highlight w:val="none"/>
              </w:rPr>
            </w:pPr>
          </w:p>
        </w:tc>
        <w:tc>
          <w:tcPr>
            <w:tcW w:w="1279" w:type="pct"/>
            <w:noWrap w:val="0"/>
            <w:vAlign w:val="center"/>
          </w:tcPr>
          <w:p w14:paraId="4B16D69E">
            <w:pPr>
              <w:keepNext/>
              <w:spacing w:line="360" w:lineRule="auto"/>
              <w:jc w:val="center"/>
              <w:rPr>
                <w:rFonts w:hint="eastAsia" w:ascii="宋体" w:hAnsi="宋体" w:cs="宋体"/>
                <w:color w:val="000000"/>
                <w:szCs w:val="21"/>
                <w:highlight w:val="none"/>
              </w:rPr>
            </w:pPr>
          </w:p>
        </w:tc>
        <w:tc>
          <w:tcPr>
            <w:tcW w:w="1153" w:type="pct"/>
            <w:noWrap w:val="0"/>
            <w:vAlign w:val="top"/>
          </w:tcPr>
          <w:p w14:paraId="6F4C9E96">
            <w:pPr>
              <w:keepNext/>
              <w:spacing w:line="360" w:lineRule="auto"/>
              <w:jc w:val="center"/>
              <w:rPr>
                <w:rFonts w:hint="eastAsia" w:ascii="宋体" w:hAnsi="宋体" w:cs="宋体"/>
                <w:color w:val="000000"/>
                <w:szCs w:val="21"/>
                <w:highlight w:val="none"/>
              </w:rPr>
            </w:pPr>
          </w:p>
        </w:tc>
      </w:tr>
      <w:tr w14:paraId="732510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top w:val="nil"/>
              <w:bottom w:val="nil"/>
            </w:tcBorders>
            <w:noWrap w:val="0"/>
            <w:vAlign w:val="center"/>
          </w:tcPr>
          <w:p w14:paraId="50E24529">
            <w:pPr>
              <w:spacing w:line="360" w:lineRule="auto"/>
              <w:jc w:val="center"/>
              <w:rPr>
                <w:rFonts w:hint="eastAsia" w:ascii="宋体" w:hAnsi="宋体" w:cs="宋体"/>
                <w:color w:val="000000"/>
                <w:szCs w:val="21"/>
                <w:highlight w:val="none"/>
              </w:rPr>
            </w:pPr>
          </w:p>
        </w:tc>
        <w:tc>
          <w:tcPr>
            <w:tcW w:w="627" w:type="pct"/>
            <w:noWrap w:val="0"/>
            <w:vAlign w:val="center"/>
          </w:tcPr>
          <w:p w14:paraId="110E3036">
            <w:pPr>
              <w:keepNext/>
              <w:spacing w:line="360" w:lineRule="auto"/>
              <w:jc w:val="center"/>
              <w:rPr>
                <w:rFonts w:hint="eastAsia" w:ascii="宋体" w:hAnsi="宋体" w:cs="宋体"/>
                <w:color w:val="000000"/>
                <w:szCs w:val="21"/>
                <w:highlight w:val="none"/>
              </w:rPr>
            </w:pPr>
          </w:p>
        </w:tc>
        <w:tc>
          <w:tcPr>
            <w:tcW w:w="502" w:type="pct"/>
            <w:noWrap w:val="0"/>
            <w:vAlign w:val="center"/>
          </w:tcPr>
          <w:p w14:paraId="66952D08">
            <w:pPr>
              <w:keepNext/>
              <w:spacing w:line="360" w:lineRule="auto"/>
              <w:jc w:val="center"/>
              <w:rPr>
                <w:rFonts w:hint="eastAsia" w:ascii="宋体" w:hAnsi="宋体" w:cs="宋体"/>
                <w:color w:val="000000"/>
                <w:szCs w:val="21"/>
                <w:highlight w:val="none"/>
              </w:rPr>
            </w:pPr>
          </w:p>
        </w:tc>
        <w:tc>
          <w:tcPr>
            <w:tcW w:w="502" w:type="pct"/>
            <w:noWrap w:val="0"/>
            <w:vAlign w:val="center"/>
          </w:tcPr>
          <w:p w14:paraId="5B2ED6F5">
            <w:pPr>
              <w:keepNext/>
              <w:spacing w:line="360" w:lineRule="auto"/>
              <w:jc w:val="center"/>
              <w:rPr>
                <w:rFonts w:hint="eastAsia" w:ascii="宋体" w:hAnsi="宋体" w:cs="宋体"/>
                <w:color w:val="000000"/>
                <w:szCs w:val="21"/>
                <w:highlight w:val="none"/>
              </w:rPr>
            </w:pPr>
          </w:p>
        </w:tc>
        <w:tc>
          <w:tcPr>
            <w:tcW w:w="1279" w:type="pct"/>
            <w:noWrap w:val="0"/>
            <w:vAlign w:val="center"/>
          </w:tcPr>
          <w:p w14:paraId="369EBD9A">
            <w:pPr>
              <w:keepNext/>
              <w:spacing w:line="360" w:lineRule="auto"/>
              <w:jc w:val="center"/>
              <w:rPr>
                <w:rFonts w:hint="eastAsia" w:ascii="宋体" w:hAnsi="宋体" w:cs="宋体"/>
                <w:color w:val="000000"/>
                <w:szCs w:val="21"/>
                <w:highlight w:val="none"/>
              </w:rPr>
            </w:pPr>
          </w:p>
        </w:tc>
        <w:tc>
          <w:tcPr>
            <w:tcW w:w="1153" w:type="pct"/>
            <w:noWrap w:val="0"/>
            <w:vAlign w:val="top"/>
          </w:tcPr>
          <w:p w14:paraId="44D86174">
            <w:pPr>
              <w:keepNext/>
              <w:spacing w:line="360" w:lineRule="auto"/>
              <w:jc w:val="center"/>
              <w:rPr>
                <w:rFonts w:hint="eastAsia" w:ascii="宋体" w:hAnsi="宋体" w:cs="宋体"/>
                <w:color w:val="000000"/>
                <w:szCs w:val="21"/>
                <w:highlight w:val="none"/>
              </w:rPr>
            </w:pPr>
          </w:p>
        </w:tc>
      </w:tr>
      <w:tr w14:paraId="1C9FFD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3847" w:type="pct"/>
            <w:gridSpan w:val="5"/>
            <w:noWrap w:val="0"/>
            <w:vAlign w:val="center"/>
          </w:tcPr>
          <w:p w14:paraId="79EF401B">
            <w:pPr>
              <w:keepNext/>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二、现场人员</w:t>
            </w:r>
          </w:p>
        </w:tc>
        <w:tc>
          <w:tcPr>
            <w:tcW w:w="1153" w:type="pct"/>
            <w:noWrap w:val="0"/>
            <w:vAlign w:val="top"/>
          </w:tcPr>
          <w:p w14:paraId="258474D6">
            <w:pPr>
              <w:keepNext/>
              <w:spacing w:line="360" w:lineRule="auto"/>
              <w:jc w:val="center"/>
              <w:rPr>
                <w:rFonts w:hint="eastAsia" w:ascii="宋体" w:hAnsi="宋体" w:cs="宋体"/>
                <w:color w:val="000000"/>
                <w:szCs w:val="21"/>
                <w:highlight w:val="none"/>
              </w:rPr>
            </w:pPr>
          </w:p>
        </w:tc>
      </w:tr>
      <w:tr w14:paraId="7DF685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08406605">
            <w:pP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项目经理</w:t>
            </w:r>
          </w:p>
        </w:tc>
        <w:tc>
          <w:tcPr>
            <w:tcW w:w="627" w:type="pct"/>
            <w:noWrap w:val="0"/>
            <w:vAlign w:val="center"/>
          </w:tcPr>
          <w:p w14:paraId="143253D1">
            <w:pPr>
              <w:keepNext/>
              <w:spacing w:line="360" w:lineRule="auto"/>
              <w:jc w:val="center"/>
              <w:rPr>
                <w:rFonts w:hint="eastAsia" w:ascii="宋体" w:hAnsi="宋体" w:cs="宋体"/>
                <w:color w:val="000000"/>
                <w:szCs w:val="21"/>
                <w:highlight w:val="none"/>
              </w:rPr>
            </w:pPr>
          </w:p>
        </w:tc>
        <w:tc>
          <w:tcPr>
            <w:tcW w:w="502" w:type="pct"/>
            <w:noWrap w:val="0"/>
            <w:vAlign w:val="center"/>
          </w:tcPr>
          <w:p w14:paraId="6E9FE81A">
            <w:pPr>
              <w:keepNext/>
              <w:spacing w:line="360" w:lineRule="auto"/>
              <w:jc w:val="center"/>
              <w:rPr>
                <w:rFonts w:hint="eastAsia" w:ascii="宋体" w:hAnsi="宋体" w:cs="宋体"/>
                <w:color w:val="000000"/>
                <w:szCs w:val="21"/>
                <w:highlight w:val="none"/>
              </w:rPr>
            </w:pPr>
          </w:p>
        </w:tc>
        <w:tc>
          <w:tcPr>
            <w:tcW w:w="502" w:type="pct"/>
            <w:noWrap w:val="0"/>
            <w:vAlign w:val="center"/>
          </w:tcPr>
          <w:p w14:paraId="5C7767AC">
            <w:pPr>
              <w:keepNext/>
              <w:spacing w:line="360" w:lineRule="auto"/>
              <w:jc w:val="center"/>
              <w:rPr>
                <w:rFonts w:hint="eastAsia" w:ascii="宋体" w:hAnsi="宋体" w:cs="宋体"/>
                <w:color w:val="000000"/>
                <w:szCs w:val="21"/>
                <w:highlight w:val="none"/>
              </w:rPr>
            </w:pPr>
          </w:p>
        </w:tc>
        <w:tc>
          <w:tcPr>
            <w:tcW w:w="1279" w:type="pct"/>
            <w:noWrap w:val="0"/>
            <w:vAlign w:val="center"/>
          </w:tcPr>
          <w:p w14:paraId="5461E166">
            <w:pPr>
              <w:keepNext/>
              <w:spacing w:line="360" w:lineRule="auto"/>
              <w:jc w:val="center"/>
              <w:rPr>
                <w:rFonts w:hint="eastAsia" w:ascii="宋体" w:hAnsi="宋体" w:cs="宋体"/>
                <w:color w:val="000000"/>
                <w:szCs w:val="21"/>
                <w:highlight w:val="none"/>
              </w:rPr>
            </w:pPr>
          </w:p>
        </w:tc>
        <w:tc>
          <w:tcPr>
            <w:tcW w:w="1153" w:type="pct"/>
            <w:noWrap w:val="0"/>
            <w:vAlign w:val="top"/>
          </w:tcPr>
          <w:p w14:paraId="3C92B56D">
            <w:pPr>
              <w:keepNext/>
              <w:spacing w:line="360" w:lineRule="auto"/>
              <w:jc w:val="center"/>
              <w:rPr>
                <w:rFonts w:hint="eastAsia" w:ascii="宋体" w:hAnsi="宋体" w:cs="宋体"/>
                <w:color w:val="000000"/>
                <w:szCs w:val="21"/>
                <w:highlight w:val="none"/>
              </w:rPr>
            </w:pPr>
          </w:p>
        </w:tc>
      </w:tr>
      <w:tr w14:paraId="2E1557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26E73139">
            <w:pP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项目副经理</w:t>
            </w:r>
          </w:p>
        </w:tc>
        <w:tc>
          <w:tcPr>
            <w:tcW w:w="627" w:type="pct"/>
            <w:noWrap w:val="0"/>
            <w:vAlign w:val="center"/>
          </w:tcPr>
          <w:p w14:paraId="27F99D3E">
            <w:pPr>
              <w:keepNext/>
              <w:spacing w:line="360" w:lineRule="auto"/>
              <w:jc w:val="center"/>
              <w:rPr>
                <w:rFonts w:hint="eastAsia" w:ascii="宋体" w:hAnsi="宋体" w:cs="宋体"/>
                <w:color w:val="000000"/>
                <w:szCs w:val="21"/>
                <w:highlight w:val="none"/>
              </w:rPr>
            </w:pPr>
          </w:p>
        </w:tc>
        <w:tc>
          <w:tcPr>
            <w:tcW w:w="502" w:type="pct"/>
            <w:noWrap w:val="0"/>
            <w:vAlign w:val="center"/>
          </w:tcPr>
          <w:p w14:paraId="06B2886A">
            <w:pPr>
              <w:keepNext/>
              <w:spacing w:line="360" w:lineRule="auto"/>
              <w:jc w:val="center"/>
              <w:rPr>
                <w:rFonts w:hint="eastAsia" w:ascii="宋体" w:hAnsi="宋体" w:cs="宋体"/>
                <w:color w:val="000000"/>
                <w:szCs w:val="21"/>
                <w:highlight w:val="none"/>
              </w:rPr>
            </w:pPr>
          </w:p>
        </w:tc>
        <w:tc>
          <w:tcPr>
            <w:tcW w:w="502" w:type="pct"/>
            <w:noWrap w:val="0"/>
            <w:vAlign w:val="center"/>
          </w:tcPr>
          <w:p w14:paraId="7D86B34E">
            <w:pPr>
              <w:keepNext/>
              <w:spacing w:line="360" w:lineRule="auto"/>
              <w:jc w:val="center"/>
              <w:rPr>
                <w:rFonts w:hint="eastAsia" w:ascii="宋体" w:hAnsi="宋体" w:cs="宋体"/>
                <w:color w:val="000000"/>
                <w:szCs w:val="21"/>
                <w:highlight w:val="none"/>
              </w:rPr>
            </w:pPr>
          </w:p>
        </w:tc>
        <w:tc>
          <w:tcPr>
            <w:tcW w:w="1279" w:type="pct"/>
            <w:noWrap w:val="0"/>
            <w:vAlign w:val="center"/>
          </w:tcPr>
          <w:p w14:paraId="68E0A28A">
            <w:pPr>
              <w:keepNext/>
              <w:spacing w:line="360" w:lineRule="auto"/>
              <w:jc w:val="center"/>
              <w:rPr>
                <w:rFonts w:hint="eastAsia" w:ascii="宋体" w:hAnsi="宋体" w:cs="宋体"/>
                <w:color w:val="000000"/>
                <w:szCs w:val="21"/>
                <w:highlight w:val="none"/>
              </w:rPr>
            </w:pPr>
          </w:p>
        </w:tc>
        <w:tc>
          <w:tcPr>
            <w:tcW w:w="1153" w:type="pct"/>
            <w:noWrap w:val="0"/>
            <w:vAlign w:val="top"/>
          </w:tcPr>
          <w:p w14:paraId="32E06FE3">
            <w:pPr>
              <w:keepNext/>
              <w:spacing w:line="360" w:lineRule="auto"/>
              <w:jc w:val="center"/>
              <w:rPr>
                <w:rFonts w:hint="eastAsia" w:ascii="宋体" w:hAnsi="宋体" w:cs="宋体"/>
                <w:color w:val="000000"/>
                <w:szCs w:val="21"/>
                <w:highlight w:val="none"/>
              </w:rPr>
            </w:pPr>
          </w:p>
        </w:tc>
      </w:tr>
      <w:tr w14:paraId="7672C0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64656F5A">
            <w:pP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项目技术负责人</w:t>
            </w:r>
          </w:p>
        </w:tc>
        <w:tc>
          <w:tcPr>
            <w:tcW w:w="627" w:type="pct"/>
            <w:noWrap w:val="0"/>
            <w:vAlign w:val="center"/>
          </w:tcPr>
          <w:p w14:paraId="0006AB95">
            <w:pPr>
              <w:keepNext/>
              <w:spacing w:line="360" w:lineRule="auto"/>
              <w:jc w:val="center"/>
              <w:rPr>
                <w:rFonts w:hint="eastAsia" w:ascii="宋体" w:hAnsi="宋体" w:cs="宋体"/>
                <w:color w:val="000000"/>
                <w:szCs w:val="21"/>
                <w:highlight w:val="none"/>
              </w:rPr>
            </w:pPr>
          </w:p>
        </w:tc>
        <w:tc>
          <w:tcPr>
            <w:tcW w:w="502" w:type="pct"/>
            <w:noWrap w:val="0"/>
            <w:vAlign w:val="center"/>
          </w:tcPr>
          <w:p w14:paraId="45FBFB83">
            <w:pPr>
              <w:keepNext/>
              <w:spacing w:line="360" w:lineRule="auto"/>
              <w:jc w:val="center"/>
              <w:rPr>
                <w:rFonts w:hint="eastAsia" w:ascii="宋体" w:hAnsi="宋体" w:cs="宋体"/>
                <w:color w:val="000000"/>
                <w:szCs w:val="21"/>
                <w:highlight w:val="none"/>
              </w:rPr>
            </w:pPr>
          </w:p>
        </w:tc>
        <w:tc>
          <w:tcPr>
            <w:tcW w:w="502" w:type="pct"/>
            <w:noWrap w:val="0"/>
            <w:vAlign w:val="center"/>
          </w:tcPr>
          <w:p w14:paraId="7C40FEBC">
            <w:pPr>
              <w:keepNext/>
              <w:spacing w:line="360" w:lineRule="auto"/>
              <w:jc w:val="center"/>
              <w:rPr>
                <w:rFonts w:hint="eastAsia" w:ascii="宋体" w:hAnsi="宋体" w:cs="宋体"/>
                <w:color w:val="000000"/>
                <w:szCs w:val="21"/>
                <w:highlight w:val="none"/>
              </w:rPr>
            </w:pPr>
          </w:p>
        </w:tc>
        <w:tc>
          <w:tcPr>
            <w:tcW w:w="1279" w:type="pct"/>
            <w:noWrap w:val="0"/>
            <w:vAlign w:val="center"/>
          </w:tcPr>
          <w:p w14:paraId="28ED79CB">
            <w:pPr>
              <w:keepNext/>
              <w:spacing w:line="360" w:lineRule="auto"/>
              <w:jc w:val="center"/>
              <w:rPr>
                <w:rFonts w:hint="eastAsia" w:ascii="宋体" w:hAnsi="宋体" w:cs="宋体"/>
                <w:color w:val="000000"/>
                <w:szCs w:val="21"/>
                <w:highlight w:val="none"/>
              </w:rPr>
            </w:pPr>
          </w:p>
        </w:tc>
        <w:tc>
          <w:tcPr>
            <w:tcW w:w="1153" w:type="pct"/>
            <w:noWrap w:val="0"/>
            <w:vAlign w:val="top"/>
          </w:tcPr>
          <w:p w14:paraId="4AC49BEE">
            <w:pPr>
              <w:keepNext/>
              <w:spacing w:line="360" w:lineRule="auto"/>
              <w:jc w:val="center"/>
              <w:rPr>
                <w:rFonts w:hint="eastAsia" w:ascii="宋体" w:hAnsi="宋体" w:cs="宋体"/>
                <w:color w:val="000000"/>
                <w:szCs w:val="21"/>
                <w:highlight w:val="none"/>
              </w:rPr>
            </w:pPr>
          </w:p>
        </w:tc>
      </w:tr>
      <w:tr w14:paraId="0499F0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1B241335">
            <w:pP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施工员</w:t>
            </w:r>
          </w:p>
        </w:tc>
        <w:tc>
          <w:tcPr>
            <w:tcW w:w="627" w:type="pct"/>
            <w:noWrap w:val="0"/>
            <w:vAlign w:val="center"/>
          </w:tcPr>
          <w:p w14:paraId="3B3EC1D1">
            <w:pPr>
              <w:keepNext/>
              <w:spacing w:line="360" w:lineRule="auto"/>
              <w:jc w:val="center"/>
              <w:rPr>
                <w:rFonts w:hint="eastAsia" w:ascii="宋体" w:hAnsi="宋体" w:cs="宋体"/>
                <w:color w:val="000000"/>
                <w:szCs w:val="21"/>
                <w:highlight w:val="none"/>
              </w:rPr>
            </w:pPr>
          </w:p>
        </w:tc>
        <w:tc>
          <w:tcPr>
            <w:tcW w:w="502" w:type="pct"/>
            <w:noWrap w:val="0"/>
            <w:vAlign w:val="center"/>
          </w:tcPr>
          <w:p w14:paraId="759F49FB">
            <w:pPr>
              <w:keepNext/>
              <w:spacing w:line="360" w:lineRule="auto"/>
              <w:jc w:val="center"/>
              <w:rPr>
                <w:rFonts w:hint="eastAsia" w:ascii="宋体" w:hAnsi="宋体" w:cs="宋体"/>
                <w:color w:val="000000"/>
                <w:szCs w:val="21"/>
                <w:highlight w:val="none"/>
              </w:rPr>
            </w:pPr>
          </w:p>
        </w:tc>
        <w:tc>
          <w:tcPr>
            <w:tcW w:w="502" w:type="pct"/>
            <w:noWrap w:val="0"/>
            <w:vAlign w:val="center"/>
          </w:tcPr>
          <w:p w14:paraId="6931FF3E">
            <w:pPr>
              <w:keepNext/>
              <w:spacing w:line="360" w:lineRule="auto"/>
              <w:jc w:val="center"/>
              <w:rPr>
                <w:rFonts w:hint="eastAsia" w:ascii="宋体" w:hAnsi="宋体" w:cs="宋体"/>
                <w:color w:val="000000"/>
                <w:szCs w:val="21"/>
                <w:highlight w:val="none"/>
              </w:rPr>
            </w:pPr>
          </w:p>
        </w:tc>
        <w:tc>
          <w:tcPr>
            <w:tcW w:w="1279" w:type="pct"/>
            <w:noWrap w:val="0"/>
            <w:vAlign w:val="center"/>
          </w:tcPr>
          <w:p w14:paraId="3C3D0347">
            <w:pPr>
              <w:keepNext/>
              <w:spacing w:line="360" w:lineRule="auto"/>
              <w:jc w:val="center"/>
              <w:rPr>
                <w:rFonts w:hint="eastAsia" w:ascii="宋体" w:hAnsi="宋体" w:cs="宋体"/>
                <w:color w:val="000000"/>
                <w:szCs w:val="21"/>
                <w:highlight w:val="none"/>
              </w:rPr>
            </w:pPr>
          </w:p>
        </w:tc>
        <w:tc>
          <w:tcPr>
            <w:tcW w:w="1153" w:type="pct"/>
            <w:noWrap w:val="0"/>
            <w:vAlign w:val="top"/>
          </w:tcPr>
          <w:p w14:paraId="701964F3">
            <w:pPr>
              <w:keepNext/>
              <w:spacing w:line="360" w:lineRule="auto"/>
              <w:jc w:val="center"/>
              <w:rPr>
                <w:rFonts w:hint="eastAsia" w:ascii="宋体" w:hAnsi="宋体" w:cs="宋体"/>
                <w:color w:val="000000"/>
                <w:szCs w:val="21"/>
                <w:highlight w:val="none"/>
              </w:rPr>
            </w:pPr>
          </w:p>
        </w:tc>
      </w:tr>
      <w:tr w14:paraId="5DC3E5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595FBE0B">
            <w:pP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质检员（质量员）</w:t>
            </w:r>
          </w:p>
        </w:tc>
        <w:tc>
          <w:tcPr>
            <w:tcW w:w="627" w:type="pct"/>
            <w:noWrap w:val="0"/>
            <w:vAlign w:val="center"/>
          </w:tcPr>
          <w:p w14:paraId="257E45F3">
            <w:pPr>
              <w:keepNext/>
              <w:spacing w:line="360" w:lineRule="auto"/>
              <w:jc w:val="center"/>
              <w:rPr>
                <w:rFonts w:hint="eastAsia" w:ascii="宋体" w:hAnsi="宋体" w:cs="宋体"/>
                <w:color w:val="000000"/>
                <w:szCs w:val="21"/>
                <w:highlight w:val="none"/>
              </w:rPr>
            </w:pPr>
          </w:p>
        </w:tc>
        <w:tc>
          <w:tcPr>
            <w:tcW w:w="502" w:type="pct"/>
            <w:noWrap w:val="0"/>
            <w:vAlign w:val="center"/>
          </w:tcPr>
          <w:p w14:paraId="7700F213">
            <w:pPr>
              <w:keepNext/>
              <w:spacing w:line="360" w:lineRule="auto"/>
              <w:jc w:val="center"/>
              <w:rPr>
                <w:rFonts w:hint="eastAsia" w:ascii="宋体" w:hAnsi="宋体" w:cs="宋体"/>
                <w:color w:val="000000"/>
                <w:szCs w:val="21"/>
                <w:highlight w:val="none"/>
              </w:rPr>
            </w:pPr>
          </w:p>
        </w:tc>
        <w:tc>
          <w:tcPr>
            <w:tcW w:w="502" w:type="pct"/>
            <w:noWrap w:val="0"/>
            <w:vAlign w:val="center"/>
          </w:tcPr>
          <w:p w14:paraId="590DAD5E">
            <w:pPr>
              <w:keepNext/>
              <w:spacing w:line="360" w:lineRule="auto"/>
              <w:jc w:val="center"/>
              <w:rPr>
                <w:rFonts w:hint="eastAsia" w:ascii="宋体" w:hAnsi="宋体" w:cs="宋体"/>
                <w:color w:val="000000"/>
                <w:szCs w:val="21"/>
                <w:highlight w:val="none"/>
              </w:rPr>
            </w:pPr>
          </w:p>
        </w:tc>
        <w:tc>
          <w:tcPr>
            <w:tcW w:w="1279" w:type="pct"/>
            <w:noWrap w:val="0"/>
            <w:vAlign w:val="center"/>
          </w:tcPr>
          <w:p w14:paraId="6D296D49">
            <w:pPr>
              <w:keepNext/>
              <w:spacing w:line="360" w:lineRule="auto"/>
              <w:jc w:val="center"/>
              <w:rPr>
                <w:rFonts w:hint="eastAsia" w:ascii="宋体" w:hAnsi="宋体" w:cs="宋体"/>
                <w:color w:val="000000"/>
                <w:szCs w:val="21"/>
                <w:highlight w:val="none"/>
              </w:rPr>
            </w:pPr>
          </w:p>
        </w:tc>
        <w:tc>
          <w:tcPr>
            <w:tcW w:w="1153" w:type="pct"/>
            <w:noWrap w:val="0"/>
            <w:vAlign w:val="top"/>
          </w:tcPr>
          <w:p w14:paraId="6AFC93BF">
            <w:pPr>
              <w:keepNext/>
              <w:spacing w:line="360" w:lineRule="auto"/>
              <w:jc w:val="center"/>
              <w:rPr>
                <w:rFonts w:hint="eastAsia" w:ascii="宋体" w:hAnsi="宋体" w:cs="宋体"/>
                <w:color w:val="000000"/>
                <w:szCs w:val="21"/>
                <w:highlight w:val="none"/>
              </w:rPr>
            </w:pPr>
          </w:p>
        </w:tc>
      </w:tr>
      <w:tr w14:paraId="29E3CC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53E19358">
            <w:pP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安全员</w:t>
            </w:r>
          </w:p>
        </w:tc>
        <w:tc>
          <w:tcPr>
            <w:tcW w:w="627" w:type="pct"/>
            <w:noWrap w:val="0"/>
            <w:vAlign w:val="center"/>
          </w:tcPr>
          <w:p w14:paraId="18EF50C2">
            <w:pPr>
              <w:keepNext/>
              <w:spacing w:line="360" w:lineRule="auto"/>
              <w:jc w:val="center"/>
              <w:rPr>
                <w:rFonts w:hint="eastAsia" w:ascii="宋体" w:hAnsi="宋体" w:cs="宋体"/>
                <w:color w:val="000000"/>
                <w:szCs w:val="21"/>
                <w:highlight w:val="none"/>
              </w:rPr>
            </w:pPr>
          </w:p>
        </w:tc>
        <w:tc>
          <w:tcPr>
            <w:tcW w:w="502" w:type="pct"/>
            <w:noWrap w:val="0"/>
            <w:vAlign w:val="center"/>
          </w:tcPr>
          <w:p w14:paraId="52C71F6A">
            <w:pPr>
              <w:keepNext/>
              <w:spacing w:line="360" w:lineRule="auto"/>
              <w:jc w:val="center"/>
              <w:rPr>
                <w:rFonts w:hint="eastAsia" w:ascii="宋体" w:hAnsi="宋体" w:cs="宋体"/>
                <w:color w:val="000000"/>
                <w:szCs w:val="21"/>
                <w:highlight w:val="none"/>
              </w:rPr>
            </w:pPr>
          </w:p>
        </w:tc>
        <w:tc>
          <w:tcPr>
            <w:tcW w:w="502" w:type="pct"/>
            <w:noWrap w:val="0"/>
            <w:vAlign w:val="center"/>
          </w:tcPr>
          <w:p w14:paraId="02F0924B">
            <w:pPr>
              <w:keepNext/>
              <w:spacing w:line="360" w:lineRule="auto"/>
              <w:jc w:val="center"/>
              <w:rPr>
                <w:rFonts w:hint="eastAsia" w:ascii="宋体" w:hAnsi="宋体" w:cs="宋体"/>
                <w:color w:val="000000"/>
                <w:szCs w:val="21"/>
                <w:highlight w:val="none"/>
              </w:rPr>
            </w:pPr>
          </w:p>
        </w:tc>
        <w:tc>
          <w:tcPr>
            <w:tcW w:w="1279" w:type="pct"/>
            <w:noWrap w:val="0"/>
            <w:vAlign w:val="center"/>
          </w:tcPr>
          <w:p w14:paraId="6C99534A">
            <w:pPr>
              <w:keepNext/>
              <w:spacing w:line="360" w:lineRule="auto"/>
              <w:jc w:val="center"/>
              <w:rPr>
                <w:rFonts w:hint="eastAsia" w:ascii="宋体" w:hAnsi="宋体" w:cs="宋体"/>
                <w:color w:val="000000"/>
                <w:szCs w:val="21"/>
                <w:highlight w:val="none"/>
              </w:rPr>
            </w:pPr>
          </w:p>
        </w:tc>
        <w:tc>
          <w:tcPr>
            <w:tcW w:w="1153" w:type="pct"/>
            <w:noWrap w:val="0"/>
            <w:vAlign w:val="top"/>
          </w:tcPr>
          <w:p w14:paraId="6533895D">
            <w:pPr>
              <w:keepNext/>
              <w:spacing w:line="360" w:lineRule="auto"/>
              <w:jc w:val="center"/>
              <w:rPr>
                <w:rFonts w:hint="eastAsia" w:ascii="宋体" w:hAnsi="宋体" w:cs="宋体"/>
                <w:color w:val="000000"/>
                <w:szCs w:val="21"/>
                <w:highlight w:val="none"/>
              </w:rPr>
            </w:pPr>
          </w:p>
        </w:tc>
      </w:tr>
      <w:tr w14:paraId="151621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022CCCFB">
            <w:pP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资料员</w:t>
            </w:r>
          </w:p>
        </w:tc>
        <w:tc>
          <w:tcPr>
            <w:tcW w:w="627" w:type="pct"/>
            <w:noWrap w:val="0"/>
            <w:vAlign w:val="center"/>
          </w:tcPr>
          <w:p w14:paraId="54BD3C42">
            <w:pPr>
              <w:keepNext/>
              <w:spacing w:line="360" w:lineRule="auto"/>
              <w:jc w:val="center"/>
              <w:rPr>
                <w:rFonts w:hint="eastAsia" w:ascii="宋体" w:hAnsi="宋体" w:cs="宋体"/>
                <w:color w:val="000000"/>
                <w:szCs w:val="21"/>
                <w:highlight w:val="none"/>
              </w:rPr>
            </w:pPr>
          </w:p>
        </w:tc>
        <w:tc>
          <w:tcPr>
            <w:tcW w:w="502" w:type="pct"/>
            <w:noWrap w:val="0"/>
            <w:vAlign w:val="center"/>
          </w:tcPr>
          <w:p w14:paraId="632771E1">
            <w:pPr>
              <w:keepNext/>
              <w:spacing w:line="360" w:lineRule="auto"/>
              <w:jc w:val="center"/>
              <w:rPr>
                <w:rFonts w:hint="eastAsia" w:ascii="宋体" w:hAnsi="宋体" w:cs="宋体"/>
                <w:color w:val="000000"/>
                <w:szCs w:val="21"/>
                <w:highlight w:val="none"/>
              </w:rPr>
            </w:pPr>
          </w:p>
        </w:tc>
        <w:tc>
          <w:tcPr>
            <w:tcW w:w="502" w:type="pct"/>
            <w:noWrap w:val="0"/>
            <w:vAlign w:val="center"/>
          </w:tcPr>
          <w:p w14:paraId="27098BE7">
            <w:pPr>
              <w:keepNext/>
              <w:spacing w:line="360" w:lineRule="auto"/>
              <w:jc w:val="center"/>
              <w:rPr>
                <w:rFonts w:hint="eastAsia" w:ascii="宋体" w:hAnsi="宋体" w:cs="宋体"/>
                <w:color w:val="000000"/>
                <w:szCs w:val="21"/>
                <w:highlight w:val="none"/>
              </w:rPr>
            </w:pPr>
          </w:p>
        </w:tc>
        <w:tc>
          <w:tcPr>
            <w:tcW w:w="1279" w:type="pct"/>
            <w:noWrap w:val="0"/>
            <w:vAlign w:val="center"/>
          </w:tcPr>
          <w:p w14:paraId="3488C6E3">
            <w:pPr>
              <w:keepNext/>
              <w:spacing w:line="360" w:lineRule="auto"/>
              <w:jc w:val="center"/>
              <w:rPr>
                <w:rFonts w:hint="eastAsia" w:ascii="宋体" w:hAnsi="宋体" w:cs="宋体"/>
                <w:color w:val="000000"/>
                <w:szCs w:val="21"/>
                <w:highlight w:val="none"/>
              </w:rPr>
            </w:pPr>
          </w:p>
        </w:tc>
        <w:tc>
          <w:tcPr>
            <w:tcW w:w="1153" w:type="pct"/>
            <w:noWrap w:val="0"/>
            <w:vAlign w:val="top"/>
          </w:tcPr>
          <w:p w14:paraId="2F48AB54">
            <w:pPr>
              <w:keepNext/>
              <w:spacing w:line="360" w:lineRule="auto"/>
              <w:jc w:val="center"/>
              <w:rPr>
                <w:rFonts w:hint="eastAsia" w:ascii="宋体" w:hAnsi="宋体" w:cs="宋体"/>
                <w:color w:val="000000"/>
                <w:szCs w:val="21"/>
                <w:highlight w:val="none"/>
              </w:rPr>
            </w:pPr>
          </w:p>
        </w:tc>
      </w:tr>
      <w:tr w14:paraId="69CDEF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restart"/>
            <w:noWrap w:val="0"/>
            <w:vAlign w:val="center"/>
          </w:tcPr>
          <w:p w14:paraId="722DA318">
            <w:pP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其他人员</w:t>
            </w:r>
          </w:p>
        </w:tc>
        <w:tc>
          <w:tcPr>
            <w:tcW w:w="627" w:type="pct"/>
            <w:noWrap w:val="0"/>
            <w:vAlign w:val="center"/>
          </w:tcPr>
          <w:p w14:paraId="70A08B55">
            <w:pPr>
              <w:keepNext/>
              <w:spacing w:line="360" w:lineRule="auto"/>
              <w:jc w:val="center"/>
              <w:rPr>
                <w:rFonts w:hint="eastAsia" w:ascii="宋体" w:hAnsi="宋体" w:cs="宋体"/>
                <w:color w:val="000000"/>
                <w:szCs w:val="21"/>
                <w:highlight w:val="none"/>
              </w:rPr>
            </w:pPr>
          </w:p>
        </w:tc>
        <w:tc>
          <w:tcPr>
            <w:tcW w:w="502" w:type="pct"/>
            <w:noWrap w:val="0"/>
            <w:vAlign w:val="center"/>
          </w:tcPr>
          <w:p w14:paraId="4FDDD037">
            <w:pPr>
              <w:keepNext/>
              <w:spacing w:line="360" w:lineRule="auto"/>
              <w:jc w:val="center"/>
              <w:rPr>
                <w:rFonts w:hint="eastAsia" w:ascii="宋体" w:hAnsi="宋体" w:cs="宋体"/>
                <w:color w:val="000000"/>
                <w:szCs w:val="21"/>
                <w:highlight w:val="none"/>
              </w:rPr>
            </w:pPr>
          </w:p>
        </w:tc>
        <w:tc>
          <w:tcPr>
            <w:tcW w:w="502" w:type="pct"/>
            <w:noWrap w:val="0"/>
            <w:vAlign w:val="center"/>
          </w:tcPr>
          <w:p w14:paraId="7DFDD96A">
            <w:pPr>
              <w:keepNext/>
              <w:spacing w:line="360" w:lineRule="auto"/>
              <w:jc w:val="center"/>
              <w:rPr>
                <w:rFonts w:hint="eastAsia" w:ascii="宋体" w:hAnsi="宋体" w:cs="宋体"/>
                <w:color w:val="000000"/>
                <w:szCs w:val="21"/>
                <w:highlight w:val="none"/>
              </w:rPr>
            </w:pPr>
          </w:p>
        </w:tc>
        <w:tc>
          <w:tcPr>
            <w:tcW w:w="1279" w:type="pct"/>
            <w:noWrap w:val="0"/>
            <w:vAlign w:val="center"/>
          </w:tcPr>
          <w:p w14:paraId="62C5FC9A">
            <w:pPr>
              <w:keepNext/>
              <w:spacing w:line="360" w:lineRule="auto"/>
              <w:jc w:val="center"/>
              <w:rPr>
                <w:rFonts w:hint="eastAsia" w:ascii="宋体" w:hAnsi="宋体" w:cs="宋体"/>
                <w:color w:val="000000"/>
                <w:szCs w:val="21"/>
                <w:highlight w:val="none"/>
              </w:rPr>
            </w:pPr>
          </w:p>
        </w:tc>
        <w:tc>
          <w:tcPr>
            <w:tcW w:w="1153" w:type="pct"/>
            <w:noWrap w:val="0"/>
            <w:vAlign w:val="top"/>
          </w:tcPr>
          <w:p w14:paraId="22764247">
            <w:pPr>
              <w:keepNext/>
              <w:spacing w:line="360" w:lineRule="auto"/>
              <w:jc w:val="center"/>
              <w:rPr>
                <w:rFonts w:hint="eastAsia" w:ascii="宋体" w:hAnsi="宋体" w:cs="宋体"/>
                <w:color w:val="000000"/>
                <w:szCs w:val="21"/>
                <w:highlight w:val="none"/>
              </w:rPr>
            </w:pPr>
          </w:p>
        </w:tc>
      </w:tr>
      <w:tr w14:paraId="161779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noWrap w:val="0"/>
            <w:vAlign w:val="center"/>
          </w:tcPr>
          <w:p w14:paraId="24D18B3F">
            <w:pPr>
              <w:keepNext/>
              <w:spacing w:line="360" w:lineRule="auto"/>
              <w:jc w:val="center"/>
              <w:rPr>
                <w:rFonts w:hint="eastAsia" w:ascii="宋体" w:hAnsi="宋体" w:cs="宋体"/>
                <w:color w:val="000000"/>
                <w:szCs w:val="21"/>
                <w:highlight w:val="none"/>
              </w:rPr>
            </w:pPr>
          </w:p>
        </w:tc>
        <w:tc>
          <w:tcPr>
            <w:tcW w:w="627" w:type="pct"/>
            <w:tcBorders>
              <w:bottom w:val="nil"/>
            </w:tcBorders>
            <w:noWrap w:val="0"/>
            <w:vAlign w:val="center"/>
          </w:tcPr>
          <w:p w14:paraId="50157683">
            <w:pPr>
              <w:keepNext/>
              <w:spacing w:line="360" w:lineRule="auto"/>
              <w:jc w:val="center"/>
              <w:rPr>
                <w:rFonts w:hint="eastAsia" w:ascii="宋体" w:hAnsi="宋体" w:cs="宋体"/>
                <w:color w:val="000000"/>
                <w:szCs w:val="21"/>
                <w:highlight w:val="none"/>
              </w:rPr>
            </w:pPr>
          </w:p>
        </w:tc>
        <w:tc>
          <w:tcPr>
            <w:tcW w:w="502" w:type="pct"/>
            <w:tcBorders>
              <w:bottom w:val="nil"/>
            </w:tcBorders>
            <w:noWrap w:val="0"/>
            <w:vAlign w:val="center"/>
          </w:tcPr>
          <w:p w14:paraId="7158DC19">
            <w:pPr>
              <w:keepNext/>
              <w:spacing w:line="360" w:lineRule="auto"/>
              <w:jc w:val="center"/>
              <w:rPr>
                <w:rFonts w:hint="eastAsia" w:ascii="宋体" w:hAnsi="宋体" w:cs="宋体"/>
                <w:color w:val="000000"/>
                <w:szCs w:val="21"/>
                <w:highlight w:val="none"/>
              </w:rPr>
            </w:pPr>
          </w:p>
        </w:tc>
        <w:tc>
          <w:tcPr>
            <w:tcW w:w="502" w:type="pct"/>
            <w:tcBorders>
              <w:bottom w:val="nil"/>
            </w:tcBorders>
            <w:noWrap w:val="0"/>
            <w:vAlign w:val="center"/>
          </w:tcPr>
          <w:p w14:paraId="69604370">
            <w:pPr>
              <w:keepNext/>
              <w:spacing w:line="360" w:lineRule="auto"/>
              <w:jc w:val="center"/>
              <w:rPr>
                <w:rFonts w:hint="eastAsia" w:ascii="宋体" w:hAnsi="宋体" w:cs="宋体"/>
                <w:color w:val="000000"/>
                <w:szCs w:val="21"/>
                <w:highlight w:val="none"/>
              </w:rPr>
            </w:pPr>
          </w:p>
        </w:tc>
        <w:tc>
          <w:tcPr>
            <w:tcW w:w="1279" w:type="pct"/>
            <w:tcBorders>
              <w:bottom w:val="nil"/>
            </w:tcBorders>
            <w:noWrap w:val="0"/>
            <w:vAlign w:val="center"/>
          </w:tcPr>
          <w:p w14:paraId="444ADAFD">
            <w:pPr>
              <w:keepNext/>
              <w:spacing w:line="360" w:lineRule="auto"/>
              <w:jc w:val="center"/>
              <w:rPr>
                <w:rFonts w:hint="eastAsia" w:ascii="宋体" w:hAnsi="宋体" w:cs="宋体"/>
                <w:color w:val="000000"/>
                <w:szCs w:val="21"/>
                <w:highlight w:val="none"/>
              </w:rPr>
            </w:pPr>
          </w:p>
        </w:tc>
        <w:tc>
          <w:tcPr>
            <w:tcW w:w="1153" w:type="pct"/>
            <w:tcBorders>
              <w:bottom w:val="nil"/>
            </w:tcBorders>
            <w:noWrap w:val="0"/>
            <w:vAlign w:val="top"/>
          </w:tcPr>
          <w:p w14:paraId="39A8FC0F">
            <w:pPr>
              <w:keepNext/>
              <w:spacing w:line="360" w:lineRule="auto"/>
              <w:jc w:val="center"/>
              <w:rPr>
                <w:rFonts w:hint="eastAsia" w:ascii="宋体" w:hAnsi="宋体" w:cs="宋体"/>
                <w:color w:val="000000"/>
                <w:szCs w:val="21"/>
                <w:highlight w:val="none"/>
              </w:rPr>
            </w:pPr>
          </w:p>
        </w:tc>
      </w:tr>
      <w:tr w14:paraId="478CDA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noWrap w:val="0"/>
            <w:vAlign w:val="center"/>
          </w:tcPr>
          <w:p w14:paraId="1ECDA5F0">
            <w:pPr>
              <w:keepNext/>
              <w:spacing w:line="360" w:lineRule="auto"/>
              <w:jc w:val="center"/>
              <w:rPr>
                <w:rFonts w:hint="eastAsia" w:ascii="宋体" w:hAnsi="宋体" w:cs="宋体"/>
                <w:color w:val="000000"/>
                <w:szCs w:val="21"/>
                <w:highlight w:val="none"/>
              </w:rPr>
            </w:pPr>
          </w:p>
        </w:tc>
        <w:tc>
          <w:tcPr>
            <w:tcW w:w="627" w:type="pct"/>
            <w:noWrap w:val="0"/>
            <w:vAlign w:val="center"/>
          </w:tcPr>
          <w:p w14:paraId="64423E4C">
            <w:pPr>
              <w:keepNext/>
              <w:spacing w:line="360" w:lineRule="auto"/>
              <w:jc w:val="center"/>
              <w:rPr>
                <w:rFonts w:hint="eastAsia" w:ascii="宋体" w:hAnsi="宋体" w:cs="宋体"/>
                <w:color w:val="000000"/>
                <w:szCs w:val="21"/>
                <w:highlight w:val="none"/>
              </w:rPr>
            </w:pPr>
          </w:p>
        </w:tc>
        <w:tc>
          <w:tcPr>
            <w:tcW w:w="502" w:type="pct"/>
            <w:noWrap w:val="0"/>
            <w:vAlign w:val="center"/>
          </w:tcPr>
          <w:p w14:paraId="4E776137">
            <w:pPr>
              <w:keepNext/>
              <w:spacing w:line="360" w:lineRule="auto"/>
              <w:jc w:val="center"/>
              <w:rPr>
                <w:rFonts w:hint="eastAsia" w:ascii="宋体" w:hAnsi="宋体" w:cs="宋体"/>
                <w:color w:val="000000"/>
                <w:szCs w:val="21"/>
                <w:highlight w:val="none"/>
              </w:rPr>
            </w:pPr>
          </w:p>
        </w:tc>
        <w:tc>
          <w:tcPr>
            <w:tcW w:w="502" w:type="pct"/>
            <w:noWrap w:val="0"/>
            <w:vAlign w:val="center"/>
          </w:tcPr>
          <w:p w14:paraId="2B20DF12">
            <w:pPr>
              <w:keepNext/>
              <w:spacing w:line="360" w:lineRule="auto"/>
              <w:jc w:val="center"/>
              <w:rPr>
                <w:rFonts w:hint="eastAsia" w:ascii="宋体" w:hAnsi="宋体" w:cs="宋体"/>
                <w:color w:val="000000"/>
                <w:szCs w:val="21"/>
                <w:highlight w:val="none"/>
              </w:rPr>
            </w:pPr>
          </w:p>
        </w:tc>
        <w:tc>
          <w:tcPr>
            <w:tcW w:w="1279" w:type="pct"/>
            <w:noWrap w:val="0"/>
            <w:vAlign w:val="center"/>
          </w:tcPr>
          <w:p w14:paraId="31B8D8EB">
            <w:pPr>
              <w:keepNext/>
              <w:spacing w:line="360" w:lineRule="auto"/>
              <w:jc w:val="center"/>
              <w:rPr>
                <w:rFonts w:hint="eastAsia" w:ascii="宋体" w:hAnsi="宋体" w:cs="宋体"/>
                <w:color w:val="000000"/>
                <w:szCs w:val="21"/>
                <w:highlight w:val="none"/>
              </w:rPr>
            </w:pPr>
          </w:p>
        </w:tc>
        <w:tc>
          <w:tcPr>
            <w:tcW w:w="1153" w:type="pct"/>
            <w:noWrap w:val="0"/>
            <w:vAlign w:val="top"/>
          </w:tcPr>
          <w:p w14:paraId="14806CCF">
            <w:pPr>
              <w:keepNext/>
              <w:spacing w:line="360" w:lineRule="auto"/>
              <w:jc w:val="center"/>
              <w:rPr>
                <w:rFonts w:hint="eastAsia" w:ascii="宋体" w:hAnsi="宋体" w:cs="宋体"/>
                <w:color w:val="000000"/>
                <w:szCs w:val="21"/>
                <w:highlight w:val="none"/>
              </w:rPr>
            </w:pPr>
          </w:p>
        </w:tc>
      </w:tr>
      <w:tr w14:paraId="2977E8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noWrap w:val="0"/>
            <w:vAlign w:val="center"/>
          </w:tcPr>
          <w:p w14:paraId="62223052">
            <w:pPr>
              <w:keepNext/>
              <w:spacing w:line="360" w:lineRule="auto"/>
              <w:jc w:val="center"/>
              <w:rPr>
                <w:rFonts w:hint="eastAsia" w:ascii="宋体" w:hAnsi="宋体" w:cs="宋体"/>
                <w:color w:val="000000"/>
                <w:szCs w:val="21"/>
                <w:highlight w:val="none"/>
              </w:rPr>
            </w:pPr>
          </w:p>
        </w:tc>
        <w:tc>
          <w:tcPr>
            <w:tcW w:w="627" w:type="pct"/>
            <w:noWrap w:val="0"/>
            <w:vAlign w:val="center"/>
          </w:tcPr>
          <w:p w14:paraId="41631B2E">
            <w:pPr>
              <w:keepNext/>
              <w:spacing w:line="360" w:lineRule="auto"/>
              <w:jc w:val="center"/>
              <w:rPr>
                <w:rFonts w:hint="eastAsia" w:ascii="宋体" w:hAnsi="宋体" w:cs="宋体"/>
                <w:color w:val="000000"/>
                <w:szCs w:val="21"/>
                <w:highlight w:val="none"/>
              </w:rPr>
            </w:pPr>
          </w:p>
        </w:tc>
        <w:tc>
          <w:tcPr>
            <w:tcW w:w="502" w:type="pct"/>
            <w:noWrap w:val="0"/>
            <w:vAlign w:val="center"/>
          </w:tcPr>
          <w:p w14:paraId="010D59D3">
            <w:pPr>
              <w:keepNext/>
              <w:spacing w:line="360" w:lineRule="auto"/>
              <w:jc w:val="center"/>
              <w:rPr>
                <w:rFonts w:hint="eastAsia" w:ascii="宋体" w:hAnsi="宋体" w:cs="宋体"/>
                <w:color w:val="000000"/>
                <w:szCs w:val="21"/>
                <w:highlight w:val="none"/>
              </w:rPr>
            </w:pPr>
          </w:p>
        </w:tc>
        <w:tc>
          <w:tcPr>
            <w:tcW w:w="502" w:type="pct"/>
            <w:noWrap w:val="0"/>
            <w:vAlign w:val="center"/>
          </w:tcPr>
          <w:p w14:paraId="67E83E8F">
            <w:pPr>
              <w:keepNext/>
              <w:spacing w:line="360" w:lineRule="auto"/>
              <w:jc w:val="center"/>
              <w:rPr>
                <w:rFonts w:hint="eastAsia" w:ascii="宋体" w:hAnsi="宋体" w:cs="宋体"/>
                <w:color w:val="000000"/>
                <w:szCs w:val="21"/>
                <w:highlight w:val="none"/>
              </w:rPr>
            </w:pPr>
          </w:p>
        </w:tc>
        <w:tc>
          <w:tcPr>
            <w:tcW w:w="1279" w:type="pct"/>
            <w:noWrap w:val="0"/>
            <w:vAlign w:val="center"/>
          </w:tcPr>
          <w:p w14:paraId="6E48155B">
            <w:pPr>
              <w:keepNext/>
              <w:spacing w:line="360" w:lineRule="auto"/>
              <w:jc w:val="center"/>
              <w:rPr>
                <w:rFonts w:hint="eastAsia" w:ascii="宋体" w:hAnsi="宋体" w:cs="宋体"/>
                <w:color w:val="000000"/>
                <w:szCs w:val="21"/>
                <w:highlight w:val="none"/>
              </w:rPr>
            </w:pPr>
          </w:p>
        </w:tc>
        <w:tc>
          <w:tcPr>
            <w:tcW w:w="1153" w:type="pct"/>
            <w:noWrap w:val="0"/>
            <w:vAlign w:val="top"/>
          </w:tcPr>
          <w:p w14:paraId="746FAB77">
            <w:pPr>
              <w:keepNext/>
              <w:spacing w:line="360" w:lineRule="auto"/>
              <w:jc w:val="center"/>
              <w:rPr>
                <w:rFonts w:hint="eastAsia" w:ascii="宋体" w:hAnsi="宋体" w:cs="宋体"/>
                <w:color w:val="000000"/>
                <w:szCs w:val="21"/>
                <w:highlight w:val="none"/>
              </w:rPr>
            </w:pPr>
          </w:p>
        </w:tc>
      </w:tr>
      <w:tr w14:paraId="4F67B4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noWrap w:val="0"/>
            <w:vAlign w:val="center"/>
          </w:tcPr>
          <w:p w14:paraId="31605AFD">
            <w:pPr>
              <w:keepNext/>
              <w:spacing w:line="360" w:lineRule="auto"/>
              <w:jc w:val="center"/>
              <w:rPr>
                <w:rFonts w:hint="eastAsia" w:ascii="宋体" w:hAnsi="宋体" w:cs="宋体"/>
                <w:color w:val="000000"/>
                <w:szCs w:val="21"/>
                <w:highlight w:val="none"/>
              </w:rPr>
            </w:pPr>
          </w:p>
        </w:tc>
        <w:tc>
          <w:tcPr>
            <w:tcW w:w="627" w:type="pct"/>
            <w:noWrap w:val="0"/>
            <w:vAlign w:val="center"/>
          </w:tcPr>
          <w:p w14:paraId="58E3D0EC">
            <w:pPr>
              <w:keepNext/>
              <w:spacing w:line="360" w:lineRule="auto"/>
              <w:jc w:val="center"/>
              <w:rPr>
                <w:rFonts w:hint="eastAsia" w:ascii="宋体" w:hAnsi="宋体" w:cs="宋体"/>
                <w:color w:val="000000"/>
                <w:szCs w:val="21"/>
                <w:highlight w:val="none"/>
              </w:rPr>
            </w:pPr>
          </w:p>
        </w:tc>
        <w:tc>
          <w:tcPr>
            <w:tcW w:w="502" w:type="pct"/>
            <w:noWrap w:val="0"/>
            <w:vAlign w:val="center"/>
          </w:tcPr>
          <w:p w14:paraId="0808DE1B">
            <w:pPr>
              <w:keepNext/>
              <w:spacing w:line="360" w:lineRule="auto"/>
              <w:jc w:val="center"/>
              <w:rPr>
                <w:rFonts w:hint="eastAsia" w:ascii="宋体" w:hAnsi="宋体" w:cs="宋体"/>
                <w:color w:val="000000"/>
                <w:szCs w:val="21"/>
                <w:highlight w:val="none"/>
              </w:rPr>
            </w:pPr>
          </w:p>
        </w:tc>
        <w:tc>
          <w:tcPr>
            <w:tcW w:w="502" w:type="pct"/>
            <w:noWrap w:val="0"/>
            <w:vAlign w:val="center"/>
          </w:tcPr>
          <w:p w14:paraId="6AA869F1">
            <w:pPr>
              <w:keepNext/>
              <w:spacing w:line="360" w:lineRule="auto"/>
              <w:jc w:val="center"/>
              <w:rPr>
                <w:rFonts w:hint="eastAsia" w:ascii="宋体" w:hAnsi="宋体" w:cs="宋体"/>
                <w:color w:val="000000"/>
                <w:szCs w:val="21"/>
                <w:highlight w:val="none"/>
              </w:rPr>
            </w:pPr>
          </w:p>
        </w:tc>
        <w:tc>
          <w:tcPr>
            <w:tcW w:w="1279" w:type="pct"/>
            <w:noWrap w:val="0"/>
            <w:vAlign w:val="center"/>
          </w:tcPr>
          <w:p w14:paraId="3799A4B5">
            <w:pPr>
              <w:keepNext/>
              <w:spacing w:line="360" w:lineRule="auto"/>
              <w:jc w:val="center"/>
              <w:rPr>
                <w:rFonts w:hint="eastAsia" w:ascii="宋体" w:hAnsi="宋体" w:cs="宋体"/>
                <w:color w:val="000000"/>
                <w:szCs w:val="21"/>
                <w:highlight w:val="none"/>
              </w:rPr>
            </w:pPr>
          </w:p>
        </w:tc>
        <w:tc>
          <w:tcPr>
            <w:tcW w:w="1153" w:type="pct"/>
            <w:noWrap w:val="0"/>
            <w:vAlign w:val="top"/>
          </w:tcPr>
          <w:p w14:paraId="32298BEA">
            <w:pPr>
              <w:keepNext/>
              <w:spacing w:line="360" w:lineRule="auto"/>
              <w:jc w:val="center"/>
              <w:rPr>
                <w:rFonts w:hint="eastAsia" w:ascii="宋体" w:hAnsi="宋体" w:cs="宋体"/>
                <w:color w:val="000000"/>
                <w:szCs w:val="21"/>
                <w:highlight w:val="none"/>
              </w:rPr>
            </w:pPr>
          </w:p>
        </w:tc>
      </w:tr>
      <w:tr w14:paraId="6BFF0A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tcBorders>
              <w:bottom w:val="single" w:color="auto" w:sz="12" w:space="0"/>
            </w:tcBorders>
            <w:noWrap w:val="0"/>
            <w:vAlign w:val="center"/>
          </w:tcPr>
          <w:p w14:paraId="72F9BC1F">
            <w:pPr>
              <w:keepNext/>
              <w:spacing w:line="360" w:lineRule="auto"/>
              <w:jc w:val="center"/>
              <w:rPr>
                <w:rFonts w:hint="eastAsia" w:ascii="宋体" w:hAnsi="宋体" w:cs="宋体"/>
                <w:color w:val="000000"/>
                <w:szCs w:val="21"/>
                <w:highlight w:val="none"/>
              </w:rPr>
            </w:pPr>
          </w:p>
        </w:tc>
        <w:tc>
          <w:tcPr>
            <w:tcW w:w="627" w:type="pct"/>
            <w:tcBorders>
              <w:bottom w:val="single" w:color="auto" w:sz="12" w:space="0"/>
            </w:tcBorders>
            <w:noWrap w:val="0"/>
            <w:vAlign w:val="center"/>
          </w:tcPr>
          <w:p w14:paraId="2F373EB0">
            <w:pPr>
              <w:keepNext/>
              <w:spacing w:line="360" w:lineRule="auto"/>
              <w:jc w:val="center"/>
              <w:rPr>
                <w:rFonts w:hint="eastAsia" w:ascii="宋体" w:hAnsi="宋体" w:cs="宋体"/>
                <w:color w:val="000000"/>
                <w:szCs w:val="21"/>
                <w:highlight w:val="none"/>
              </w:rPr>
            </w:pPr>
          </w:p>
        </w:tc>
        <w:tc>
          <w:tcPr>
            <w:tcW w:w="502" w:type="pct"/>
            <w:tcBorders>
              <w:bottom w:val="single" w:color="auto" w:sz="12" w:space="0"/>
            </w:tcBorders>
            <w:noWrap w:val="0"/>
            <w:vAlign w:val="center"/>
          </w:tcPr>
          <w:p w14:paraId="6A55EC6E">
            <w:pPr>
              <w:keepNext/>
              <w:spacing w:line="360" w:lineRule="auto"/>
              <w:jc w:val="center"/>
              <w:rPr>
                <w:rFonts w:hint="eastAsia" w:ascii="宋体" w:hAnsi="宋体" w:cs="宋体"/>
                <w:color w:val="000000"/>
                <w:szCs w:val="21"/>
                <w:highlight w:val="none"/>
              </w:rPr>
            </w:pPr>
          </w:p>
        </w:tc>
        <w:tc>
          <w:tcPr>
            <w:tcW w:w="502" w:type="pct"/>
            <w:tcBorders>
              <w:bottom w:val="single" w:color="auto" w:sz="12" w:space="0"/>
            </w:tcBorders>
            <w:noWrap w:val="0"/>
            <w:vAlign w:val="center"/>
          </w:tcPr>
          <w:p w14:paraId="0B4276B8">
            <w:pPr>
              <w:keepNext/>
              <w:spacing w:line="360" w:lineRule="auto"/>
              <w:jc w:val="center"/>
              <w:rPr>
                <w:rFonts w:hint="eastAsia" w:ascii="宋体" w:hAnsi="宋体" w:cs="宋体"/>
                <w:color w:val="000000"/>
                <w:szCs w:val="21"/>
                <w:highlight w:val="none"/>
              </w:rPr>
            </w:pPr>
          </w:p>
        </w:tc>
        <w:tc>
          <w:tcPr>
            <w:tcW w:w="1279" w:type="pct"/>
            <w:tcBorders>
              <w:bottom w:val="single" w:color="auto" w:sz="12" w:space="0"/>
            </w:tcBorders>
            <w:noWrap w:val="0"/>
            <w:vAlign w:val="center"/>
          </w:tcPr>
          <w:p w14:paraId="7E291446">
            <w:pPr>
              <w:keepNext/>
              <w:spacing w:line="360" w:lineRule="auto"/>
              <w:jc w:val="center"/>
              <w:rPr>
                <w:rFonts w:hint="eastAsia" w:ascii="宋体" w:hAnsi="宋体" w:cs="宋体"/>
                <w:color w:val="000000"/>
                <w:szCs w:val="21"/>
                <w:highlight w:val="none"/>
              </w:rPr>
            </w:pPr>
          </w:p>
        </w:tc>
        <w:tc>
          <w:tcPr>
            <w:tcW w:w="1153" w:type="pct"/>
            <w:tcBorders>
              <w:bottom w:val="single" w:color="auto" w:sz="12" w:space="0"/>
            </w:tcBorders>
            <w:noWrap w:val="0"/>
            <w:vAlign w:val="top"/>
          </w:tcPr>
          <w:p w14:paraId="4C689BF9">
            <w:pPr>
              <w:keepNext/>
              <w:spacing w:line="360" w:lineRule="auto"/>
              <w:jc w:val="center"/>
              <w:rPr>
                <w:rFonts w:hint="eastAsia" w:ascii="宋体" w:hAnsi="宋体" w:cs="宋体"/>
                <w:color w:val="000000"/>
                <w:szCs w:val="21"/>
                <w:highlight w:val="none"/>
              </w:rPr>
            </w:pPr>
          </w:p>
        </w:tc>
      </w:tr>
    </w:tbl>
    <w:p w14:paraId="73022C1E">
      <w:pPr>
        <w:rPr>
          <w:rFonts w:hint="eastAsia" w:ascii="宋体" w:hAnsi="宋体" w:cs="宋体"/>
          <w:bCs/>
          <w:color w:val="000000"/>
          <w:sz w:val="24"/>
          <w:highlight w:val="none"/>
        </w:rPr>
      </w:pPr>
      <w:r>
        <w:rPr>
          <w:rFonts w:hint="eastAsia" w:ascii="宋体" w:hAnsi="宋体" w:cs="宋体"/>
          <w:bCs/>
          <w:color w:val="000000"/>
          <w:sz w:val="24"/>
          <w:highlight w:val="none"/>
        </w:rPr>
        <w:br w:type="page"/>
      </w:r>
    </w:p>
    <w:p w14:paraId="079751E1">
      <w:pPr>
        <w:tabs>
          <w:tab w:val="left" w:pos="2820"/>
        </w:tabs>
        <w:outlineLvl w:val="2"/>
        <w:rPr>
          <w:rFonts w:hint="eastAsia" w:ascii="宋体" w:hAnsi="宋体" w:cs="宋体"/>
          <w:sz w:val="32"/>
          <w:szCs w:val="44"/>
          <w:highlight w:val="none"/>
        </w:rPr>
      </w:pPr>
      <w:r>
        <w:rPr>
          <w:rFonts w:hint="eastAsia" w:ascii="宋体" w:hAnsi="宋体" w:cs="宋体"/>
          <w:bCs/>
          <w:color w:val="000000"/>
          <w:sz w:val="24"/>
          <w:highlight w:val="none"/>
        </w:rPr>
        <w:t>附件</w:t>
      </w:r>
      <w:r>
        <w:rPr>
          <w:rFonts w:hint="eastAsia" w:ascii="宋体" w:hAnsi="宋体" w:cs="宋体"/>
          <w:bCs/>
          <w:color w:val="000000"/>
          <w:sz w:val="24"/>
          <w:highlight w:val="none"/>
          <w:lang w:val="en-US" w:eastAsia="zh-CN"/>
        </w:rPr>
        <w:t>5</w:t>
      </w:r>
      <w:bookmarkEnd w:id="900"/>
    </w:p>
    <w:p w14:paraId="217E2009">
      <w:pPr>
        <w:adjustRightInd w:val="0"/>
        <w:snapToGrid w:val="0"/>
        <w:spacing w:line="360" w:lineRule="auto"/>
        <w:jc w:val="center"/>
        <w:rPr>
          <w:rFonts w:hint="eastAsia" w:ascii="宋体" w:hAnsi="宋体" w:cs="宋体"/>
          <w:b/>
          <w:color w:val="000000"/>
          <w:sz w:val="32"/>
          <w:szCs w:val="32"/>
          <w:highlight w:val="none"/>
        </w:rPr>
      </w:pPr>
      <w:bookmarkStart w:id="908" w:name="_Toc20282"/>
      <w:bookmarkStart w:id="909" w:name="_Toc19059"/>
      <w:bookmarkStart w:id="910" w:name="_Toc95223514"/>
    </w:p>
    <w:p w14:paraId="4CCBDF1D">
      <w:pPr>
        <w:adjustRightInd w:val="0"/>
        <w:snapToGrid w:val="0"/>
        <w:spacing w:line="360" w:lineRule="auto"/>
        <w:jc w:val="center"/>
        <w:rPr>
          <w:rFonts w:hint="eastAsia" w:ascii="宋体" w:hAnsi="宋体" w:cs="宋体"/>
          <w:b/>
          <w:color w:val="000000"/>
          <w:sz w:val="32"/>
          <w:szCs w:val="32"/>
          <w:highlight w:val="none"/>
        </w:rPr>
      </w:pPr>
      <w:r>
        <w:rPr>
          <w:rFonts w:hint="eastAsia" w:ascii="宋体" w:hAnsi="宋体" w:cs="宋体"/>
          <w:b/>
          <w:color w:val="000000"/>
          <w:sz w:val="32"/>
          <w:szCs w:val="32"/>
          <w:highlight w:val="none"/>
        </w:rPr>
        <w:t>项目经理质量终身责任制承诺</w:t>
      </w:r>
      <w:bookmarkEnd w:id="908"/>
      <w:bookmarkEnd w:id="909"/>
      <w:bookmarkEnd w:id="910"/>
    </w:p>
    <w:p w14:paraId="607F0F61">
      <w:pPr>
        <w:adjustRightInd w:val="0"/>
        <w:snapToGrid w:val="0"/>
        <w:spacing w:line="360" w:lineRule="auto"/>
        <w:rPr>
          <w:rFonts w:hint="eastAsia" w:ascii="宋体" w:hAnsi="宋体" w:cs="宋体"/>
          <w:bCs/>
          <w:color w:val="000000"/>
          <w:sz w:val="24"/>
          <w:szCs w:val="21"/>
          <w:highlight w:val="none"/>
        </w:rPr>
      </w:pPr>
    </w:p>
    <w:p w14:paraId="1E0845A8">
      <w:pPr>
        <w:adjustRightInd w:val="0"/>
        <w:snapToGrid w:val="0"/>
        <w:spacing w:line="360" w:lineRule="auto"/>
        <w:rPr>
          <w:rFonts w:hint="eastAsia" w:ascii="宋体" w:hAnsi="宋体" w:cs="宋体"/>
          <w:bCs/>
          <w:color w:val="000000"/>
          <w:sz w:val="24"/>
          <w:szCs w:val="21"/>
          <w:highlight w:val="none"/>
        </w:rPr>
      </w:pPr>
      <w:r>
        <w:rPr>
          <w:rFonts w:hint="eastAsia" w:ascii="宋体" w:hAnsi="宋体" w:cs="宋体"/>
          <w:bCs/>
          <w:color w:val="000000"/>
          <w:sz w:val="24"/>
          <w:szCs w:val="21"/>
          <w:highlight w:val="none"/>
        </w:rPr>
        <w:t>致：______________(招标人名称)</w:t>
      </w:r>
    </w:p>
    <w:p w14:paraId="57F245E3">
      <w:pPr>
        <w:adjustRightInd w:val="0"/>
        <w:snapToGrid w:val="0"/>
        <w:spacing w:line="360" w:lineRule="auto"/>
        <w:ind w:firstLine="480" w:firstLineChars="200"/>
        <w:rPr>
          <w:rFonts w:hint="eastAsia" w:ascii="宋体" w:hAnsi="宋体" w:cs="宋体"/>
          <w:bCs/>
          <w:color w:val="000000"/>
          <w:sz w:val="24"/>
          <w:szCs w:val="21"/>
          <w:highlight w:val="none"/>
        </w:rPr>
      </w:pPr>
      <w:r>
        <w:rPr>
          <w:rFonts w:hint="eastAsia" w:ascii="宋体" w:hAnsi="宋体" w:cs="宋体"/>
          <w:bCs/>
          <w:color w:val="000000"/>
          <w:sz w:val="24"/>
          <w:szCs w:val="21"/>
          <w:highlight w:val="none"/>
        </w:rPr>
        <w:t>本人作为拟委任的施工项目经理，承担相关质量终身责任，现郑重承诺如下：</w:t>
      </w:r>
    </w:p>
    <w:p w14:paraId="1EFA0257">
      <w:pPr>
        <w:adjustRightInd w:val="0"/>
        <w:snapToGrid w:val="0"/>
        <w:spacing w:line="360" w:lineRule="auto"/>
        <w:ind w:firstLine="480" w:firstLineChars="200"/>
        <w:rPr>
          <w:rFonts w:hint="eastAsia" w:ascii="宋体" w:hAnsi="宋体" w:cs="宋体"/>
          <w:bCs/>
          <w:color w:val="000000"/>
          <w:sz w:val="24"/>
          <w:szCs w:val="21"/>
          <w:highlight w:val="none"/>
        </w:rPr>
      </w:pPr>
      <w:r>
        <w:rPr>
          <w:rFonts w:hint="eastAsia" w:ascii="宋体" w:hAnsi="宋体" w:cs="宋体"/>
          <w:bCs/>
          <w:color w:val="000000"/>
          <w:sz w:val="24"/>
          <w:szCs w:val="21"/>
          <w:highlight w:val="none"/>
        </w:rPr>
        <w:t>一、在取得施工许可证后进行施工。</w:t>
      </w:r>
    </w:p>
    <w:p w14:paraId="774C4D1A">
      <w:pPr>
        <w:adjustRightInd w:val="0"/>
        <w:snapToGrid w:val="0"/>
        <w:spacing w:line="360" w:lineRule="auto"/>
        <w:ind w:firstLine="480" w:firstLineChars="200"/>
        <w:rPr>
          <w:rFonts w:hint="eastAsia" w:ascii="宋体" w:hAnsi="宋体" w:cs="宋体"/>
          <w:bCs/>
          <w:color w:val="000000"/>
          <w:sz w:val="24"/>
          <w:szCs w:val="21"/>
          <w:highlight w:val="none"/>
        </w:rPr>
      </w:pPr>
      <w:r>
        <w:rPr>
          <w:rFonts w:hint="eastAsia" w:ascii="宋体" w:hAnsi="宋体" w:cs="宋体"/>
          <w:bCs/>
          <w:color w:val="000000"/>
          <w:sz w:val="24"/>
          <w:szCs w:val="21"/>
          <w:highlight w:val="none"/>
        </w:rPr>
        <w:t>二、严格执行施工规范及标准。</w:t>
      </w:r>
    </w:p>
    <w:p w14:paraId="1F67705D">
      <w:pPr>
        <w:adjustRightInd w:val="0"/>
        <w:snapToGrid w:val="0"/>
        <w:spacing w:line="360" w:lineRule="auto"/>
        <w:ind w:firstLine="480" w:firstLineChars="200"/>
        <w:rPr>
          <w:rFonts w:hint="eastAsia" w:ascii="宋体" w:hAnsi="宋体" w:cs="宋体"/>
          <w:bCs/>
          <w:color w:val="000000"/>
          <w:sz w:val="24"/>
          <w:szCs w:val="21"/>
          <w:highlight w:val="none"/>
        </w:rPr>
      </w:pPr>
      <w:r>
        <w:rPr>
          <w:rFonts w:hint="eastAsia" w:ascii="宋体" w:hAnsi="宋体" w:cs="宋体"/>
          <w:bCs/>
          <w:color w:val="000000"/>
          <w:sz w:val="24"/>
          <w:szCs w:val="21"/>
          <w:highlight w:val="none"/>
        </w:rPr>
        <w:t>三、严格按规定配备施工项目部关键岗位人员，并确保所有人员到岗履职。</w:t>
      </w:r>
    </w:p>
    <w:p w14:paraId="59EBB8B8">
      <w:pPr>
        <w:adjustRightInd w:val="0"/>
        <w:snapToGrid w:val="0"/>
        <w:spacing w:line="360" w:lineRule="auto"/>
        <w:ind w:firstLine="480" w:firstLineChars="200"/>
        <w:rPr>
          <w:rFonts w:hint="eastAsia" w:ascii="宋体" w:hAnsi="宋体" w:cs="宋体"/>
          <w:bCs/>
          <w:color w:val="000000"/>
          <w:sz w:val="24"/>
          <w:szCs w:val="21"/>
          <w:highlight w:val="none"/>
        </w:rPr>
      </w:pPr>
      <w:r>
        <w:rPr>
          <w:rFonts w:hint="eastAsia" w:ascii="宋体" w:hAnsi="宋体" w:cs="宋体"/>
          <w:bCs/>
          <w:color w:val="000000"/>
          <w:sz w:val="24"/>
          <w:szCs w:val="21"/>
          <w:highlight w:val="none"/>
        </w:rPr>
        <w:t>四、严格按照经施工图审查机构审查合格的工程设计文件及合同约定的质量标准精心组织施工。</w:t>
      </w:r>
    </w:p>
    <w:p w14:paraId="03A441E9">
      <w:pPr>
        <w:adjustRightInd w:val="0"/>
        <w:snapToGrid w:val="0"/>
        <w:spacing w:line="360" w:lineRule="auto"/>
        <w:ind w:firstLine="480" w:firstLineChars="200"/>
        <w:rPr>
          <w:rFonts w:hint="eastAsia" w:ascii="宋体" w:hAnsi="宋体" w:cs="宋体"/>
          <w:bCs/>
          <w:color w:val="000000"/>
          <w:sz w:val="24"/>
          <w:szCs w:val="21"/>
          <w:highlight w:val="none"/>
        </w:rPr>
      </w:pPr>
      <w:r>
        <w:rPr>
          <w:rFonts w:hint="eastAsia" w:ascii="宋体" w:hAnsi="宋体" w:cs="宋体"/>
          <w:bCs/>
          <w:color w:val="000000"/>
          <w:sz w:val="24"/>
          <w:szCs w:val="21"/>
          <w:highlight w:val="none"/>
        </w:rPr>
        <w:t>五、施工中采用合格的建筑材料、建筑构配件和设备等，并严格按规定执行见证取样制度。</w:t>
      </w:r>
    </w:p>
    <w:p w14:paraId="67FF5592">
      <w:pPr>
        <w:adjustRightInd w:val="0"/>
        <w:snapToGrid w:val="0"/>
        <w:spacing w:line="360" w:lineRule="auto"/>
        <w:ind w:firstLine="480" w:firstLineChars="200"/>
        <w:rPr>
          <w:rFonts w:hint="eastAsia" w:ascii="宋体" w:hAnsi="宋体" w:cs="宋体"/>
          <w:bCs/>
          <w:color w:val="000000"/>
          <w:sz w:val="24"/>
          <w:szCs w:val="21"/>
          <w:highlight w:val="none"/>
        </w:rPr>
      </w:pPr>
      <w:r>
        <w:rPr>
          <w:rFonts w:hint="eastAsia" w:ascii="宋体" w:hAnsi="宋体" w:cs="宋体"/>
          <w:bCs/>
          <w:color w:val="000000"/>
          <w:sz w:val="24"/>
          <w:szCs w:val="21"/>
          <w:highlight w:val="none"/>
        </w:rPr>
        <w:t>六、建立、健全质量检查、验收制度，严格工序管理，做好隐蔽工程质量的检查和记录。</w:t>
      </w:r>
    </w:p>
    <w:p w14:paraId="14939162">
      <w:pPr>
        <w:adjustRightInd w:val="0"/>
        <w:snapToGrid w:val="0"/>
        <w:spacing w:line="360" w:lineRule="auto"/>
        <w:ind w:firstLine="480" w:firstLineChars="200"/>
        <w:rPr>
          <w:rFonts w:hint="eastAsia" w:ascii="宋体" w:hAnsi="宋体" w:cs="宋体"/>
          <w:bCs/>
          <w:color w:val="000000"/>
          <w:sz w:val="24"/>
          <w:szCs w:val="21"/>
          <w:highlight w:val="none"/>
        </w:rPr>
      </w:pPr>
      <w:r>
        <w:rPr>
          <w:rFonts w:hint="eastAsia" w:ascii="宋体" w:hAnsi="宋体" w:cs="宋体"/>
          <w:bCs/>
          <w:color w:val="000000"/>
          <w:sz w:val="24"/>
          <w:szCs w:val="21"/>
          <w:highlight w:val="none"/>
        </w:rPr>
        <w:t>七、对施工中出现的质量问题，及时进行整改。严格依法依规履行义务。</w:t>
      </w:r>
    </w:p>
    <w:p w14:paraId="3376852A">
      <w:pPr>
        <w:adjustRightInd w:val="0"/>
        <w:snapToGrid w:val="0"/>
        <w:spacing w:line="360" w:lineRule="auto"/>
        <w:ind w:firstLine="480" w:firstLineChars="200"/>
        <w:rPr>
          <w:rFonts w:hint="eastAsia" w:ascii="宋体" w:hAnsi="宋体" w:cs="宋体"/>
          <w:bCs/>
          <w:color w:val="000000"/>
          <w:sz w:val="24"/>
          <w:szCs w:val="21"/>
          <w:highlight w:val="none"/>
        </w:rPr>
      </w:pPr>
      <w:r>
        <w:rPr>
          <w:rFonts w:hint="eastAsia" w:ascii="宋体" w:hAnsi="宋体" w:cs="宋体"/>
          <w:bCs/>
          <w:color w:val="000000"/>
          <w:sz w:val="24"/>
          <w:szCs w:val="21"/>
          <w:highlight w:val="none"/>
        </w:rPr>
        <w:t>八、履行相关工程质量检查、验收及事故处理等职责。</w:t>
      </w:r>
    </w:p>
    <w:p w14:paraId="203A7B2D">
      <w:pPr>
        <w:adjustRightInd w:val="0"/>
        <w:snapToGrid w:val="0"/>
        <w:spacing w:line="360" w:lineRule="auto"/>
        <w:ind w:firstLine="480" w:firstLineChars="200"/>
        <w:rPr>
          <w:rFonts w:hint="eastAsia" w:ascii="宋体" w:hAnsi="宋体" w:cs="宋体"/>
          <w:bCs/>
          <w:color w:val="000000"/>
          <w:sz w:val="24"/>
          <w:szCs w:val="21"/>
          <w:highlight w:val="none"/>
        </w:rPr>
      </w:pPr>
      <w:r>
        <w:rPr>
          <w:rFonts w:hint="eastAsia" w:ascii="宋体" w:hAnsi="宋体" w:cs="宋体"/>
          <w:bCs/>
          <w:color w:val="000000"/>
          <w:sz w:val="24"/>
          <w:szCs w:val="21"/>
          <w:highlight w:val="none"/>
        </w:rPr>
        <w:t>九、履行其他法律法规规定的职责。</w:t>
      </w:r>
    </w:p>
    <w:p w14:paraId="6C35E2F0">
      <w:pPr>
        <w:spacing w:line="360" w:lineRule="auto"/>
        <w:ind w:left="359" w:leftChars="171" w:firstLine="720" w:firstLineChars="300"/>
        <w:rPr>
          <w:rFonts w:hint="eastAsia" w:ascii="宋体" w:hAnsi="宋体" w:cs="宋体"/>
          <w:bCs/>
          <w:color w:val="000000"/>
          <w:sz w:val="24"/>
          <w:szCs w:val="21"/>
          <w:highlight w:val="none"/>
        </w:rPr>
      </w:pPr>
    </w:p>
    <w:p w14:paraId="044DFED7">
      <w:pPr>
        <w:spacing w:line="360" w:lineRule="auto"/>
        <w:ind w:left="359" w:leftChars="171" w:firstLine="720" w:firstLineChars="300"/>
        <w:rPr>
          <w:rFonts w:hint="eastAsia" w:ascii="宋体" w:hAnsi="宋体" w:cs="宋体"/>
          <w:bCs/>
          <w:color w:val="000000"/>
          <w:sz w:val="24"/>
          <w:szCs w:val="21"/>
          <w:highlight w:val="none"/>
        </w:rPr>
      </w:pPr>
    </w:p>
    <w:p w14:paraId="61F436CC">
      <w:pPr>
        <w:spacing w:line="360" w:lineRule="auto"/>
        <w:ind w:left="359" w:leftChars="171" w:firstLine="720" w:firstLineChars="300"/>
        <w:jc w:val="right"/>
        <w:rPr>
          <w:rFonts w:hint="eastAsia" w:ascii="宋体" w:hAnsi="宋体" w:cs="宋体"/>
          <w:bCs/>
          <w:color w:val="000000"/>
          <w:sz w:val="24"/>
          <w:szCs w:val="21"/>
          <w:highlight w:val="none"/>
        </w:rPr>
      </w:pPr>
      <w:r>
        <w:rPr>
          <w:rFonts w:hint="eastAsia" w:ascii="宋体" w:hAnsi="宋体" w:cs="宋体"/>
          <w:bCs/>
          <w:color w:val="000000"/>
          <w:sz w:val="24"/>
          <w:szCs w:val="21"/>
          <w:highlight w:val="none"/>
        </w:rPr>
        <w:t>项目经理：</w:t>
      </w:r>
      <w:r>
        <w:rPr>
          <w:rFonts w:hint="eastAsia" w:ascii="宋体" w:hAnsi="宋体" w:cs="宋体"/>
          <w:bCs/>
          <w:color w:val="000000"/>
          <w:sz w:val="24"/>
          <w:szCs w:val="21"/>
          <w:highlight w:val="none"/>
          <w:u w:val="single"/>
        </w:rPr>
        <w:t xml:space="preserve">                   </w:t>
      </w:r>
      <w:r>
        <w:rPr>
          <w:rFonts w:hint="eastAsia" w:ascii="宋体" w:hAnsi="宋体" w:cs="宋体"/>
          <w:bCs/>
          <w:color w:val="000000"/>
          <w:sz w:val="24"/>
          <w:szCs w:val="21"/>
          <w:highlight w:val="none"/>
        </w:rPr>
        <w:t>（签字）</w:t>
      </w:r>
    </w:p>
    <w:p w14:paraId="6209D641">
      <w:pPr>
        <w:pStyle w:val="14"/>
        <w:ind w:firstLine="480"/>
        <w:jc w:val="right"/>
        <w:rPr>
          <w:rFonts w:hint="eastAsia" w:ascii="宋体" w:hAnsi="宋体" w:cs="宋体"/>
          <w:bCs/>
          <w:color w:val="000000"/>
          <w:sz w:val="24"/>
          <w:szCs w:val="21"/>
          <w:highlight w:val="none"/>
        </w:rPr>
      </w:pPr>
      <w:r>
        <w:rPr>
          <w:rFonts w:hint="eastAsia" w:ascii="宋体" w:hAnsi="宋体" w:cs="宋体"/>
          <w:bCs/>
          <w:color w:val="000000"/>
          <w:sz w:val="24"/>
          <w:szCs w:val="21"/>
          <w:highlight w:val="none"/>
        </w:rPr>
        <w:t>日期：_____年____月____日</w:t>
      </w:r>
    </w:p>
    <w:p w14:paraId="38F7EA0E">
      <w:pPr>
        <w:spacing w:line="360" w:lineRule="auto"/>
        <w:rPr>
          <w:rFonts w:hint="eastAsia" w:ascii="宋体" w:hAnsi="宋体" w:cs="宋体"/>
          <w:color w:val="000000"/>
          <w:szCs w:val="21"/>
          <w:highlight w:val="none"/>
        </w:rPr>
      </w:pPr>
    </w:p>
    <w:p w14:paraId="63800E6E">
      <w:pPr>
        <w:rPr>
          <w:rFonts w:hint="eastAsia"/>
          <w:highlight w:val="none"/>
        </w:rPr>
      </w:pPr>
    </w:p>
    <w:p w14:paraId="26B5AD5D">
      <w:pPr>
        <w:pStyle w:val="14"/>
        <w:rPr>
          <w:rFonts w:hint="eastAsia"/>
          <w:highlight w:val="none"/>
        </w:rPr>
      </w:pPr>
    </w:p>
    <w:p w14:paraId="56AC9468">
      <w:pPr>
        <w:rPr>
          <w:rFonts w:hint="eastAsia"/>
          <w:highlight w:val="none"/>
        </w:rPr>
      </w:pPr>
    </w:p>
    <w:p w14:paraId="0A5802DA">
      <w:pPr>
        <w:pStyle w:val="14"/>
        <w:rPr>
          <w:rFonts w:hint="eastAsia"/>
          <w:highlight w:val="none"/>
        </w:rPr>
      </w:pPr>
    </w:p>
    <w:p w14:paraId="1BFB17F1">
      <w:pPr>
        <w:rPr>
          <w:rFonts w:hint="eastAsia"/>
          <w:highlight w:val="none"/>
        </w:rPr>
      </w:pPr>
    </w:p>
    <w:p w14:paraId="13205218">
      <w:pPr>
        <w:pStyle w:val="14"/>
        <w:rPr>
          <w:rFonts w:hint="eastAsia"/>
          <w:highlight w:val="none"/>
        </w:rPr>
      </w:pPr>
    </w:p>
    <w:p w14:paraId="74A8E635">
      <w:pPr>
        <w:rPr>
          <w:rFonts w:hint="eastAsia"/>
          <w:highlight w:val="none"/>
        </w:rPr>
      </w:pPr>
    </w:p>
    <w:p w14:paraId="4C2A5DB5">
      <w:pPr>
        <w:rPr>
          <w:rFonts w:hint="eastAsia"/>
          <w:highlight w:val="none"/>
        </w:rPr>
      </w:pPr>
      <w:r>
        <w:rPr>
          <w:rFonts w:hint="eastAsia"/>
          <w:highlight w:val="none"/>
        </w:rPr>
        <w:br w:type="page"/>
      </w:r>
    </w:p>
    <w:p w14:paraId="6658E593">
      <w:pPr>
        <w:rPr>
          <w:rFonts w:hint="eastAsia"/>
          <w:highlight w:val="none"/>
        </w:rPr>
      </w:pPr>
    </w:p>
    <w:p w14:paraId="5DB0321E">
      <w:pPr>
        <w:keepNext/>
        <w:keepLines/>
        <w:spacing w:line="360" w:lineRule="auto"/>
        <w:jc w:val="both"/>
        <w:outlineLvl w:val="0"/>
        <w:rPr>
          <w:rFonts w:hint="eastAsia" w:ascii="宋体" w:hAnsi="宋体" w:cs="宋体"/>
          <w:bCs/>
          <w:color w:val="auto"/>
          <w:kern w:val="44"/>
          <w:sz w:val="36"/>
          <w:szCs w:val="36"/>
          <w:highlight w:val="none"/>
        </w:rPr>
      </w:pPr>
      <w:bookmarkStart w:id="911" w:name="_Toc95223515"/>
      <w:bookmarkStart w:id="912" w:name="_Toc4767"/>
    </w:p>
    <w:p w14:paraId="31218525">
      <w:pPr>
        <w:keepNext/>
        <w:keepLines/>
        <w:numPr>
          <w:ilvl w:val="0"/>
          <w:numId w:val="6"/>
        </w:numPr>
        <w:spacing w:line="360" w:lineRule="auto"/>
        <w:jc w:val="center"/>
        <w:outlineLvl w:val="0"/>
        <w:rPr>
          <w:rFonts w:hint="eastAsia" w:ascii="宋体" w:hAnsi="宋体" w:eastAsia="宋体" w:cs="宋体"/>
          <w:b/>
          <w:bCs/>
          <w:color w:val="auto"/>
          <w:kern w:val="44"/>
          <w:sz w:val="32"/>
          <w:szCs w:val="44"/>
          <w:highlight w:val="none"/>
          <w:lang w:val="en-US" w:eastAsia="zh-CN"/>
        </w:rPr>
      </w:pPr>
      <w:r>
        <w:rPr>
          <w:rFonts w:hint="eastAsia" w:ascii="宋体" w:hAnsi="宋体" w:eastAsia="宋体" w:cs="宋体"/>
          <w:b/>
          <w:bCs/>
          <w:color w:val="auto"/>
          <w:kern w:val="44"/>
          <w:sz w:val="32"/>
          <w:szCs w:val="44"/>
          <w:highlight w:val="none"/>
        </w:rPr>
        <w:t>工程量清单</w:t>
      </w:r>
      <w:bookmarkEnd w:id="911"/>
      <w:bookmarkEnd w:id="912"/>
    </w:p>
    <w:p w14:paraId="40D476B4">
      <w:pPr>
        <w:adjustRightInd w:val="0"/>
        <w:snapToGrid w:val="0"/>
        <w:spacing w:line="360" w:lineRule="auto"/>
        <w:ind w:firstLine="840" w:firstLineChars="400"/>
        <w:jc w:val="center"/>
        <w:rPr>
          <w:rFonts w:hint="eastAsia" w:ascii="宋体" w:hAnsi="宋体" w:eastAsia="宋体" w:cs="宋体"/>
          <w:color w:val="auto"/>
          <w:szCs w:val="21"/>
          <w:highlight w:val="none"/>
          <w:lang w:eastAsia="zh-CN"/>
        </w:rPr>
      </w:pPr>
      <w:r>
        <w:rPr>
          <w:rFonts w:hint="eastAsia" w:ascii="宋体" w:hAnsi="宋体" w:cs="宋体"/>
          <w:color w:val="000000"/>
          <w:szCs w:val="21"/>
          <w:highlight w:val="none"/>
          <w:lang w:val="en-US" w:eastAsia="zh-CN"/>
        </w:rPr>
        <w:t>另附</w:t>
      </w:r>
      <w:r>
        <w:rPr>
          <w:rFonts w:hint="eastAsia" w:ascii="宋体" w:hAnsi="宋体" w:cs="宋体"/>
          <w:color w:val="000000"/>
          <w:szCs w:val="21"/>
          <w:highlight w:val="none"/>
          <w:lang w:eastAsia="zh-CN"/>
        </w:rPr>
        <w:t>。</w:t>
      </w:r>
    </w:p>
    <w:p w14:paraId="62B3E90A">
      <w:pPr>
        <w:rPr>
          <w:rFonts w:hint="eastAsia" w:ascii="宋体" w:hAnsi="宋体" w:cs="宋体"/>
          <w:b/>
          <w:color w:val="auto"/>
          <w:highlight w:val="none"/>
        </w:rPr>
      </w:pPr>
    </w:p>
    <w:p w14:paraId="1A390433">
      <w:pPr>
        <w:keepNext/>
        <w:keepLines/>
        <w:numPr>
          <w:ilvl w:val="0"/>
          <w:numId w:val="6"/>
        </w:numPr>
        <w:spacing w:line="360" w:lineRule="auto"/>
        <w:jc w:val="center"/>
        <w:outlineLvl w:val="0"/>
        <w:rPr>
          <w:rFonts w:hint="eastAsia" w:ascii="宋体" w:hAnsi="宋体" w:eastAsia="宋体" w:cs="宋体"/>
          <w:b/>
          <w:bCs/>
          <w:color w:val="auto"/>
          <w:kern w:val="44"/>
          <w:sz w:val="32"/>
          <w:szCs w:val="44"/>
          <w:highlight w:val="none"/>
        </w:rPr>
      </w:pPr>
      <w:bookmarkStart w:id="913" w:name="_Toc95223522"/>
      <w:bookmarkStart w:id="914" w:name="_Toc10656"/>
      <w:r>
        <w:rPr>
          <w:rFonts w:hint="eastAsia" w:ascii="宋体" w:hAnsi="宋体" w:eastAsia="宋体" w:cs="宋体"/>
          <w:b/>
          <w:bCs/>
          <w:color w:val="auto"/>
          <w:kern w:val="44"/>
          <w:sz w:val="32"/>
          <w:szCs w:val="44"/>
          <w:highlight w:val="none"/>
        </w:rPr>
        <w:t>图纸</w:t>
      </w:r>
      <w:bookmarkEnd w:id="913"/>
      <w:bookmarkEnd w:id="914"/>
      <w:bookmarkStart w:id="915" w:name="_Toc23955"/>
      <w:bookmarkStart w:id="916" w:name="_Toc95223524"/>
    </w:p>
    <w:p w14:paraId="7CE0814A">
      <w:pPr>
        <w:numPr>
          <w:ilvl w:val="0"/>
          <w:numId w:val="0"/>
        </w:numPr>
        <w:jc w:val="center"/>
        <w:outlineLvl w:val="1"/>
        <w:rPr>
          <w:rFonts w:hint="eastAsia" w:ascii="宋体" w:hAnsi="宋体" w:cs="宋体"/>
          <w:color w:val="auto"/>
          <w:highlight w:val="none"/>
        </w:rPr>
      </w:pPr>
      <w:r>
        <w:rPr>
          <w:rFonts w:hint="eastAsia" w:ascii="宋体" w:hAnsi="宋体" w:cs="宋体"/>
          <w:color w:val="auto"/>
          <w:highlight w:val="none"/>
          <w:lang w:val="en-US" w:eastAsia="zh-CN"/>
        </w:rPr>
        <w:t xml:space="preserve">        </w:t>
      </w:r>
      <w:r>
        <w:rPr>
          <w:rFonts w:hint="eastAsia" w:ascii="宋体" w:hAnsi="宋体" w:cs="宋体"/>
          <w:color w:val="auto"/>
          <w:highlight w:val="none"/>
        </w:rPr>
        <w:t>另</w:t>
      </w:r>
      <w:r>
        <w:rPr>
          <w:rFonts w:hint="eastAsia" w:ascii="宋体" w:hAnsi="宋体" w:cs="宋体"/>
          <w:color w:val="auto"/>
          <w:highlight w:val="none"/>
          <w:lang w:val="en-US" w:eastAsia="zh-CN"/>
        </w:rPr>
        <w:t>附</w:t>
      </w:r>
      <w:bookmarkEnd w:id="915"/>
      <w:bookmarkEnd w:id="916"/>
      <w:r>
        <w:rPr>
          <w:rFonts w:hint="eastAsia" w:ascii="宋体" w:hAnsi="宋体" w:cs="宋体"/>
          <w:color w:val="auto"/>
          <w:highlight w:val="none"/>
          <w:lang w:val="en-US" w:eastAsia="zh-CN"/>
        </w:rPr>
        <w:t>。</w:t>
      </w:r>
    </w:p>
    <w:p w14:paraId="30704A67">
      <w:pPr>
        <w:rPr>
          <w:rFonts w:hint="default" w:ascii="宋体" w:hAnsi="宋体" w:eastAsia="宋体" w:cs="宋体"/>
          <w:b/>
          <w:bCs/>
          <w:color w:val="auto"/>
          <w:kern w:val="44"/>
          <w:sz w:val="32"/>
          <w:szCs w:val="44"/>
          <w:highlight w:val="none"/>
          <w:lang w:val="en-US" w:eastAsia="zh-CN"/>
        </w:rPr>
      </w:pPr>
      <w:r>
        <w:rPr>
          <w:rFonts w:hint="eastAsia" w:ascii="宋体" w:hAnsi="宋体" w:eastAsia="宋体" w:cs="宋体"/>
          <w:b/>
          <w:bCs/>
          <w:color w:val="auto"/>
          <w:kern w:val="44"/>
          <w:sz w:val="32"/>
          <w:szCs w:val="44"/>
          <w:highlight w:val="none"/>
        </w:rPr>
        <w:br w:type="page"/>
      </w:r>
    </w:p>
    <w:p w14:paraId="1D9C05F5">
      <w:pPr>
        <w:keepNext/>
        <w:keepLines/>
        <w:numPr>
          <w:ilvl w:val="0"/>
          <w:numId w:val="6"/>
        </w:numPr>
        <w:spacing w:line="360" w:lineRule="auto"/>
        <w:jc w:val="center"/>
        <w:outlineLvl w:val="0"/>
        <w:rPr>
          <w:rFonts w:hint="default" w:ascii="宋体" w:hAnsi="宋体" w:eastAsia="宋体" w:cs="宋体"/>
          <w:b/>
          <w:bCs/>
          <w:color w:val="auto"/>
          <w:kern w:val="44"/>
          <w:sz w:val="32"/>
          <w:szCs w:val="44"/>
          <w:highlight w:val="none"/>
          <w:lang w:val="en-US" w:eastAsia="zh-CN"/>
        </w:rPr>
      </w:pPr>
      <w:r>
        <w:rPr>
          <w:rFonts w:hint="eastAsia" w:ascii="宋体" w:hAnsi="宋体" w:eastAsia="宋体" w:cs="宋体"/>
          <w:b/>
          <w:bCs/>
          <w:color w:val="auto"/>
          <w:kern w:val="44"/>
          <w:sz w:val="32"/>
          <w:szCs w:val="44"/>
          <w:highlight w:val="none"/>
        </w:rPr>
        <w:t xml:space="preserve"> 技术标准和要求</w:t>
      </w:r>
    </w:p>
    <w:bookmarkEnd w:id="857"/>
    <w:bookmarkEnd w:id="858"/>
    <w:bookmarkEnd w:id="859"/>
    <w:bookmarkEnd w:id="860"/>
    <w:p w14:paraId="5E812E1E">
      <w:pPr>
        <w:pStyle w:val="20"/>
        <w:spacing w:before="182" w:line="359" w:lineRule="auto"/>
        <w:ind w:left="8" w:right="57" w:firstLine="485"/>
        <w:rPr>
          <w:rFonts w:hint="eastAsia" w:eastAsia="宋体"/>
          <w:spacing w:val="-1"/>
          <w:highlight w:val="none"/>
          <w:lang w:val="en-US" w:eastAsia="zh-CN"/>
        </w:rPr>
      </w:pPr>
      <w:bookmarkStart w:id="917" w:name="_Toc32647"/>
      <w:bookmarkStart w:id="918" w:name="_Toc95223526"/>
      <w:r>
        <w:rPr>
          <w:rFonts w:hint="eastAsia" w:eastAsia="宋体"/>
          <w:spacing w:val="-1"/>
          <w:highlight w:val="none"/>
          <w:lang w:val="en-US" w:eastAsia="zh-CN"/>
        </w:rPr>
        <w:t>1. 一般要求</w:t>
      </w:r>
      <w:bookmarkEnd w:id="917"/>
      <w:bookmarkEnd w:id="918"/>
    </w:p>
    <w:p w14:paraId="0F5A5FEC">
      <w:pPr>
        <w:pStyle w:val="20"/>
        <w:spacing w:before="182" w:line="359" w:lineRule="auto"/>
        <w:ind w:left="8" w:right="57" w:firstLine="485"/>
        <w:rPr>
          <w:rFonts w:hint="eastAsia" w:eastAsia="宋体"/>
          <w:spacing w:val="-1"/>
          <w:highlight w:val="none"/>
          <w:lang w:val="en-US" w:eastAsia="zh-CN"/>
        </w:rPr>
      </w:pPr>
      <w:r>
        <w:rPr>
          <w:rFonts w:hint="eastAsia" w:eastAsia="宋体"/>
          <w:spacing w:val="-1"/>
          <w:highlight w:val="none"/>
          <w:lang w:val="en-US" w:eastAsia="zh-CN"/>
        </w:rPr>
        <w:t xml:space="preserve"> 一、充电桩设备技术标准及要求</w:t>
      </w:r>
    </w:p>
    <w:p w14:paraId="18E6C0F1">
      <w:pPr>
        <w:pStyle w:val="20"/>
        <w:spacing w:before="182" w:line="359" w:lineRule="auto"/>
        <w:ind w:left="8" w:right="57" w:firstLine="485"/>
        <w:rPr>
          <w:rFonts w:hint="eastAsia" w:eastAsia="宋体"/>
          <w:b/>
          <w:bCs/>
          <w:spacing w:val="-1"/>
          <w:highlight w:val="none"/>
          <w:lang w:val="en-US" w:eastAsia="zh-CN"/>
        </w:rPr>
      </w:pPr>
      <w:r>
        <w:rPr>
          <w:rFonts w:hint="eastAsia" w:eastAsia="宋体"/>
          <w:b/>
          <w:bCs/>
          <w:spacing w:val="-1"/>
          <w:highlight w:val="none"/>
          <w:lang w:val="en-US" w:eastAsia="zh-CN"/>
        </w:rPr>
        <w:t>（一）采购标的需实现的功能或者目标的要求</w:t>
      </w:r>
    </w:p>
    <w:p w14:paraId="48F34808">
      <w:pPr>
        <w:pStyle w:val="20"/>
        <w:spacing w:before="182" w:line="359" w:lineRule="auto"/>
        <w:ind w:left="8" w:right="57" w:firstLine="485"/>
        <w:rPr>
          <w:rFonts w:hint="eastAsia" w:eastAsia="宋体"/>
          <w:spacing w:val="-1"/>
          <w:highlight w:val="none"/>
          <w:lang w:val="en-US" w:eastAsia="zh-CN"/>
        </w:rPr>
      </w:pPr>
      <w:r>
        <w:rPr>
          <w:rFonts w:hint="eastAsia" w:eastAsia="宋体"/>
          <w:spacing w:val="-1"/>
          <w:highlight w:val="none"/>
          <w:lang w:val="en-US" w:eastAsia="zh-CN"/>
        </w:rPr>
        <w:t>报价包括但不限于以下内容：整套设备深化设计、全套设备（含辅材、零部件）供 货、备品备件供货、运输、装卸、安装调试（含相关措施费，需派专业技术人员安装调试）、配合设备接入招标人管理平台（滁州充电）、五年质保期内免费保修及维护保养、保证所有设备正常运行等费用，培训招标人使用人员费用，以招标人名义办理的“物联卡”五年通信费用，管理费、税金、利润等本项目所有可能涉及的费用，为保证设备维护的及时性和有效性，充电模块应与充电设备为同一家生产商，提供的充电桩设备均应符合国家3C产品认证。上述如有未列出的费用，则视为已包含在合同总价内，招标人不再另行结算。</w:t>
      </w:r>
    </w:p>
    <w:p w14:paraId="10A45173">
      <w:pPr>
        <w:pStyle w:val="20"/>
        <w:spacing w:before="182" w:line="359" w:lineRule="auto"/>
        <w:ind w:left="8" w:right="57" w:firstLine="485"/>
        <w:rPr>
          <w:rFonts w:hint="eastAsia" w:eastAsia="宋体"/>
          <w:spacing w:val="-1"/>
          <w:highlight w:val="none"/>
          <w:lang w:val="en-US" w:eastAsia="zh-CN"/>
        </w:rPr>
      </w:pPr>
      <w:r>
        <w:rPr>
          <w:rFonts w:hint="eastAsia" w:eastAsia="宋体"/>
          <w:b/>
          <w:bCs/>
          <w:spacing w:val="-1"/>
          <w:highlight w:val="none"/>
          <w:lang w:val="en-US" w:eastAsia="zh-CN"/>
        </w:rPr>
        <w:t>（二）采购标的需执行的国家相关标准、行业标准、地方标准或者其他标准、规范</w:t>
      </w:r>
    </w:p>
    <w:p w14:paraId="13F08F0C">
      <w:pPr>
        <w:pStyle w:val="20"/>
        <w:spacing w:before="182" w:line="359" w:lineRule="auto"/>
        <w:ind w:left="8" w:right="57" w:firstLine="485"/>
        <w:rPr>
          <w:rFonts w:hint="default" w:eastAsia="宋体"/>
          <w:spacing w:val="-1"/>
          <w:highlight w:val="none"/>
          <w:lang w:val="en-US" w:eastAsia="zh-CN"/>
        </w:rPr>
      </w:pPr>
      <w:r>
        <w:rPr>
          <w:rFonts w:hint="eastAsia" w:eastAsia="宋体"/>
          <w:spacing w:val="-1"/>
          <w:highlight w:val="none"/>
          <w:lang w:val="en-US" w:eastAsia="zh-CN"/>
        </w:rPr>
        <w:t>项目需求的设备产品的规格、材质、数量、技术要求、设计和制造标准均为技术先进、产品优质的全新合格产品，并且是从设计、制造、包装、运输到招标人指定地点、 负责安装、调试、验收直至最后交付使用。投标人应保证提供的设备符合国家3C产品认证并全部满足招标人要求，并根据招标人要求提供相关实验报告（满足CANS、CMA认证）及证明文件。投标人采购的设备生产商应为其所供货的设备购买保额不低于2000万的产品责任险。</w:t>
      </w:r>
    </w:p>
    <w:p w14:paraId="04E5DB41">
      <w:pPr>
        <w:pStyle w:val="20"/>
        <w:spacing w:before="182" w:line="359" w:lineRule="auto"/>
        <w:ind w:left="8" w:right="57" w:firstLine="485"/>
        <w:rPr>
          <w:rFonts w:hint="eastAsia" w:eastAsia="宋体"/>
          <w:spacing w:val="-1"/>
          <w:highlight w:val="none"/>
          <w:lang w:val="en-US" w:eastAsia="zh-CN"/>
        </w:rPr>
      </w:pPr>
      <w:r>
        <w:rPr>
          <w:rFonts w:hint="eastAsia" w:eastAsia="宋体"/>
          <w:b/>
          <w:bCs/>
          <w:spacing w:val="-1"/>
          <w:highlight w:val="none"/>
          <w:lang w:val="en-US" w:eastAsia="zh-CN"/>
        </w:rPr>
        <w:t>（三）采购标的需满足的质量、安全、技术规格、物理特性等要求</w:t>
      </w:r>
    </w:p>
    <w:p w14:paraId="053D0940">
      <w:pPr>
        <w:spacing w:line="360" w:lineRule="auto"/>
        <w:outlineLvl w:val="1"/>
        <w:rPr>
          <w:rFonts w:hint="eastAsia" w:ascii="宋体" w:hAnsi="宋体" w:cs="宋体"/>
          <w:bCs/>
          <w:color w:val="000000"/>
          <w:szCs w:val="21"/>
          <w:highlight w:val="none"/>
        </w:rPr>
      </w:pPr>
    </w:p>
    <w:p w14:paraId="08F8F297">
      <w:pPr>
        <w:spacing w:line="360" w:lineRule="auto"/>
        <w:outlineLvl w:val="1"/>
        <w:rPr>
          <w:rFonts w:hint="eastAsia" w:ascii="宋体" w:hAnsi="宋体" w:cs="宋体"/>
          <w:bCs/>
          <w:color w:val="000000"/>
          <w:szCs w:val="21"/>
          <w:highlight w:val="none"/>
        </w:rPr>
      </w:pPr>
    </w:p>
    <w:p w14:paraId="1ABDC586">
      <w:pPr>
        <w:spacing w:line="360" w:lineRule="auto"/>
        <w:outlineLvl w:val="1"/>
        <w:rPr>
          <w:rFonts w:hint="eastAsia" w:ascii="宋体" w:hAnsi="宋体" w:cs="宋体"/>
          <w:bCs/>
          <w:color w:val="000000"/>
          <w:szCs w:val="21"/>
          <w:highlight w:val="none"/>
        </w:rPr>
      </w:pPr>
    </w:p>
    <w:p w14:paraId="0EC09CD2">
      <w:pPr>
        <w:spacing w:line="360" w:lineRule="auto"/>
        <w:outlineLvl w:val="1"/>
        <w:rPr>
          <w:rFonts w:hint="eastAsia" w:ascii="宋体" w:hAnsi="宋体" w:cs="宋体"/>
          <w:bCs/>
          <w:color w:val="000000"/>
          <w:szCs w:val="21"/>
          <w:highlight w:val="none"/>
        </w:rPr>
      </w:pPr>
    </w:p>
    <w:p w14:paraId="571899F8">
      <w:pPr>
        <w:spacing w:line="360" w:lineRule="auto"/>
        <w:outlineLvl w:val="1"/>
        <w:rPr>
          <w:rFonts w:hint="eastAsia" w:ascii="宋体" w:hAnsi="宋体" w:cs="宋体"/>
          <w:bCs/>
          <w:color w:val="000000"/>
          <w:szCs w:val="21"/>
          <w:highlight w:val="none"/>
        </w:rPr>
      </w:pPr>
    </w:p>
    <w:p w14:paraId="0C84555C">
      <w:pPr>
        <w:spacing w:line="360" w:lineRule="auto"/>
        <w:outlineLvl w:val="1"/>
        <w:rPr>
          <w:rFonts w:hint="eastAsia" w:ascii="宋体" w:hAnsi="宋体" w:cs="宋体"/>
          <w:bCs/>
          <w:color w:val="000000"/>
          <w:szCs w:val="21"/>
          <w:highlight w:val="none"/>
        </w:rPr>
      </w:pPr>
    </w:p>
    <w:p w14:paraId="038F4B0D">
      <w:pPr>
        <w:spacing w:line="360" w:lineRule="auto"/>
        <w:outlineLvl w:val="1"/>
        <w:rPr>
          <w:rFonts w:hint="eastAsia" w:ascii="宋体" w:hAnsi="宋体" w:cs="宋体"/>
          <w:bCs/>
          <w:color w:val="000000"/>
          <w:szCs w:val="21"/>
          <w:highlight w:val="none"/>
        </w:rPr>
      </w:pPr>
    </w:p>
    <w:p w14:paraId="1AC929C9">
      <w:pPr>
        <w:spacing w:line="360" w:lineRule="auto"/>
        <w:outlineLvl w:val="1"/>
        <w:rPr>
          <w:rFonts w:hint="eastAsia" w:ascii="宋体" w:hAnsi="宋体" w:cs="宋体"/>
          <w:bCs/>
          <w:color w:val="000000"/>
          <w:szCs w:val="21"/>
          <w:highlight w:val="none"/>
        </w:rPr>
      </w:pPr>
    </w:p>
    <w:p w14:paraId="4FAD56A5">
      <w:pPr>
        <w:spacing w:line="360" w:lineRule="auto"/>
        <w:outlineLvl w:val="1"/>
        <w:rPr>
          <w:rFonts w:hint="eastAsia" w:ascii="宋体" w:hAnsi="宋体" w:cs="宋体"/>
          <w:bCs/>
          <w:color w:val="000000"/>
          <w:szCs w:val="21"/>
          <w:highlight w:val="none"/>
        </w:rPr>
      </w:pPr>
    </w:p>
    <w:p w14:paraId="65957C5E">
      <w:pPr>
        <w:spacing w:line="360" w:lineRule="auto"/>
        <w:outlineLvl w:val="1"/>
        <w:rPr>
          <w:rFonts w:hint="eastAsia" w:ascii="宋体" w:hAnsi="宋体" w:cs="宋体"/>
          <w:bCs/>
          <w:color w:val="000000"/>
          <w:szCs w:val="21"/>
          <w:highlight w:val="none"/>
        </w:rPr>
      </w:pPr>
    </w:p>
    <w:p w14:paraId="7D79C679">
      <w:pPr>
        <w:spacing w:line="360" w:lineRule="auto"/>
        <w:outlineLvl w:val="1"/>
        <w:rPr>
          <w:rFonts w:hint="eastAsia" w:ascii="宋体" w:hAnsi="宋体" w:cs="宋体"/>
          <w:bCs/>
          <w:color w:val="000000"/>
          <w:szCs w:val="21"/>
          <w:highlight w:val="none"/>
        </w:rPr>
      </w:pPr>
    </w:p>
    <w:p w14:paraId="0211DAF0">
      <w:pPr>
        <w:spacing w:line="360" w:lineRule="auto"/>
        <w:outlineLvl w:val="1"/>
        <w:rPr>
          <w:rFonts w:hint="eastAsia" w:ascii="宋体" w:hAnsi="宋体" w:cs="宋体"/>
          <w:bCs/>
          <w:color w:val="000000"/>
          <w:szCs w:val="21"/>
          <w:highlight w:val="none"/>
        </w:rPr>
      </w:pPr>
    </w:p>
    <w:p w14:paraId="312982C5">
      <w:pPr>
        <w:spacing w:line="360" w:lineRule="auto"/>
        <w:outlineLvl w:val="1"/>
        <w:rPr>
          <w:rFonts w:hint="eastAsia" w:ascii="宋体" w:hAnsi="宋体" w:cs="宋体"/>
          <w:bCs/>
          <w:color w:val="000000"/>
          <w:szCs w:val="21"/>
          <w:highlight w:val="none"/>
        </w:rPr>
      </w:pPr>
    </w:p>
    <w:p w14:paraId="2B0D4A0A">
      <w:pPr>
        <w:spacing w:line="360" w:lineRule="auto"/>
        <w:outlineLvl w:val="1"/>
        <w:rPr>
          <w:rFonts w:hint="eastAsia" w:ascii="宋体" w:hAnsi="宋体" w:cs="宋体"/>
          <w:bCs/>
          <w:color w:val="000000"/>
          <w:szCs w:val="21"/>
          <w:highlight w:val="none"/>
        </w:rPr>
      </w:pPr>
    </w:p>
    <w:p w14:paraId="59DA8211">
      <w:pPr>
        <w:spacing w:line="360" w:lineRule="auto"/>
        <w:outlineLvl w:val="1"/>
        <w:rPr>
          <w:rFonts w:hint="eastAsia" w:ascii="宋体" w:hAnsi="宋体" w:cs="宋体"/>
          <w:bCs/>
          <w:color w:val="000000"/>
          <w:szCs w:val="21"/>
          <w:highlight w:val="none"/>
        </w:rPr>
      </w:pPr>
    </w:p>
    <w:p w14:paraId="2594AE42">
      <w:pPr>
        <w:spacing w:line="360" w:lineRule="auto"/>
        <w:outlineLvl w:val="1"/>
        <w:rPr>
          <w:rFonts w:hint="eastAsia" w:ascii="宋体" w:hAnsi="宋体" w:cs="宋体"/>
          <w:bCs/>
          <w:color w:val="000000"/>
          <w:szCs w:val="21"/>
          <w:highlight w:val="none"/>
        </w:rPr>
      </w:pPr>
    </w:p>
    <w:p w14:paraId="4207218A">
      <w:pPr>
        <w:pStyle w:val="20"/>
        <w:spacing w:before="182" w:line="359" w:lineRule="auto"/>
        <w:ind w:left="8" w:right="57" w:firstLine="485"/>
        <w:rPr>
          <w:rFonts w:hint="eastAsia" w:eastAsia="宋体"/>
          <w:spacing w:val="-1"/>
          <w:highlight w:val="none"/>
          <w:lang w:val="en-US" w:eastAsia="zh-CN"/>
        </w:rPr>
      </w:pPr>
      <w:r>
        <w:rPr>
          <w:rFonts w:hint="eastAsia" w:eastAsia="宋体"/>
          <w:spacing w:val="-1"/>
          <w:highlight w:val="none"/>
          <w:lang w:val="en-US" w:eastAsia="zh-CN"/>
        </w:rPr>
        <w:t>（1）160KW</w:t>
      </w:r>
      <w:r>
        <w:rPr>
          <w:rFonts w:hint="default" w:eastAsia="宋体"/>
          <w:spacing w:val="-1"/>
          <w:highlight w:val="none"/>
          <w:lang w:val="en-US" w:eastAsia="zh-CN"/>
        </w:rPr>
        <w:t>直流充电机</w:t>
      </w:r>
    </w:p>
    <w:tbl>
      <w:tblPr>
        <w:tblStyle w:val="47"/>
        <w:tblW w:w="9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875"/>
        <w:gridCol w:w="1393"/>
        <w:gridCol w:w="6649"/>
        <w:gridCol w:w="1061"/>
      </w:tblGrid>
      <w:tr w14:paraId="5DE2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00" w:hRule="atLeast"/>
          <w:tblHeader/>
          <w:jc w:val="center"/>
        </w:trPr>
        <w:tc>
          <w:tcPr>
            <w:tcW w:w="875" w:type="dxa"/>
            <w:shd w:val="clear" w:color="auto" w:fill="auto"/>
            <w:tcMar>
              <w:top w:w="150" w:type="dxa"/>
              <w:left w:w="0" w:type="dxa"/>
              <w:bottom w:w="150" w:type="dxa"/>
              <w:right w:w="240" w:type="dxa"/>
            </w:tcMar>
            <w:vAlign w:val="center"/>
          </w:tcPr>
          <w:p w14:paraId="767BF0BE">
            <w:pPr>
              <w:spacing w:before="62" w:line="222" w:lineRule="auto"/>
              <w:ind w:left="189"/>
              <w:jc w:val="center"/>
              <w:rPr>
                <w:rFonts w:hint="default" w:ascii="宋体" w:hAnsi="宋体" w:eastAsia="宋体" w:cs="宋体"/>
                <w:b/>
                <w:bCs/>
                <w:spacing w:val="10"/>
                <w:sz w:val="19"/>
                <w:szCs w:val="19"/>
                <w:highlight w:val="none"/>
                <w:lang w:val="en-US"/>
              </w:rPr>
            </w:pPr>
            <w:r>
              <w:rPr>
                <w:rFonts w:hint="eastAsia" w:ascii="宋体" w:hAnsi="宋体" w:eastAsia="宋体" w:cs="宋体"/>
                <w:b/>
                <w:bCs/>
                <w:spacing w:val="10"/>
                <w:sz w:val="19"/>
                <w:szCs w:val="19"/>
                <w:highlight w:val="none"/>
                <w:lang w:val="en-US" w:eastAsia="zh-CN"/>
              </w:rPr>
              <w:t>序号</w:t>
            </w:r>
          </w:p>
        </w:tc>
        <w:tc>
          <w:tcPr>
            <w:tcW w:w="1393" w:type="dxa"/>
            <w:shd w:val="clear" w:color="auto" w:fill="auto"/>
            <w:tcMar>
              <w:top w:w="150" w:type="dxa"/>
              <w:left w:w="240" w:type="dxa"/>
              <w:bottom w:w="150" w:type="dxa"/>
              <w:right w:w="240" w:type="dxa"/>
            </w:tcMar>
            <w:vAlign w:val="center"/>
          </w:tcPr>
          <w:p w14:paraId="78B2B6F6">
            <w:pPr>
              <w:spacing w:before="62" w:line="222" w:lineRule="auto"/>
              <w:ind w:left="189"/>
              <w:jc w:val="center"/>
              <w:rPr>
                <w:rFonts w:hint="eastAsia" w:ascii="宋体" w:hAnsi="宋体" w:eastAsia="宋体" w:cs="宋体"/>
                <w:b/>
                <w:bCs/>
                <w:spacing w:val="10"/>
                <w:sz w:val="19"/>
                <w:szCs w:val="19"/>
                <w:highlight w:val="none"/>
              </w:rPr>
            </w:pPr>
            <w:r>
              <w:rPr>
                <w:rFonts w:hint="eastAsia" w:ascii="宋体" w:hAnsi="宋体" w:eastAsia="宋体" w:cs="宋体"/>
                <w:b/>
                <w:bCs/>
                <w:spacing w:val="10"/>
                <w:sz w:val="19"/>
                <w:szCs w:val="19"/>
                <w:highlight w:val="none"/>
                <w:lang w:val="en-US" w:eastAsia="zh-CN"/>
              </w:rPr>
              <w:t>部件</w:t>
            </w:r>
          </w:p>
        </w:tc>
        <w:tc>
          <w:tcPr>
            <w:tcW w:w="6649" w:type="dxa"/>
            <w:shd w:val="clear" w:color="auto" w:fill="auto"/>
            <w:tcMar>
              <w:top w:w="150" w:type="dxa"/>
              <w:left w:w="240" w:type="dxa"/>
              <w:bottom w:w="150" w:type="dxa"/>
              <w:right w:w="240" w:type="dxa"/>
            </w:tcMar>
            <w:vAlign w:val="center"/>
          </w:tcPr>
          <w:p w14:paraId="198959FE">
            <w:pPr>
              <w:spacing w:before="62" w:line="222" w:lineRule="auto"/>
              <w:ind w:left="189"/>
              <w:jc w:val="center"/>
              <w:rPr>
                <w:rFonts w:hint="eastAsia" w:ascii="宋体" w:hAnsi="宋体" w:eastAsia="宋体" w:cs="宋体"/>
                <w:b/>
                <w:bCs/>
                <w:spacing w:val="10"/>
                <w:sz w:val="19"/>
                <w:szCs w:val="19"/>
                <w:highlight w:val="none"/>
              </w:rPr>
            </w:pPr>
            <w:r>
              <w:rPr>
                <w:rFonts w:hint="eastAsia" w:ascii="宋体" w:hAnsi="宋体" w:eastAsia="宋体" w:cs="宋体"/>
                <w:b/>
                <w:bCs/>
                <w:spacing w:val="10"/>
                <w:sz w:val="19"/>
                <w:szCs w:val="19"/>
                <w:highlight w:val="none"/>
                <w:lang w:val="en-US" w:eastAsia="zh-CN"/>
              </w:rPr>
              <w:t>技术参数及要求</w:t>
            </w:r>
          </w:p>
        </w:tc>
        <w:tc>
          <w:tcPr>
            <w:tcW w:w="1061" w:type="dxa"/>
            <w:shd w:val="clear" w:color="auto" w:fill="auto"/>
            <w:tcMar>
              <w:top w:w="150" w:type="dxa"/>
              <w:left w:w="240" w:type="dxa"/>
              <w:bottom w:w="150" w:type="dxa"/>
              <w:right w:w="240" w:type="dxa"/>
            </w:tcMar>
            <w:vAlign w:val="center"/>
          </w:tcPr>
          <w:p w14:paraId="0E5C4F6D">
            <w:pPr>
              <w:spacing w:before="62" w:line="222" w:lineRule="auto"/>
              <w:ind w:left="0"/>
              <w:jc w:val="both"/>
              <w:rPr>
                <w:rFonts w:hint="eastAsia" w:ascii="宋体" w:hAnsi="宋体" w:eastAsia="宋体" w:cs="宋体"/>
                <w:b/>
                <w:bCs/>
                <w:spacing w:val="10"/>
                <w:sz w:val="19"/>
                <w:szCs w:val="19"/>
                <w:highlight w:val="none"/>
              </w:rPr>
            </w:pPr>
            <w:r>
              <w:rPr>
                <w:rFonts w:hint="eastAsia" w:ascii="宋体" w:hAnsi="宋体" w:eastAsia="宋体" w:cs="宋体"/>
                <w:b/>
                <w:bCs/>
                <w:spacing w:val="10"/>
                <w:sz w:val="19"/>
                <w:szCs w:val="19"/>
                <w:highlight w:val="none"/>
                <w:lang w:val="en-US" w:eastAsia="zh-CN"/>
              </w:rPr>
              <w:t>备注</w:t>
            </w:r>
          </w:p>
        </w:tc>
      </w:tr>
      <w:tr w14:paraId="48CC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98" w:hRule="atLeast"/>
          <w:jc w:val="center"/>
        </w:trPr>
        <w:tc>
          <w:tcPr>
            <w:tcW w:w="875" w:type="dxa"/>
            <w:shd w:val="clear" w:color="auto" w:fill="auto"/>
            <w:tcMar>
              <w:top w:w="150" w:type="dxa"/>
              <w:left w:w="0" w:type="dxa"/>
              <w:bottom w:w="150" w:type="dxa"/>
              <w:right w:w="240" w:type="dxa"/>
            </w:tcMar>
            <w:vAlign w:val="center"/>
          </w:tcPr>
          <w:p w14:paraId="2DAAEAFB">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1</w:t>
            </w:r>
          </w:p>
        </w:tc>
        <w:tc>
          <w:tcPr>
            <w:tcW w:w="1393" w:type="dxa"/>
            <w:shd w:val="clear" w:color="auto" w:fill="auto"/>
            <w:tcMar>
              <w:top w:w="150" w:type="dxa"/>
              <w:left w:w="240" w:type="dxa"/>
              <w:bottom w:w="150" w:type="dxa"/>
              <w:right w:w="240" w:type="dxa"/>
            </w:tcMar>
            <w:vAlign w:val="center"/>
          </w:tcPr>
          <w:p w14:paraId="2A36DA14">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使用场景</w:t>
            </w:r>
          </w:p>
        </w:tc>
        <w:tc>
          <w:tcPr>
            <w:tcW w:w="6649" w:type="dxa"/>
            <w:shd w:val="clear" w:color="auto" w:fill="auto"/>
            <w:tcMar>
              <w:top w:w="150" w:type="dxa"/>
              <w:left w:w="240" w:type="dxa"/>
              <w:bottom w:w="150" w:type="dxa"/>
              <w:right w:w="240" w:type="dxa"/>
            </w:tcMar>
            <w:vAlign w:val="center"/>
          </w:tcPr>
          <w:p w14:paraId="4945A8B3">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适用于各类符合国标的电动汽车（纯电动及插电式混合动力）快速充电。</w:t>
            </w:r>
          </w:p>
        </w:tc>
        <w:tc>
          <w:tcPr>
            <w:tcW w:w="1061" w:type="dxa"/>
            <w:shd w:val="clear" w:color="auto" w:fill="auto"/>
            <w:tcMar>
              <w:top w:w="150" w:type="dxa"/>
              <w:left w:w="240" w:type="dxa"/>
              <w:bottom w:w="150" w:type="dxa"/>
              <w:right w:w="0" w:type="dxa"/>
            </w:tcMar>
            <w:vAlign w:val="center"/>
          </w:tcPr>
          <w:p w14:paraId="2C33D855">
            <w:pPr>
              <w:spacing w:before="62" w:line="222" w:lineRule="auto"/>
              <w:ind w:left="189"/>
              <w:jc w:val="center"/>
              <w:rPr>
                <w:rFonts w:hint="eastAsia" w:ascii="宋体" w:hAnsi="宋体" w:eastAsia="宋体" w:cs="宋体"/>
                <w:spacing w:val="10"/>
                <w:sz w:val="19"/>
                <w:szCs w:val="19"/>
                <w:highlight w:val="none"/>
              </w:rPr>
            </w:pPr>
          </w:p>
        </w:tc>
      </w:tr>
      <w:tr w14:paraId="637E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85" w:hRule="atLeast"/>
          <w:jc w:val="center"/>
        </w:trPr>
        <w:tc>
          <w:tcPr>
            <w:tcW w:w="875" w:type="dxa"/>
            <w:shd w:val="clear" w:color="auto" w:fill="auto"/>
            <w:tcMar>
              <w:top w:w="150" w:type="dxa"/>
              <w:left w:w="0" w:type="dxa"/>
              <w:bottom w:w="150" w:type="dxa"/>
              <w:right w:w="240" w:type="dxa"/>
            </w:tcMar>
            <w:vAlign w:val="center"/>
          </w:tcPr>
          <w:p w14:paraId="110A97E0">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2</w:t>
            </w:r>
          </w:p>
        </w:tc>
        <w:tc>
          <w:tcPr>
            <w:tcW w:w="1393" w:type="dxa"/>
            <w:shd w:val="clear" w:color="auto" w:fill="auto"/>
            <w:tcMar>
              <w:top w:w="150" w:type="dxa"/>
              <w:left w:w="240" w:type="dxa"/>
              <w:bottom w:w="150" w:type="dxa"/>
              <w:right w:w="240" w:type="dxa"/>
            </w:tcMar>
            <w:vAlign w:val="center"/>
          </w:tcPr>
          <w:p w14:paraId="104EB4DA">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额定输入电压</w:t>
            </w:r>
          </w:p>
        </w:tc>
        <w:tc>
          <w:tcPr>
            <w:tcW w:w="6649" w:type="dxa"/>
            <w:shd w:val="clear" w:color="auto" w:fill="auto"/>
            <w:tcMar>
              <w:top w:w="150" w:type="dxa"/>
              <w:left w:w="240" w:type="dxa"/>
              <w:bottom w:w="150" w:type="dxa"/>
              <w:right w:w="240" w:type="dxa"/>
            </w:tcMar>
            <w:vAlign w:val="center"/>
          </w:tcPr>
          <w:p w14:paraId="1B717F93">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交流380V ± 15%，频率50±1Hz。</w:t>
            </w:r>
          </w:p>
        </w:tc>
        <w:tc>
          <w:tcPr>
            <w:tcW w:w="1061" w:type="dxa"/>
            <w:shd w:val="clear" w:color="auto" w:fill="auto"/>
            <w:tcMar>
              <w:top w:w="150" w:type="dxa"/>
              <w:left w:w="240" w:type="dxa"/>
              <w:bottom w:w="150" w:type="dxa"/>
              <w:right w:w="0" w:type="dxa"/>
            </w:tcMar>
            <w:vAlign w:val="center"/>
          </w:tcPr>
          <w:p w14:paraId="6CA8F9FA">
            <w:pPr>
              <w:spacing w:before="62" w:line="222" w:lineRule="auto"/>
              <w:ind w:left="189"/>
              <w:jc w:val="center"/>
              <w:rPr>
                <w:rFonts w:hint="eastAsia" w:ascii="宋体" w:hAnsi="宋体" w:eastAsia="宋体" w:cs="宋体"/>
                <w:spacing w:val="10"/>
                <w:sz w:val="19"/>
                <w:szCs w:val="19"/>
                <w:highlight w:val="none"/>
              </w:rPr>
            </w:pPr>
          </w:p>
        </w:tc>
      </w:tr>
      <w:tr w14:paraId="5FDA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86" w:hRule="atLeast"/>
          <w:jc w:val="center"/>
        </w:trPr>
        <w:tc>
          <w:tcPr>
            <w:tcW w:w="875" w:type="dxa"/>
            <w:shd w:val="clear" w:color="auto" w:fill="auto"/>
            <w:tcMar>
              <w:top w:w="150" w:type="dxa"/>
              <w:left w:w="0" w:type="dxa"/>
              <w:bottom w:w="150" w:type="dxa"/>
              <w:right w:w="240" w:type="dxa"/>
            </w:tcMar>
            <w:vAlign w:val="center"/>
          </w:tcPr>
          <w:p w14:paraId="631A21BB">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3</w:t>
            </w:r>
          </w:p>
        </w:tc>
        <w:tc>
          <w:tcPr>
            <w:tcW w:w="1393" w:type="dxa"/>
            <w:shd w:val="clear" w:color="auto" w:fill="auto"/>
            <w:tcMar>
              <w:top w:w="150" w:type="dxa"/>
              <w:left w:w="240" w:type="dxa"/>
              <w:bottom w:w="150" w:type="dxa"/>
              <w:right w:w="240" w:type="dxa"/>
            </w:tcMar>
            <w:vAlign w:val="center"/>
          </w:tcPr>
          <w:p w14:paraId="451AC63B">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输出功率</w:t>
            </w:r>
          </w:p>
        </w:tc>
        <w:tc>
          <w:tcPr>
            <w:tcW w:w="6649" w:type="dxa"/>
            <w:shd w:val="clear" w:color="auto" w:fill="auto"/>
            <w:tcMar>
              <w:top w:w="150" w:type="dxa"/>
              <w:left w:w="240" w:type="dxa"/>
              <w:bottom w:w="150" w:type="dxa"/>
              <w:right w:w="240" w:type="dxa"/>
            </w:tcMar>
            <w:vAlign w:val="center"/>
          </w:tcPr>
          <w:p w14:paraId="48B8984D">
            <w:pPr>
              <w:spacing w:before="62" w:line="222" w:lineRule="auto"/>
              <w:jc w:val="left"/>
              <w:rPr>
                <w:rFonts w:hint="default" w:ascii="宋体" w:hAnsi="宋体" w:eastAsia="宋体" w:cs="宋体"/>
                <w:spacing w:val="10"/>
                <w:sz w:val="19"/>
                <w:szCs w:val="19"/>
                <w:highlight w:val="none"/>
                <w:lang w:val="en-US"/>
              </w:rPr>
            </w:pPr>
            <w:r>
              <w:rPr>
                <w:rFonts w:hint="eastAsia" w:ascii="宋体" w:hAnsi="宋体" w:eastAsia="宋体" w:cs="宋体"/>
                <w:spacing w:val="10"/>
                <w:sz w:val="19"/>
                <w:szCs w:val="19"/>
                <w:highlight w:val="none"/>
                <w:lang w:val="en-US" w:eastAsia="zh-CN"/>
              </w:rPr>
              <w:t>单枪额定最大输出功率160kW，支持功率动态智能分配，支持通过充电后台控制功率</w:t>
            </w:r>
          </w:p>
        </w:tc>
        <w:tc>
          <w:tcPr>
            <w:tcW w:w="1061" w:type="dxa"/>
            <w:shd w:val="clear" w:color="auto" w:fill="auto"/>
            <w:tcMar>
              <w:top w:w="150" w:type="dxa"/>
              <w:left w:w="240" w:type="dxa"/>
              <w:bottom w:w="150" w:type="dxa"/>
              <w:right w:w="0" w:type="dxa"/>
            </w:tcMar>
            <w:vAlign w:val="center"/>
          </w:tcPr>
          <w:p w14:paraId="28EFDDDC">
            <w:pPr>
              <w:spacing w:before="62" w:line="222" w:lineRule="auto"/>
              <w:ind w:left="189"/>
              <w:jc w:val="center"/>
              <w:rPr>
                <w:rFonts w:hint="eastAsia" w:ascii="宋体" w:hAnsi="宋体" w:eastAsia="宋体" w:cs="宋体"/>
                <w:spacing w:val="10"/>
                <w:sz w:val="19"/>
                <w:szCs w:val="19"/>
                <w:highlight w:val="none"/>
              </w:rPr>
            </w:pPr>
          </w:p>
        </w:tc>
      </w:tr>
      <w:tr w14:paraId="2E722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67" w:hRule="atLeast"/>
          <w:jc w:val="center"/>
        </w:trPr>
        <w:tc>
          <w:tcPr>
            <w:tcW w:w="875" w:type="dxa"/>
            <w:shd w:val="clear" w:color="auto" w:fill="auto"/>
            <w:tcMar>
              <w:top w:w="150" w:type="dxa"/>
              <w:left w:w="0" w:type="dxa"/>
              <w:bottom w:w="150" w:type="dxa"/>
              <w:right w:w="240" w:type="dxa"/>
            </w:tcMar>
            <w:vAlign w:val="center"/>
          </w:tcPr>
          <w:p w14:paraId="3A29080F">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4</w:t>
            </w:r>
          </w:p>
        </w:tc>
        <w:tc>
          <w:tcPr>
            <w:tcW w:w="1393" w:type="dxa"/>
            <w:shd w:val="clear" w:color="auto" w:fill="auto"/>
            <w:tcMar>
              <w:top w:w="150" w:type="dxa"/>
              <w:left w:w="240" w:type="dxa"/>
              <w:bottom w:w="150" w:type="dxa"/>
              <w:right w:w="240" w:type="dxa"/>
            </w:tcMar>
            <w:vAlign w:val="center"/>
          </w:tcPr>
          <w:p w14:paraId="27401172">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输出电流</w:t>
            </w:r>
          </w:p>
        </w:tc>
        <w:tc>
          <w:tcPr>
            <w:tcW w:w="6649" w:type="dxa"/>
            <w:shd w:val="clear" w:color="auto" w:fill="auto"/>
            <w:tcMar>
              <w:top w:w="150" w:type="dxa"/>
              <w:left w:w="240" w:type="dxa"/>
              <w:bottom w:w="150" w:type="dxa"/>
              <w:right w:w="240" w:type="dxa"/>
            </w:tcMar>
            <w:vAlign w:val="center"/>
          </w:tcPr>
          <w:p w14:paraId="5824E27B">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快充终端单枪额定输出电流：DC 250A。</w:t>
            </w:r>
          </w:p>
        </w:tc>
        <w:tc>
          <w:tcPr>
            <w:tcW w:w="1061" w:type="dxa"/>
            <w:shd w:val="clear" w:color="auto" w:fill="auto"/>
            <w:tcMar>
              <w:top w:w="150" w:type="dxa"/>
              <w:left w:w="240" w:type="dxa"/>
              <w:bottom w:w="150" w:type="dxa"/>
              <w:right w:w="0" w:type="dxa"/>
            </w:tcMar>
            <w:vAlign w:val="center"/>
          </w:tcPr>
          <w:p w14:paraId="0F48F91A">
            <w:pPr>
              <w:spacing w:before="62" w:line="222" w:lineRule="auto"/>
              <w:ind w:left="189"/>
              <w:jc w:val="center"/>
              <w:rPr>
                <w:rFonts w:hint="eastAsia" w:ascii="宋体" w:hAnsi="宋体" w:eastAsia="宋体" w:cs="宋体"/>
                <w:spacing w:val="10"/>
                <w:sz w:val="19"/>
                <w:szCs w:val="19"/>
                <w:highlight w:val="none"/>
              </w:rPr>
            </w:pPr>
          </w:p>
        </w:tc>
      </w:tr>
      <w:tr w14:paraId="591D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77" w:hRule="atLeast"/>
          <w:jc w:val="center"/>
        </w:trPr>
        <w:tc>
          <w:tcPr>
            <w:tcW w:w="875" w:type="dxa"/>
            <w:shd w:val="clear" w:color="auto" w:fill="auto"/>
            <w:tcMar>
              <w:top w:w="150" w:type="dxa"/>
              <w:left w:w="0" w:type="dxa"/>
              <w:bottom w:w="150" w:type="dxa"/>
              <w:right w:w="240" w:type="dxa"/>
            </w:tcMar>
            <w:vAlign w:val="center"/>
          </w:tcPr>
          <w:p w14:paraId="62846F17">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5</w:t>
            </w:r>
          </w:p>
        </w:tc>
        <w:tc>
          <w:tcPr>
            <w:tcW w:w="1393" w:type="dxa"/>
            <w:shd w:val="clear" w:color="auto" w:fill="auto"/>
            <w:tcMar>
              <w:top w:w="150" w:type="dxa"/>
              <w:left w:w="240" w:type="dxa"/>
              <w:bottom w:w="150" w:type="dxa"/>
              <w:right w:w="240" w:type="dxa"/>
            </w:tcMar>
            <w:vAlign w:val="center"/>
          </w:tcPr>
          <w:p w14:paraId="41772F41">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输出电压及功率范围</w:t>
            </w:r>
          </w:p>
        </w:tc>
        <w:tc>
          <w:tcPr>
            <w:tcW w:w="6649" w:type="dxa"/>
            <w:shd w:val="clear" w:color="auto" w:fill="auto"/>
            <w:tcMar>
              <w:top w:w="150" w:type="dxa"/>
              <w:left w:w="240" w:type="dxa"/>
              <w:bottom w:w="150" w:type="dxa"/>
              <w:right w:w="240" w:type="dxa"/>
            </w:tcMar>
            <w:vAlign w:val="center"/>
          </w:tcPr>
          <w:p w14:paraId="586A690B">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a) 直流输出电压范围：DC 200V～1000V；</w:t>
            </w:r>
            <w:r>
              <w:rPr>
                <w:rFonts w:hint="eastAsia" w:ascii="宋体" w:hAnsi="宋体" w:eastAsia="宋体" w:cs="宋体"/>
                <w:spacing w:val="10"/>
                <w:sz w:val="19"/>
                <w:szCs w:val="19"/>
                <w:highlight w:val="none"/>
                <w:lang w:val="en-US" w:eastAsia="zh-CN"/>
              </w:rPr>
              <w:br w:type="textWrapping"/>
            </w:r>
            <w:r>
              <w:rPr>
                <w:rFonts w:hint="eastAsia" w:ascii="宋体" w:hAnsi="宋体" w:eastAsia="宋体" w:cs="宋体"/>
                <w:spacing w:val="10"/>
                <w:sz w:val="19"/>
                <w:szCs w:val="19"/>
                <w:highlight w:val="none"/>
                <w:lang w:val="en-US" w:eastAsia="zh-CN"/>
              </w:rPr>
              <w:t>b) 恒功率输出电压范围：DC 300V～1000V（在此电压区间内可输出满功率160kW）；</w:t>
            </w:r>
          </w:p>
        </w:tc>
        <w:tc>
          <w:tcPr>
            <w:tcW w:w="1061" w:type="dxa"/>
            <w:shd w:val="clear" w:color="auto" w:fill="auto"/>
            <w:tcMar>
              <w:top w:w="150" w:type="dxa"/>
              <w:left w:w="240" w:type="dxa"/>
              <w:bottom w:w="150" w:type="dxa"/>
              <w:right w:w="0" w:type="dxa"/>
            </w:tcMar>
            <w:vAlign w:val="center"/>
          </w:tcPr>
          <w:p w14:paraId="23B34F93">
            <w:pPr>
              <w:spacing w:before="62" w:line="222" w:lineRule="auto"/>
              <w:ind w:left="189"/>
              <w:jc w:val="center"/>
              <w:rPr>
                <w:rFonts w:hint="eastAsia" w:ascii="宋体" w:hAnsi="宋体" w:eastAsia="宋体" w:cs="宋体"/>
                <w:spacing w:val="10"/>
                <w:sz w:val="19"/>
                <w:szCs w:val="19"/>
                <w:highlight w:val="none"/>
              </w:rPr>
            </w:pPr>
          </w:p>
        </w:tc>
      </w:tr>
      <w:tr w14:paraId="3CC6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35" w:hRule="atLeast"/>
          <w:jc w:val="center"/>
        </w:trPr>
        <w:tc>
          <w:tcPr>
            <w:tcW w:w="875" w:type="dxa"/>
            <w:shd w:val="clear" w:color="auto" w:fill="auto"/>
            <w:tcMar>
              <w:top w:w="150" w:type="dxa"/>
              <w:left w:w="0" w:type="dxa"/>
              <w:bottom w:w="150" w:type="dxa"/>
              <w:right w:w="240" w:type="dxa"/>
            </w:tcMar>
            <w:vAlign w:val="center"/>
          </w:tcPr>
          <w:p w14:paraId="754D81B1">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6</w:t>
            </w:r>
          </w:p>
        </w:tc>
        <w:tc>
          <w:tcPr>
            <w:tcW w:w="1393" w:type="dxa"/>
            <w:shd w:val="clear" w:color="auto" w:fill="auto"/>
            <w:tcMar>
              <w:top w:w="150" w:type="dxa"/>
              <w:left w:w="240" w:type="dxa"/>
              <w:bottom w:w="150" w:type="dxa"/>
              <w:right w:w="240" w:type="dxa"/>
            </w:tcMar>
            <w:vAlign w:val="center"/>
          </w:tcPr>
          <w:p w14:paraId="09A1D5A4">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终端形式</w:t>
            </w:r>
          </w:p>
        </w:tc>
        <w:tc>
          <w:tcPr>
            <w:tcW w:w="6649" w:type="dxa"/>
            <w:shd w:val="clear" w:color="auto" w:fill="auto"/>
            <w:tcMar>
              <w:top w:w="150" w:type="dxa"/>
              <w:left w:w="240" w:type="dxa"/>
              <w:bottom w:w="150" w:type="dxa"/>
              <w:right w:w="240" w:type="dxa"/>
            </w:tcMar>
            <w:vAlign w:val="center"/>
          </w:tcPr>
          <w:p w14:paraId="441303D4">
            <w:pPr>
              <w:spacing w:before="62" w:line="222" w:lineRule="auto"/>
              <w:jc w:val="left"/>
              <w:rPr>
                <w:rFonts w:hint="default" w:ascii="宋体" w:hAnsi="宋体" w:eastAsia="宋体" w:cs="宋体"/>
                <w:spacing w:val="10"/>
                <w:sz w:val="19"/>
                <w:szCs w:val="19"/>
                <w:highlight w:val="none"/>
                <w:lang w:val="en-US"/>
              </w:rPr>
            </w:pPr>
            <w:r>
              <w:rPr>
                <w:rFonts w:hint="eastAsia" w:ascii="宋体" w:hAnsi="宋体" w:eastAsia="宋体" w:cs="宋体"/>
                <w:spacing w:val="10"/>
                <w:sz w:val="19"/>
                <w:szCs w:val="19"/>
                <w:highlight w:val="none"/>
                <w:lang w:val="en-US" w:eastAsia="zh-CN"/>
              </w:rPr>
              <w:t>一机双枪或一机一枪（落地式安装），整机系统支持充电枪数不少于4把</w:t>
            </w:r>
          </w:p>
        </w:tc>
        <w:tc>
          <w:tcPr>
            <w:tcW w:w="1061" w:type="dxa"/>
            <w:shd w:val="clear" w:color="auto" w:fill="auto"/>
            <w:tcMar>
              <w:top w:w="150" w:type="dxa"/>
              <w:left w:w="240" w:type="dxa"/>
              <w:bottom w:w="150" w:type="dxa"/>
              <w:right w:w="0" w:type="dxa"/>
            </w:tcMar>
            <w:vAlign w:val="center"/>
          </w:tcPr>
          <w:p w14:paraId="2DB4C5F1">
            <w:pPr>
              <w:spacing w:before="62" w:line="222" w:lineRule="auto"/>
              <w:ind w:left="189"/>
              <w:jc w:val="center"/>
              <w:rPr>
                <w:rFonts w:hint="eastAsia" w:ascii="宋体" w:hAnsi="宋体" w:eastAsia="宋体" w:cs="宋体"/>
                <w:spacing w:val="10"/>
                <w:sz w:val="19"/>
                <w:szCs w:val="19"/>
                <w:highlight w:val="none"/>
              </w:rPr>
            </w:pPr>
          </w:p>
        </w:tc>
      </w:tr>
      <w:tr w14:paraId="069E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69" w:hRule="atLeast"/>
          <w:jc w:val="center"/>
        </w:trPr>
        <w:tc>
          <w:tcPr>
            <w:tcW w:w="875" w:type="dxa"/>
            <w:shd w:val="clear" w:color="auto" w:fill="auto"/>
            <w:tcMar>
              <w:top w:w="150" w:type="dxa"/>
              <w:left w:w="0" w:type="dxa"/>
              <w:bottom w:w="150" w:type="dxa"/>
              <w:right w:w="240" w:type="dxa"/>
            </w:tcMar>
            <w:vAlign w:val="center"/>
          </w:tcPr>
          <w:p w14:paraId="0F74454D">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7</w:t>
            </w:r>
          </w:p>
        </w:tc>
        <w:tc>
          <w:tcPr>
            <w:tcW w:w="1393" w:type="dxa"/>
            <w:shd w:val="clear" w:color="auto" w:fill="auto"/>
            <w:tcMar>
              <w:top w:w="150" w:type="dxa"/>
              <w:left w:w="240" w:type="dxa"/>
              <w:bottom w:w="150" w:type="dxa"/>
              <w:right w:w="240" w:type="dxa"/>
            </w:tcMar>
            <w:vAlign w:val="center"/>
          </w:tcPr>
          <w:p w14:paraId="1B5F632A">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启动方式</w:t>
            </w:r>
          </w:p>
        </w:tc>
        <w:tc>
          <w:tcPr>
            <w:tcW w:w="6649" w:type="dxa"/>
            <w:shd w:val="clear" w:color="auto" w:fill="auto"/>
            <w:tcMar>
              <w:top w:w="150" w:type="dxa"/>
              <w:left w:w="240" w:type="dxa"/>
              <w:bottom w:w="150" w:type="dxa"/>
              <w:right w:w="240" w:type="dxa"/>
            </w:tcMar>
            <w:vAlign w:val="center"/>
          </w:tcPr>
          <w:p w14:paraId="386DFD56">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支持扫码（APP/微信小程序）、刷卡、VIN码识别（即插即充）、屏幕启动。</w:t>
            </w:r>
          </w:p>
        </w:tc>
        <w:tc>
          <w:tcPr>
            <w:tcW w:w="1061" w:type="dxa"/>
            <w:shd w:val="clear" w:color="auto" w:fill="auto"/>
            <w:tcMar>
              <w:top w:w="150" w:type="dxa"/>
              <w:left w:w="240" w:type="dxa"/>
              <w:bottom w:w="150" w:type="dxa"/>
              <w:right w:w="0" w:type="dxa"/>
            </w:tcMar>
            <w:vAlign w:val="center"/>
          </w:tcPr>
          <w:p w14:paraId="455CB269">
            <w:pPr>
              <w:spacing w:before="62" w:line="222" w:lineRule="auto"/>
              <w:ind w:left="189"/>
              <w:jc w:val="center"/>
              <w:rPr>
                <w:rFonts w:hint="eastAsia" w:ascii="宋体" w:hAnsi="宋体" w:eastAsia="宋体" w:cs="宋体"/>
                <w:spacing w:val="10"/>
                <w:sz w:val="19"/>
                <w:szCs w:val="19"/>
                <w:highlight w:val="none"/>
              </w:rPr>
            </w:pPr>
          </w:p>
        </w:tc>
      </w:tr>
      <w:tr w14:paraId="15483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98" w:hRule="atLeast"/>
          <w:jc w:val="center"/>
        </w:trPr>
        <w:tc>
          <w:tcPr>
            <w:tcW w:w="875" w:type="dxa"/>
            <w:shd w:val="clear" w:color="auto" w:fill="auto"/>
            <w:tcMar>
              <w:top w:w="150" w:type="dxa"/>
              <w:left w:w="0" w:type="dxa"/>
              <w:bottom w:w="150" w:type="dxa"/>
              <w:right w:w="240" w:type="dxa"/>
            </w:tcMar>
            <w:vAlign w:val="center"/>
          </w:tcPr>
          <w:p w14:paraId="2E34E5B7">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8</w:t>
            </w:r>
          </w:p>
        </w:tc>
        <w:tc>
          <w:tcPr>
            <w:tcW w:w="1393" w:type="dxa"/>
            <w:shd w:val="clear" w:color="auto" w:fill="auto"/>
            <w:tcMar>
              <w:top w:w="150" w:type="dxa"/>
              <w:left w:w="240" w:type="dxa"/>
              <w:bottom w:w="150" w:type="dxa"/>
              <w:right w:w="240" w:type="dxa"/>
            </w:tcMar>
            <w:vAlign w:val="center"/>
          </w:tcPr>
          <w:p w14:paraId="2F5D7BBE">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通讯方式</w:t>
            </w:r>
          </w:p>
        </w:tc>
        <w:tc>
          <w:tcPr>
            <w:tcW w:w="6649" w:type="dxa"/>
            <w:shd w:val="clear" w:color="auto" w:fill="auto"/>
            <w:tcMar>
              <w:top w:w="150" w:type="dxa"/>
              <w:left w:w="240" w:type="dxa"/>
              <w:bottom w:w="150" w:type="dxa"/>
              <w:right w:w="240" w:type="dxa"/>
            </w:tcMar>
            <w:vAlign w:val="center"/>
          </w:tcPr>
          <w:p w14:paraId="38758718">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标配4G全网通及以太网接口，支持双网络冗余备份，可自动切换。</w:t>
            </w:r>
          </w:p>
        </w:tc>
        <w:tc>
          <w:tcPr>
            <w:tcW w:w="1061" w:type="dxa"/>
            <w:shd w:val="clear" w:color="auto" w:fill="auto"/>
            <w:tcMar>
              <w:top w:w="150" w:type="dxa"/>
              <w:left w:w="240" w:type="dxa"/>
              <w:bottom w:w="150" w:type="dxa"/>
              <w:right w:w="0" w:type="dxa"/>
            </w:tcMar>
            <w:vAlign w:val="center"/>
          </w:tcPr>
          <w:p w14:paraId="46787C5E">
            <w:pPr>
              <w:spacing w:before="62" w:line="222" w:lineRule="auto"/>
              <w:ind w:left="189"/>
              <w:jc w:val="center"/>
              <w:rPr>
                <w:rFonts w:hint="eastAsia" w:ascii="宋体" w:hAnsi="宋体" w:eastAsia="宋体" w:cs="宋体"/>
                <w:spacing w:val="10"/>
                <w:sz w:val="19"/>
                <w:szCs w:val="19"/>
                <w:highlight w:val="none"/>
              </w:rPr>
            </w:pPr>
          </w:p>
        </w:tc>
      </w:tr>
      <w:tr w14:paraId="47C8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404" w:hRule="atLeast"/>
          <w:jc w:val="center"/>
        </w:trPr>
        <w:tc>
          <w:tcPr>
            <w:tcW w:w="875" w:type="dxa"/>
            <w:shd w:val="clear" w:color="auto" w:fill="auto"/>
            <w:tcMar>
              <w:top w:w="150" w:type="dxa"/>
              <w:left w:w="0" w:type="dxa"/>
              <w:bottom w:w="150" w:type="dxa"/>
              <w:right w:w="240" w:type="dxa"/>
            </w:tcMar>
            <w:vAlign w:val="center"/>
          </w:tcPr>
          <w:p w14:paraId="4AD3C27C">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9</w:t>
            </w:r>
          </w:p>
        </w:tc>
        <w:tc>
          <w:tcPr>
            <w:tcW w:w="1393" w:type="dxa"/>
            <w:shd w:val="clear" w:color="auto" w:fill="auto"/>
            <w:tcMar>
              <w:top w:w="150" w:type="dxa"/>
              <w:left w:w="240" w:type="dxa"/>
              <w:bottom w:w="150" w:type="dxa"/>
              <w:right w:w="240" w:type="dxa"/>
            </w:tcMar>
            <w:vAlign w:val="center"/>
          </w:tcPr>
          <w:p w14:paraId="458B2E1B">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功率动态分配</w:t>
            </w:r>
          </w:p>
        </w:tc>
        <w:tc>
          <w:tcPr>
            <w:tcW w:w="6649" w:type="dxa"/>
            <w:shd w:val="clear" w:color="auto" w:fill="auto"/>
            <w:tcMar>
              <w:top w:w="150" w:type="dxa"/>
              <w:left w:w="240" w:type="dxa"/>
              <w:bottom w:w="150" w:type="dxa"/>
              <w:right w:w="240" w:type="dxa"/>
            </w:tcMar>
            <w:vAlign w:val="center"/>
          </w:tcPr>
          <w:p w14:paraId="61275226">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具备功率动态分配功能。多枪充电时，可根据车辆BMS需求、用户设定及平台指令，以单个充电模块（≥30kW）为最小颗粒度，将任意模块动态投切至任意充电枪，实现智能功率分配，无分组限制。</w:t>
            </w:r>
          </w:p>
        </w:tc>
        <w:tc>
          <w:tcPr>
            <w:tcW w:w="1061" w:type="dxa"/>
            <w:shd w:val="clear" w:color="auto" w:fill="auto"/>
            <w:tcMar>
              <w:top w:w="150" w:type="dxa"/>
              <w:left w:w="240" w:type="dxa"/>
              <w:bottom w:w="150" w:type="dxa"/>
              <w:right w:w="0" w:type="dxa"/>
            </w:tcMar>
            <w:vAlign w:val="center"/>
          </w:tcPr>
          <w:p w14:paraId="2FC88698">
            <w:pPr>
              <w:spacing w:before="62" w:line="222" w:lineRule="auto"/>
              <w:ind w:left="189"/>
              <w:jc w:val="center"/>
              <w:rPr>
                <w:rFonts w:hint="eastAsia" w:ascii="宋体" w:hAnsi="宋体" w:eastAsia="宋体" w:cs="宋体"/>
                <w:spacing w:val="10"/>
                <w:sz w:val="19"/>
                <w:szCs w:val="19"/>
                <w:highlight w:val="none"/>
              </w:rPr>
            </w:pPr>
          </w:p>
        </w:tc>
      </w:tr>
      <w:tr w14:paraId="47D4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86" w:hRule="atLeast"/>
          <w:jc w:val="center"/>
        </w:trPr>
        <w:tc>
          <w:tcPr>
            <w:tcW w:w="875" w:type="dxa"/>
            <w:shd w:val="clear" w:color="auto" w:fill="auto"/>
            <w:tcMar>
              <w:top w:w="150" w:type="dxa"/>
              <w:left w:w="0" w:type="dxa"/>
              <w:bottom w:w="150" w:type="dxa"/>
              <w:right w:w="240" w:type="dxa"/>
            </w:tcMar>
            <w:vAlign w:val="center"/>
          </w:tcPr>
          <w:p w14:paraId="4AD8476E">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10</w:t>
            </w:r>
          </w:p>
        </w:tc>
        <w:tc>
          <w:tcPr>
            <w:tcW w:w="1393" w:type="dxa"/>
            <w:shd w:val="clear" w:color="auto" w:fill="auto"/>
            <w:tcMar>
              <w:top w:w="150" w:type="dxa"/>
              <w:left w:w="240" w:type="dxa"/>
              <w:bottom w:w="150" w:type="dxa"/>
              <w:right w:w="240" w:type="dxa"/>
            </w:tcMar>
            <w:vAlign w:val="center"/>
          </w:tcPr>
          <w:p w14:paraId="04B31F39">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安全保护（结构）</w:t>
            </w:r>
          </w:p>
        </w:tc>
        <w:tc>
          <w:tcPr>
            <w:tcW w:w="6649" w:type="dxa"/>
            <w:shd w:val="clear" w:color="auto" w:fill="auto"/>
            <w:tcMar>
              <w:top w:w="150" w:type="dxa"/>
              <w:left w:w="240" w:type="dxa"/>
              <w:bottom w:w="150" w:type="dxa"/>
              <w:right w:w="240" w:type="dxa"/>
            </w:tcMar>
            <w:vAlign w:val="center"/>
          </w:tcPr>
          <w:p w14:paraId="30BA7619">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整机应具备开门断电保护（柜门开启自动切断主回路）和倾倒断电保护（设备倾斜超过阈值自动断电）、水浸断电保护（设备被水淹没一定位置自动断电）。</w:t>
            </w:r>
          </w:p>
        </w:tc>
        <w:tc>
          <w:tcPr>
            <w:tcW w:w="1061" w:type="dxa"/>
            <w:shd w:val="clear" w:color="auto" w:fill="auto"/>
            <w:tcMar>
              <w:top w:w="150" w:type="dxa"/>
              <w:left w:w="240" w:type="dxa"/>
              <w:bottom w:w="150" w:type="dxa"/>
              <w:right w:w="0" w:type="dxa"/>
            </w:tcMar>
            <w:vAlign w:val="center"/>
          </w:tcPr>
          <w:p w14:paraId="58132518">
            <w:pPr>
              <w:spacing w:before="62" w:line="222" w:lineRule="auto"/>
              <w:ind w:left="189"/>
              <w:jc w:val="center"/>
              <w:rPr>
                <w:rFonts w:hint="eastAsia" w:ascii="宋体" w:hAnsi="宋体" w:eastAsia="宋体" w:cs="宋体"/>
                <w:spacing w:val="10"/>
                <w:sz w:val="19"/>
                <w:szCs w:val="19"/>
                <w:highlight w:val="none"/>
              </w:rPr>
            </w:pPr>
          </w:p>
        </w:tc>
      </w:tr>
      <w:tr w14:paraId="256D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143" w:hRule="atLeast"/>
          <w:jc w:val="center"/>
        </w:trPr>
        <w:tc>
          <w:tcPr>
            <w:tcW w:w="875" w:type="dxa"/>
            <w:shd w:val="clear" w:color="auto" w:fill="auto"/>
            <w:tcMar>
              <w:top w:w="150" w:type="dxa"/>
              <w:left w:w="0" w:type="dxa"/>
              <w:bottom w:w="150" w:type="dxa"/>
              <w:right w:w="240" w:type="dxa"/>
            </w:tcMar>
            <w:vAlign w:val="center"/>
          </w:tcPr>
          <w:p w14:paraId="3A706CB1">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11</w:t>
            </w:r>
          </w:p>
        </w:tc>
        <w:tc>
          <w:tcPr>
            <w:tcW w:w="1393" w:type="dxa"/>
            <w:shd w:val="clear" w:color="auto" w:fill="auto"/>
            <w:tcMar>
              <w:top w:w="150" w:type="dxa"/>
              <w:left w:w="240" w:type="dxa"/>
              <w:bottom w:w="150" w:type="dxa"/>
              <w:right w:w="240" w:type="dxa"/>
            </w:tcMar>
            <w:vAlign w:val="center"/>
          </w:tcPr>
          <w:p w14:paraId="6487E27D">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散热系统</w:t>
            </w:r>
          </w:p>
        </w:tc>
        <w:tc>
          <w:tcPr>
            <w:tcW w:w="6649" w:type="dxa"/>
            <w:shd w:val="clear" w:color="auto" w:fill="auto"/>
            <w:tcMar>
              <w:top w:w="150" w:type="dxa"/>
              <w:left w:w="240" w:type="dxa"/>
              <w:bottom w:w="150" w:type="dxa"/>
              <w:right w:w="240" w:type="dxa"/>
            </w:tcMar>
            <w:vAlign w:val="center"/>
          </w:tcPr>
          <w:p w14:paraId="1F9F7A28">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整机散热风扇须具备智能温控调速功能（根据环境温度与输出电流自动调节转速）。风机应支持独立更换。</w:t>
            </w:r>
          </w:p>
        </w:tc>
        <w:tc>
          <w:tcPr>
            <w:tcW w:w="1061" w:type="dxa"/>
            <w:shd w:val="clear" w:color="auto" w:fill="auto"/>
            <w:tcMar>
              <w:top w:w="150" w:type="dxa"/>
              <w:left w:w="240" w:type="dxa"/>
              <w:bottom w:w="150" w:type="dxa"/>
              <w:right w:w="0" w:type="dxa"/>
            </w:tcMar>
            <w:vAlign w:val="center"/>
          </w:tcPr>
          <w:p w14:paraId="5CB5BB69">
            <w:pPr>
              <w:spacing w:before="62" w:line="222" w:lineRule="auto"/>
              <w:ind w:left="189"/>
              <w:jc w:val="center"/>
              <w:rPr>
                <w:rFonts w:hint="eastAsia" w:ascii="宋体" w:hAnsi="宋体" w:eastAsia="宋体" w:cs="宋体"/>
                <w:spacing w:val="10"/>
                <w:sz w:val="19"/>
                <w:szCs w:val="19"/>
                <w:highlight w:val="none"/>
              </w:rPr>
            </w:pPr>
          </w:p>
        </w:tc>
      </w:tr>
      <w:tr w14:paraId="7801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14" w:hRule="atLeast"/>
          <w:jc w:val="center"/>
        </w:trPr>
        <w:tc>
          <w:tcPr>
            <w:tcW w:w="875" w:type="dxa"/>
            <w:shd w:val="clear" w:color="auto" w:fill="auto"/>
            <w:tcMar>
              <w:top w:w="150" w:type="dxa"/>
              <w:left w:w="0" w:type="dxa"/>
              <w:bottom w:w="150" w:type="dxa"/>
              <w:right w:w="240" w:type="dxa"/>
            </w:tcMar>
            <w:vAlign w:val="center"/>
          </w:tcPr>
          <w:p w14:paraId="44BD1120">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12</w:t>
            </w:r>
          </w:p>
        </w:tc>
        <w:tc>
          <w:tcPr>
            <w:tcW w:w="1393" w:type="dxa"/>
            <w:shd w:val="clear" w:color="auto" w:fill="auto"/>
            <w:tcMar>
              <w:top w:w="150" w:type="dxa"/>
              <w:left w:w="240" w:type="dxa"/>
              <w:bottom w:w="150" w:type="dxa"/>
              <w:right w:w="240" w:type="dxa"/>
            </w:tcMar>
            <w:vAlign w:val="center"/>
          </w:tcPr>
          <w:p w14:paraId="58D5C0AC">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充电枪线</w:t>
            </w:r>
          </w:p>
        </w:tc>
        <w:tc>
          <w:tcPr>
            <w:tcW w:w="6649" w:type="dxa"/>
            <w:shd w:val="clear" w:color="auto" w:fill="auto"/>
            <w:tcMar>
              <w:top w:w="150" w:type="dxa"/>
              <w:left w:w="240" w:type="dxa"/>
              <w:bottom w:w="150" w:type="dxa"/>
              <w:right w:w="240" w:type="dxa"/>
            </w:tcMar>
            <w:vAlign w:val="center"/>
          </w:tcPr>
          <w:p w14:paraId="0DE10ED8">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快充枪线外露长度不小于5米，线径外径不大于3</w:t>
            </w:r>
            <w:r>
              <w:rPr>
                <w:rFonts w:hint="eastAsia" w:ascii="宋体" w:hAnsi="宋体" w:cs="宋体"/>
                <w:spacing w:val="10"/>
                <w:sz w:val="19"/>
                <w:szCs w:val="19"/>
                <w:highlight w:val="none"/>
                <w:lang w:val="en-US" w:eastAsia="zh-CN"/>
              </w:rPr>
              <w:t>5</w:t>
            </w:r>
            <w:r>
              <w:rPr>
                <w:rFonts w:hint="eastAsia" w:ascii="宋体" w:hAnsi="宋体" w:eastAsia="宋体" w:cs="宋体"/>
                <w:spacing w:val="10"/>
                <w:sz w:val="19"/>
                <w:szCs w:val="19"/>
                <w:highlight w:val="none"/>
                <w:lang w:val="en-US" w:eastAsia="zh-CN"/>
              </w:rPr>
              <w:t>mm，重量轻便。</w:t>
            </w:r>
          </w:p>
        </w:tc>
        <w:tc>
          <w:tcPr>
            <w:tcW w:w="1061" w:type="dxa"/>
            <w:shd w:val="clear" w:color="auto" w:fill="auto"/>
            <w:tcMar>
              <w:top w:w="150" w:type="dxa"/>
              <w:left w:w="240" w:type="dxa"/>
              <w:bottom w:w="150" w:type="dxa"/>
              <w:right w:w="0" w:type="dxa"/>
            </w:tcMar>
            <w:vAlign w:val="center"/>
          </w:tcPr>
          <w:p w14:paraId="3DB64ADD">
            <w:pPr>
              <w:spacing w:before="62" w:line="222" w:lineRule="auto"/>
              <w:ind w:left="189"/>
              <w:jc w:val="center"/>
              <w:rPr>
                <w:rFonts w:hint="eastAsia" w:ascii="宋体" w:hAnsi="宋体" w:eastAsia="宋体" w:cs="宋体"/>
                <w:spacing w:val="10"/>
                <w:sz w:val="19"/>
                <w:szCs w:val="19"/>
                <w:highlight w:val="none"/>
              </w:rPr>
            </w:pPr>
          </w:p>
        </w:tc>
      </w:tr>
      <w:tr w14:paraId="2CE7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09" w:hRule="atLeast"/>
          <w:jc w:val="center"/>
        </w:trPr>
        <w:tc>
          <w:tcPr>
            <w:tcW w:w="875" w:type="dxa"/>
            <w:shd w:val="clear" w:color="auto" w:fill="auto"/>
            <w:tcMar>
              <w:top w:w="150" w:type="dxa"/>
              <w:left w:w="0" w:type="dxa"/>
              <w:bottom w:w="150" w:type="dxa"/>
              <w:right w:w="240" w:type="dxa"/>
            </w:tcMar>
            <w:vAlign w:val="center"/>
          </w:tcPr>
          <w:p w14:paraId="2C93DD83">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13</w:t>
            </w:r>
          </w:p>
        </w:tc>
        <w:tc>
          <w:tcPr>
            <w:tcW w:w="1393" w:type="dxa"/>
            <w:shd w:val="clear" w:color="auto" w:fill="auto"/>
            <w:tcMar>
              <w:top w:w="150" w:type="dxa"/>
              <w:left w:w="240" w:type="dxa"/>
              <w:bottom w:w="150" w:type="dxa"/>
              <w:right w:w="240" w:type="dxa"/>
            </w:tcMar>
            <w:vAlign w:val="center"/>
          </w:tcPr>
          <w:p w14:paraId="7E81DD9B">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安装方式</w:t>
            </w:r>
          </w:p>
        </w:tc>
        <w:tc>
          <w:tcPr>
            <w:tcW w:w="6649" w:type="dxa"/>
            <w:shd w:val="clear" w:color="auto" w:fill="auto"/>
            <w:tcMar>
              <w:top w:w="150" w:type="dxa"/>
              <w:left w:w="240" w:type="dxa"/>
              <w:bottom w:w="150" w:type="dxa"/>
              <w:right w:w="240" w:type="dxa"/>
            </w:tcMar>
            <w:vAlign w:val="center"/>
          </w:tcPr>
          <w:p w14:paraId="5B825FD2">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落地式安装，设备底座须配有地脚螺栓固定孔位。</w:t>
            </w:r>
          </w:p>
        </w:tc>
        <w:tc>
          <w:tcPr>
            <w:tcW w:w="1061" w:type="dxa"/>
            <w:shd w:val="clear" w:color="auto" w:fill="auto"/>
            <w:tcMar>
              <w:top w:w="150" w:type="dxa"/>
              <w:left w:w="240" w:type="dxa"/>
              <w:bottom w:w="150" w:type="dxa"/>
              <w:right w:w="0" w:type="dxa"/>
            </w:tcMar>
            <w:vAlign w:val="center"/>
          </w:tcPr>
          <w:p w14:paraId="4DCD1C91">
            <w:pPr>
              <w:spacing w:before="62" w:line="222" w:lineRule="auto"/>
              <w:ind w:left="189"/>
              <w:jc w:val="center"/>
              <w:rPr>
                <w:rFonts w:hint="eastAsia" w:ascii="宋体" w:hAnsi="宋体" w:eastAsia="宋体" w:cs="宋体"/>
                <w:spacing w:val="10"/>
                <w:sz w:val="19"/>
                <w:szCs w:val="19"/>
                <w:highlight w:val="none"/>
              </w:rPr>
            </w:pPr>
          </w:p>
        </w:tc>
      </w:tr>
      <w:tr w14:paraId="54B2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87" w:hRule="atLeast"/>
          <w:jc w:val="center"/>
        </w:trPr>
        <w:tc>
          <w:tcPr>
            <w:tcW w:w="875" w:type="dxa"/>
            <w:shd w:val="clear" w:color="auto" w:fill="auto"/>
            <w:tcMar>
              <w:top w:w="150" w:type="dxa"/>
              <w:left w:w="0" w:type="dxa"/>
              <w:bottom w:w="150" w:type="dxa"/>
              <w:right w:w="240" w:type="dxa"/>
            </w:tcMar>
            <w:vAlign w:val="center"/>
          </w:tcPr>
          <w:p w14:paraId="60242353">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14</w:t>
            </w:r>
          </w:p>
        </w:tc>
        <w:tc>
          <w:tcPr>
            <w:tcW w:w="1393" w:type="dxa"/>
            <w:shd w:val="clear" w:color="auto" w:fill="auto"/>
            <w:tcMar>
              <w:top w:w="150" w:type="dxa"/>
              <w:left w:w="240" w:type="dxa"/>
              <w:bottom w:w="150" w:type="dxa"/>
              <w:right w:w="240" w:type="dxa"/>
            </w:tcMar>
            <w:vAlign w:val="center"/>
          </w:tcPr>
          <w:p w14:paraId="6BBA7DFE">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安全保护特性（电气）</w:t>
            </w:r>
          </w:p>
        </w:tc>
        <w:tc>
          <w:tcPr>
            <w:tcW w:w="6649" w:type="dxa"/>
            <w:shd w:val="clear" w:color="auto" w:fill="auto"/>
            <w:tcMar>
              <w:top w:w="150" w:type="dxa"/>
              <w:left w:w="240" w:type="dxa"/>
              <w:bottom w:w="150" w:type="dxa"/>
              <w:right w:w="240" w:type="dxa"/>
            </w:tcMar>
            <w:vAlign w:val="center"/>
          </w:tcPr>
          <w:p w14:paraId="589A0BBC">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具备以下完备保护功能：</w:t>
            </w:r>
            <w:r>
              <w:rPr>
                <w:rFonts w:hint="eastAsia" w:ascii="宋体" w:hAnsi="宋体" w:eastAsia="宋体" w:cs="宋体"/>
                <w:spacing w:val="10"/>
                <w:sz w:val="19"/>
                <w:szCs w:val="19"/>
                <w:highlight w:val="none"/>
                <w:lang w:val="en-US" w:eastAsia="zh-CN"/>
              </w:rPr>
              <w:br w:type="textWrapping"/>
            </w:r>
            <w:r>
              <w:rPr>
                <w:rFonts w:hint="eastAsia" w:ascii="宋体" w:hAnsi="宋体" w:eastAsia="宋体" w:cs="宋体"/>
                <w:spacing w:val="10"/>
                <w:sz w:val="19"/>
                <w:szCs w:val="19"/>
                <w:highlight w:val="none"/>
                <w:lang w:val="en-US" w:eastAsia="zh-CN"/>
              </w:rPr>
              <w:t>输入侧：过压保护、欠压保护、过流保护、缺相保护；</w:t>
            </w:r>
            <w:r>
              <w:rPr>
                <w:rFonts w:hint="eastAsia" w:ascii="宋体" w:hAnsi="宋体" w:eastAsia="宋体" w:cs="宋体"/>
                <w:spacing w:val="10"/>
                <w:sz w:val="19"/>
                <w:szCs w:val="19"/>
                <w:highlight w:val="none"/>
                <w:lang w:val="en-US" w:eastAsia="zh-CN"/>
              </w:rPr>
              <w:br w:type="textWrapping"/>
            </w:r>
            <w:r>
              <w:rPr>
                <w:rFonts w:hint="eastAsia" w:ascii="宋体" w:hAnsi="宋体" w:eastAsia="宋体" w:cs="宋体"/>
                <w:spacing w:val="10"/>
                <w:sz w:val="19"/>
                <w:szCs w:val="19"/>
                <w:highlight w:val="none"/>
                <w:lang w:val="en-US" w:eastAsia="zh-CN"/>
              </w:rPr>
              <w:t>输出侧：过压保护、欠压保护、过流保护、短路保护、反接保护、绝缘故障保护；</w:t>
            </w:r>
            <w:r>
              <w:rPr>
                <w:rFonts w:hint="eastAsia" w:ascii="宋体" w:hAnsi="宋体" w:eastAsia="宋体" w:cs="宋体"/>
                <w:spacing w:val="10"/>
                <w:sz w:val="19"/>
                <w:szCs w:val="19"/>
                <w:highlight w:val="none"/>
                <w:lang w:val="en-US" w:eastAsia="zh-CN"/>
              </w:rPr>
              <w:br w:type="textWrapping"/>
            </w:r>
            <w:r>
              <w:rPr>
                <w:rFonts w:hint="eastAsia" w:ascii="宋体" w:hAnsi="宋体" w:eastAsia="宋体" w:cs="宋体"/>
                <w:spacing w:val="10"/>
                <w:sz w:val="19"/>
                <w:szCs w:val="19"/>
                <w:highlight w:val="none"/>
                <w:lang w:val="en-US" w:eastAsia="zh-CN"/>
              </w:rPr>
              <w:t>整机：过温保护、防雷保护（具备浪涌保护器SPD）、急停保护（须配置醒目急停按钮，急停应具备自动复位功能）。</w:t>
            </w:r>
          </w:p>
        </w:tc>
        <w:tc>
          <w:tcPr>
            <w:tcW w:w="1061" w:type="dxa"/>
            <w:shd w:val="clear" w:color="auto" w:fill="auto"/>
            <w:tcMar>
              <w:top w:w="150" w:type="dxa"/>
              <w:left w:w="240" w:type="dxa"/>
              <w:bottom w:w="150" w:type="dxa"/>
              <w:right w:w="0" w:type="dxa"/>
            </w:tcMar>
            <w:vAlign w:val="center"/>
          </w:tcPr>
          <w:p w14:paraId="143D4DEE">
            <w:pPr>
              <w:spacing w:before="62" w:line="222" w:lineRule="auto"/>
              <w:ind w:left="189"/>
              <w:jc w:val="center"/>
              <w:rPr>
                <w:rFonts w:hint="eastAsia" w:ascii="宋体" w:hAnsi="宋体" w:eastAsia="宋体" w:cs="宋体"/>
                <w:spacing w:val="10"/>
                <w:sz w:val="19"/>
                <w:szCs w:val="19"/>
                <w:highlight w:val="none"/>
              </w:rPr>
            </w:pPr>
          </w:p>
        </w:tc>
      </w:tr>
      <w:tr w14:paraId="2C19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741" w:hRule="atLeast"/>
          <w:jc w:val="center"/>
        </w:trPr>
        <w:tc>
          <w:tcPr>
            <w:tcW w:w="875" w:type="dxa"/>
            <w:shd w:val="clear" w:color="auto" w:fill="auto"/>
            <w:tcMar>
              <w:top w:w="150" w:type="dxa"/>
              <w:left w:w="0" w:type="dxa"/>
              <w:bottom w:w="150" w:type="dxa"/>
              <w:right w:w="240" w:type="dxa"/>
            </w:tcMar>
            <w:vAlign w:val="center"/>
          </w:tcPr>
          <w:p w14:paraId="34F83EB0">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15</w:t>
            </w:r>
          </w:p>
        </w:tc>
        <w:tc>
          <w:tcPr>
            <w:tcW w:w="1393" w:type="dxa"/>
            <w:shd w:val="clear" w:color="auto" w:fill="auto"/>
            <w:tcMar>
              <w:top w:w="150" w:type="dxa"/>
              <w:left w:w="240" w:type="dxa"/>
              <w:bottom w:w="150" w:type="dxa"/>
              <w:right w:w="240" w:type="dxa"/>
            </w:tcMar>
            <w:vAlign w:val="center"/>
          </w:tcPr>
          <w:p w14:paraId="783EE872">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执行标准</w:t>
            </w:r>
          </w:p>
        </w:tc>
        <w:tc>
          <w:tcPr>
            <w:tcW w:w="6649" w:type="dxa"/>
            <w:shd w:val="clear" w:color="auto" w:fill="auto"/>
            <w:tcMar>
              <w:top w:w="150" w:type="dxa"/>
              <w:left w:w="240" w:type="dxa"/>
              <w:bottom w:w="150" w:type="dxa"/>
              <w:right w:w="240" w:type="dxa"/>
            </w:tcMar>
            <w:vAlign w:val="center"/>
          </w:tcPr>
          <w:p w14:paraId="35F4527D">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须满足并执行不限于以下最新国家标准（含强制性国标）：</w:t>
            </w:r>
            <w:r>
              <w:rPr>
                <w:rFonts w:hint="eastAsia" w:ascii="宋体" w:hAnsi="宋体" w:eastAsia="宋体" w:cs="宋体"/>
                <w:spacing w:val="10"/>
                <w:sz w:val="19"/>
                <w:szCs w:val="19"/>
                <w:highlight w:val="none"/>
                <w:lang w:val="en-US" w:eastAsia="zh-CN"/>
              </w:rPr>
              <w:br w:type="textWrapping"/>
            </w:r>
            <w:r>
              <w:rPr>
                <w:rFonts w:hint="eastAsia" w:ascii="宋体" w:hAnsi="宋体" w:eastAsia="宋体" w:cs="宋体"/>
                <w:spacing w:val="10"/>
                <w:sz w:val="19"/>
                <w:szCs w:val="19"/>
                <w:highlight w:val="none"/>
                <w:lang w:val="en-US" w:eastAsia="zh-CN"/>
              </w:rPr>
              <w:t>GB 39752-2024《电动汽车供电设备安全要求》</w:t>
            </w:r>
            <w:r>
              <w:rPr>
                <w:rFonts w:hint="eastAsia" w:ascii="宋体" w:hAnsi="宋体" w:eastAsia="宋体" w:cs="宋体"/>
                <w:spacing w:val="10"/>
                <w:sz w:val="19"/>
                <w:szCs w:val="19"/>
                <w:highlight w:val="none"/>
                <w:lang w:val="en-US" w:eastAsia="zh-CN"/>
              </w:rPr>
              <w:br w:type="textWrapping"/>
            </w:r>
            <w:r>
              <w:rPr>
                <w:rFonts w:hint="eastAsia" w:ascii="宋体" w:hAnsi="宋体" w:eastAsia="宋体" w:cs="宋体"/>
                <w:spacing w:val="10"/>
                <w:sz w:val="19"/>
                <w:szCs w:val="19"/>
                <w:highlight w:val="none"/>
                <w:lang w:val="en-US" w:eastAsia="zh-CN"/>
              </w:rPr>
              <w:t>GB 44263-2024《电动汽车传导充电系统安全要求》</w:t>
            </w:r>
            <w:r>
              <w:rPr>
                <w:rFonts w:hint="eastAsia" w:ascii="宋体" w:hAnsi="宋体" w:eastAsia="宋体" w:cs="宋体"/>
                <w:spacing w:val="10"/>
                <w:sz w:val="19"/>
                <w:szCs w:val="19"/>
                <w:highlight w:val="none"/>
                <w:lang w:val="en-US" w:eastAsia="zh-CN"/>
              </w:rPr>
              <w:br w:type="textWrapping"/>
            </w:r>
          </w:p>
        </w:tc>
        <w:tc>
          <w:tcPr>
            <w:tcW w:w="1061" w:type="dxa"/>
            <w:shd w:val="clear" w:color="auto" w:fill="auto"/>
            <w:tcMar>
              <w:top w:w="150" w:type="dxa"/>
              <w:left w:w="240" w:type="dxa"/>
              <w:bottom w:w="150" w:type="dxa"/>
              <w:right w:w="0" w:type="dxa"/>
            </w:tcMar>
            <w:vAlign w:val="center"/>
          </w:tcPr>
          <w:p w14:paraId="47F576FC">
            <w:pPr>
              <w:spacing w:before="62" w:line="222" w:lineRule="auto"/>
              <w:ind w:left="189"/>
              <w:jc w:val="center"/>
              <w:rPr>
                <w:rFonts w:hint="eastAsia" w:ascii="宋体" w:hAnsi="宋体" w:eastAsia="宋体" w:cs="宋体"/>
                <w:spacing w:val="10"/>
                <w:sz w:val="19"/>
                <w:szCs w:val="19"/>
                <w:highlight w:val="none"/>
              </w:rPr>
            </w:pPr>
          </w:p>
        </w:tc>
      </w:tr>
      <w:tr w14:paraId="50DB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14" w:hRule="atLeast"/>
          <w:jc w:val="center"/>
        </w:trPr>
        <w:tc>
          <w:tcPr>
            <w:tcW w:w="875" w:type="dxa"/>
            <w:shd w:val="clear" w:color="auto" w:fill="auto"/>
            <w:tcMar>
              <w:top w:w="150" w:type="dxa"/>
              <w:left w:w="0" w:type="dxa"/>
              <w:bottom w:w="150" w:type="dxa"/>
              <w:right w:w="240" w:type="dxa"/>
            </w:tcMar>
            <w:vAlign w:val="center"/>
          </w:tcPr>
          <w:p w14:paraId="22498B33">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16</w:t>
            </w:r>
          </w:p>
        </w:tc>
        <w:tc>
          <w:tcPr>
            <w:tcW w:w="1393" w:type="dxa"/>
            <w:shd w:val="clear" w:color="auto" w:fill="auto"/>
            <w:tcMar>
              <w:top w:w="150" w:type="dxa"/>
              <w:left w:w="240" w:type="dxa"/>
              <w:bottom w:w="150" w:type="dxa"/>
              <w:right w:w="240" w:type="dxa"/>
            </w:tcMar>
            <w:vAlign w:val="center"/>
          </w:tcPr>
          <w:p w14:paraId="5C494069">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显示交互</w:t>
            </w:r>
          </w:p>
        </w:tc>
        <w:tc>
          <w:tcPr>
            <w:tcW w:w="6649" w:type="dxa"/>
            <w:shd w:val="clear" w:color="auto" w:fill="auto"/>
            <w:tcMar>
              <w:top w:w="150" w:type="dxa"/>
              <w:left w:w="240" w:type="dxa"/>
              <w:bottom w:w="150" w:type="dxa"/>
              <w:right w:w="240" w:type="dxa"/>
            </w:tcMar>
            <w:vAlign w:val="center"/>
          </w:tcPr>
          <w:p w14:paraId="30FEC017">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配置工业级彩色触摸屏，尺寸不小于7英寸。户外强光下内容须清晰可见，亮度可调。触摸屏须通过串口/网口等接口与主控板连接，并支持OTA远程升级。</w:t>
            </w:r>
          </w:p>
        </w:tc>
        <w:tc>
          <w:tcPr>
            <w:tcW w:w="1061" w:type="dxa"/>
            <w:shd w:val="clear" w:color="auto" w:fill="auto"/>
            <w:tcMar>
              <w:top w:w="150" w:type="dxa"/>
              <w:left w:w="240" w:type="dxa"/>
              <w:bottom w:w="150" w:type="dxa"/>
              <w:right w:w="0" w:type="dxa"/>
            </w:tcMar>
            <w:vAlign w:val="center"/>
          </w:tcPr>
          <w:p w14:paraId="019A02B4">
            <w:pPr>
              <w:spacing w:before="62" w:line="222" w:lineRule="auto"/>
              <w:ind w:left="189"/>
              <w:jc w:val="center"/>
              <w:rPr>
                <w:rFonts w:hint="eastAsia" w:ascii="宋体" w:hAnsi="宋体" w:eastAsia="宋体" w:cs="宋体"/>
                <w:spacing w:val="10"/>
                <w:sz w:val="19"/>
                <w:szCs w:val="19"/>
                <w:highlight w:val="none"/>
              </w:rPr>
            </w:pPr>
          </w:p>
        </w:tc>
      </w:tr>
      <w:tr w14:paraId="24D02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67" w:hRule="atLeast"/>
          <w:jc w:val="center"/>
        </w:trPr>
        <w:tc>
          <w:tcPr>
            <w:tcW w:w="875" w:type="dxa"/>
            <w:shd w:val="clear" w:color="auto" w:fill="auto"/>
            <w:tcMar>
              <w:top w:w="150" w:type="dxa"/>
              <w:left w:w="0" w:type="dxa"/>
              <w:bottom w:w="150" w:type="dxa"/>
              <w:right w:w="240" w:type="dxa"/>
            </w:tcMar>
            <w:vAlign w:val="center"/>
          </w:tcPr>
          <w:p w14:paraId="1E4011B0">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17</w:t>
            </w:r>
          </w:p>
        </w:tc>
        <w:tc>
          <w:tcPr>
            <w:tcW w:w="1393" w:type="dxa"/>
            <w:shd w:val="clear" w:color="auto" w:fill="auto"/>
            <w:tcMar>
              <w:top w:w="150" w:type="dxa"/>
              <w:left w:w="240" w:type="dxa"/>
              <w:bottom w:w="150" w:type="dxa"/>
              <w:right w:w="240" w:type="dxa"/>
            </w:tcMar>
            <w:vAlign w:val="center"/>
          </w:tcPr>
          <w:p w14:paraId="3BDA05F8">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故障信息记录</w:t>
            </w:r>
          </w:p>
        </w:tc>
        <w:tc>
          <w:tcPr>
            <w:tcW w:w="6649" w:type="dxa"/>
            <w:shd w:val="clear" w:color="auto" w:fill="auto"/>
            <w:tcMar>
              <w:top w:w="150" w:type="dxa"/>
              <w:left w:w="240" w:type="dxa"/>
              <w:bottom w:w="150" w:type="dxa"/>
              <w:right w:w="240" w:type="dxa"/>
            </w:tcMar>
            <w:vAlign w:val="center"/>
          </w:tcPr>
          <w:p w14:paraId="49937AD5">
            <w:pPr>
              <w:widowControl w:val="0"/>
              <w:spacing w:before="62" w:line="222" w:lineRule="auto"/>
              <w:jc w:val="left"/>
              <w:rPr>
                <w:rFonts w:hint="eastAsia" w:ascii="宋体" w:hAnsi="宋体" w:eastAsia="宋体" w:cs="宋体"/>
                <w:spacing w:val="10"/>
                <w:kern w:val="2"/>
                <w:sz w:val="19"/>
                <w:szCs w:val="19"/>
                <w:highlight w:val="none"/>
                <w:lang w:val="en-US" w:eastAsia="zh-CN" w:bidi="ar-SA"/>
              </w:rPr>
            </w:pPr>
            <w:r>
              <w:rPr>
                <w:rFonts w:hint="eastAsia" w:ascii="宋体" w:hAnsi="宋体" w:eastAsia="宋体" w:cs="宋体"/>
                <w:spacing w:val="10"/>
                <w:kern w:val="2"/>
                <w:sz w:val="19"/>
                <w:szCs w:val="19"/>
                <w:highlight w:val="none"/>
                <w:lang w:val="en-US" w:eastAsia="zh-CN" w:bidi="ar-SA"/>
              </w:rPr>
              <w:t>充电机应具备故障记录功能，在充电过程中，当出现疑似故障特征或实际故障发生后，应记录故障前后电池、充电机的关键信息（电压、电流、SOC、温度、单体电池信息、通讯报文等），并进行本地存储并同时上传至监控后台，实现本地和远程双存储备份。</w:t>
            </w:r>
          </w:p>
        </w:tc>
        <w:tc>
          <w:tcPr>
            <w:tcW w:w="1061" w:type="dxa"/>
            <w:shd w:val="clear" w:color="auto" w:fill="auto"/>
            <w:tcMar>
              <w:top w:w="150" w:type="dxa"/>
              <w:left w:w="240" w:type="dxa"/>
              <w:bottom w:w="150" w:type="dxa"/>
              <w:right w:w="0" w:type="dxa"/>
            </w:tcMar>
            <w:vAlign w:val="center"/>
          </w:tcPr>
          <w:p w14:paraId="21E9D1E1">
            <w:pPr>
              <w:spacing w:before="62" w:line="222" w:lineRule="auto"/>
              <w:ind w:left="189"/>
              <w:jc w:val="center"/>
              <w:rPr>
                <w:rFonts w:hint="eastAsia" w:ascii="宋体" w:hAnsi="宋体" w:eastAsia="宋体" w:cs="宋体"/>
                <w:spacing w:val="10"/>
                <w:sz w:val="19"/>
                <w:szCs w:val="19"/>
                <w:highlight w:val="none"/>
              </w:rPr>
            </w:pPr>
          </w:p>
        </w:tc>
      </w:tr>
      <w:tr w14:paraId="052C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01" w:hRule="atLeast"/>
          <w:jc w:val="center"/>
        </w:trPr>
        <w:tc>
          <w:tcPr>
            <w:tcW w:w="875" w:type="dxa"/>
            <w:shd w:val="clear" w:color="auto" w:fill="auto"/>
            <w:tcMar>
              <w:top w:w="150" w:type="dxa"/>
              <w:left w:w="0" w:type="dxa"/>
              <w:bottom w:w="150" w:type="dxa"/>
              <w:right w:w="240" w:type="dxa"/>
            </w:tcMar>
            <w:vAlign w:val="center"/>
          </w:tcPr>
          <w:p w14:paraId="7B785EA4">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18</w:t>
            </w:r>
          </w:p>
        </w:tc>
        <w:tc>
          <w:tcPr>
            <w:tcW w:w="1393" w:type="dxa"/>
            <w:shd w:val="clear" w:color="auto" w:fill="auto"/>
            <w:tcMar>
              <w:top w:w="150" w:type="dxa"/>
              <w:left w:w="240" w:type="dxa"/>
              <w:bottom w:w="150" w:type="dxa"/>
              <w:right w:w="240" w:type="dxa"/>
            </w:tcMar>
            <w:vAlign w:val="center"/>
          </w:tcPr>
          <w:p w14:paraId="7F1E00D5">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满载最大效率</w:t>
            </w:r>
          </w:p>
        </w:tc>
        <w:tc>
          <w:tcPr>
            <w:tcW w:w="6649" w:type="dxa"/>
            <w:shd w:val="clear" w:color="auto" w:fill="auto"/>
            <w:tcMar>
              <w:top w:w="150" w:type="dxa"/>
              <w:left w:w="240" w:type="dxa"/>
              <w:bottom w:w="150" w:type="dxa"/>
              <w:right w:w="240" w:type="dxa"/>
            </w:tcMar>
            <w:vAlign w:val="center"/>
          </w:tcPr>
          <w:p w14:paraId="72AACB63">
            <w:pPr>
              <w:spacing w:before="62" w:line="222" w:lineRule="auto"/>
              <w:ind w:left="189"/>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≥96.5%（对应GB 46519-2025 1级能效要求）。</w:t>
            </w:r>
          </w:p>
        </w:tc>
        <w:tc>
          <w:tcPr>
            <w:tcW w:w="1061" w:type="dxa"/>
            <w:shd w:val="clear" w:color="auto" w:fill="auto"/>
            <w:tcMar>
              <w:top w:w="150" w:type="dxa"/>
              <w:left w:w="240" w:type="dxa"/>
              <w:bottom w:w="150" w:type="dxa"/>
              <w:right w:w="0" w:type="dxa"/>
            </w:tcMar>
            <w:vAlign w:val="center"/>
          </w:tcPr>
          <w:p w14:paraId="2AB8CAC0">
            <w:pPr>
              <w:spacing w:before="62" w:line="222" w:lineRule="auto"/>
              <w:ind w:left="189"/>
              <w:jc w:val="center"/>
              <w:rPr>
                <w:rFonts w:hint="eastAsia" w:ascii="宋体" w:hAnsi="宋体" w:eastAsia="宋体" w:cs="宋体"/>
                <w:spacing w:val="10"/>
                <w:sz w:val="19"/>
                <w:szCs w:val="19"/>
                <w:highlight w:val="none"/>
              </w:rPr>
            </w:pPr>
          </w:p>
        </w:tc>
      </w:tr>
      <w:tr w14:paraId="5B95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25" w:hRule="atLeast"/>
          <w:jc w:val="center"/>
        </w:trPr>
        <w:tc>
          <w:tcPr>
            <w:tcW w:w="875" w:type="dxa"/>
            <w:shd w:val="clear" w:color="auto" w:fill="auto"/>
            <w:tcMar>
              <w:top w:w="150" w:type="dxa"/>
              <w:left w:w="0" w:type="dxa"/>
              <w:bottom w:w="150" w:type="dxa"/>
              <w:right w:w="240" w:type="dxa"/>
            </w:tcMar>
            <w:vAlign w:val="center"/>
          </w:tcPr>
          <w:p w14:paraId="48136C19">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19</w:t>
            </w:r>
          </w:p>
        </w:tc>
        <w:tc>
          <w:tcPr>
            <w:tcW w:w="1393" w:type="dxa"/>
            <w:shd w:val="clear" w:color="auto" w:fill="auto"/>
            <w:tcMar>
              <w:top w:w="150" w:type="dxa"/>
              <w:left w:w="240" w:type="dxa"/>
              <w:bottom w:w="150" w:type="dxa"/>
              <w:right w:w="240" w:type="dxa"/>
            </w:tcMar>
            <w:vAlign w:val="center"/>
          </w:tcPr>
          <w:p w14:paraId="6492D5C6">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充电模块</w:t>
            </w:r>
          </w:p>
        </w:tc>
        <w:tc>
          <w:tcPr>
            <w:tcW w:w="6649" w:type="dxa"/>
            <w:shd w:val="clear" w:color="auto" w:fill="auto"/>
            <w:tcMar>
              <w:top w:w="150" w:type="dxa"/>
              <w:left w:w="240" w:type="dxa"/>
              <w:bottom w:w="150" w:type="dxa"/>
              <w:right w:w="240" w:type="dxa"/>
            </w:tcMar>
            <w:vAlign w:val="center"/>
          </w:tcPr>
          <w:p w14:paraId="139DCBA5">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单个模块功率≥</w:t>
            </w:r>
            <w:r>
              <w:rPr>
                <w:rFonts w:hint="eastAsia" w:ascii="宋体" w:hAnsi="宋体" w:cs="宋体"/>
                <w:spacing w:val="10"/>
                <w:sz w:val="19"/>
                <w:szCs w:val="19"/>
                <w:highlight w:val="none"/>
                <w:lang w:val="en-US" w:eastAsia="zh-CN"/>
              </w:rPr>
              <w:t>4</w:t>
            </w:r>
            <w:r>
              <w:rPr>
                <w:rFonts w:hint="eastAsia" w:ascii="宋体" w:hAnsi="宋体" w:eastAsia="宋体" w:cs="宋体"/>
                <w:spacing w:val="10"/>
                <w:sz w:val="19"/>
                <w:szCs w:val="19"/>
                <w:highlight w:val="none"/>
                <w:lang w:val="en-US" w:eastAsia="zh-CN"/>
              </w:rPr>
              <w:t>0kW，全灌胶工艺，具备高防护等级和高可靠性。</w:t>
            </w:r>
            <w:r>
              <w:rPr>
                <w:rFonts w:hint="eastAsia" w:ascii="宋体" w:hAnsi="宋体" w:eastAsia="宋体" w:cs="宋体"/>
                <w:spacing w:val="10"/>
                <w:sz w:val="19"/>
                <w:szCs w:val="19"/>
                <w:highlight w:val="none"/>
                <w:lang w:val="en-US" w:eastAsia="zh-CN"/>
              </w:rPr>
              <w:br w:type="textWrapping"/>
            </w:r>
            <w:r>
              <w:rPr>
                <w:rFonts w:hint="eastAsia" w:ascii="宋体" w:hAnsi="宋体" w:eastAsia="宋体" w:cs="宋体"/>
                <w:spacing w:val="10"/>
                <w:sz w:val="19"/>
                <w:szCs w:val="19"/>
                <w:highlight w:val="none"/>
                <w:lang w:val="en-US" w:eastAsia="zh-CN"/>
              </w:rPr>
              <w:t>a) 直流输出电压范围：DC 200～1000V；</w:t>
            </w:r>
            <w:r>
              <w:rPr>
                <w:rFonts w:hint="eastAsia" w:ascii="宋体" w:hAnsi="宋体" w:eastAsia="宋体" w:cs="宋体"/>
                <w:spacing w:val="10"/>
                <w:sz w:val="19"/>
                <w:szCs w:val="19"/>
                <w:highlight w:val="none"/>
                <w:lang w:val="en-US" w:eastAsia="zh-CN"/>
              </w:rPr>
              <w:br w:type="textWrapping"/>
            </w:r>
            <w:r>
              <w:rPr>
                <w:rFonts w:hint="eastAsia" w:ascii="宋体" w:hAnsi="宋体" w:eastAsia="宋体" w:cs="宋体"/>
                <w:spacing w:val="10"/>
                <w:sz w:val="19"/>
                <w:szCs w:val="19"/>
                <w:highlight w:val="none"/>
                <w:lang w:val="en-US" w:eastAsia="zh-CN"/>
              </w:rPr>
              <w:t>b) 恒功率输出电压范围：DC 300～1000V；</w:t>
            </w:r>
            <w:r>
              <w:rPr>
                <w:rFonts w:hint="eastAsia" w:ascii="宋体" w:hAnsi="宋体" w:eastAsia="宋体" w:cs="宋体"/>
                <w:spacing w:val="10"/>
                <w:sz w:val="19"/>
                <w:szCs w:val="19"/>
                <w:highlight w:val="none"/>
                <w:lang w:val="en-US" w:eastAsia="zh-CN"/>
              </w:rPr>
              <w:br w:type="textWrapping"/>
            </w:r>
            <w:r>
              <w:rPr>
                <w:rFonts w:hint="eastAsia" w:ascii="宋体" w:hAnsi="宋体" w:eastAsia="宋体" w:cs="宋体"/>
                <w:spacing w:val="10"/>
                <w:sz w:val="19"/>
                <w:szCs w:val="19"/>
                <w:highlight w:val="none"/>
                <w:lang w:val="en-US" w:eastAsia="zh-CN"/>
              </w:rPr>
              <w:t>c) 模块待机功耗0W。</w:t>
            </w:r>
          </w:p>
        </w:tc>
        <w:tc>
          <w:tcPr>
            <w:tcW w:w="1061" w:type="dxa"/>
            <w:shd w:val="clear" w:color="auto" w:fill="auto"/>
            <w:tcMar>
              <w:top w:w="150" w:type="dxa"/>
              <w:left w:w="240" w:type="dxa"/>
              <w:bottom w:w="150" w:type="dxa"/>
              <w:right w:w="0" w:type="dxa"/>
            </w:tcMar>
            <w:vAlign w:val="center"/>
          </w:tcPr>
          <w:p w14:paraId="541788C9">
            <w:pPr>
              <w:spacing w:before="62" w:line="222" w:lineRule="auto"/>
              <w:ind w:left="189"/>
              <w:jc w:val="center"/>
              <w:rPr>
                <w:rFonts w:hint="eastAsia" w:ascii="宋体" w:hAnsi="宋体" w:eastAsia="宋体" w:cs="宋体"/>
                <w:spacing w:val="10"/>
                <w:sz w:val="19"/>
                <w:szCs w:val="19"/>
                <w:highlight w:val="none"/>
              </w:rPr>
            </w:pPr>
          </w:p>
        </w:tc>
      </w:tr>
      <w:tr w14:paraId="4227D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5" w:hRule="atLeast"/>
          <w:jc w:val="center"/>
        </w:trPr>
        <w:tc>
          <w:tcPr>
            <w:tcW w:w="875" w:type="dxa"/>
            <w:shd w:val="clear" w:color="auto" w:fill="auto"/>
            <w:tcMar>
              <w:top w:w="150" w:type="dxa"/>
              <w:left w:w="0" w:type="dxa"/>
              <w:bottom w:w="150" w:type="dxa"/>
              <w:right w:w="240" w:type="dxa"/>
            </w:tcMar>
            <w:vAlign w:val="center"/>
          </w:tcPr>
          <w:p w14:paraId="4FE71D55">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20</w:t>
            </w:r>
          </w:p>
        </w:tc>
        <w:tc>
          <w:tcPr>
            <w:tcW w:w="1393" w:type="dxa"/>
            <w:shd w:val="clear" w:color="auto" w:fill="auto"/>
            <w:tcMar>
              <w:top w:w="150" w:type="dxa"/>
              <w:left w:w="240" w:type="dxa"/>
              <w:bottom w:w="150" w:type="dxa"/>
              <w:right w:w="240" w:type="dxa"/>
            </w:tcMar>
            <w:vAlign w:val="center"/>
          </w:tcPr>
          <w:p w14:paraId="04CEC00A">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状态指示</w:t>
            </w:r>
          </w:p>
        </w:tc>
        <w:tc>
          <w:tcPr>
            <w:tcW w:w="6649" w:type="dxa"/>
            <w:shd w:val="clear" w:color="auto" w:fill="auto"/>
            <w:tcMar>
              <w:top w:w="150" w:type="dxa"/>
              <w:left w:w="240" w:type="dxa"/>
              <w:bottom w:w="150" w:type="dxa"/>
              <w:right w:w="240" w:type="dxa"/>
            </w:tcMar>
            <w:vAlign w:val="center"/>
          </w:tcPr>
          <w:p w14:paraId="1E67D621">
            <w:pPr>
              <w:widowControl w:val="0"/>
              <w:spacing w:before="62" w:line="222" w:lineRule="auto"/>
              <w:jc w:val="left"/>
              <w:rPr>
                <w:rFonts w:hint="eastAsia" w:ascii="宋体" w:hAnsi="宋体" w:eastAsia="宋体" w:cs="宋体"/>
                <w:spacing w:val="10"/>
                <w:kern w:val="2"/>
                <w:sz w:val="19"/>
                <w:szCs w:val="19"/>
                <w:highlight w:val="none"/>
                <w:lang w:val="en-US" w:eastAsia="zh-CN" w:bidi="ar-SA"/>
              </w:rPr>
            </w:pPr>
            <w:r>
              <w:rPr>
                <w:rFonts w:hint="eastAsia" w:ascii="宋体" w:hAnsi="宋体" w:eastAsia="宋体" w:cs="宋体"/>
                <w:spacing w:val="10"/>
                <w:kern w:val="2"/>
                <w:sz w:val="19"/>
                <w:szCs w:val="19"/>
                <w:highlight w:val="none"/>
                <w:lang w:val="en-US" w:eastAsia="zh-CN" w:bidi="ar-SA"/>
              </w:rPr>
              <w:t>支持充电不同状态的显示及故障信息、急停状态等信息显示</w:t>
            </w:r>
          </w:p>
        </w:tc>
        <w:tc>
          <w:tcPr>
            <w:tcW w:w="1061" w:type="dxa"/>
            <w:shd w:val="clear" w:color="auto" w:fill="auto"/>
            <w:tcMar>
              <w:top w:w="150" w:type="dxa"/>
              <w:left w:w="240" w:type="dxa"/>
              <w:bottom w:w="150" w:type="dxa"/>
              <w:right w:w="0" w:type="dxa"/>
            </w:tcMar>
            <w:vAlign w:val="center"/>
          </w:tcPr>
          <w:p w14:paraId="7ABB414F">
            <w:pPr>
              <w:spacing w:before="62" w:line="222" w:lineRule="auto"/>
              <w:ind w:left="189"/>
              <w:jc w:val="center"/>
              <w:rPr>
                <w:rFonts w:hint="eastAsia" w:ascii="宋体" w:hAnsi="宋体" w:eastAsia="宋体" w:cs="宋体"/>
                <w:spacing w:val="10"/>
                <w:sz w:val="19"/>
                <w:szCs w:val="19"/>
                <w:highlight w:val="none"/>
              </w:rPr>
            </w:pPr>
          </w:p>
        </w:tc>
      </w:tr>
      <w:tr w14:paraId="43C2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78" w:hRule="atLeast"/>
          <w:jc w:val="center"/>
        </w:trPr>
        <w:tc>
          <w:tcPr>
            <w:tcW w:w="875" w:type="dxa"/>
            <w:shd w:val="clear" w:color="auto" w:fill="auto"/>
            <w:tcMar>
              <w:top w:w="150" w:type="dxa"/>
              <w:left w:w="0" w:type="dxa"/>
              <w:bottom w:w="150" w:type="dxa"/>
              <w:right w:w="240" w:type="dxa"/>
            </w:tcMar>
            <w:vAlign w:val="center"/>
          </w:tcPr>
          <w:p w14:paraId="19E0ECE7">
            <w:pPr>
              <w:spacing w:before="62" w:line="222" w:lineRule="auto"/>
              <w:ind w:left="189"/>
              <w:jc w:val="center"/>
              <w:rPr>
                <w:rFonts w:hint="default" w:ascii="宋体" w:hAnsi="宋体" w:eastAsia="宋体" w:cs="宋体"/>
                <w:spacing w:val="10"/>
                <w:sz w:val="19"/>
                <w:szCs w:val="19"/>
                <w:highlight w:val="none"/>
                <w:lang w:val="en-US"/>
              </w:rPr>
            </w:pPr>
            <w:r>
              <w:rPr>
                <w:rFonts w:hint="eastAsia" w:ascii="宋体" w:hAnsi="宋体" w:eastAsia="宋体" w:cs="宋体"/>
                <w:spacing w:val="10"/>
                <w:sz w:val="19"/>
                <w:szCs w:val="19"/>
                <w:highlight w:val="none"/>
                <w:lang w:val="en-US" w:eastAsia="zh-CN"/>
              </w:rPr>
              <w:t>21</w:t>
            </w:r>
          </w:p>
        </w:tc>
        <w:tc>
          <w:tcPr>
            <w:tcW w:w="1393" w:type="dxa"/>
            <w:shd w:val="clear" w:color="auto" w:fill="auto"/>
            <w:tcMar>
              <w:top w:w="150" w:type="dxa"/>
              <w:left w:w="240" w:type="dxa"/>
              <w:bottom w:w="150" w:type="dxa"/>
              <w:right w:w="240" w:type="dxa"/>
            </w:tcMar>
            <w:vAlign w:val="center"/>
          </w:tcPr>
          <w:p w14:paraId="13768B6C">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防护等级</w:t>
            </w:r>
          </w:p>
        </w:tc>
        <w:tc>
          <w:tcPr>
            <w:tcW w:w="6649" w:type="dxa"/>
            <w:shd w:val="clear" w:color="auto" w:fill="auto"/>
            <w:tcMar>
              <w:top w:w="150" w:type="dxa"/>
              <w:left w:w="240" w:type="dxa"/>
              <w:bottom w:w="150" w:type="dxa"/>
              <w:right w:w="240" w:type="dxa"/>
            </w:tcMar>
            <w:vAlign w:val="center"/>
          </w:tcPr>
          <w:p w14:paraId="308C7905">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整机防护等级不低于IP54（柜体及电气舱体）</w:t>
            </w:r>
          </w:p>
        </w:tc>
        <w:tc>
          <w:tcPr>
            <w:tcW w:w="1061" w:type="dxa"/>
            <w:shd w:val="clear" w:color="auto" w:fill="auto"/>
            <w:tcMar>
              <w:top w:w="150" w:type="dxa"/>
              <w:left w:w="240" w:type="dxa"/>
              <w:bottom w:w="150" w:type="dxa"/>
              <w:right w:w="0" w:type="dxa"/>
            </w:tcMar>
            <w:vAlign w:val="center"/>
          </w:tcPr>
          <w:p w14:paraId="3AAAB8C3">
            <w:pPr>
              <w:spacing w:before="62" w:line="222" w:lineRule="auto"/>
              <w:ind w:left="189"/>
              <w:jc w:val="center"/>
              <w:rPr>
                <w:rFonts w:hint="eastAsia" w:ascii="宋体" w:hAnsi="宋体" w:eastAsia="宋体" w:cs="宋体"/>
                <w:spacing w:val="10"/>
                <w:sz w:val="19"/>
                <w:szCs w:val="19"/>
                <w:highlight w:val="none"/>
              </w:rPr>
            </w:pPr>
          </w:p>
        </w:tc>
      </w:tr>
      <w:tr w14:paraId="1211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9" w:hRule="atLeast"/>
          <w:jc w:val="center"/>
        </w:trPr>
        <w:tc>
          <w:tcPr>
            <w:tcW w:w="875" w:type="dxa"/>
            <w:shd w:val="clear" w:color="auto" w:fill="auto"/>
            <w:tcMar>
              <w:top w:w="150" w:type="dxa"/>
              <w:left w:w="0" w:type="dxa"/>
              <w:bottom w:w="150" w:type="dxa"/>
              <w:right w:w="240" w:type="dxa"/>
            </w:tcMar>
            <w:vAlign w:val="center"/>
          </w:tcPr>
          <w:p w14:paraId="3977C60C">
            <w:pPr>
              <w:spacing w:before="62" w:line="222" w:lineRule="auto"/>
              <w:ind w:left="189"/>
              <w:jc w:val="center"/>
              <w:rPr>
                <w:rFonts w:hint="default" w:ascii="宋体" w:hAnsi="宋体" w:eastAsia="宋体" w:cs="宋体"/>
                <w:spacing w:val="10"/>
                <w:sz w:val="19"/>
                <w:szCs w:val="19"/>
                <w:highlight w:val="none"/>
                <w:lang w:val="en-US" w:eastAsia="zh-CN"/>
              </w:rPr>
            </w:pPr>
            <w:r>
              <w:rPr>
                <w:rFonts w:hint="eastAsia" w:ascii="宋体" w:hAnsi="宋体" w:eastAsia="宋体" w:cs="宋体"/>
                <w:spacing w:val="10"/>
                <w:sz w:val="19"/>
                <w:szCs w:val="19"/>
                <w:highlight w:val="none"/>
                <w:lang w:val="en-US" w:eastAsia="zh-CN"/>
              </w:rPr>
              <w:t>22</w:t>
            </w:r>
          </w:p>
        </w:tc>
        <w:tc>
          <w:tcPr>
            <w:tcW w:w="1393" w:type="dxa"/>
            <w:shd w:val="clear" w:color="auto" w:fill="auto"/>
            <w:tcMar>
              <w:top w:w="150" w:type="dxa"/>
              <w:left w:w="240" w:type="dxa"/>
              <w:bottom w:w="150" w:type="dxa"/>
              <w:right w:w="240" w:type="dxa"/>
            </w:tcMar>
            <w:vAlign w:val="top"/>
          </w:tcPr>
          <w:p w14:paraId="4BF691EA">
            <w:pPr>
              <w:spacing w:before="63" w:line="219" w:lineRule="auto"/>
              <w:jc w:val="center"/>
              <w:rPr>
                <w:rFonts w:hint="eastAsia" w:ascii="宋体" w:hAnsi="宋体" w:eastAsia="宋体" w:cs="宋体"/>
                <w:spacing w:val="10"/>
                <w:sz w:val="19"/>
                <w:szCs w:val="19"/>
                <w:highlight w:val="none"/>
                <w:lang w:val="en-US" w:eastAsia="zh-CN"/>
              </w:rPr>
            </w:pPr>
            <w:r>
              <w:rPr>
                <w:rFonts w:hint="eastAsia" w:ascii="宋体" w:hAnsi="宋体" w:eastAsia="宋体" w:cs="宋体"/>
                <w:spacing w:val="16"/>
                <w:sz w:val="19"/>
                <w:szCs w:val="19"/>
                <w:highlight w:val="none"/>
                <w:lang w:val="en-US" w:eastAsia="zh-CN"/>
              </w:rPr>
              <w:t>整机设备</w:t>
            </w:r>
            <w:r>
              <w:rPr>
                <w:rFonts w:ascii="宋体" w:hAnsi="宋体" w:eastAsia="宋体" w:cs="宋体"/>
                <w:spacing w:val="16"/>
                <w:sz w:val="19"/>
                <w:szCs w:val="19"/>
                <w:highlight w:val="none"/>
              </w:rPr>
              <w:t>待机功耗</w:t>
            </w:r>
          </w:p>
        </w:tc>
        <w:tc>
          <w:tcPr>
            <w:tcW w:w="6649" w:type="dxa"/>
            <w:shd w:val="clear" w:color="auto" w:fill="auto"/>
            <w:tcMar>
              <w:top w:w="150" w:type="dxa"/>
              <w:left w:w="240" w:type="dxa"/>
              <w:bottom w:w="150" w:type="dxa"/>
              <w:right w:w="240" w:type="dxa"/>
            </w:tcMar>
            <w:vAlign w:val="top"/>
          </w:tcPr>
          <w:p w14:paraId="647A82F5">
            <w:pPr>
              <w:pStyle w:val="214"/>
              <w:spacing w:before="63" w:line="219" w:lineRule="auto"/>
              <w:rPr>
                <w:rFonts w:hint="eastAsia" w:ascii="宋体" w:hAnsi="宋体" w:eastAsia="宋体" w:cs="宋体"/>
                <w:spacing w:val="10"/>
                <w:sz w:val="19"/>
                <w:szCs w:val="19"/>
                <w:highlight w:val="none"/>
                <w:lang w:val="en-US" w:eastAsia="zh-CN"/>
              </w:rPr>
            </w:pPr>
            <w:r>
              <w:rPr>
                <w:rFonts w:ascii="宋体" w:hAnsi="宋体" w:eastAsia="宋体" w:cs="宋体"/>
                <w:highlight w:val="none"/>
              </w:rPr>
              <w:t>≤</w:t>
            </w:r>
            <w:r>
              <w:rPr>
                <w:rFonts w:hint="eastAsia" w:eastAsia="宋体"/>
                <w:highlight w:val="none"/>
                <w:lang w:val="en-US" w:eastAsia="zh-CN"/>
              </w:rPr>
              <w:t>N</w:t>
            </w:r>
            <w:r>
              <w:rPr>
                <w:rFonts w:hint="eastAsia" w:ascii="宋体" w:hAnsi="宋体" w:eastAsia="宋体" w:cs="宋体"/>
                <w:highlight w:val="none"/>
                <w:lang w:val="en-US" w:eastAsia="zh-CN"/>
              </w:rPr>
              <w:t>*</w:t>
            </w:r>
            <w:r>
              <w:rPr>
                <w:rFonts w:ascii="宋体" w:hAnsi="宋体" w:eastAsia="宋体" w:cs="宋体"/>
                <w:highlight w:val="none"/>
              </w:rPr>
              <w:t>2</w:t>
            </w:r>
            <w:r>
              <w:rPr>
                <w:rFonts w:hint="eastAsia" w:ascii="宋体" w:hAnsi="宋体" w:eastAsia="宋体" w:cs="宋体"/>
                <w:highlight w:val="none"/>
                <w:lang w:val="en-US" w:eastAsia="zh-CN"/>
              </w:rPr>
              <w:t>0</w:t>
            </w:r>
            <w:r>
              <w:rPr>
                <w:highlight w:val="none"/>
              </w:rPr>
              <w:t>w</w:t>
            </w:r>
            <w:r>
              <w:rPr>
                <w:rFonts w:hint="eastAsia" w:eastAsia="宋体"/>
                <w:highlight w:val="none"/>
                <w:lang w:eastAsia="zh-CN"/>
              </w:rPr>
              <w:t>，</w:t>
            </w:r>
            <w:r>
              <w:rPr>
                <w:rFonts w:hint="eastAsia" w:eastAsia="宋体"/>
                <w:highlight w:val="none"/>
                <w:lang w:val="en-US" w:eastAsia="zh-CN"/>
              </w:rPr>
              <w:t>N为充电枪数量</w:t>
            </w:r>
          </w:p>
        </w:tc>
        <w:tc>
          <w:tcPr>
            <w:tcW w:w="1061" w:type="dxa"/>
            <w:shd w:val="clear" w:color="auto" w:fill="auto"/>
            <w:tcMar>
              <w:top w:w="150" w:type="dxa"/>
              <w:left w:w="240" w:type="dxa"/>
              <w:bottom w:w="150" w:type="dxa"/>
              <w:right w:w="0" w:type="dxa"/>
            </w:tcMar>
            <w:vAlign w:val="center"/>
          </w:tcPr>
          <w:p w14:paraId="3A47779F">
            <w:pPr>
              <w:spacing w:before="62" w:line="222" w:lineRule="auto"/>
              <w:ind w:left="189"/>
              <w:jc w:val="center"/>
              <w:rPr>
                <w:rFonts w:hint="eastAsia" w:ascii="宋体" w:hAnsi="宋体" w:eastAsia="宋体" w:cs="宋体"/>
                <w:spacing w:val="10"/>
                <w:sz w:val="19"/>
                <w:szCs w:val="19"/>
                <w:highlight w:val="none"/>
              </w:rPr>
            </w:pPr>
          </w:p>
        </w:tc>
      </w:tr>
      <w:tr w14:paraId="793CE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279" w:hRule="atLeast"/>
          <w:jc w:val="center"/>
        </w:trPr>
        <w:tc>
          <w:tcPr>
            <w:tcW w:w="875" w:type="dxa"/>
            <w:shd w:val="clear" w:color="auto" w:fill="auto"/>
            <w:tcMar>
              <w:top w:w="150" w:type="dxa"/>
              <w:left w:w="0" w:type="dxa"/>
              <w:bottom w:w="150" w:type="dxa"/>
              <w:right w:w="240" w:type="dxa"/>
            </w:tcMar>
            <w:vAlign w:val="center"/>
          </w:tcPr>
          <w:p w14:paraId="0F181322">
            <w:pPr>
              <w:spacing w:before="62" w:line="222" w:lineRule="auto"/>
              <w:ind w:left="189"/>
              <w:jc w:val="center"/>
              <w:rPr>
                <w:rFonts w:hint="default" w:ascii="宋体" w:hAnsi="宋体" w:eastAsia="宋体" w:cs="宋体"/>
                <w:spacing w:val="10"/>
                <w:sz w:val="19"/>
                <w:szCs w:val="19"/>
                <w:highlight w:val="none"/>
                <w:lang w:val="en-US"/>
              </w:rPr>
            </w:pPr>
            <w:r>
              <w:rPr>
                <w:rFonts w:hint="eastAsia" w:ascii="宋体" w:hAnsi="宋体" w:eastAsia="宋体" w:cs="宋体"/>
                <w:spacing w:val="10"/>
                <w:sz w:val="19"/>
                <w:szCs w:val="19"/>
                <w:highlight w:val="none"/>
                <w:lang w:val="en-US" w:eastAsia="zh-CN"/>
              </w:rPr>
              <w:t>23</w:t>
            </w:r>
          </w:p>
        </w:tc>
        <w:tc>
          <w:tcPr>
            <w:tcW w:w="1393" w:type="dxa"/>
            <w:shd w:val="clear" w:color="auto" w:fill="auto"/>
            <w:tcMar>
              <w:top w:w="150" w:type="dxa"/>
              <w:left w:w="240" w:type="dxa"/>
              <w:bottom w:w="150" w:type="dxa"/>
              <w:right w:w="240" w:type="dxa"/>
            </w:tcMar>
            <w:vAlign w:val="center"/>
          </w:tcPr>
          <w:p w14:paraId="302BAC80">
            <w:pPr>
              <w:spacing w:before="62" w:line="222" w:lineRule="auto"/>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车型兼容性</w:t>
            </w:r>
          </w:p>
        </w:tc>
        <w:tc>
          <w:tcPr>
            <w:tcW w:w="6649" w:type="dxa"/>
            <w:shd w:val="clear" w:color="auto" w:fill="auto"/>
            <w:tcMar>
              <w:top w:w="150" w:type="dxa"/>
              <w:left w:w="240" w:type="dxa"/>
              <w:bottom w:w="150" w:type="dxa"/>
              <w:right w:w="240" w:type="dxa"/>
            </w:tcMar>
            <w:vAlign w:val="center"/>
          </w:tcPr>
          <w:p w14:paraId="0E533AE1">
            <w:pPr>
              <w:spacing w:before="62" w:line="222" w:lineRule="auto"/>
              <w:jc w:val="left"/>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新旧国标全兼容，可自动识别车辆BMS协议版本（GB/T 27930-2015及GB/T 27930-2023），并根据车型BMS需求自动配置输出电压和电流参数。</w:t>
            </w:r>
          </w:p>
        </w:tc>
        <w:tc>
          <w:tcPr>
            <w:tcW w:w="1061" w:type="dxa"/>
            <w:shd w:val="clear" w:color="auto" w:fill="auto"/>
            <w:tcMar>
              <w:top w:w="150" w:type="dxa"/>
              <w:left w:w="240" w:type="dxa"/>
              <w:bottom w:w="150" w:type="dxa"/>
              <w:right w:w="0" w:type="dxa"/>
            </w:tcMar>
            <w:vAlign w:val="center"/>
          </w:tcPr>
          <w:p w14:paraId="6973EF23">
            <w:pPr>
              <w:spacing w:before="62" w:line="222" w:lineRule="auto"/>
              <w:ind w:left="189"/>
              <w:jc w:val="center"/>
              <w:rPr>
                <w:rFonts w:hint="eastAsia" w:ascii="宋体" w:hAnsi="宋体" w:eastAsia="宋体" w:cs="宋体"/>
                <w:spacing w:val="10"/>
                <w:sz w:val="19"/>
                <w:szCs w:val="19"/>
                <w:highlight w:val="none"/>
              </w:rPr>
            </w:pPr>
          </w:p>
        </w:tc>
      </w:tr>
      <w:tr w14:paraId="3ABC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851" w:hRule="atLeast"/>
          <w:jc w:val="center"/>
        </w:trPr>
        <w:tc>
          <w:tcPr>
            <w:tcW w:w="875" w:type="dxa"/>
            <w:shd w:val="clear" w:color="auto" w:fill="auto"/>
            <w:tcMar>
              <w:top w:w="150" w:type="dxa"/>
              <w:left w:w="0" w:type="dxa"/>
              <w:bottom w:w="150" w:type="dxa"/>
              <w:right w:w="240" w:type="dxa"/>
            </w:tcMar>
            <w:vAlign w:val="center"/>
          </w:tcPr>
          <w:p w14:paraId="6AE8FC39">
            <w:pPr>
              <w:spacing w:before="62" w:line="222" w:lineRule="auto"/>
              <w:ind w:left="189"/>
              <w:jc w:val="center"/>
              <w:rPr>
                <w:rFonts w:hint="default" w:ascii="宋体" w:hAnsi="宋体" w:eastAsia="宋体" w:cs="宋体"/>
                <w:spacing w:val="10"/>
                <w:sz w:val="19"/>
                <w:szCs w:val="19"/>
                <w:highlight w:val="none"/>
                <w:lang w:val="en-US"/>
              </w:rPr>
            </w:pPr>
            <w:r>
              <w:rPr>
                <w:rFonts w:hint="eastAsia" w:ascii="宋体" w:hAnsi="宋体" w:eastAsia="宋体" w:cs="宋体"/>
                <w:spacing w:val="10"/>
                <w:sz w:val="19"/>
                <w:szCs w:val="19"/>
                <w:highlight w:val="none"/>
                <w:lang w:val="en-US" w:eastAsia="zh-CN"/>
              </w:rPr>
              <w:t>24</w:t>
            </w:r>
          </w:p>
        </w:tc>
        <w:tc>
          <w:tcPr>
            <w:tcW w:w="1393" w:type="dxa"/>
            <w:shd w:val="clear" w:color="auto" w:fill="auto"/>
            <w:tcMar>
              <w:top w:w="150" w:type="dxa"/>
              <w:left w:w="240" w:type="dxa"/>
              <w:bottom w:w="150" w:type="dxa"/>
              <w:right w:w="240" w:type="dxa"/>
            </w:tcMar>
            <w:vAlign w:val="center"/>
          </w:tcPr>
          <w:p w14:paraId="3AF38708">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专业运维管理</w:t>
            </w:r>
          </w:p>
        </w:tc>
        <w:tc>
          <w:tcPr>
            <w:tcW w:w="6649" w:type="dxa"/>
            <w:shd w:val="clear" w:color="auto" w:fill="auto"/>
            <w:tcMar>
              <w:top w:w="150" w:type="dxa"/>
              <w:left w:w="240" w:type="dxa"/>
              <w:bottom w:w="150" w:type="dxa"/>
              <w:right w:w="240" w:type="dxa"/>
            </w:tcMar>
            <w:vAlign w:val="center"/>
          </w:tcPr>
          <w:p w14:paraId="533FFFBE">
            <w:pPr>
              <w:spacing w:before="62" w:line="222" w:lineRule="auto"/>
              <w:jc w:val="both"/>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支持远程OTA升级（升级对象包括：充电模块固件、主控板软件、显示屏软件）；</w:t>
            </w:r>
            <w:r>
              <w:rPr>
                <w:rFonts w:hint="eastAsia" w:ascii="宋体" w:hAnsi="宋体" w:eastAsia="宋体" w:cs="宋体"/>
                <w:spacing w:val="10"/>
                <w:sz w:val="19"/>
                <w:szCs w:val="19"/>
                <w:highlight w:val="none"/>
                <w:lang w:val="en-US" w:eastAsia="zh-CN"/>
              </w:rPr>
              <w:br w:type="textWrapping"/>
            </w:r>
            <w:r>
              <w:rPr>
                <w:rFonts w:hint="eastAsia" w:ascii="宋体" w:hAnsi="宋体" w:eastAsia="宋体" w:cs="宋体"/>
                <w:spacing w:val="10"/>
                <w:sz w:val="19"/>
                <w:szCs w:val="19"/>
                <w:highlight w:val="none"/>
                <w:lang w:val="en-US" w:eastAsia="zh-CN"/>
              </w:rPr>
              <w:t>支持远程参数配置；</w:t>
            </w:r>
            <w:r>
              <w:rPr>
                <w:rFonts w:hint="eastAsia" w:ascii="宋体" w:hAnsi="宋体" w:eastAsia="宋体" w:cs="宋体"/>
                <w:spacing w:val="10"/>
                <w:sz w:val="19"/>
                <w:szCs w:val="19"/>
                <w:highlight w:val="none"/>
                <w:lang w:val="en-US" w:eastAsia="zh-CN"/>
              </w:rPr>
              <w:br w:type="textWrapping"/>
            </w:r>
            <w:r>
              <w:rPr>
                <w:rFonts w:hint="eastAsia" w:ascii="宋体" w:hAnsi="宋体" w:eastAsia="宋体" w:cs="宋体"/>
                <w:spacing w:val="10"/>
                <w:sz w:val="19"/>
                <w:szCs w:val="19"/>
                <w:highlight w:val="none"/>
                <w:lang w:val="en-US" w:eastAsia="zh-CN"/>
              </w:rPr>
              <w:t>支持远程故障诊断与状态监控，运维平台可查看实时故障告警及历史日志。</w:t>
            </w:r>
          </w:p>
        </w:tc>
        <w:tc>
          <w:tcPr>
            <w:tcW w:w="1061" w:type="dxa"/>
            <w:shd w:val="clear" w:color="auto" w:fill="auto"/>
            <w:tcMar>
              <w:top w:w="150" w:type="dxa"/>
              <w:left w:w="240" w:type="dxa"/>
              <w:bottom w:w="150" w:type="dxa"/>
              <w:right w:w="0" w:type="dxa"/>
            </w:tcMar>
            <w:vAlign w:val="center"/>
          </w:tcPr>
          <w:p w14:paraId="72B32815">
            <w:pPr>
              <w:spacing w:before="62" w:line="222" w:lineRule="auto"/>
              <w:ind w:left="189"/>
              <w:jc w:val="center"/>
              <w:rPr>
                <w:rFonts w:hint="eastAsia" w:ascii="宋体" w:hAnsi="宋体" w:eastAsia="宋体" w:cs="宋体"/>
                <w:spacing w:val="10"/>
                <w:sz w:val="19"/>
                <w:szCs w:val="19"/>
                <w:highlight w:val="none"/>
              </w:rPr>
            </w:pPr>
          </w:p>
        </w:tc>
      </w:tr>
      <w:tr w14:paraId="1E2E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cantSplit/>
          <w:trHeight w:val="1586" w:hRule="atLeast"/>
          <w:jc w:val="center"/>
        </w:trPr>
        <w:tc>
          <w:tcPr>
            <w:tcW w:w="875" w:type="dxa"/>
            <w:shd w:val="clear" w:color="auto" w:fill="auto"/>
            <w:tcMar>
              <w:top w:w="150" w:type="dxa"/>
              <w:left w:w="0" w:type="dxa"/>
              <w:bottom w:w="150" w:type="dxa"/>
              <w:right w:w="240" w:type="dxa"/>
            </w:tcMar>
            <w:vAlign w:val="center"/>
          </w:tcPr>
          <w:p w14:paraId="44307A82">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30</w:t>
            </w:r>
          </w:p>
        </w:tc>
        <w:tc>
          <w:tcPr>
            <w:tcW w:w="1393" w:type="dxa"/>
            <w:shd w:val="clear" w:color="auto" w:fill="auto"/>
            <w:tcMar>
              <w:top w:w="150" w:type="dxa"/>
              <w:left w:w="240" w:type="dxa"/>
              <w:bottom w:w="150" w:type="dxa"/>
              <w:right w:w="240" w:type="dxa"/>
            </w:tcMar>
            <w:vAlign w:val="center"/>
          </w:tcPr>
          <w:p w14:paraId="318E70D1">
            <w:pPr>
              <w:spacing w:before="62" w:line="222" w:lineRule="auto"/>
              <w:ind w:left="189"/>
              <w:jc w:val="center"/>
              <w:rPr>
                <w:rFonts w:hint="eastAsia" w:ascii="宋体" w:hAnsi="宋体" w:eastAsia="宋体" w:cs="宋体"/>
                <w:spacing w:val="10"/>
                <w:sz w:val="19"/>
                <w:szCs w:val="19"/>
                <w:highlight w:val="none"/>
              </w:rPr>
            </w:pPr>
            <w:r>
              <w:rPr>
                <w:rFonts w:hint="eastAsia" w:ascii="宋体" w:hAnsi="宋体" w:eastAsia="宋体" w:cs="宋体"/>
                <w:spacing w:val="10"/>
                <w:sz w:val="19"/>
                <w:szCs w:val="19"/>
                <w:highlight w:val="none"/>
                <w:lang w:val="en-US" w:eastAsia="zh-CN"/>
              </w:rPr>
              <w:t>噪音要求</w:t>
            </w:r>
          </w:p>
        </w:tc>
        <w:tc>
          <w:tcPr>
            <w:tcW w:w="6649" w:type="dxa"/>
            <w:shd w:val="clear" w:color="auto" w:fill="auto"/>
            <w:tcMar>
              <w:top w:w="150" w:type="dxa"/>
              <w:left w:w="240" w:type="dxa"/>
              <w:bottom w:w="150" w:type="dxa"/>
              <w:right w:w="240" w:type="dxa"/>
            </w:tcMar>
            <w:vAlign w:val="center"/>
          </w:tcPr>
          <w:p w14:paraId="1C8E96B0">
            <w:pPr>
              <w:spacing w:before="62" w:line="222" w:lineRule="auto"/>
              <w:jc w:val="both"/>
              <w:rPr>
                <w:rFonts w:hint="default" w:ascii="宋体" w:hAnsi="宋体" w:eastAsia="宋体" w:cs="宋体"/>
                <w:spacing w:val="10"/>
                <w:sz w:val="19"/>
                <w:szCs w:val="19"/>
                <w:highlight w:val="none"/>
                <w:lang w:val="en-US"/>
              </w:rPr>
            </w:pPr>
            <w:r>
              <w:rPr>
                <w:rFonts w:hint="eastAsia" w:ascii="宋体" w:hAnsi="宋体" w:eastAsia="宋体" w:cs="宋体"/>
                <w:spacing w:val="10"/>
                <w:sz w:val="19"/>
                <w:szCs w:val="19"/>
                <w:highlight w:val="none"/>
                <w:lang w:val="en-US" w:eastAsia="zh-CN"/>
              </w:rPr>
              <w:t>设备正常运行时噪音应≤65dB(A)，以减少对居民区或公共场所的噪音污染，且满足国家或行业内有关充电桩噪音标准规定</w:t>
            </w:r>
          </w:p>
        </w:tc>
        <w:tc>
          <w:tcPr>
            <w:tcW w:w="1061" w:type="dxa"/>
            <w:shd w:val="clear" w:color="auto" w:fill="auto"/>
            <w:tcMar>
              <w:top w:w="150" w:type="dxa"/>
              <w:left w:w="240" w:type="dxa"/>
              <w:bottom w:w="150" w:type="dxa"/>
              <w:right w:w="0" w:type="dxa"/>
            </w:tcMar>
            <w:vAlign w:val="center"/>
          </w:tcPr>
          <w:p w14:paraId="14E47A83">
            <w:pPr>
              <w:spacing w:before="62" w:line="222" w:lineRule="auto"/>
              <w:ind w:left="189"/>
              <w:jc w:val="center"/>
              <w:rPr>
                <w:rFonts w:hint="eastAsia" w:ascii="宋体" w:hAnsi="宋体" w:eastAsia="宋体" w:cs="宋体"/>
                <w:spacing w:val="10"/>
                <w:sz w:val="19"/>
                <w:szCs w:val="19"/>
                <w:highlight w:val="none"/>
              </w:rPr>
            </w:pPr>
          </w:p>
        </w:tc>
      </w:tr>
    </w:tbl>
    <w:p w14:paraId="38750230">
      <w:pPr>
        <w:rPr>
          <w:rFonts w:hint="eastAsia"/>
          <w:highlight w:val="none"/>
          <w:lang w:val="en-US" w:eastAsia="zh-CN"/>
        </w:rPr>
      </w:pPr>
    </w:p>
    <w:p w14:paraId="21A5FB7C">
      <w:pPr>
        <w:rPr>
          <w:rFonts w:hint="eastAsia"/>
          <w:highlight w:val="none"/>
          <w:lang w:val="en-US" w:eastAsia="zh-CN"/>
        </w:rPr>
      </w:pPr>
    </w:p>
    <w:p w14:paraId="61F05632">
      <w:pPr>
        <w:rPr>
          <w:rFonts w:hint="eastAsia"/>
          <w:highlight w:val="none"/>
          <w:lang w:val="en-US" w:eastAsia="zh-CN"/>
        </w:rPr>
      </w:pPr>
    </w:p>
    <w:p w14:paraId="253260AC">
      <w:pPr>
        <w:rPr>
          <w:rFonts w:hint="eastAsia"/>
          <w:highlight w:val="none"/>
          <w:lang w:val="en-US" w:eastAsia="zh-CN"/>
        </w:rPr>
      </w:pPr>
    </w:p>
    <w:p w14:paraId="53F0DF4A">
      <w:pPr>
        <w:rPr>
          <w:rFonts w:hint="eastAsia"/>
          <w:highlight w:val="none"/>
          <w:lang w:val="en-US" w:eastAsia="zh-CN"/>
        </w:rPr>
      </w:pPr>
    </w:p>
    <w:p w14:paraId="22ECA76B">
      <w:pPr>
        <w:rPr>
          <w:rFonts w:hint="default"/>
          <w:highlight w:val="none"/>
          <w:lang w:val="en-US" w:eastAsia="zh-CN"/>
        </w:rPr>
      </w:pPr>
    </w:p>
    <w:p w14:paraId="7771BA8A">
      <w:pPr>
        <w:pStyle w:val="20"/>
        <w:spacing w:before="182" w:line="359" w:lineRule="auto"/>
        <w:ind w:left="8" w:right="57" w:firstLine="485"/>
        <w:rPr>
          <w:rFonts w:hint="eastAsia" w:eastAsia="宋体"/>
          <w:spacing w:val="-1"/>
          <w:highlight w:val="none"/>
          <w:lang w:val="en-US" w:eastAsia="zh-CN"/>
        </w:rPr>
      </w:pPr>
      <w:r>
        <w:rPr>
          <w:rFonts w:hint="eastAsia" w:eastAsia="宋体"/>
          <w:spacing w:val="-1"/>
          <w:highlight w:val="none"/>
          <w:lang w:val="en-US" w:eastAsia="zh-CN"/>
        </w:rPr>
        <w:t>（2）交流充电桩</w:t>
      </w:r>
    </w:p>
    <w:p w14:paraId="3A3FC0C7">
      <w:pPr>
        <w:spacing w:line="360" w:lineRule="auto"/>
        <w:ind w:firstLine="420" w:firstLineChars="200"/>
        <w:rPr>
          <w:rFonts w:hint="default" w:ascii="宋体" w:hAnsi="宋体" w:eastAsia="宋体" w:cs="宋体"/>
          <w:color w:val="000000"/>
          <w:highlight w:val="none"/>
          <w:lang w:val="en-US" w:eastAsia="zh-CN"/>
        </w:rPr>
      </w:pPr>
      <w:r>
        <w:rPr>
          <w:rFonts w:hint="eastAsia" w:ascii="宋体" w:hAnsi="宋体" w:cs="宋体"/>
          <w:color w:val="000000"/>
          <w:highlight w:val="none"/>
          <w:lang w:val="en-US" w:eastAsia="zh-CN"/>
        </w:rPr>
        <w:t>交流充电桩为7KW，落地立柱式安装（立柱报价已包含在综合报价中），设备应带操作屏幕，具备与以上直流充电设备相同的启动方式，支持4G/以太网通讯，支持最大充电电流调节，枪线长度不少于4米。</w:t>
      </w:r>
    </w:p>
    <w:p w14:paraId="4FAB48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000000"/>
          <w:highlight w:val="none"/>
        </w:rPr>
      </w:pPr>
    </w:p>
    <w:p w14:paraId="215AD899">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cs="宋体"/>
          <w:color w:val="000000"/>
          <w:highlight w:val="none"/>
        </w:rPr>
      </w:pPr>
      <w:bookmarkStart w:id="919" w:name="_Toc26107"/>
      <w:bookmarkStart w:id="920" w:name="_Toc95223527"/>
      <w:r>
        <w:rPr>
          <w:rFonts w:hint="eastAsia" w:ascii="宋体" w:hAnsi="宋体" w:cs="宋体"/>
          <w:bCs/>
          <w:color w:val="000000"/>
          <w:szCs w:val="21"/>
          <w:highlight w:val="none"/>
        </w:rPr>
        <w:t>2.</w:t>
      </w:r>
      <w:r>
        <w:rPr>
          <w:rFonts w:hint="eastAsia" w:ascii="宋体" w:hAnsi="宋体" w:cs="宋体"/>
          <w:b/>
          <w:color w:val="000000"/>
          <w:highlight w:val="none"/>
        </w:rPr>
        <w:t xml:space="preserve"> </w:t>
      </w:r>
      <w:r>
        <w:rPr>
          <w:rFonts w:hint="eastAsia" w:ascii="宋体" w:hAnsi="宋体" w:cs="宋体"/>
          <w:color w:val="000000"/>
          <w:highlight w:val="none"/>
        </w:rPr>
        <w:t>特殊技术标准和要求</w:t>
      </w:r>
      <w:bookmarkEnd w:id="919"/>
      <w:bookmarkEnd w:id="920"/>
    </w:p>
    <w:p w14:paraId="11B962D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000000"/>
          <w:highlight w:val="none"/>
        </w:rPr>
      </w:pPr>
      <w:r>
        <w:rPr>
          <w:rFonts w:hint="eastAsia" w:ascii="宋体" w:hAnsi="宋体" w:cs="宋体"/>
          <w:color w:val="000000"/>
          <w:highlight w:val="none"/>
        </w:rPr>
        <w:t xml:space="preserve">  </w:t>
      </w:r>
      <w:r>
        <w:rPr>
          <w:rFonts w:hint="eastAsia" w:ascii="宋体" w:hAnsi="宋体" w:cs="宋体"/>
          <w:color w:val="000000"/>
          <w:highlight w:val="none"/>
          <w:lang w:val="en-US" w:eastAsia="zh-CN"/>
        </w:rPr>
        <w:t xml:space="preserve"> </w:t>
      </w:r>
      <w:r>
        <w:rPr>
          <w:rFonts w:hint="eastAsia" w:ascii="宋体" w:hAnsi="宋体" w:eastAsia="宋体" w:cs="宋体"/>
          <w:color w:val="000000"/>
          <w:highlight w:val="none"/>
          <w:lang w:val="en-US" w:eastAsia="zh-CN"/>
        </w:rPr>
        <w:t>见招标项目施工图纸</w:t>
      </w:r>
    </w:p>
    <w:p w14:paraId="097B6B9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000000"/>
          <w:highlight w:val="none"/>
        </w:rPr>
      </w:pPr>
    </w:p>
    <w:p w14:paraId="7ECBB3F6">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eastAsia="宋体" w:cs="宋体"/>
          <w:color w:val="000000"/>
          <w:highlight w:val="none"/>
        </w:rPr>
      </w:pPr>
      <w:bookmarkStart w:id="921" w:name="_Toc30517"/>
      <w:bookmarkStart w:id="922" w:name="_Toc95223528"/>
      <w:r>
        <w:rPr>
          <w:rFonts w:hint="eastAsia" w:ascii="宋体" w:hAnsi="宋体" w:eastAsia="宋体" w:cs="宋体"/>
          <w:color w:val="000000"/>
          <w:highlight w:val="none"/>
        </w:rPr>
        <w:t>3. 适用的国家、行业以及地方标准、规范和规程</w:t>
      </w:r>
      <w:bookmarkEnd w:id="921"/>
      <w:bookmarkEnd w:id="922"/>
    </w:p>
    <w:p w14:paraId="6DA9761E">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本招标项目施工、验收须达到设计文件的要求和国家及有关部委、安徽省、项目所在市现行的工程建设标准、规范、规定的要求（文件标准之间相互冲突的，以标准较高者为准）。</w:t>
      </w:r>
    </w:p>
    <w:p w14:paraId="199EE659">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eastAsia="宋体" w:cs="宋体"/>
          <w:color w:val="000000"/>
          <w:highlight w:val="none"/>
          <w:lang w:val="en-US" w:eastAsia="zh-CN"/>
        </w:rPr>
      </w:pPr>
    </w:p>
    <w:p w14:paraId="407C2D6C">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default"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4.电缆需符合国标及图纸设计要求执行，品牌档次不低于推荐品牌；中标后供货前须提供厂家项目授权及同型号型式试验报告，进场抽样送检合格后方可使用，不合格整批退场。</w:t>
      </w:r>
    </w:p>
    <w:p w14:paraId="6F955B22">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eastAsia="宋体" w:cs="宋体"/>
          <w:color w:val="000000"/>
          <w:highlight w:val="none"/>
          <w:lang w:val="en-US" w:eastAsia="zh-CN"/>
        </w:rPr>
      </w:pPr>
    </w:p>
    <w:p w14:paraId="41E8890F">
      <w:pPr>
        <w:keepNext w:val="0"/>
        <w:keepLines w:val="0"/>
        <w:pageBreakBefore w:val="0"/>
        <w:widowControl w:val="0"/>
        <w:numPr>
          <w:ilvl w:val="0"/>
          <w:numId w:val="7"/>
        </w:numPr>
        <w:kinsoku/>
        <w:wordWrap/>
        <w:overflowPunct/>
        <w:topLinePunct w:val="0"/>
        <w:autoSpaceDE/>
        <w:autoSpaceDN/>
        <w:bidi w:val="0"/>
        <w:adjustRightInd/>
        <w:snapToGrid/>
        <w:spacing w:line="440" w:lineRule="exact"/>
        <w:textAlignment w:val="auto"/>
        <w:outlineLvl w:val="1"/>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开关按国标及图纸设计要求执行，品牌档次不低于推荐品牌。</w:t>
      </w:r>
    </w:p>
    <w:p w14:paraId="6A642B88">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default" w:ascii="宋体" w:hAnsi="宋体" w:eastAsia="宋体" w:cs="宋体"/>
          <w:color w:val="000000"/>
          <w:highlight w:val="none"/>
          <w:lang w:val="en-US" w:eastAsia="zh-CN"/>
        </w:rPr>
      </w:pPr>
      <w:bookmarkStart w:id="923" w:name="_Toc16564"/>
      <w:bookmarkStart w:id="924" w:name="_Toc95223529"/>
    </w:p>
    <w:p w14:paraId="29B1C382">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eastAsia="宋体" w:cs="宋体"/>
          <w:color w:val="000000"/>
          <w:highlight w:val="none"/>
        </w:rPr>
      </w:pPr>
      <w:r>
        <w:rPr>
          <w:rFonts w:hint="eastAsia" w:ascii="宋体" w:hAnsi="宋体" w:cs="宋体"/>
          <w:color w:val="000000"/>
          <w:highlight w:val="none"/>
          <w:lang w:val="en-US" w:eastAsia="zh-CN"/>
        </w:rPr>
        <w:t>6</w:t>
      </w:r>
      <w:r>
        <w:rPr>
          <w:rFonts w:hint="eastAsia" w:ascii="宋体" w:hAnsi="宋体" w:eastAsia="宋体" w:cs="宋体"/>
          <w:color w:val="000000"/>
          <w:highlight w:val="none"/>
        </w:rPr>
        <w:t>. 招标人推荐品牌</w:t>
      </w:r>
      <w:bookmarkEnd w:id="923"/>
      <w:bookmarkEnd w:id="924"/>
    </w:p>
    <w:p w14:paraId="6811178E">
      <w:pPr>
        <w:spacing w:before="20" w:after="20" w:line="540" w:lineRule="exact"/>
        <w:jc w:val="center"/>
        <w:rPr>
          <w:rFonts w:hint="eastAsia" w:ascii="宋体" w:hAnsi="宋体" w:cs="宋体"/>
          <w:color w:val="000000"/>
          <w:sz w:val="24"/>
          <w:szCs w:val="22"/>
          <w:highlight w:val="none"/>
        </w:rPr>
      </w:pPr>
      <w:bookmarkStart w:id="925" w:name="_Toc929"/>
      <w:bookmarkStart w:id="926" w:name="_Toc95223530"/>
      <w:bookmarkStart w:id="927" w:name="_Toc19422"/>
      <w:r>
        <w:rPr>
          <w:rFonts w:hint="eastAsia" w:ascii="宋体" w:hAnsi="宋体" w:cs="宋体"/>
          <w:b/>
          <w:color w:val="000000"/>
          <w:szCs w:val="21"/>
          <w:highlight w:val="none"/>
        </w:rPr>
        <w:t>品牌推荐表</w:t>
      </w:r>
      <w:bookmarkEnd w:id="925"/>
      <w:bookmarkEnd w:id="926"/>
      <w:bookmarkEnd w:id="927"/>
    </w:p>
    <w:tbl>
      <w:tblPr>
        <w:tblStyle w:val="47"/>
        <w:tblW w:w="8367" w:type="dxa"/>
        <w:tblInd w:w="4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7"/>
        <w:gridCol w:w="1533"/>
        <w:gridCol w:w="884"/>
        <w:gridCol w:w="1400"/>
        <w:gridCol w:w="864"/>
        <w:gridCol w:w="791"/>
        <w:gridCol w:w="778"/>
        <w:gridCol w:w="1650"/>
      </w:tblGrid>
      <w:tr w14:paraId="5B80C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467" w:type="dxa"/>
            <w:noWrap w:val="0"/>
            <w:vAlign w:val="top"/>
          </w:tcPr>
          <w:p w14:paraId="3D3DD5DE">
            <w:pPr>
              <w:pStyle w:val="92"/>
              <w:adjustRightInd w:val="0"/>
              <w:snapToGrid w:val="0"/>
              <w:spacing w:line="560" w:lineRule="exact"/>
              <w:jc w:val="center"/>
              <w:rPr>
                <w:rFonts w:hint="eastAsia" w:ascii="黑体" w:eastAsia="黑体"/>
                <w:color w:val="000000"/>
                <w:highlight w:val="none"/>
              </w:rPr>
            </w:pPr>
            <w:r>
              <w:rPr>
                <w:rFonts w:hint="eastAsia" w:ascii="黑体" w:eastAsia="黑体"/>
                <w:color w:val="000000"/>
                <w:highlight w:val="none"/>
              </w:rPr>
              <w:t>序号</w:t>
            </w:r>
          </w:p>
        </w:tc>
        <w:tc>
          <w:tcPr>
            <w:tcW w:w="1533" w:type="dxa"/>
            <w:noWrap w:val="0"/>
            <w:vAlign w:val="top"/>
          </w:tcPr>
          <w:p w14:paraId="48940809">
            <w:pPr>
              <w:pStyle w:val="92"/>
              <w:adjustRightInd w:val="0"/>
              <w:snapToGrid w:val="0"/>
              <w:spacing w:line="560" w:lineRule="exact"/>
              <w:rPr>
                <w:rFonts w:hint="eastAsia" w:ascii="黑体" w:eastAsia="黑体"/>
                <w:color w:val="000000"/>
                <w:highlight w:val="none"/>
              </w:rPr>
            </w:pPr>
            <w:r>
              <w:rPr>
                <w:rFonts w:hint="eastAsia" w:ascii="黑体" w:eastAsia="黑体"/>
                <w:color w:val="000000"/>
                <w:highlight w:val="none"/>
              </w:rPr>
              <w:t>材料、设备名称</w:t>
            </w:r>
          </w:p>
        </w:tc>
        <w:tc>
          <w:tcPr>
            <w:tcW w:w="884" w:type="dxa"/>
            <w:noWrap w:val="0"/>
            <w:vAlign w:val="top"/>
          </w:tcPr>
          <w:p w14:paraId="5198C705">
            <w:pPr>
              <w:pStyle w:val="92"/>
              <w:adjustRightInd w:val="0"/>
              <w:snapToGrid w:val="0"/>
              <w:spacing w:line="560" w:lineRule="exact"/>
              <w:rPr>
                <w:rFonts w:hint="eastAsia" w:ascii="黑体" w:eastAsia="黑体"/>
                <w:color w:val="000000"/>
                <w:highlight w:val="none"/>
              </w:rPr>
            </w:pPr>
            <w:r>
              <w:rPr>
                <w:rFonts w:hint="eastAsia" w:ascii="黑体" w:eastAsia="黑体"/>
                <w:color w:val="000000"/>
                <w:highlight w:val="none"/>
              </w:rPr>
              <w:t>品牌 1</w:t>
            </w:r>
          </w:p>
        </w:tc>
        <w:tc>
          <w:tcPr>
            <w:tcW w:w="1400" w:type="dxa"/>
            <w:noWrap w:val="0"/>
            <w:vAlign w:val="top"/>
          </w:tcPr>
          <w:p w14:paraId="18E24518">
            <w:pPr>
              <w:pStyle w:val="92"/>
              <w:adjustRightInd w:val="0"/>
              <w:snapToGrid w:val="0"/>
              <w:spacing w:line="560" w:lineRule="exact"/>
              <w:rPr>
                <w:rFonts w:hint="eastAsia" w:ascii="黑体" w:eastAsia="黑体"/>
                <w:color w:val="000000"/>
                <w:highlight w:val="none"/>
              </w:rPr>
            </w:pPr>
            <w:r>
              <w:rPr>
                <w:rFonts w:hint="eastAsia" w:ascii="黑体" w:eastAsia="黑体"/>
                <w:color w:val="000000"/>
                <w:highlight w:val="none"/>
              </w:rPr>
              <w:t>品牌 2</w:t>
            </w:r>
          </w:p>
        </w:tc>
        <w:tc>
          <w:tcPr>
            <w:tcW w:w="864" w:type="dxa"/>
            <w:noWrap w:val="0"/>
            <w:vAlign w:val="top"/>
          </w:tcPr>
          <w:p w14:paraId="3567D12C">
            <w:pPr>
              <w:pStyle w:val="92"/>
              <w:adjustRightInd w:val="0"/>
              <w:snapToGrid w:val="0"/>
              <w:spacing w:line="560" w:lineRule="exact"/>
              <w:rPr>
                <w:rFonts w:hint="eastAsia" w:ascii="黑体" w:eastAsia="黑体"/>
                <w:color w:val="000000"/>
                <w:highlight w:val="none"/>
              </w:rPr>
            </w:pPr>
            <w:r>
              <w:rPr>
                <w:rFonts w:hint="eastAsia" w:ascii="黑体" w:eastAsia="黑体"/>
                <w:color w:val="000000"/>
                <w:highlight w:val="none"/>
              </w:rPr>
              <w:t>品牌 3</w:t>
            </w:r>
          </w:p>
        </w:tc>
        <w:tc>
          <w:tcPr>
            <w:tcW w:w="791" w:type="dxa"/>
            <w:noWrap w:val="0"/>
            <w:vAlign w:val="top"/>
          </w:tcPr>
          <w:p w14:paraId="7F392C68">
            <w:pPr>
              <w:pStyle w:val="92"/>
              <w:adjustRightInd w:val="0"/>
              <w:snapToGrid w:val="0"/>
              <w:spacing w:line="560" w:lineRule="exact"/>
              <w:rPr>
                <w:rFonts w:hint="eastAsia" w:ascii="黑体" w:eastAsia="黑体"/>
                <w:color w:val="000000"/>
                <w:highlight w:val="none"/>
              </w:rPr>
            </w:pPr>
            <w:r>
              <w:rPr>
                <w:rFonts w:hint="eastAsia" w:ascii="黑体" w:eastAsia="黑体"/>
                <w:color w:val="000000"/>
                <w:highlight w:val="none"/>
              </w:rPr>
              <w:t>品牌 4</w:t>
            </w:r>
          </w:p>
        </w:tc>
        <w:tc>
          <w:tcPr>
            <w:tcW w:w="778" w:type="dxa"/>
            <w:noWrap w:val="0"/>
            <w:vAlign w:val="top"/>
          </w:tcPr>
          <w:p w14:paraId="59362762">
            <w:pPr>
              <w:pStyle w:val="92"/>
              <w:adjustRightInd w:val="0"/>
              <w:snapToGrid w:val="0"/>
              <w:spacing w:line="560" w:lineRule="exact"/>
              <w:rPr>
                <w:rFonts w:hint="eastAsia" w:ascii="黑体" w:eastAsia="黑体"/>
                <w:color w:val="000000"/>
                <w:highlight w:val="none"/>
                <w:lang w:val="en-US" w:eastAsia="zh-CN"/>
              </w:rPr>
            </w:pPr>
            <w:r>
              <w:rPr>
                <w:rFonts w:hint="eastAsia" w:ascii="黑体" w:eastAsia="黑体"/>
                <w:color w:val="000000"/>
                <w:highlight w:val="none"/>
              </w:rPr>
              <w:t xml:space="preserve">品牌 </w:t>
            </w:r>
            <w:r>
              <w:rPr>
                <w:rFonts w:hint="eastAsia" w:ascii="黑体" w:eastAsia="黑体"/>
                <w:color w:val="000000"/>
                <w:highlight w:val="none"/>
                <w:lang w:val="en-US" w:eastAsia="zh-CN"/>
              </w:rPr>
              <w:t>5</w:t>
            </w:r>
          </w:p>
        </w:tc>
        <w:tc>
          <w:tcPr>
            <w:tcW w:w="1650" w:type="dxa"/>
            <w:noWrap w:val="0"/>
            <w:vAlign w:val="top"/>
          </w:tcPr>
          <w:p w14:paraId="5B335906">
            <w:pPr>
              <w:pStyle w:val="92"/>
              <w:adjustRightInd w:val="0"/>
              <w:snapToGrid w:val="0"/>
              <w:spacing w:line="560" w:lineRule="exact"/>
              <w:rPr>
                <w:rFonts w:hint="eastAsia" w:ascii="黑体" w:eastAsia="黑体"/>
                <w:color w:val="000000"/>
                <w:highlight w:val="none"/>
              </w:rPr>
            </w:pPr>
            <w:r>
              <w:rPr>
                <w:rFonts w:hint="eastAsia" w:ascii="黑体" w:eastAsia="黑体"/>
                <w:color w:val="000000"/>
                <w:highlight w:val="none"/>
              </w:rPr>
              <w:t>投标人选定品牌</w:t>
            </w:r>
          </w:p>
        </w:tc>
      </w:tr>
      <w:tr w14:paraId="4AC40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467" w:type="dxa"/>
            <w:noWrap w:val="0"/>
            <w:vAlign w:val="top"/>
          </w:tcPr>
          <w:p w14:paraId="6465916F">
            <w:pPr>
              <w:pStyle w:val="92"/>
              <w:adjustRightInd w:val="0"/>
              <w:snapToGrid w:val="0"/>
              <w:spacing w:line="560" w:lineRule="exact"/>
              <w:jc w:val="center"/>
              <w:rPr>
                <w:color w:val="000000"/>
                <w:highlight w:val="none"/>
              </w:rPr>
            </w:pPr>
            <w:r>
              <w:rPr>
                <w:color w:val="000000"/>
                <w:highlight w:val="none"/>
              </w:rPr>
              <w:t>1</w:t>
            </w:r>
          </w:p>
        </w:tc>
        <w:tc>
          <w:tcPr>
            <w:tcW w:w="1533" w:type="dxa"/>
            <w:noWrap w:val="0"/>
            <w:vAlign w:val="top"/>
          </w:tcPr>
          <w:p w14:paraId="7D2176CE">
            <w:pPr>
              <w:pStyle w:val="92"/>
              <w:adjustRightInd w:val="0"/>
              <w:snapToGrid w:val="0"/>
              <w:spacing w:line="560" w:lineRule="exact"/>
              <w:rPr>
                <w:rFonts w:hint="eastAsia" w:ascii="Times New Roman" w:eastAsia="宋体"/>
                <w:color w:val="000000"/>
                <w:sz w:val="20"/>
                <w:highlight w:val="none"/>
                <w:lang w:val="en-US" w:eastAsia="zh-CN"/>
              </w:rPr>
            </w:pPr>
            <w:r>
              <w:rPr>
                <w:rFonts w:hint="eastAsia" w:ascii="Times New Roman"/>
                <w:color w:val="000000"/>
                <w:sz w:val="20"/>
                <w:highlight w:val="none"/>
                <w:lang w:val="en-US" w:eastAsia="zh-CN"/>
              </w:rPr>
              <w:t>电缆</w:t>
            </w:r>
          </w:p>
        </w:tc>
        <w:tc>
          <w:tcPr>
            <w:tcW w:w="884" w:type="dxa"/>
            <w:noWrap w:val="0"/>
            <w:vAlign w:val="top"/>
          </w:tcPr>
          <w:p w14:paraId="7F174251">
            <w:pPr>
              <w:pStyle w:val="92"/>
              <w:adjustRightInd w:val="0"/>
              <w:snapToGrid w:val="0"/>
              <w:spacing w:line="560" w:lineRule="exact"/>
              <w:rPr>
                <w:rFonts w:ascii="Times New Roman"/>
                <w:color w:val="000000"/>
                <w:sz w:val="20"/>
                <w:highlight w:val="none"/>
              </w:rPr>
            </w:pPr>
            <w:r>
              <w:rPr>
                <w:rFonts w:hint="eastAsia" w:ascii="Times New Roman"/>
                <w:color w:val="000000"/>
                <w:sz w:val="20"/>
                <w:highlight w:val="none"/>
              </w:rPr>
              <w:t>江南</w:t>
            </w:r>
          </w:p>
        </w:tc>
        <w:tc>
          <w:tcPr>
            <w:tcW w:w="1400" w:type="dxa"/>
            <w:noWrap w:val="0"/>
            <w:vAlign w:val="top"/>
          </w:tcPr>
          <w:p w14:paraId="434646EE">
            <w:pPr>
              <w:pStyle w:val="92"/>
              <w:adjustRightInd w:val="0"/>
              <w:snapToGrid w:val="0"/>
              <w:spacing w:line="560" w:lineRule="exact"/>
              <w:rPr>
                <w:rFonts w:ascii="Times New Roman"/>
                <w:color w:val="000000"/>
                <w:sz w:val="20"/>
                <w:highlight w:val="none"/>
              </w:rPr>
            </w:pPr>
            <w:r>
              <w:rPr>
                <w:rFonts w:hint="eastAsia" w:ascii="Times New Roman"/>
                <w:color w:val="000000"/>
                <w:sz w:val="20"/>
                <w:highlight w:val="none"/>
              </w:rPr>
              <w:t>亨通</w:t>
            </w:r>
          </w:p>
        </w:tc>
        <w:tc>
          <w:tcPr>
            <w:tcW w:w="864" w:type="dxa"/>
            <w:noWrap w:val="0"/>
            <w:vAlign w:val="top"/>
          </w:tcPr>
          <w:p w14:paraId="1C16543F">
            <w:pPr>
              <w:pStyle w:val="92"/>
              <w:adjustRightInd w:val="0"/>
              <w:snapToGrid w:val="0"/>
              <w:spacing w:line="560" w:lineRule="exact"/>
              <w:rPr>
                <w:rFonts w:ascii="Times New Roman"/>
                <w:color w:val="000000"/>
                <w:sz w:val="20"/>
                <w:highlight w:val="none"/>
              </w:rPr>
            </w:pPr>
            <w:r>
              <w:rPr>
                <w:rFonts w:hint="eastAsia" w:ascii="Times New Roman"/>
                <w:color w:val="000000"/>
                <w:sz w:val="20"/>
                <w:highlight w:val="none"/>
              </w:rPr>
              <w:t>上上</w:t>
            </w:r>
          </w:p>
        </w:tc>
        <w:tc>
          <w:tcPr>
            <w:tcW w:w="791" w:type="dxa"/>
            <w:noWrap w:val="0"/>
            <w:vAlign w:val="top"/>
          </w:tcPr>
          <w:p w14:paraId="3A5931E8">
            <w:pPr>
              <w:pStyle w:val="92"/>
              <w:adjustRightInd w:val="0"/>
              <w:snapToGrid w:val="0"/>
              <w:spacing w:line="560" w:lineRule="exact"/>
              <w:rPr>
                <w:rFonts w:ascii="Times New Roman"/>
                <w:color w:val="000000"/>
                <w:sz w:val="20"/>
                <w:highlight w:val="none"/>
              </w:rPr>
            </w:pPr>
            <w:r>
              <w:rPr>
                <w:rFonts w:hint="eastAsia" w:ascii="Times New Roman"/>
                <w:color w:val="000000"/>
                <w:sz w:val="20"/>
                <w:highlight w:val="none"/>
              </w:rPr>
              <w:t>远东</w:t>
            </w:r>
          </w:p>
        </w:tc>
        <w:tc>
          <w:tcPr>
            <w:tcW w:w="778" w:type="dxa"/>
            <w:noWrap w:val="0"/>
            <w:vAlign w:val="top"/>
          </w:tcPr>
          <w:p w14:paraId="6B53466C">
            <w:pPr>
              <w:pStyle w:val="92"/>
              <w:adjustRightInd w:val="0"/>
              <w:snapToGrid w:val="0"/>
              <w:spacing w:line="560" w:lineRule="exact"/>
              <w:rPr>
                <w:rFonts w:ascii="Times New Roman"/>
                <w:color w:val="000000"/>
                <w:sz w:val="20"/>
                <w:highlight w:val="none"/>
              </w:rPr>
            </w:pPr>
            <w:r>
              <w:rPr>
                <w:rFonts w:hint="eastAsia" w:ascii="Times New Roman"/>
                <w:color w:val="000000"/>
                <w:sz w:val="20"/>
                <w:highlight w:val="none"/>
              </w:rPr>
              <w:t>起帆</w:t>
            </w:r>
          </w:p>
        </w:tc>
        <w:tc>
          <w:tcPr>
            <w:tcW w:w="1650" w:type="dxa"/>
            <w:noWrap w:val="0"/>
            <w:vAlign w:val="top"/>
          </w:tcPr>
          <w:p w14:paraId="0643CFA5">
            <w:pPr>
              <w:pStyle w:val="92"/>
              <w:adjustRightInd w:val="0"/>
              <w:snapToGrid w:val="0"/>
              <w:spacing w:line="560" w:lineRule="exact"/>
              <w:rPr>
                <w:rFonts w:ascii="Times New Roman"/>
                <w:color w:val="000000"/>
                <w:sz w:val="20"/>
                <w:highlight w:val="none"/>
              </w:rPr>
            </w:pPr>
          </w:p>
        </w:tc>
      </w:tr>
      <w:tr w14:paraId="7D1AA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467" w:type="dxa"/>
            <w:noWrap w:val="0"/>
            <w:vAlign w:val="top"/>
          </w:tcPr>
          <w:p w14:paraId="0E57A2B1">
            <w:pPr>
              <w:pStyle w:val="92"/>
              <w:adjustRightInd w:val="0"/>
              <w:snapToGrid w:val="0"/>
              <w:spacing w:line="560" w:lineRule="exact"/>
              <w:jc w:val="center"/>
              <w:rPr>
                <w:color w:val="000000"/>
                <w:highlight w:val="none"/>
              </w:rPr>
            </w:pPr>
            <w:r>
              <w:rPr>
                <w:color w:val="000000"/>
                <w:highlight w:val="none"/>
              </w:rPr>
              <w:t>2</w:t>
            </w:r>
          </w:p>
        </w:tc>
        <w:tc>
          <w:tcPr>
            <w:tcW w:w="1533" w:type="dxa"/>
            <w:noWrap w:val="0"/>
            <w:vAlign w:val="top"/>
          </w:tcPr>
          <w:p w14:paraId="2BBCA080">
            <w:pPr>
              <w:pStyle w:val="92"/>
              <w:adjustRightInd w:val="0"/>
              <w:snapToGrid w:val="0"/>
              <w:spacing w:line="560" w:lineRule="exact"/>
              <w:rPr>
                <w:rFonts w:hint="default" w:ascii="Times New Roman" w:eastAsia="宋体"/>
                <w:color w:val="000000"/>
                <w:sz w:val="20"/>
                <w:highlight w:val="none"/>
                <w:lang w:val="en-US" w:eastAsia="zh-CN"/>
              </w:rPr>
            </w:pPr>
            <w:r>
              <w:rPr>
                <w:rFonts w:hint="eastAsia" w:ascii="Times New Roman"/>
                <w:color w:val="000000"/>
                <w:sz w:val="20"/>
                <w:highlight w:val="none"/>
                <w:lang w:val="en-US" w:eastAsia="zh-CN"/>
              </w:rPr>
              <w:t>开关设备</w:t>
            </w:r>
          </w:p>
        </w:tc>
        <w:tc>
          <w:tcPr>
            <w:tcW w:w="884" w:type="dxa"/>
            <w:noWrap w:val="0"/>
            <w:vAlign w:val="top"/>
          </w:tcPr>
          <w:p w14:paraId="64E4EF43">
            <w:pPr>
              <w:pStyle w:val="92"/>
              <w:adjustRightInd w:val="0"/>
              <w:snapToGrid w:val="0"/>
              <w:spacing w:line="560" w:lineRule="exact"/>
              <w:rPr>
                <w:rFonts w:ascii="Times New Roman"/>
                <w:color w:val="000000"/>
                <w:sz w:val="20"/>
                <w:highlight w:val="none"/>
              </w:rPr>
            </w:pPr>
            <w:r>
              <w:rPr>
                <w:rFonts w:hint="eastAsia" w:ascii="Times New Roman"/>
                <w:color w:val="000000"/>
                <w:sz w:val="20"/>
                <w:highlight w:val="none"/>
              </w:rPr>
              <w:t>江苏常开</w:t>
            </w:r>
          </w:p>
        </w:tc>
        <w:tc>
          <w:tcPr>
            <w:tcW w:w="1400" w:type="dxa"/>
            <w:noWrap w:val="0"/>
            <w:vAlign w:val="top"/>
          </w:tcPr>
          <w:p w14:paraId="2ED1C681">
            <w:pPr>
              <w:pStyle w:val="92"/>
              <w:adjustRightInd w:val="0"/>
              <w:snapToGrid w:val="0"/>
              <w:spacing w:line="560" w:lineRule="exact"/>
              <w:rPr>
                <w:rFonts w:ascii="Times New Roman"/>
                <w:color w:val="000000"/>
                <w:sz w:val="20"/>
                <w:highlight w:val="none"/>
              </w:rPr>
            </w:pPr>
            <w:r>
              <w:rPr>
                <w:rFonts w:hint="eastAsia" w:ascii="Times New Roman"/>
                <w:color w:val="000000"/>
                <w:sz w:val="20"/>
                <w:highlight w:val="none"/>
              </w:rPr>
              <w:t>上海人民（上海人民电器厂）</w:t>
            </w:r>
          </w:p>
        </w:tc>
        <w:tc>
          <w:tcPr>
            <w:tcW w:w="864" w:type="dxa"/>
            <w:noWrap w:val="0"/>
            <w:vAlign w:val="top"/>
          </w:tcPr>
          <w:p w14:paraId="75FB138B">
            <w:pPr>
              <w:pStyle w:val="92"/>
              <w:adjustRightInd w:val="0"/>
              <w:snapToGrid w:val="0"/>
              <w:spacing w:line="560" w:lineRule="exact"/>
              <w:rPr>
                <w:rFonts w:ascii="Times New Roman"/>
                <w:color w:val="000000"/>
                <w:sz w:val="20"/>
                <w:highlight w:val="none"/>
              </w:rPr>
            </w:pPr>
            <w:r>
              <w:rPr>
                <w:rFonts w:hint="eastAsia" w:ascii="Times New Roman"/>
                <w:color w:val="000000"/>
                <w:sz w:val="20"/>
                <w:highlight w:val="none"/>
              </w:rPr>
              <w:t>正泰</w:t>
            </w:r>
          </w:p>
        </w:tc>
        <w:tc>
          <w:tcPr>
            <w:tcW w:w="791" w:type="dxa"/>
            <w:noWrap w:val="0"/>
            <w:vAlign w:val="top"/>
          </w:tcPr>
          <w:p w14:paraId="23B637BA">
            <w:pPr>
              <w:pStyle w:val="92"/>
              <w:adjustRightInd w:val="0"/>
              <w:snapToGrid w:val="0"/>
              <w:spacing w:line="560" w:lineRule="exact"/>
              <w:rPr>
                <w:rFonts w:ascii="Times New Roman"/>
                <w:color w:val="000000"/>
                <w:sz w:val="20"/>
                <w:highlight w:val="none"/>
              </w:rPr>
            </w:pPr>
            <w:r>
              <w:rPr>
                <w:rFonts w:hint="eastAsia" w:ascii="Times New Roman"/>
                <w:color w:val="000000"/>
                <w:sz w:val="20"/>
                <w:highlight w:val="none"/>
              </w:rPr>
              <w:t>德力西</w:t>
            </w:r>
          </w:p>
        </w:tc>
        <w:tc>
          <w:tcPr>
            <w:tcW w:w="778" w:type="dxa"/>
            <w:noWrap w:val="0"/>
            <w:vAlign w:val="top"/>
          </w:tcPr>
          <w:p w14:paraId="50920C40">
            <w:pPr>
              <w:pStyle w:val="92"/>
              <w:adjustRightInd w:val="0"/>
              <w:snapToGrid w:val="0"/>
              <w:spacing w:line="560" w:lineRule="exact"/>
              <w:rPr>
                <w:rFonts w:ascii="Times New Roman"/>
                <w:color w:val="000000"/>
                <w:sz w:val="20"/>
                <w:highlight w:val="none"/>
              </w:rPr>
            </w:pPr>
            <w:r>
              <w:rPr>
                <w:rFonts w:hint="eastAsia" w:ascii="Times New Roman"/>
                <w:color w:val="000000"/>
                <w:sz w:val="20"/>
                <w:highlight w:val="none"/>
              </w:rPr>
              <w:t>良信</w:t>
            </w:r>
          </w:p>
        </w:tc>
        <w:tc>
          <w:tcPr>
            <w:tcW w:w="1650" w:type="dxa"/>
            <w:noWrap w:val="0"/>
            <w:vAlign w:val="top"/>
          </w:tcPr>
          <w:p w14:paraId="150146B3">
            <w:pPr>
              <w:pStyle w:val="92"/>
              <w:adjustRightInd w:val="0"/>
              <w:snapToGrid w:val="0"/>
              <w:spacing w:line="560" w:lineRule="exact"/>
              <w:rPr>
                <w:rFonts w:ascii="Times New Roman"/>
                <w:color w:val="000000"/>
                <w:sz w:val="20"/>
                <w:highlight w:val="none"/>
              </w:rPr>
            </w:pPr>
          </w:p>
        </w:tc>
      </w:tr>
    </w:tbl>
    <w:p w14:paraId="370E3985">
      <w:pPr>
        <w:adjustRightInd w:val="0"/>
        <w:snapToGrid w:val="0"/>
        <w:spacing w:line="520" w:lineRule="exact"/>
        <w:rPr>
          <w:rFonts w:hint="eastAsia"/>
          <w:color w:val="000000"/>
          <w:highlight w:val="none"/>
        </w:rPr>
      </w:pPr>
      <w:r>
        <w:rPr>
          <w:rFonts w:hint="eastAsia" w:ascii="宋体" w:hAnsi="宋体" w:cs="宋体"/>
          <w:color w:val="000000"/>
          <w:kern w:val="0"/>
          <w:szCs w:val="21"/>
          <w:highlight w:val="none"/>
        </w:rPr>
        <w:t xml:space="preserve">  </w:t>
      </w:r>
      <w:bookmarkStart w:id="928" w:name="_Toc4784273"/>
      <w:bookmarkEnd w:id="928"/>
      <w:bookmarkStart w:id="929" w:name="_Toc4784272"/>
      <w:bookmarkEnd w:id="929"/>
      <w:bookmarkStart w:id="930" w:name="_Toc4784276"/>
      <w:bookmarkEnd w:id="930"/>
      <w:bookmarkStart w:id="931" w:name="_Toc4784277"/>
      <w:bookmarkEnd w:id="931"/>
      <w:r>
        <w:rPr>
          <w:rFonts w:hint="eastAsia"/>
          <w:color w:val="000000"/>
          <w:highlight w:val="none"/>
        </w:rPr>
        <w:t>注： 1、对于招标人推荐品牌的材料、设备，投标人可选用推荐品牌或不低于推荐品牌技术性能指标的其他品牌。未在招标人推荐的材料品牌响应表中注明或未提供相关技术参数、业绩，或经评标委员会评审未通过的，中标后只能从招标人推荐品牌中进行选择，价格不予调整。</w:t>
      </w:r>
    </w:p>
    <w:p w14:paraId="307A9B0F">
      <w:pPr>
        <w:adjustRightInd w:val="0"/>
        <w:snapToGrid w:val="0"/>
        <w:spacing w:line="560" w:lineRule="exact"/>
        <w:ind w:firstLine="420" w:firstLineChars="200"/>
        <w:rPr>
          <w:rFonts w:hint="eastAsia"/>
          <w:color w:val="000000"/>
          <w:highlight w:val="none"/>
        </w:rPr>
      </w:pPr>
      <w:r>
        <w:rPr>
          <w:rFonts w:hint="eastAsia"/>
          <w:color w:val="000000"/>
          <w:highlight w:val="none"/>
        </w:rPr>
        <w:t>2、如本项目招标文件中出现特定性、唯一性品牌的表述，该品牌仅作为参考，施工过程中不具有限定性。对于招标人推荐品牌的材料、设备等，投标人如认 为招标人推荐的品牌有限定性、唯一性、明显不在同一档次等级的或者其他疑问的，应在本项目异议提出的截止时间前通过电子交易系统向招标人提出。</w:t>
      </w:r>
    </w:p>
    <w:p w14:paraId="07D16C3A">
      <w:pPr>
        <w:numPr>
          <w:ilvl w:val="0"/>
          <w:numId w:val="0"/>
        </w:numPr>
        <w:jc w:val="center"/>
        <w:outlineLvl w:val="1"/>
        <w:rPr>
          <w:rFonts w:hint="eastAsia" w:ascii="宋体" w:hAnsi="宋体" w:eastAsia="宋体" w:cs="宋体"/>
          <w:color w:val="auto"/>
          <w:highlight w:val="none"/>
        </w:rPr>
      </w:pPr>
    </w:p>
    <w:p w14:paraId="3A3DFD1F">
      <w:pPr>
        <w:pStyle w:val="44"/>
        <w:spacing w:beforeLines="50" w:afterLines="50" w:line="440" w:lineRule="exact"/>
        <w:rPr>
          <w:bCs/>
          <w:szCs w:val="32"/>
          <w:highlight w:val="none"/>
        </w:rPr>
      </w:pPr>
      <w:bookmarkStart w:id="932" w:name="_Toc246996354"/>
      <w:bookmarkStart w:id="933" w:name="_Toc144974855"/>
      <w:bookmarkStart w:id="934" w:name="_Toc78803398"/>
      <w:bookmarkStart w:id="935" w:name="_Toc15058934"/>
      <w:bookmarkStart w:id="936" w:name="_Toc247085872"/>
      <w:bookmarkStart w:id="937" w:name="_Toc152042575"/>
      <w:bookmarkStart w:id="938" w:name="_Toc246997097"/>
      <w:bookmarkStart w:id="939" w:name="_Toc179632806"/>
      <w:bookmarkStart w:id="940" w:name="_Toc152045786"/>
      <w:bookmarkStart w:id="941" w:name="_Toc506107340"/>
      <w:bookmarkStart w:id="942" w:name="_Toc324404888"/>
      <w:bookmarkStart w:id="943" w:name="_Toc35424970"/>
      <w:bookmarkStart w:id="944" w:name="_Toc35425136"/>
      <w:r>
        <w:rPr>
          <w:rFonts w:hint="eastAsia"/>
          <w:bCs/>
          <w:szCs w:val="32"/>
          <w:highlight w:val="none"/>
        </w:rPr>
        <w:br w:type="page"/>
      </w:r>
      <w:r>
        <w:rPr>
          <w:rFonts w:hint="eastAsia"/>
          <w:bCs/>
          <w:szCs w:val="32"/>
          <w:highlight w:val="none"/>
        </w:rPr>
        <w:t>第</w:t>
      </w:r>
      <w:r>
        <w:rPr>
          <w:rFonts w:hint="eastAsia"/>
          <w:bCs/>
          <w:szCs w:val="32"/>
          <w:highlight w:val="none"/>
          <w:lang w:val="en-US" w:eastAsia="zh-CN"/>
        </w:rPr>
        <w:t>九</w:t>
      </w:r>
      <w:r>
        <w:rPr>
          <w:rFonts w:hint="eastAsia"/>
          <w:bCs/>
          <w:szCs w:val="32"/>
          <w:highlight w:val="none"/>
        </w:rPr>
        <w:t>章  投标文件格式</w:t>
      </w:r>
      <w:bookmarkEnd w:id="932"/>
      <w:bookmarkEnd w:id="933"/>
      <w:bookmarkEnd w:id="934"/>
      <w:bookmarkEnd w:id="935"/>
      <w:bookmarkEnd w:id="936"/>
      <w:bookmarkEnd w:id="937"/>
      <w:bookmarkEnd w:id="938"/>
      <w:bookmarkEnd w:id="939"/>
      <w:bookmarkEnd w:id="940"/>
      <w:bookmarkEnd w:id="941"/>
      <w:bookmarkEnd w:id="942"/>
      <w:bookmarkEnd w:id="943"/>
      <w:bookmarkEnd w:id="944"/>
    </w:p>
    <w:p w14:paraId="7B05D42C">
      <w:pPr>
        <w:rPr>
          <w:highlight w:val="none"/>
        </w:rPr>
      </w:pPr>
    </w:p>
    <w:p w14:paraId="082E4B32">
      <w:pPr>
        <w:rPr>
          <w:highlight w:val="none"/>
        </w:rPr>
      </w:pPr>
    </w:p>
    <w:p w14:paraId="5069B979">
      <w:pPr>
        <w:rPr>
          <w:highlight w:val="none"/>
        </w:rPr>
      </w:pPr>
    </w:p>
    <w:p w14:paraId="56143D65">
      <w:pPr>
        <w:jc w:val="center"/>
        <w:rPr>
          <w:rFonts w:eastAsia="黑体"/>
          <w:sz w:val="20"/>
          <w:szCs w:val="20"/>
          <w:highlight w:val="none"/>
        </w:rPr>
      </w:pPr>
      <w:r>
        <w:rPr>
          <w:rFonts w:eastAsia="黑体"/>
          <w:sz w:val="28"/>
          <w:szCs w:val="28"/>
          <w:highlight w:val="none"/>
        </w:rPr>
        <w:t>（项目名称）</w:t>
      </w:r>
    </w:p>
    <w:p w14:paraId="7576ABA9">
      <w:pPr>
        <w:jc w:val="center"/>
        <w:rPr>
          <w:rFonts w:eastAsia="黑体"/>
          <w:sz w:val="20"/>
          <w:szCs w:val="20"/>
          <w:highlight w:val="none"/>
        </w:rPr>
      </w:pPr>
    </w:p>
    <w:p w14:paraId="7FF06958">
      <w:pPr>
        <w:jc w:val="center"/>
        <w:rPr>
          <w:rFonts w:eastAsia="黑体"/>
          <w:sz w:val="20"/>
          <w:szCs w:val="20"/>
          <w:highlight w:val="none"/>
        </w:rPr>
      </w:pPr>
    </w:p>
    <w:p w14:paraId="3165CB1E">
      <w:pPr>
        <w:jc w:val="center"/>
        <w:rPr>
          <w:rFonts w:eastAsia="黑体"/>
          <w:sz w:val="20"/>
          <w:szCs w:val="20"/>
          <w:highlight w:val="none"/>
        </w:rPr>
      </w:pPr>
    </w:p>
    <w:p w14:paraId="75BA9D51">
      <w:pPr>
        <w:rPr>
          <w:rFonts w:eastAsia="黑体"/>
          <w:sz w:val="20"/>
          <w:szCs w:val="20"/>
          <w:highlight w:val="none"/>
        </w:rPr>
      </w:pPr>
    </w:p>
    <w:p w14:paraId="347DEE05">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一</w:t>
      </w:r>
    </w:p>
    <w:p w14:paraId="4404D72F">
      <w:pPr>
        <w:jc w:val="center"/>
        <w:rPr>
          <w:rFonts w:eastAsia="黑体"/>
          <w:sz w:val="44"/>
          <w:szCs w:val="44"/>
          <w:highlight w:val="none"/>
        </w:rPr>
      </w:pPr>
      <w:r>
        <w:rPr>
          <w:rFonts w:hint="eastAsia" w:eastAsia="黑体"/>
          <w:sz w:val="44"/>
          <w:szCs w:val="44"/>
          <w:highlight w:val="none"/>
        </w:rPr>
        <w:t>（资信证明文件）</w:t>
      </w:r>
    </w:p>
    <w:p w14:paraId="69FD5586">
      <w:pPr>
        <w:rPr>
          <w:rFonts w:eastAsia="黑体"/>
          <w:sz w:val="28"/>
          <w:szCs w:val="28"/>
          <w:highlight w:val="none"/>
        </w:rPr>
      </w:pPr>
    </w:p>
    <w:p w14:paraId="61671114">
      <w:pPr>
        <w:rPr>
          <w:rFonts w:eastAsia="黑体"/>
          <w:sz w:val="28"/>
          <w:szCs w:val="28"/>
          <w:highlight w:val="none"/>
        </w:rPr>
      </w:pPr>
    </w:p>
    <w:p w14:paraId="7707CE46">
      <w:pPr>
        <w:rPr>
          <w:rFonts w:eastAsia="黑体"/>
          <w:sz w:val="28"/>
          <w:szCs w:val="28"/>
          <w:highlight w:val="none"/>
        </w:rPr>
      </w:pPr>
    </w:p>
    <w:p w14:paraId="3E29662A">
      <w:pPr>
        <w:rPr>
          <w:rFonts w:eastAsia="黑体"/>
          <w:sz w:val="28"/>
          <w:szCs w:val="28"/>
          <w:highlight w:val="none"/>
        </w:rPr>
      </w:pPr>
    </w:p>
    <w:p w14:paraId="69D02104">
      <w:pPr>
        <w:pStyle w:val="14"/>
        <w:ind w:firstLine="420"/>
        <w:rPr>
          <w:rFonts w:ascii="Times New Roman"/>
          <w:szCs w:val="24"/>
          <w:highlight w:val="none"/>
        </w:rPr>
      </w:pPr>
    </w:p>
    <w:p w14:paraId="3062FE47">
      <w:pPr>
        <w:rPr>
          <w:rFonts w:ascii="Times New Roman"/>
          <w:szCs w:val="24"/>
          <w:highlight w:val="none"/>
        </w:rPr>
      </w:pPr>
    </w:p>
    <w:p w14:paraId="78F93F73">
      <w:pPr>
        <w:pStyle w:val="14"/>
        <w:rPr>
          <w:rFonts w:ascii="Times New Roman"/>
          <w:szCs w:val="24"/>
          <w:highlight w:val="none"/>
        </w:rPr>
      </w:pPr>
    </w:p>
    <w:p w14:paraId="1E9D0BD8">
      <w:pPr>
        <w:rPr>
          <w:rFonts w:ascii="Times New Roman"/>
          <w:szCs w:val="24"/>
          <w:highlight w:val="none"/>
        </w:rPr>
      </w:pPr>
    </w:p>
    <w:p w14:paraId="13AFD6AD">
      <w:pPr>
        <w:pStyle w:val="14"/>
        <w:rPr>
          <w:highlight w:val="none"/>
        </w:rPr>
      </w:pPr>
    </w:p>
    <w:p w14:paraId="0799C826">
      <w:pPr>
        <w:pStyle w:val="14"/>
        <w:ind w:firstLine="420"/>
        <w:rPr>
          <w:highlight w:val="none"/>
        </w:rPr>
      </w:pPr>
    </w:p>
    <w:p w14:paraId="63F5BB9B">
      <w:pPr>
        <w:rPr>
          <w:rFonts w:eastAsia="黑体"/>
          <w:sz w:val="28"/>
          <w:szCs w:val="28"/>
          <w:highlight w:val="none"/>
        </w:rPr>
      </w:pPr>
    </w:p>
    <w:p w14:paraId="6ECEBDFF">
      <w:pPr>
        <w:keepNext w:val="0"/>
        <w:keepLines w:val="0"/>
        <w:pageBreakBefore w:val="0"/>
        <w:widowControl w:val="0"/>
        <w:kinsoku/>
        <w:wordWrap/>
        <w:overflowPunct/>
        <w:topLinePunct w:val="0"/>
        <w:autoSpaceDE/>
        <w:autoSpaceDN/>
        <w:bidi w:val="0"/>
        <w:adjustRightInd/>
        <w:snapToGrid/>
        <w:spacing w:line="720" w:lineRule="auto"/>
        <w:textAlignment w:val="auto"/>
        <w:rPr>
          <w:rFonts w:eastAsia="黑体"/>
          <w:sz w:val="28"/>
          <w:szCs w:val="28"/>
          <w:highlight w:val="none"/>
        </w:rPr>
      </w:pPr>
    </w:p>
    <w:p w14:paraId="62522776">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u w:val="single"/>
        </w:rPr>
      </w:pPr>
      <w:r>
        <w:rPr>
          <w:rFonts w:hint="eastAsia" w:eastAsia="黑体"/>
          <w:sz w:val="28"/>
          <w:szCs w:val="28"/>
          <w:highlight w:val="none"/>
        </w:rPr>
        <w:t xml:space="preserve"> 投标人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盖</w:t>
      </w:r>
      <w:r>
        <w:rPr>
          <w:rFonts w:eastAsia="黑体"/>
          <w:sz w:val="28"/>
          <w:szCs w:val="28"/>
          <w:highlight w:val="none"/>
        </w:rPr>
        <w:t>章）</w:t>
      </w:r>
    </w:p>
    <w:p w14:paraId="097218CB">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rPr>
      </w:pPr>
      <w:r>
        <w:rPr>
          <w:rFonts w:hint="eastAsia" w:eastAsia="黑体"/>
          <w:sz w:val="28"/>
          <w:szCs w:val="28"/>
          <w:highlight w:val="none"/>
        </w:rPr>
        <w:t xml:space="preserve">   </w:t>
      </w:r>
      <w:r>
        <w:rPr>
          <w:rFonts w:eastAsia="黑体"/>
          <w:sz w:val="28"/>
          <w:szCs w:val="28"/>
          <w:highlight w:val="none"/>
        </w:rPr>
        <w:t>法定代表人</w:t>
      </w:r>
      <w:r>
        <w:rPr>
          <w:rFonts w:hint="eastAsia" w:eastAsia="黑体"/>
          <w:sz w:val="28"/>
          <w:szCs w:val="28"/>
          <w:highlight w:val="none"/>
          <w:lang w:val="en-US" w:eastAsia="zh-CN"/>
        </w:rPr>
        <w:t>或授权委托人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签字或盖章</w:t>
      </w:r>
      <w:r>
        <w:rPr>
          <w:rFonts w:eastAsia="黑体"/>
          <w:sz w:val="28"/>
          <w:szCs w:val="28"/>
          <w:highlight w:val="none"/>
        </w:rPr>
        <w:t>）</w:t>
      </w:r>
    </w:p>
    <w:p w14:paraId="211A5DCF">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7802AEA0">
      <w:pPr>
        <w:rPr>
          <w:highlight w:val="none"/>
        </w:rPr>
      </w:pPr>
      <w:bookmarkStart w:id="945" w:name="_Toc35424971"/>
      <w:bookmarkStart w:id="946" w:name="_Toc12683"/>
      <w:bookmarkStart w:id="947" w:name="_Toc35425137"/>
    </w:p>
    <w:p w14:paraId="0EBCA57C">
      <w:pPr>
        <w:spacing w:beforeLines="50" w:afterLines="50" w:line="440" w:lineRule="exact"/>
        <w:ind w:firstLine="643" w:firstLineChars="200"/>
        <w:jc w:val="left"/>
        <w:rPr>
          <w:rFonts w:ascii="宋体" w:hAnsi="宋体" w:cs="宋体"/>
          <w:b/>
          <w:sz w:val="28"/>
          <w:szCs w:val="28"/>
          <w:highlight w:val="none"/>
        </w:rPr>
      </w:pPr>
      <w:bookmarkStart w:id="948" w:name="_Toc78803399"/>
      <w:r>
        <w:rPr>
          <w:rStyle w:val="120"/>
          <w:rFonts w:hint="eastAsia" w:ascii="宋体" w:hAnsi="宋体" w:cs="宋体"/>
          <w:sz w:val="32"/>
          <w:highlight w:val="none"/>
        </w:rPr>
        <w:br w:type="page"/>
      </w:r>
      <w:r>
        <w:rPr>
          <w:rStyle w:val="120"/>
          <w:rFonts w:hint="eastAsia" w:ascii="宋体" w:hAnsi="宋体" w:cs="宋体"/>
          <w:sz w:val="32"/>
          <w:highlight w:val="none"/>
        </w:rPr>
        <w:t>投标文件一</w:t>
      </w:r>
      <w:bookmarkEnd w:id="945"/>
      <w:bookmarkEnd w:id="946"/>
      <w:bookmarkEnd w:id="947"/>
      <w:bookmarkEnd w:id="948"/>
      <w:r>
        <w:rPr>
          <w:rFonts w:hint="eastAsia" w:ascii="宋体" w:hAnsi="宋体" w:cs="宋体"/>
          <w:b/>
          <w:sz w:val="28"/>
          <w:szCs w:val="28"/>
          <w:highlight w:val="none"/>
        </w:rPr>
        <w:t>：资信证明文件目录</w:t>
      </w:r>
    </w:p>
    <w:p w14:paraId="0497141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（1）法定代表人身份证明文件和本人有效身份证(或法定代表人授权委托书和委托代理人有效身份证)；</w:t>
      </w:r>
    </w:p>
    <w:p w14:paraId="3E513031">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（2）诚信投标承诺书；</w:t>
      </w:r>
    </w:p>
    <w:p w14:paraId="63327AE6">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（3）企业法人营业执照；</w:t>
      </w:r>
    </w:p>
    <w:p w14:paraId="385ED7F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（4）企业资质证书</w:t>
      </w:r>
      <w:r>
        <w:rPr>
          <w:rFonts w:hint="eastAsia" w:ascii="宋体" w:hAnsi="宋体" w:cs="宋体"/>
          <w:szCs w:val="21"/>
          <w:highlight w:val="none"/>
          <w:lang w:val="en-US" w:eastAsia="zh-CN"/>
        </w:rPr>
        <w:t>及</w:t>
      </w:r>
      <w:r>
        <w:rPr>
          <w:rFonts w:hint="eastAsia" w:ascii="宋体" w:hAnsi="宋体" w:cs="宋体"/>
          <w:color w:val="000000"/>
          <w:szCs w:val="21"/>
          <w:highlight w:val="none"/>
        </w:rPr>
        <w:t>企业安全生产许可证</w:t>
      </w:r>
      <w:r>
        <w:rPr>
          <w:rFonts w:hint="eastAsia" w:ascii="宋体" w:hAnsi="宋体" w:cs="宋体"/>
          <w:szCs w:val="21"/>
          <w:highlight w:val="none"/>
        </w:rPr>
        <w:t>；</w:t>
      </w:r>
    </w:p>
    <w:p w14:paraId="10AAA0CA">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（5）</w:t>
      </w:r>
      <w:r>
        <w:rPr>
          <w:rFonts w:hint="eastAsia" w:ascii="宋体" w:hAnsi="宋体" w:cs="宋体"/>
          <w:color w:val="000000"/>
          <w:szCs w:val="21"/>
          <w:highlight w:val="none"/>
        </w:rPr>
        <w:t>项目经理（建造师）有效身份证、注册证书以及安全生产考核合格证书（B证）</w:t>
      </w:r>
      <w:r>
        <w:rPr>
          <w:rFonts w:hint="eastAsia" w:ascii="宋体" w:hAnsi="宋体" w:cs="宋体"/>
          <w:szCs w:val="21"/>
          <w:highlight w:val="none"/>
        </w:rPr>
        <w:t>；</w:t>
      </w:r>
    </w:p>
    <w:p w14:paraId="0B05659A">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cs="宋体"/>
          <w:szCs w:val="21"/>
          <w:highlight w:val="none"/>
        </w:rPr>
        <w:t>（</w:t>
      </w:r>
      <w:r>
        <w:rPr>
          <w:rFonts w:hint="eastAsia" w:ascii="宋体" w:hAnsi="宋体" w:cs="宋体"/>
          <w:szCs w:val="21"/>
          <w:highlight w:val="none"/>
          <w:lang w:val="en-US" w:eastAsia="zh-CN"/>
        </w:rPr>
        <w:t>6</w:t>
      </w:r>
      <w:r>
        <w:rPr>
          <w:rFonts w:hint="eastAsia" w:ascii="宋体" w:hAnsi="宋体" w:cs="宋体"/>
          <w:szCs w:val="21"/>
          <w:highlight w:val="none"/>
        </w:rPr>
        <w:t>）</w:t>
      </w:r>
      <w:r>
        <w:rPr>
          <w:rFonts w:hint="eastAsia" w:ascii="宋体" w:hAnsi="宋体" w:eastAsia="宋体" w:cs="宋体"/>
          <w:color w:val="000000"/>
          <w:szCs w:val="21"/>
          <w:highlight w:val="none"/>
        </w:rPr>
        <w:t>拟任项目经理（建造师）须持有社保部门出具的本单位为其缴纳的</w:t>
      </w:r>
      <w:r>
        <w:rPr>
          <w:rFonts w:hint="eastAsia" w:ascii="宋体" w:hAnsi="宋体" w:eastAsia="宋体" w:cs="宋体"/>
          <w:color w:val="000000"/>
          <w:szCs w:val="21"/>
          <w:highlight w:val="none"/>
          <w:lang w:val="en-US" w:eastAsia="zh-CN"/>
        </w:rPr>
        <w:t>2026年</w:t>
      </w:r>
      <w:r>
        <w:rPr>
          <w:rFonts w:hint="eastAsia" w:ascii="宋体" w:hAnsi="宋体" w:cs="宋体"/>
          <w:color w:val="000000"/>
          <w:szCs w:val="21"/>
          <w:highlight w:val="none"/>
          <w:lang w:val="en-US" w:eastAsia="zh-CN"/>
        </w:rPr>
        <w:t>7</w:t>
      </w:r>
      <w:r>
        <w:rPr>
          <w:rFonts w:hint="eastAsia" w:ascii="宋体" w:hAnsi="宋体" w:eastAsia="宋体" w:cs="宋体"/>
          <w:color w:val="000000"/>
          <w:szCs w:val="21"/>
          <w:highlight w:val="none"/>
          <w:lang w:val="en-US" w:eastAsia="zh-CN"/>
        </w:rPr>
        <w:t>月至2026年</w:t>
      </w:r>
      <w:r>
        <w:rPr>
          <w:rFonts w:hint="eastAsia" w:ascii="宋体" w:hAnsi="宋体" w:cs="宋体"/>
          <w:color w:val="000000"/>
          <w:szCs w:val="21"/>
          <w:highlight w:val="none"/>
          <w:lang w:val="en-US" w:eastAsia="zh-CN"/>
        </w:rPr>
        <w:t>10</w:t>
      </w:r>
      <w:r>
        <w:rPr>
          <w:rFonts w:hint="eastAsia" w:ascii="宋体" w:hAnsi="宋体" w:eastAsia="宋体" w:cs="宋体"/>
          <w:color w:val="000000"/>
          <w:szCs w:val="21"/>
          <w:highlight w:val="none"/>
          <w:lang w:val="en-US" w:eastAsia="zh-CN"/>
        </w:rPr>
        <w:t>月范围内任意</w:t>
      </w:r>
      <w:r>
        <w:rPr>
          <w:rFonts w:hint="eastAsia" w:ascii="宋体" w:hAnsi="宋体" w:eastAsia="宋体" w:cs="宋体"/>
          <w:color w:val="000000"/>
          <w:szCs w:val="21"/>
          <w:highlight w:val="none"/>
        </w:rPr>
        <w:t>连续三个月的养老保险证明</w:t>
      </w:r>
      <w:r>
        <w:rPr>
          <w:rFonts w:hint="eastAsia" w:ascii="宋体" w:hAnsi="宋体" w:eastAsia="宋体" w:cs="宋体"/>
          <w:color w:val="000000"/>
          <w:szCs w:val="21"/>
          <w:highlight w:val="none"/>
          <w:lang w:eastAsia="zh-CN"/>
        </w:rPr>
        <w:t>。</w:t>
      </w:r>
    </w:p>
    <w:p w14:paraId="3C4C991B">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color w:val="000000"/>
          <w:szCs w:val="21"/>
          <w:highlight w:val="none"/>
          <w:lang w:eastAsia="zh-CN"/>
        </w:rPr>
        <w:t>注：</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投标人是事业单位的，暂未缴纳养老保险的，须由其主管部门出具证明</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lang w:eastAsia="zh-CN"/>
        </w:rPr>
        <w:t>如拟派项目经理为退</w:t>
      </w:r>
      <w:r>
        <w:rPr>
          <w:rFonts w:hint="eastAsia" w:ascii="宋体" w:hAnsi="宋体" w:eastAsia="宋体" w:cs="宋体"/>
          <w:szCs w:val="21"/>
          <w:highlight w:val="none"/>
          <w:lang w:eastAsia="zh-CN"/>
        </w:rPr>
        <w:t>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r>
        <w:rPr>
          <w:rFonts w:hint="eastAsia" w:ascii="宋体" w:hAnsi="宋体" w:cs="宋体"/>
          <w:color w:val="000000"/>
          <w:szCs w:val="21"/>
          <w:highlight w:val="none"/>
          <w:lang w:eastAsia="zh-CN"/>
        </w:rPr>
        <w:t>。</w:t>
      </w:r>
    </w:p>
    <w:p w14:paraId="59163E6F">
      <w:pPr>
        <w:spacing w:line="360" w:lineRule="auto"/>
        <w:jc w:val="center"/>
        <w:rPr>
          <w:rFonts w:ascii="宋体"/>
          <w:b/>
          <w:sz w:val="28"/>
          <w:szCs w:val="28"/>
          <w:highlight w:val="none"/>
        </w:rPr>
      </w:pPr>
      <w:r>
        <w:rPr>
          <w:rFonts w:hint="eastAsia"/>
          <w:b/>
          <w:sz w:val="28"/>
          <w:szCs w:val="28"/>
          <w:highlight w:val="none"/>
        </w:rPr>
        <w:br w:type="page"/>
      </w:r>
      <w:r>
        <w:rPr>
          <w:rFonts w:hint="eastAsia"/>
          <w:b/>
          <w:sz w:val="28"/>
          <w:szCs w:val="28"/>
          <w:highlight w:val="none"/>
        </w:rPr>
        <w:t>（1）法定代表人身份证明或授权委托书</w:t>
      </w:r>
    </w:p>
    <w:p w14:paraId="1618991E">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b/>
          <w:color w:val="auto"/>
          <w:sz w:val="24"/>
          <w:szCs w:val="24"/>
          <w:highlight w:val="none"/>
        </w:rPr>
      </w:pPr>
      <w:bookmarkStart w:id="949" w:name="_Toc506107356"/>
      <w:bookmarkStart w:id="950" w:name="_Toc26598"/>
      <w:bookmarkStart w:id="951" w:name="_Toc503196197"/>
      <w:r>
        <w:rPr>
          <w:rFonts w:hint="eastAsia" w:ascii="宋体"/>
          <w:color w:val="auto"/>
          <w:sz w:val="24"/>
          <w:szCs w:val="24"/>
          <w:highlight w:val="none"/>
        </w:rPr>
        <w:t>1、法定代表人身份证明</w:t>
      </w:r>
    </w:p>
    <w:p w14:paraId="5CD0926A">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投标人名称：</w:t>
      </w:r>
      <w:r>
        <w:rPr>
          <w:rFonts w:hint="eastAsia" w:ascii="宋体"/>
          <w:sz w:val="24"/>
          <w:highlight w:val="none"/>
          <w:u w:val="single"/>
        </w:rPr>
        <w:t xml:space="preserve">                            </w:t>
      </w:r>
    </w:p>
    <w:p w14:paraId="30E6B7AC">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单位性质：</w:t>
      </w:r>
      <w:r>
        <w:rPr>
          <w:rFonts w:hint="eastAsia" w:ascii="宋体"/>
          <w:sz w:val="24"/>
          <w:highlight w:val="none"/>
          <w:u w:val="single"/>
        </w:rPr>
        <w:t xml:space="preserve">                              </w:t>
      </w:r>
    </w:p>
    <w:p w14:paraId="2B53194B">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地    址：</w:t>
      </w:r>
      <w:r>
        <w:rPr>
          <w:rFonts w:hint="eastAsia" w:ascii="宋体"/>
          <w:sz w:val="24"/>
          <w:highlight w:val="none"/>
          <w:u w:val="single"/>
        </w:rPr>
        <w:t xml:space="preserve">                              </w:t>
      </w:r>
    </w:p>
    <w:p w14:paraId="2672DE77">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成立时间：</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56E18266">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经营期限：</w:t>
      </w:r>
      <w:r>
        <w:rPr>
          <w:rFonts w:hint="eastAsia" w:ascii="宋体"/>
          <w:sz w:val="24"/>
          <w:highlight w:val="none"/>
          <w:u w:val="single"/>
        </w:rPr>
        <w:t xml:space="preserve">                              </w:t>
      </w:r>
    </w:p>
    <w:p w14:paraId="7220154A">
      <w:pPr>
        <w:keepNext w:val="0"/>
        <w:keepLines w:val="0"/>
        <w:pageBreakBefore w:val="0"/>
        <w:kinsoku/>
        <w:wordWrap/>
        <w:overflowPunct/>
        <w:topLinePunct w:val="0"/>
        <w:autoSpaceDE/>
        <w:autoSpaceDN/>
        <w:bidi w:val="0"/>
        <w:adjustRightInd/>
        <w:snapToGrid/>
        <w:spacing w:line="440" w:lineRule="exact"/>
        <w:jc w:val="left"/>
        <w:rPr>
          <w:rFonts w:ascii="宋体"/>
          <w:sz w:val="24"/>
          <w:highlight w:val="none"/>
          <w:u w:val="single"/>
        </w:rPr>
      </w:pPr>
      <w:r>
        <w:rPr>
          <w:rFonts w:hint="eastAsia" w:ascii="宋体"/>
          <w:spacing w:val="240"/>
          <w:sz w:val="24"/>
          <w:highlight w:val="none"/>
        </w:rPr>
        <w:t>姓</w:t>
      </w:r>
      <w:r>
        <w:rPr>
          <w:rFonts w:hint="eastAsia" w:ascii="宋体"/>
          <w:sz w:val="24"/>
          <w:highlight w:val="none"/>
        </w:rPr>
        <w:t>名：</w:t>
      </w:r>
      <w:r>
        <w:rPr>
          <w:rFonts w:hint="eastAsia" w:ascii="宋体"/>
          <w:sz w:val="24"/>
          <w:highlight w:val="none"/>
          <w:u w:val="single"/>
        </w:rPr>
        <w:t xml:space="preserve">     </w:t>
      </w:r>
      <w:r>
        <w:rPr>
          <w:rFonts w:hint="eastAsia" w:ascii="宋体"/>
          <w:sz w:val="24"/>
          <w:highlight w:val="none"/>
        </w:rPr>
        <w:t>身份证号码：</w:t>
      </w:r>
      <w:r>
        <w:rPr>
          <w:rFonts w:hint="eastAsia" w:ascii="宋体"/>
          <w:sz w:val="24"/>
          <w:highlight w:val="none"/>
          <w:u w:val="single"/>
        </w:rPr>
        <w:t xml:space="preserve">     </w:t>
      </w:r>
      <w:r>
        <w:rPr>
          <w:rFonts w:hint="eastAsia" w:ascii="宋体"/>
          <w:sz w:val="24"/>
          <w:highlight w:val="none"/>
        </w:rPr>
        <w:t>性别</w:t>
      </w:r>
      <w:r>
        <w:rPr>
          <w:rFonts w:hint="eastAsia" w:ascii="宋体"/>
          <w:sz w:val="24"/>
          <w:highlight w:val="none"/>
          <w:u w:val="single"/>
        </w:rPr>
        <w:t xml:space="preserve">：    </w:t>
      </w:r>
      <w:r>
        <w:rPr>
          <w:rFonts w:hint="eastAsia" w:ascii="宋体"/>
          <w:sz w:val="24"/>
          <w:highlight w:val="none"/>
        </w:rPr>
        <w:t>年龄：</w:t>
      </w:r>
      <w:r>
        <w:rPr>
          <w:rFonts w:hint="eastAsia" w:ascii="宋体"/>
          <w:sz w:val="24"/>
          <w:highlight w:val="none"/>
          <w:u w:val="single"/>
        </w:rPr>
        <w:t xml:space="preserve">＿  </w:t>
      </w:r>
      <w:r>
        <w:rPr>
          <w:rFonts w:hint="eastAsia" w:ascii="宋体"/>
          <w:sz w:val="24"/>
          <w:highlight w:val="none"/>
        </w:rPr>
        <w:t>职务：</w:t>
      </w:r>
      <w:r>
        <w:rPr>
          <w:rFonts w:hint="eastAsia" w:ascii="宋体"/>
          <w:sz w:val="24"/>
          <w:highlight w:val="none"/>
          <w:u w:val="single"/>
        </w:rPr>
        <w:t xml:space="preserve">     </w:t>
      </w:r>
      <w:r>
        <w:rPr>
          <w:rFonts w:hint="eastAsia" w:ascii="宋体"/>
          <w:sz w:val="24"/>
          <w:highlight w:val="none"/>
        </w:rPr>
        <w:t>，系</w:t>
      </w:r>
      <w:r>
        <w:rPr>
          <w:rFonts w:hint="eastAsia" w:ascii="宋体"/>
          <w:sz w:val="24"/>
          <w:highlight w:val="none"/>
          <w:u w:val="single"/>
        </w:rPr>
        <w:t xml:space="preserve">     （投标人名称）</w:t>
      </w:r>
      <w:r>
        <w:rPr>
          <w:rFonts w:hint="eastAsia" w:ascii="宋体"/>
          <w:sz w:val="24"/>
          <w:highlight w:val="none"/>
        </w:rPr>
        <w:t>的法定代表人。</w:t>
      </w:r>
    </w:p>
    <w:p w14:paraId="13BA0D93">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特此证明。</w:t>
      </w:r>
    </w:p>
    <w:p w14:paraId="5AB38E67">
      <w:pPr>
        <w:keepNext w:val="0"/>
        <w:keepLines w:val="0"/>
        <w:pageBreakBefore w:val="0"/>
        <w:kinsoku/>
        <w:wordWrap/>
        <w:overflowPunct/>
        <w:topLinePunct w:val="0"/>
        <w:autoSpaceDE/>
        <w:autoSpaceDN/>
        <w:bidi w:val="0"/>
        <w:adjustRightInd/>
        <w:snapToGrid/>
        <w:spacing w:line="440" w:lineRule="exact"/>
        <w:ind w:firstLine="480" w:firstLineChars="200"/>
        <w:rPr>
          <w:highlight w:val="none"/>
        </w:rPr>
      </w:pPr>
      <w:r>
        <w:rPr>
          <w:rFonts w:hint="eastAsia" w:ascii="宋体"/>
          <w:sz w:val="24"/>
          <w:highlight w:val="none"/>
        </w:rPr>
        <w:t>附：</w:t>
      </w:r>
      <w:r>
        <w:rPr>
          <w:rFonts w:hint="eastAsia" w:ascii="宋体"/>
          <w:b/>
          <w:sz w:val="24"/>
          <w:highlight w:val="none"/>
        </w:rPr>
        <w:t>法定代表人有效身份证扫描件</w:t>
      </w:r>
    </w:p>
    <w:p w14:paraId="3089C1AB">
      <w:pPr>
        <w:keepNext w:val="0"/>
        <w:keepLines w:val="0"/>
        <w:pageBreakBefore w:val="0"/>
        <w:kinsoku/>
        <w:wordWrap/>
        <w:overflowPunct/>
        <w:topLinePunct w:val="0"/>
        <w:autoSpaceDE/>
        <w:autoSpaceDN/>
        <w:bidi w:val="0"/>
        <w:adjustRightInd/>
        <w:snapToGrid/>
        <w:spacing w:line="440" w:lineRule="exact"/>
        <w:ind w:firstLine="3720" w:firstLineChars="1550"/>
        <w:rPr>
          <w:rFonts w:ascii="宋体"/>
          <w:sz w:val="24"/>
          <w:highlight w:val="none"/>
        </w:rPr>
      </w:pPr>
      <w:r>
        <w:rPr>
          <w:rFonts w:hint="eastAsia" w:ascii="宋体"/>
          <w:sz w:val="24"/>
          <w:highlight w:val="none"/>
        </w:rPr>
        <w:t>投标人：</w:t>
      </w:r>
      <w:r>
        <w:rPr>
          <w:rFonts w:hint="eastAsia" w:ascii="宋体"/>
          <w:sz w:val="24"/>
          <w:highlight w:val="none"/>
          <w:u w:val="single"/>
        </w:rPr>
        <w:t xml:space="preserve">            （</w:t>
      </w:r>
      <w:r>
        <w:rPr>
          <w:rFonts w:hint="eastAsia" w:ascii="宋体"/>
          <w:sz w:val="24"/>
          <w:highlight w:val="none"/>
          <w:u w:val="single"/>
          <w:lang w:val="en-US" w:eastAsia="zh-CN"/>
        </w:rPr>
        <w:t>盖</w:t>
      </w:r>
      <w:r>
        <w:rPr>
          <w:rFonts w:hint="eastAsia" w:ascii="宋体"/>
          <w:sz w:val="24"/>
          <w:highlight w:val="none"/>
          <w:u w:val="single"/>
        </w:rPr>
        <w:t>章）</w:t>
      </w:r>
    </w:p>
    <w:p w14:paraId="34409C45">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 xml:space="preserve">                                        年    月     日</w:t>
      </w:r>
    </w:p>
    <w:p w14:paraId="2F0B7B0C">
      <w:pPr>
        <w:keepNext w:val="0"/>
        <w:keepLines w:val="0"/>
        <w:pageBreakBefore w:val="0"/>
        <w:kinsoku/>
        <w:wordWrap/>
        <w:overflowPunct/>
        <w:topLinePunct w:val="0"/>
        <w:autoSpaceDE/>
        <w:autoSpaceDN/>
        <w:bidi w:val="0"/>
        <w:adjustRightInd/>
        <w:snapToGrid/>
        <w:spacing w:line="440" w:lineRule="exact"/>
        <w:rPr>
          <w:highlight w:val="none"/>
        </w:rPr>
      </w:pPr>
    </w:p>
    <w:p w14:paraId="1550066F">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color w:val="auto"/>
          <w:sz w:val="24"/>
          <w:szCs w:val="24"/>
          <w:highlight w:val="none"/>
        </w:rPr>
      </w:pPr>
      <w:r>
        <w:rPr>
          <w:rFonts w:hint="eastAsia" w:ascii="宋体"/>
          <w:color w:val="auto"/>
          <w:sz w:val="24"/>
          <w:szCs w:val="24"/>
          <w:highlight w:val="none"/>
        </w:rPr>
        <w:t>或1、授权委托书</w:t>
      </w:r>
    </w:p>
    <w:p w14:paraId="00E2E773">
      <w:pPr>
        <w:keepNext w:val="0"/>
        <w:keepLines w:val="0"/>
        <w:pageBreakBefore w:val="0"/>
        <w:kinsoku/>
        <w:wordWrap/>
        <w:overflowPunct/>
        <w:topLinePunct w:val="0"/>
        <w:autoSpaceDE/>
        <w:autoSpaceDN/>
        <w:bidi w:val="0"/>
        <w:adjustRightInd/>
        <w:snapToGrid/>
        <w:spacing w:line="440" w:lineRule="exact"/>
        <w:ind w:firstLine="480" w:firstLineChars="200"/>
        <w:jc w:val="left"/>
        <w:rPr>
          <w:rFonts w:ascii="宋体"/>
          <w:sz w:val="24"/>
          <w:highlight w:val="none"/>
        </w:rPr>
      </w:pPr>
      <w:r>
        <w:rPr>
          <w:rFonts w:hint="eastAsia" w:ascii="宋体"/>
          <w:sz w:val="24"/>
          <w:highlight w:val="none"/>
        </w:rPr>
        <w:t>本人</w:t>
      </w:r>
      <w:r>
        <w:rPr>
          <w:rFonts w:hint="eastAsia" w:ascii="宋体"/>
          <w:sz w:val="24"/>
          <w:highlight w:val="none"/>
          <w:u w:val="single"/>
        </w:rPr>
        <w:t xml:space="preserve"> （姓名）</w:t>
      </w:r>
      <w:r>
        <w:rPr>
          <w:rFonts w:hint="eastAsia" w:ascii="宋体"/>
          <w:sz w:val="24"/>
          <w:highlight w:val="none"/>
        </w:rPr>
        <w:t>系</w:t>
      </w:r>
      <w:r>
        <w:rPr>
          <w:rFonts w:hint="eastAsia" w:ascii="宋体"/>
          <w:sz w:val="24"/>
          <w:highlight w:val="none"/>
          <w:u w:val="single"/>
        </w:rPr>
        <w:t>（投标人）</w:t>
      </w:r>
      <w:r>
        <w:rPr>
          <w:rFonts w:hint="eastAsia" w:ascii="宋体"/>
          <w:sz w:val="24"/>
          <w:highlight w:val="none"/>
        </w:rPr>
        <w:t>的法定代表人，现委托</w:t>
      </w:r>
      <w:r>
        <w:rPr>
          <w:rFonts w:hint="eastAsia" w:ascii="宋体"/>
          <w:sz w:val="24"/>
          <w:highlight w:val="none"/>
          <w:u w:val="single"/>
        </w:rPr>
        <w:t>（姓名）</w:t>
      </w:r>
      <w:r>
        <w:rPr>
          <w:rFonts w:hint="eastAsia" w:ascii="宋体"/>
          <w:sz w:val="24"/>
          <w:highlight w:val="none"/>
        </w:rPr>
        <w:t>为我方代理人。代理人根据授权，以我方名义签署、澄清、说明、补正、递交、撤回、修改</w:t>
      </w:r>
      <w:r>
        <w:rPr>
          <w:rFonts w:hint="eastAsia" w:ascii="宋体"/>
          <w:sz w:val="24"/>
          <w:highlight w:val="none"/>
          <w:u w:val="single"/>
        </w:rPr>
        <w:t xml:space="preserve"> “   ”(项目名称）</w:t>
      </w:r>
      <w:r>
        <w:rPr>
          <w:rFonts w:hint="eastAsia" w:ascii="宋体"/>
          <w:sz w:val="24"/>
          <w:highlight w:val="none"/>
        </w:rPr>
        <w:t>投标文件，全权处理与该项目投标、评审答疑、签订合同以及与合同执行有关的一切事务，其法律后果由我方承担。</w:t>
      </w:r>
    </w:p>
    <w:p w14:paraId="104BA12E">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委托期限：</w:t>
      </w:r>
      <w:r>
        <w:rPr>
          <w:rFonts w:hint="eastAsia" w:ascii="宋体"/>
          <w:sz w:val="24"/>
          <w:highlight w:val="none"/>
          <w:u w:val="single"/>
          <w:lang w:val="en-US" w:eastAsia="zh-CN"/>
        </w:rPr>
        <w:t xml:space="preserve">              </w:t>
      </w:r>
      <w:r>
        <w:rPr>
          <w:rFonts w:hint="eastAsia" w:ascii="宋体" w:cs="宋体"/>
          <w:sz w:val="24"/>
          <w:highlight w:val="none"/>
        </w:rPr>
        <w:t>。</w:t>
      </w:r>
    </w:p>
    <w:p w14:paraId="5334BA4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代理人无转委托权。</w:t>
      </w:r>
    </w:p>
    <w:p w14:paraId="0A2C1F2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b/>
          <w:sz w:val="24"/>
          <w:highlight w:val="none"/>
        </w:rPr>
      </w:pPr>
      <w:r>
        <w:rPr>
          <w:rFonts w:hint="eastAsia" w:ascii="宋体"/>
          <w:sz w:val="24"/>
          <w:highlight w:val="none"/>
        </w:rPr>
        <w:t>附：</w:t>
      </w:r>
      <w:r>
        <w:rPr>
          <w:rFonts w:hint="eastAsia" w:ascii="宋体"/>
          <w:b/>
          <w:sz w:val="24"/>
          <w:highlight w:val="none"/>
        </w:rPr>
        <w:t>委托代理人有效身份证扫描件</w:t>
      </w:r>
    </w:p>
    <w:p w14:paraId="3E1AE668">
      <w:pPr>
        <w:keepNext w:val="0"/>
        <w:keepLines w:val="0"/>
        <w:pageBreakBefore w:val="0"/>
        <w:kinsoku/>
        <w:wordWrap/>
        <w:overflowPunct/>
        <w:topLinePunct w:val="0"/>
        <w:autoSpaceDE/>
        <w:autoSpaceDN/>
        <w:bidi w:val="0"/>
        <w:adjustRightInd/>
        <w:snapToGrid/>
        <w:spacing w:line="440" w:lineRule="exact"/>
        <w:ind w:firstLine="964" w:firstLineChars="400"/>
        <w:rPr>
          <w:rFonts w:ascii="宋体"/>
          <w:b/>
          <w:sz w:val="24"/>
          <w:highlight w:val="none"/>
        </w:rPr>
      </w:pPr>
      <w:r>
        <w:rPr>
          <w:rFonts w:hint="eastAsia" w:ascii="宋体"/>
          <w:b/>
          <w:sz w:val="24"/>
          <w:highlight w:val="none"/>
        </w:rPr>
        <w:t>法定代表人有效身份证扫描件</w:t>
      </w:r>
    </w:p>
    <w:p w14:paraId="3DC4B743">
      <w:pPr>
        <w:keepNext w:val="0"/>
        <w:keepLines w:val="0"/>
        <w:pageBreakBefore w:val="0"/>
        <w:kinsoku/>
        <w:wordWrap/>
        <w:overflowPunct/>
        <w:topLinePunct w:val="0"/>
        <w:autoSpaceDE/>
        <w:autoSpaceDN/>
        <w:bidi w:val="0"/>
        <w:adjustRightInd/>
        <w:snapToGrid/>
        <w:spacing w:line="440" w:lineRule="exact"/>
        <w:ind w:firstLine="833" w:firstLineChars="397"/>
        <w:rPr>
          <w:highlight w:val="none"/>
        </w:rPr>
      </w:pPr>
    </w:p>
    <w:p w14:paraId="4D108BBB">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 xml:space="preserve"> 投标人（盖章）：</w:t>
      </w:r>
    </w:p>
    <w:p w14:paraId="63FE0C4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法定代表人（身份证号码）：    （签字或盖章）</w:t>
      </w:r>
    </w:p>
    <w:p w14:paraId="3BE5CF0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委托代理人（身份证号码）：    （签字或盖章）</w:t>
      </w:r>
    </w:p>
    <w:p w14:paraId="0FCD3FA1">
      <w:pPr>
        <w:keepNext w:val="0"/>
        <w:keepLines w:val="0"/>
        <w:pageBreakBefore w:val="0"/>
        <w:kinsoku/>
        <w:wordWrap/>
        <w:overflowPunct/>
        <w:topLinePunct w:val="0"/>
        <w:autoSpaceDE/>
        <w:autoSpaceDN/>
        <w:bidi w:val="0"/>
        <w:adjustRightInd/>
        <w:snapToGrid/>
        <w:spacing w:line="440" w:lineRule="exact"/>
        <w:ind w:firstLine="5040" w:firstLineChars="2100"/>
        <w:rPr>
          <w:rFonts w:ascii="宋体"/>
          <w:sz w:val="24"/>
          <w:highlight w:val="none"/>
        </w:rPr>
      </w:pPr>
      <w:r>
        <w:rPr>
          <w:rFonts w:hint="eastAsia" w:ascii="宋体"/>
          <w:sz w:val="24"/>
          <w:highlight w:val="none"/>
        </w:rPr>
        <w:t xml:space="preserve">   </w:t>
      </w:r>
    </w:p>
    <w:p w14:paraId="0F4784B3">
      <w:pPr>
        <w:keepNext w:val="0"/>
        <w:keepLines w:val="0"/>
        <w:pageBreakBefore w:val="0"/>
        <w:kinsoku/>
        <w:wordWrap/>
        <w:overflowPunct/>
        <w:topLinePunct w:val="0"/>
        <w:autoSpaceDE/>
        <w:autoSpaceDN/>
        <w:bidi w:val="0"/>
        <w:adjustRightInd/>
        <w:snapToGrid/>
        <w:spacing w:line="440" w:lineRule="exact"/>
        <w:ind w:firstLine="5700" w:firstLineChars="2375"/>
        <w:rPr>
          <w:rFonts w:ascii="宋体"/>
          <w:sz w:val="24"/>
          <w:highlight w:val="none"/>
        </w:rPr>
      </w:pPr>
      <w:r>
        <w:rPr>
          <w:rFonts w:hint="eastAsia" w:ascii="宋体"/>
          <w:sz w:val="24"/>
          <w:highlight w:val="none"/>
        </w:rPr>
        <w:t>年    月    日</w:t>
      </w:r>
    </w:p>
    <w:p w14:paraId="666987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sz w:val="28"/>
          <w:szCs w:val="28"/>
          <w:highlight w:val="none"/>
        </w:rPr>
      </w:pPr>
    </w:p>
    <w:p w14:paraId="1DB5A0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sz w:val="28"/>
          <w:szCs w:val="28"/>
          <w:highlight w:val="none"/>
        </w:rPr>
      </w:pPr>
    </w:p>
    <w:p w14:paraId="1B9326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sz w:val="28"/>
          <w:szCs w:val="28"/>
          <w:highlight w:val="none"/>
        </w:rPr>
      </w:pPr>
    </w:p>
    <w:p w14:paraId="52876103">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b/>
          <w:sz w:val="28"/>
          <w:szCs w:val="28"/>
          <w:highlight w:val="none"/>
        </w:rPr>
      </w:pPr>
      <w:r>
        <w:rPr>
          <w:rFonts w:hint="eastAsia"/>
          <w:b/>
          <w:sz w:val="28"/>
          <w:szCs w:val="28"/>
          <w:highlight w:val="none"/>
        </w:rPr>
        <w:t>（2）诚信投标承诺书</w:t>
      </w:r>
      <w:bookmarkEnd w:id="949"/>
      <w:bookmarkEnd w:id="950"/>
      <w:bookmarkEnd w:id="951"/>
    </w:p>
    <w:p w14:paraId="4F449F94">
      <w:pPr>
        <w:keepNext w:val="0"/>
        <w:keepLines w:val="0"/>
        <w:pageBreakBefore w:val="0"/>
        <w:widowControl w:val="0"/>
        <w:kinsoku/>
        <w:wordWrap/>
        <w:overflowPunct/>
        <w:topLinePunct w:val="0"/>
        <w:autoSpaceDE/>
        <w:autoSpaceDN/>
        <w:bidi w:val="0"/>
        <w:adjustRightInd/>
        <w:snapToGrid/>
        <w:spacing w:line="380" w:lineRule="exact"/>
        <w:textAlignment w:val="auto"/>
        <w:rPr>
          <w:rFonts w:ascii="宋体" w:hAnsi="宋体"/>
          <w:szCs w:val="21"/>
          <w:highlight w:val="none"/>
        </w:rPr>
      </w:pPr>
      <w:r>
        <w:rPr>
          <w:rFonts w:hint="eastAsia" w:ascii="宋体" w:hAnsi="宋体"/>
          <w:szCs w:val="21"/>
          <w:highlight w:val="none"/>
        </w:rPr>
        <w:t>本人以企业法定代表人的身份郑重承诺：</w:t>
      </w:r>
    </w:p>
    <w:p w14:paraId="65F7576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szCs w:val="21"/>
          <w:highlight w:val="none"/>
        </w:rPr>
      </w:pPr>
      <w:r>
        <w:rPr>
          <w:rFonts w:hint="eastAsia" w:ascii="宋体" w:hAnsi="宋体"/>
          <w:szCs w:val="21"/>
          <w:highlight w:val="none"/>
        </w:rPr>
        <w:t>一、将遵循公开、公正和诚实信用的原则自愿参加</w:t>
      </w:r>
      <w:r>
        <w:rPr>
          <w:rFonts w:hint="eastAsia" w:ascii="宋体" w:hAnsi="宋体"/>
          <w:szCs w:val="21"/>
          <w:highlight w:val="none"/>
          <w:u w:val="single"/>
        </w:rPr>
        <w:t xml:space="preserve">       （项目名称）        </w:t>
      </w:r>
      <w:r>
        <w:rPr>
          <w:rFonts w:hint="eastAsia" w:ascii="宋体" w:hAnsi="宋体"/>
          <w:szCs w:val="21"/>
          <w:highlight w:val="none"/>
        </w:rPr>
        <w:t>项目的投标；</w:t>
      </w:r>
    </w:p>
    <w:p w14:paraId="01C34AA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szCs w:val="21"/>
          <w:highlight w:val="none"/>
        </w:rPr>
      </w:pPr>
      <w:r>
        <w:rPr>
          <w:rFonts w:hint="eastAsia" w:ascii="宋体" w:hAnsi="宋体"/>
          <w:szCs w:val="21"/>
          <w:highlight w:val="none"/>
        </w:rPr>
        <w:t>二、所提供的一切材料都是真实、有效、合法的；</w:t>
      </w:r>
    </w:p>
    <w:p w14:paraId="72E8418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szCs w:val="21"/>
          <w:highlight w:val="none"/>
        </w:rPr>
      </w:pPr>
      <w:r>
        <w:rPr>
          <w:rFonts w:hint="eastAsia" w:ascii="宋体" w:hAnsi="宋体"/>
          <w:szCs w:val="21"/>
          <w:highlight w:val="none"/>
        </w:rPr>
        <w:t>三、不出借、转让资质证书，不让他人挂靠投标，不以他人名义投标或者以其他方式弄虚作假，骗取中标；</w:t>
      </w:r>
    </w:p>
    <w:p w14:paraId="12874A6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szCs w:val="21"/>
          <w:highlight w:val="none"/>
        </w:rPr>
      </w:pPr>
      <w:r>
        <w:rPr>
          <w:rFonts w:hint="eastAsia" w:ascii="宋体" w:hAnsi="宋体"/>
          <w:szCs w:val="21"/>
          <w:highlight w:val="none"/>
        </w:rPr>
        <w:t>四、不与其他投标人相互串通投标报价，不排挤其他投标人的公平竞争、损害招标人的合法权益；</w:t>
      </w:r>
    </w:p>
    <w:p w14:paraId="5E82D77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szCs w:val="21"/>
          <w:highlight w:val="none"/>
        </w:rPr>
      </w:pPr>
      <w:r>
        <w:rPr>
          <w:rFonts w:hint="eastAsia" w:ascii="宋体" w:hAnsi="宋体"/>
          <w:szCs w:val="21"/>
          <w:highlight w:val="none"/>
        </w:rPr>
        <w:t>五、不与招标人、招标代理机构或其他投标人串通投标，损害国家利益、社会公共利益或者他人的合法权益；</w:t>
      </w:r>
    </w:p>
    <w:p w14:paraId="394C33C1">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六、</w:t>
      </w:r>
      <w:r>
        <w:rPr>
          <w:rFonts w:hint="eastAsia" w:ascii="宋体" w:hAnsi="宋体" w:eastAsia="宋体" w:cs="Times New Roman"/>
          <w:szCs w:val="21"/>
          <w:highlight w:val="none"/>
          <w:lang w:eastAsia="zh-CN"/>
        </w:rPr>
        <w:t>我公司</w:t>
      </w:r>
      <w:r>
        <w:rPr>
          <w:rFonts w:hint="eastAsia" w:ascii="宋体" w:hAnsi="宋体" w:eastAsia="宋体" w:cs="Times New Roman"/>
          <w:szCs w:val="21"/>
          <w:highlight w:val="none"/>
        </w:rPr>
        <w:t>没有下列情形：</w:t>
      </w:r>
      <w:bookmarkStart w:id="952" w:name="OLE_LINK133"/>
      <w:bookmarkStart w:id="953" w:name="OLE_LINK134"/>
      <w:r>
        <w:rPr>
          <w:rFonts w:hint="eastAsia" w:ascii="宋体" w:hAnsi="宋体" w:eastAsia="宋体" w:cs="Times New Roman"/>
          <w:szCs w:val="21"/>
          <w:highlight w:val="none"/>
        </w:rPr>
        <w:t>①被列入“信用中国”网站“失信被执行人”的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②被列入“信用中国”网站“重大税收违法失信主体”的；③被列入“信用中国”网站“拖欠农民工工资失信联合惩戒对象名单”的；④被列入“信用中国”网站“</w:t>
      </w:r>
      <w:r>
        <w:rPr>
          <w:rFonts w:hint="eastAsia" w:ascii="宋体" w:hAnsi="宋体" w:eastAsia="宋体" w:cs="Times New Roman"/>
          <w:szCs w:val="21"/>
          <w:highlight w:val="none"/>
          <w:lang w:eastAsia="zh-CN"/>
        </w:rPr>
        <w:t>安全生产严重失信主体名单</w:t>
      </w:r>
      <w:r>
        <w:rPr>
          <w:rFonts w:hint="eastAsia" w:ascii="宋体" w:hAnsi="宋体" w:eastAsia="宋体" w:cs="Times New Roman"/>
          <w:szCs w:val="21"/>
          <w:highlight w:val="none"/>
        </w:rPr>
        <w:t>”的；⑤被列入国家企业信用信息公示系统网站“严重违法失信名单”的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w:t>
      </w:r>
      <w:bookmarkEnd w:id="952"/>
      <w:bookmarkEnd w:id="953"/>
      <w:r>
        <w:rPr>
          <w:rFonts w:hint="eastAsia" w:ascii="宋体" w:hAnsi="宋体" w:eastAsia="宋体" w:cs="Times New Roman"/>
          <w:szCs w:val="21"/>
          <w:highlight w:val="none"/>
        </w:rPr>
        <w:t>若招标文件对投标人（包括联合体各成员）所属分公司、办事处等分支机构有上述1-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项信誉要求，在此一并承诺我公司（包括联合体各成员）所属分公司、办事处等分支机构没有上述1-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项情形）</w:t>
      </w:r>
    </w:p>
    <w:p w14:paraId="007134E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七</w:t>
      </w:r>
      <w:r>
        <w:rPr>
          <w:rFonts w:hint="eastAsia" w:ascii="宋体" w:hAnsi="宋体"/>
          <w:szCs w:val="21"/>
          <w:highlight w:val="none"/>
        </w:rPr>
        <w:t>、保证中标后不转包及使用挂靠施工队伍，若有分包征得建设单位同意；</w:t>
      </w:r>
    </w:p>
    <w:p w14:paraId="63C6B49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szCs w:val="21"/>
          <w:highlight w:val="none"/>
        </w:rPr>
      </w:pPr>
      <w:r>
        <w:rPr>
          <w:rFonts w:hint="eastAsia" w:ascii="宋体" w:hAnsi="宋体"/>
          <w:szCs w:val="21"/>
          <w:highlight w:val="none"/>
        </w:rPr>
        <w:t>八、保证中标之后，按照投标文件承诺派驻管理人员及投入机械设备，如有违反，同意接受建设单位违约处罚；</w:t>
      </w:r>
    </w:p>
    <w:p w14:paraId="775E189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九</w:t>
      </w:r>
      <w:r>
        <w:rPr>
          <w:rFonts w:hint="eastAsia" w:ascii="宋体" w:hAnsi="宋体"/>
          <w:szCs w:val="21"/>
          <w:highlight w:val="none"/>
        </w:rPr>
        <w:t>、保证企业及所属相关人员在本次投标中无行贿等犯罪行为；</w:t>
      </w:r>
    </w:p>
    <w:p w14:paraId="4613CFF4">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十、如我公司中标，保证中标的项目经理（建造师）无其他尚未完工（以竣工、交工、完工验收报告等手续为准）项目或在已中标项目（以发放中标通知书为准）中担任项目经理（建造师）情形。如有，项目在滁州市区域内的，接受中标无效、记入不良行为记录等处理；项目在滁州市区域外的，保证在中标候选人公示期第一日起开始计算7日内，提供经行政主管部门备案的变更证明材料，否则接受中标无效、记入不良行为记录等处理；</w:t>
      </w:r>
    </w:p>
    <w:p w14:paraId="766FF619">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十</w:t>
      </w:r>
      <w:r>
        <w:rPr>
          <w:rFonts w:hint="eastAsia" w:ascii="宋体" w:hAnsi="宋体" w:eastAsia="宋体" w:cs="Times New Roman"/>
          <w:szCs w:val="21"/>
          <w:highlight w:val="none"/>
          <w:lang w:val="en-US" w:eastAsia="zh-CN"/>
        </w:rPr>
        <w:t>一</w:t>
      </w:r>
      <w:r>
        <w:rPr>
          <w:rFonts w:hint="eastAsia" w:ascii="宋体" w:hAnsi="宋体" w:eastAsia="宋体" w:cs="Times New Roman"/>
          <w:szCs w:val="21"/>
          <w:highlight w:val="none"/>
        </w:rPr>
        <w:t>、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23E21757">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szCs w:val="21"/>
          <w:highlight w:val="none"/>
        </w:rPr>
      </w:pPr>
      <w:r>
        <w:rPr>
          <w:rFonts w:hint="eastAsia" w:ascii="宋体" w:hAnsi="宋体"/>
          <w:szCs w:val="21"/>
          <w:highlight w:val="none"/>
        </w:rPr>
        <w:t>十</w:t>
      </w:r>
      <w:r>
        <w:rPr>
          <w:rFonts w:hint="eastAsia" w:ascii="宋体" w:hAnsi="宋体"/>
          <w:szCs w:val="21"/>
          <w:highlight w:val="none"/>
          <w:lang w:val="en-US" w:eastAsia="zh-CN"/>
        </w:rPr>
        <w:t>二</w:t>
      </w:r>
      <w:r>
        <w:rPr>
          <w:rFonts w:hint="eastAsia" w:ascii="宋体" w:hAnsi="宋体"/>
          <w:szCs w:val="21"/>
          <w:highlight w:val="none"/>
        </w:rPr>
        <w:t>、</w:t>
      </w:r>
      <w:r>
        <w:rPr>
          <w:rFonts w:hint="eastAsia" w:ascii="宋体" w:hAnsi="宋体" w:eastAsia="宋体" w:cs="Times New Roman"/>
          <w:szCs w:val="21"/>
          <w:highlight w:val="none"/>
        </w:rPr>
        <w:t>如我公司中标，按照国务院《关于全面治理拖欠农民工工资问题的意见》（国办发[2016]1号）及国家住建部和人社部关于《建筑工人实名制管理办法》（建市[2019]18号）的规定，总承包单位对所承建的工程项目的建筑工人实名制管理负总责，对建筑工人实行实名制管理；实行人工费用与其他工程款分账管理制度；建筑工程承包单位必须开设农民工工资专户；建设单位在支付工程款时，应将人工费部分按规定汇入建筑工程承包单位的农民工工资专户，由建筑工程承包单位按劳动合同约定，通过农民工工资专户按月足额将工资发放给建筑工人；</w:t>
      </w:r>
    </w:p>
    <w:p w14:paraId="437149D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宋体" w:hAnsi="宋体"/>
          <w:szCs w:val="21"/>
          <w:highlight w:val="none"/>
        </w:rPr>
      </w:pPr>
      <w:r>
        <w:rPr>
          <w:rFonts w:hint="eastAsia" w:ascii="宋体" w:hAnsi="宋体"/>
          <w:szCs w:val="21"/>
          <w:highlight w:val="none"/>
        </w:rPr>
        <w:t>以上内容我已仔细阅读，本公司若有违反承诺内容的行为，自愿接受取消投标或者中标资格、记入不良行为记录、投标保证金不予退还等有关处理，愿意承担法律责任，给招标人造成损失的，依法承担赔偿责任。</w:t>
      </w:r>
    </w:p>
    <w:p w14:paraId="5F54C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szCs w:val="21"/>
          <w:highlight w:val="none"/>
        </w:rPr>
      </w:pPr>
    </w:p>
    <w:p w14:paraId="635156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宋体" w:hAnsi="宋体"/>
          <w:szCs w:val="21"/>
          <w:highlight w:val="none"/>
        </w:rPr>
      </w:pPr>
      <w:r>
        <w:rPr>
          <w:rFonts w:hint="eastAsia" w:ascii="宋体" w:hAnsi="宋体"/>
          <w:szCs w:val="21"/>
          <w:highlight w:val="none"/>
        </w:rPr>
        <w:t>开户银行：                          基本账户：</w:t>
      </w:r>
    </w:p>
    <w:p w14:paraId="5608ECA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宋体" w:hAnsi="宋体"/>
          <w:szCs w:val="21"/>
          <w:highlight w:val="none"/>
        </w:rPr>
      </w:pPr>
      <w:r>
        <w:rPr>
          <w:rFonts w:hint="eastAsia" w:ascii="宋体" w:hAnsi="宋体"/>
          <w:szCs w:val="21"/>
          <w:highlight w:val="none"/>
        </w:rPr>
        <w:t>投标人（盖章）：              法定代表人（签字或</w:t>
      </w:r>
      <w:r>
        <w:rPr>
          <w:rFonts w:hint="eastAsia" w:ascii="宋体" w:hAnsi="宋体"/>
          <w:szCs w:val="21"/>
          <w:highlight w:val="none"/>
          <w:lang w:val="en-US" w:eastAsia="zh-CN"/>
        </w:rPr>
        <w:t>盖</w:t>
      </w:r>
      <w:r>
        <w:rPr>
          <w:rFonts w:hint="eastAsia" w:ascii="宋体" w:hAnsi="宋体"/>
          <w:szCs w:val="21"/>
          <w:highlight w:val="none"/>
        </w:rPr>
        <w:t>章）：</w:t>
      </w:r>
    </w:p>
    <w:p w14:paraId="364DDAFB">
      <w:pPr>
        <w:keepNext w:val="0"/>
        <w:keepLines w:val="0"/>
        <w:pageBreakBefore w:val="0"/>
        <w:widowControl w:val="0"/>
        <w:kinsoku/>
        <w:wordWrap/>
        <w:overflowPunct/>
        <w:topLinePunct w:val="0"/>
        <w:autoSpaceDE/>
        <w:autoSpaceDN/>
        <w:bidi w:val="0"/>
        <w:adjustRightInd/>
        <w:snapToGrid/>
        <w:spacing w:line="380" w:lineRule="exact"/>
        <w:ind w:firstLine="5250" w:firstLineChars="2500"/>
        <w:textAlignment w:val="auto"/>
        <w:rPr>
          <w:rFonts w:eastAsia="黑体"/>
          <w:sz w:val="28"/>
          <w:szCs w:val="28"/>
          <w:highlight w:val="none"/>
          <w:u w:val="single"/>
        </w:rPr>
      </w:pPr>
      <w:r>
        <w:rPr>
          <w:rFonts w:hint="eastAsia" w:ascii="宋体" w:hAnsi="宋体"/>
          <w:szCs w:val="21"/>
          <w:highlight w:val="none"/>
        </w:rPr>
        <w:t>日期：    年   月   日</w:t>
      </w:r>
    </w:p>
    <w:p w14:paraId="7E41CCC7">
      <w:pPr>
        <w:rPr>
          <w:highlight w:val="none"/>
        </w:rPr>
      </w:pPr>
    </w:p>
    <w:p w14:paraId="15A2C948">
      <w:pPr>
        <w:pStyle w:val="14"/>
        <w:rPr>
          <w:highlight w:val="none"/>
        </w:rPr>
      </w:pPr>
    </w:p>
    <w:p w14:paraId="37AFF5C8">
      <w:pPr>
        <w:rPr>
          <w:highlight w:val="none"/>
        </w:rPr>
      </w:pPr>
    </w:p>
    <w:p w14:paraId="10A94BA1">
      <w:pPr>
        <w:pStyle w:val="14"/>
        <w:rPr>
          <w:highlight w:val="none"/>
        </w:rPr>
      </w:pPr>
    </w:p>
    <w:p w14:paraId="50582D72">
      <w:pPr>
        <w:rPr>
          <w:highlight w:val="none"/>
        </w:rPr>
      </w:pPr>
    </w:p>
    <w:p w14:paraId="4408DAAE">
      <w:pPr>
        <w:pStyle w:val="14"/>
        <w:rPr>
          <w:highlight w:val="none"/>
        </w:rPr>
      </w:pPr>
    </w:p>
    <w:p w14:paraId="1ADCBC81">
      <w:pPr>
        <w:rPr>
          <w:highlight w:val="none"/>
        </w:rPr>
      </w:pPr>
    </w:p>
    <w:p w14:paraId="1ADB6D97">
      <w:pPr>
        <w:jc w:val="center"/>
        <w:rPr>
          <w:rFonts w:eastAsia="黑体"/>
          <w:sz w:val="28"/>
          <w:szCs w:val="28"/>
          <w:highlight w:val="none"/>
        </w:rPr>
      </w:pPr>
    </w:p>
    <w:p w14:paraId="13A37F4A">
      <w:pPr>
        <w:jc w:val="center"/>
        <w:rPr>
          <w:rFonts w:eastAsia="黑体"/>
          <w:sz w:val="28"/>
          <w:szCs w:val="28"/>
          <w:highlight w:val="none"/>
        </w:rPr>
      </w:pPr>
    </w:p>
    <w:p w14:paraId="6B98056F">
      <w:pPr>
        <w:jc w:val="center"/>
        <w:rPr>
          <w:rFonts w:eastAsia="黑体"/>
          <w:sz w:val="28"/>
          <w:szCs w:val="28"/>
          <w:highlight w:val="none"/>
        </w:rPr>
      </w:pPr>
    </w:p>
    <w:p w14:paraId="6EF81488">
      <w:pPr>
        <w:jc w:val="center"/>
        <w:rPr>
          <w:rFonts w:eastAsia="黑体"/>
          <w:sz w:val="28"/>
          <w:szCs w:val="28"/>
          <w:highlight w:val="none"/>
        </w:rPr>
      </w:pPr>
    </w:p>
    <w:p w14:paraId="52F921F7">
      <w:pPr>
        <w:jc w:val="center"/>
        <w:rPr>
          <w:rFonts w:eastAsia="黑体"/>
          <w:sz w:val="20"/>
          <w:szCs w:val="20"/>
          <w:highlight w:val="none"/>
        </w:rPr>
      </w:pPr>
      <w:r>
        <w:rPr>
          <w:rFonts w:eastAsia="黑体"/>
          <w:sz w:val="28"/>
          <w:szCs w:val="28"/>
          <w:highlight w:val="none"/>
        </w:rPr>
        <w:t>（项目名称）</w:t>
      </w:r>
    </w:p>
    <w:p w14:paraId="1CB3AF7F">
      <w:pPr>
        <w:jc w:val="center"/>
        <w:rPr>
          <w:rFonts w:eastAsia="黑体"/>
          <w:sz w:val="20"/>
          <w:szCs w:val="20"/>
          <w:highlight w:val="none"/>
        </w:rPr>
      </w:pPr>
    </w:p>
    <w:p w14:paraId="7F67D925">
      <w:pPr>
        <w:rPr>
          <w:rFonts w:eastAsia="黑体"/>
          <w:sz w:val="20"/>
          <w:szCs w:val="20"/>
          <w:highlight w:val="none"/>
        </w:rPr>
      </w:pPr>
    </w:p>
    <w:p w14:paraId="5AE9D7EA">
      <w:pPr>
        <w:jc w:val="center"/>
        <w:rPr>
          <w:rFonts w:hint="eastAsia" w:eastAsia="黑体"/>
          <w:sz w:val="44"/>
          <w:szCs w:val="44"/>
          <w:highlight w:val="none"/>
          <w:lang w:eastAsia="zh-CN"/>
        </w:rPr>
      </w:pPr>
      <w:r>
        <w:rPr>
          <w:rFonts w:eastAsia="黑体"/>
          <w:sz w:val="44"/>
          <w:szCs w:val="44"/>
          <w:highlight w:val="none"/>
        </w:rPr>
        <w:t>投  标  文  件</w:t>
      </w:r>
      <w:r>
        <w:rPr>
          <w:rFonts w:hint="eastAsia" w:eastAsia="黑体"/>
          <w:sz w:val="44"/>
          <w:szCs w:val="44"/>
          <w:highlight w:val="none"/>
        </w:rPr>
        <w:t xml:space="preserve">  </w:t>
      </w:r>
      <w:r>
        <w:rPr>
          <w:rFonts w:hint="eastAsia" w:eastAsia="黑体"/>
          <w:sz w:val="44"/>
          <w:szCs w:val="44"/>
          <w:highlight w:val="none"/>
          <w:lang w:val="en-US" w:eastAsia="zh-CN"/>
        </w:rPr>
        <w:t>二</w:t>
      </w:r>
    </w:p>
    <w:p w14:paraId="4D9A83AD">
      <w:pPr>
        <w:jc w:val="center"/>
        <w:rPr>
          <w:rFonts w:eastAsia="黑体"/>
          <w:sz w:val="44"/>
          <w:szCs w:val="44"/>
          <w:highlight w:val="none"/>
        </w:rPr>
      </w:pPr>
      <w:r>
        <w:rPr>
          <w:rFonts w:hint="eastAsia" w:eastAsia="黑体"/>
          <w:sz w:val="44"/>
          <w:szCs w:val="44"/>
          <w:highlight w:val="none"/>
        </w:rPr>
        <w:t>（商务标文件）</w:t>
      </w:r>
    </w:p>
    <w:p w14:paraId="00AD4571">
      <w:pPr>
        <w:rPr>
          <w:rFonts w:eastAsia="黑体"/>
          <w:sz w:val="28"/>
          <w:szCs w:val="28"/>
          <w:highlight w:val="none"/>
        </w:rPr>
      </w:pPr>
    </w:p>
    <w:p w14:paraId="03FF9373">
      <w:pPr>
        <w:rPr>
          <w:rFonts w:eastAsia="黑体"/>
          <w:sz w:val="28"/>
          <w:szCs w:val="28"/>
          <w:highlight w:val="none"/>
        </w:rPr>
      </w:pPr>
    </w:p>
    <w:p w14:paraId="6F4198FD">
      <w:pPr>
        <w:rPr>
          <w:rFonts w:eastAsia="黑体"/>
          <w:sz w:val="28"/>
          <w:szCs w:val="28"/>
          <w:highlight w:val="none"/>
        </w:rPr>
      </w:pPr>
    </w:p>
    <w:p w14:paraId="18D553B1">
      <w:pPr>
        <w:rPr>
          <w:rFonts w:eastAsia="黑体"/>
          <w:sz w:val="28"/>
          <w:szCs w:val="28"/>
          <w:highlight w:val="none"/>
        </w:rPr>
      </w:pPr>
    </w:p>
    <w:p w14:paraId="0E5FE50F">
      <w:pPr>
        <w:rPr>
          <w:rFonts w:eastAsia="黑体"/>
          <w:sz w:val="28"/>
          <w:szCs w:val="28"/>
          <w:highlight w:val="none"/>
        </w:rPr>
      </w:pPr>
    </w:p>
    <w:p w14:paraId="74AFA9E2">
      <w:pPr>
        <w:rPr>
          <w:rFonts w:eastAsia="黑体"/>
          <w:sz w:val="28"/>
          <w:szCs w:val="28"/>
          <w:highlight w:val="none"/>
        </w:rPr>
      </w:pPr>
    </w:p>
    <w:p w14:paraId="078AB10D">
      <w:pPr>
        <w:rPr>
          <w:rFonts w:eastAsia="黑体"/>
          <w:sz w:val="28"/>
          <w:szCs w:val="28"/>
          <w:highlight w:val="none"/>
        </w:rPr>
      </w:pPr>
    </w:p>
    <w:p w14:paraId="5C03182B">
      <w:pPr>
        <w:rPr>
          <w:rFonts w:eastAsia="黑体"/>
          <w:sz w:val="28"/>
          <w:szCs w:val="28"/>
          <w:highlight w:val="none"/>
        </w:rPr>
      </w:pPr>
    </w:p>
    <w:p w14:paraId="50FB798D">
      <w:pPr>
        <w:rPr>
          <w:rFonts w:eastAsia="黑体"/>
          <w:sz w:val="28"/>
          <w:szCs w:val="28"/>
          <w:highlight w:val="none"/>
        </w:rPr>
      </w:pPr>
    </w:p>
    <w:p w14:paraId="3118FFCA">
      <w:pPr>
        <w:pStyle w:val="14"/>
        <w:rPr>
          <w:rFonts w:eastAsia="黑体"/>
          <w:sz w:val="28"/>
          <w:szCs w:val="28"/>
          <w:highlight w:val="none"/>
        </w:rPr>
      </w:pPr>
    </w:p>
    <w:p w14:paraId="01BE5E84">
      <w:pPr>
        <w:rPr>
          <w:rFonts w:eastAsia="黑体"/>
          <w:sz w:val="28"/>
          <w:szCs w:val="28"/>
          <w:highlight w:val="none"/>
        </w:rPr>
      </w:pPr>
    </w:p>
    <w:p w14:paraId="2FE9E756">
      <w:pPr>
        <w:pStyle w:val="14"/>
        <w:rPr>
          <w:rFonts w:eastAsia="黑体"/>
          <w:sz w:val="28"/>
          <w:szCs w:val="28"/>
          <w:highlight w:val="none"/>
        </w:rPr>
      </w:pPr>
    </w:p>
    <w:p w14:paraId="67B6F8F9">
      <w:pPr>
        <w:rPr>
          <w:rFonts w:eastAsia="黑体"/>
          <w:sz w:val="28"/>
          <w:szCs w:val="28"/>
          <w:highlight w:val="none"/>
        </w:rPr>
      </w:pPr>
    </w:p>
    <w:p w14:paraId="3C7498B7">
      <w:pPr>
        <w:pStyle w:val="14"/>
        <w:rPr>
          <w:rFonts w:eastAsia="黑体"/>
          <w:sz w:val="28"/>
          <w:szCs w:val="28"/>
          <w:highlight w:val="none"/>
        </w:rPr>
      </w:pPr>
    </w:p>
    <w:p w14:paraId="34079401">
      <w:pPr>
        <w:rPr>
          <w:rFonts w:eastAsia="黑体"/>
          <w:sz w:val="28"/>
          <w:szCs w:val="28"/>
          <w:highlight w:val="none"/>
        </w:rPr>
      </w:pPr>
    </w:p>
    <w:p w14:paraId="794B988D">
      <w:pPr>
        <w:pStyle w:val="14"/>
        <w:rPr>
          <w:highlight w:val="none"/>
        </w:rPr>
      </w:pPr>
    </w:p>
    <w:p w14:paraId="0682BFC9">
      <w:pPr>
        <w:rPr>
          <w:rFonts w:eastAsia="黑体"/>
          <w:sz w:val="28"/>
          <w:szCs w:val="28"/>
          <w:highlight w:val="none"/>
        </w:rPr>
      </w:pPr>
    </w:p>
    <w:p w14:paraId="68117E32">
      <w:pPr>
        <w:rPr>
          <w:rFonts w:eastAsia="黑体"/>
          <w:sz w:val="28"/>
          <w:szCs w:val="28"/>
          <w:highlight w:val="none"/>
        </w:rPr>
      </w:pPr>
    </w:p>
    <w:p w14:paraId="038F9E36">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u w:val="single"/>
        </w:rPr>
      </w:pPr>
      <w:r>
        <w:rPr>
          <w:rFonts w:hint="eastAsia" w:eastAsia="黑体"/>
          <w:sz w:val="28"/>
          <w:szCs w:val="28"/>
          <w:highlight w:val="none"/>
        </w:rPr>
        <w:t xml:space="preserve"> 投标人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盖</w:t>
      </w:r>
      <w:r>
        <w:rPr>
          <w:rFonts w:eastAsia="黑体"/>
          <w:sz w:val="28"/>
          <w:szCs w:val="28"/>
          <w:highlight w:val="none"/>
        </w:rPr>
        <w:t>章）</w:t>
      </w:r>
    </w:p>
    <w:p w14:paraId="4CAB06D8">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rPr>
      </w:pPr>
      <w:r>
        <w:rPr>
          <w:rFonts w:hint="eastAsia" w:eastAsia="黑体"/>
          <w:sz w:val="28"/>
          <w:szCs w:val="28"/>
          <w:highlight w:val="none"/>
        </w:rPr>
        <w:t xml:space="preserve">   </w:t>
      </w:r>
      <w:r>
        <w:rPr>
          <w:rFonts w:eastAsia="黑体"/>
          <w:sz w:val="28"/>
          <w:szCs w:val="28"/>
          <w:highlight w:val="none"/>
        </w:rPr>
        <w:t>法定代表人</w:t>
      </w:r>
      <w:r>
        <w:rPr>
          <w:rFonts w:hint="eastAsia" w:eastAsia="黑体"/>
          <w:sz w:val="28"/>
          <w:szCs w:val="28"/>
          <w:highlight w:val="none"/>
          <w:lang w:val="en-US" w:eastAsia="zh-CN"/>
        </w:rPr>
        <w:t>或授权委托人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签字或盖章</w:t>
      </w:r>
      <w:r>
        <w:rPr>
          <w:rFonts w:eastAsia="黑体"/>
          <w:sz w:val="28"/>
          <w:szCs w:val="28"/>
          <w:highlight w:val="none"/>
        </w:rPr>
        <w:t>）</w:t>
      </w:r>
    </w:p>
    <w:p w14:paraId="350C1BB2">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2EE77B13">
      <w:pPr>
        <w:rPr>
          <w:highlight w:val="none"/>
        </w:rPr>
      </w:pPr>
    </w:p>
    <w:p w14:paraId="2F4494A4">
      <w:pPr>
        <w:pStyle w:val="14"/>
        <w:ind w:firstLine="420"/>
        <w:rPr>
          <w:highlight w:val="none"/>
        </w:rPr>
      </w:pPr>
    </w:p>
    <w:p w14:paraId="3AB72A24">
      <w:pPr>
        <w:rPr>
          <w:highlight w:val="none"/>
        </w:rPr>
      </w:pPr>
    </w:p>
    <w:p w14:paraId="7881DC9D">
      <w:pPr>
        <w:spacing w:beforeLines="50" w:afterLines="50" w:line="440" w:lineRule="exact"/>
        <w:ind w:firstLine="643" w:firstLineChars="200"/>
        <w:jc w:val="left"/>
        <w:rPr>
          <w:rStyle w:val="120"/>
          <w:rFonts w:hint="eastAsia" w:ascii="宋体" w:hAnsi="宋体" w:cs="宋体"/>
          <w:sz w:val="32"/>
          <w:highlight w:val="none"/>
        </w:rPr>
      </w:pPr>
      <w:bookmarkStart w:id="954" w:name="_Toc35425139"/>
      <w:bookmarkStart w:id="955" w:name="_Toc19174"/>
      <w:bookmarkStart w:id="956" w:name="_Toc35424973"/>
      <w:bookmarkStart w:id="957" w:name="_Toc78803401"/>
    </w:p>
    <w:p w14:paraId="60A767E1">
      <w:pPr>
        <w:spacing w:beforeLines="50" w:afterLines="50" w:line="440" w:lineRule="exact"/>
        <w:ind w:firstLine="643" w:firstLineChars="200"/>
        <w:jc w:val="left"/>
        <w:rPr>
          <w:rStyle w:val="120"/>
          <w:rFonts w:ascii="宋体" w:hAnsi="宋体" w:cs="宋体"/>
          <w:sz w:val="32"/>
          <w:highlight w:val="none"/>
        </w:rPr>
      </w:pPr>
      <w:r>
        <w:rPr>
          <w:rStyle w:val="120"/>
          <w:rFonts w:hint="eastAsia" w:ascii="宋体" w:hAnsi="宋体" w:cs="宋体"/>
          <w:sz w:val="32"/>
          <w:highlight w:val="none"/>
        </w:rPr>
        <w:t>投标文件</w:t>
      </w:r>
      <w:bookmarkEnd w:id="954"/>
      <w:bookmarkEnd w:id="955"/>
      <w:bookmarkEnd w:id="956"/>
      <w:r>
        <w:rPr>
          <w:rStyle w:val="120"/>
          <w:rFonts w:hint="eastAsia" w:ascii="宋体" w:hAnsi="宋体" w:cs="宋体"/>
          <w:sz w:val="32"/>
          <w:highlight w:val="none"/>
          <w:lang w:val="en-US"/>
        </w:rPr>
        <w:t>二</w:t>
      </w:r>
      <w:r>
        <w:rPr>
          <w:rStyle w:val="120"/>
          <w:rFonts w:hint="eastAsia" w:ascii="宋体" w:hAnsi="宋体" w:cs="宋体"/>
          <w:sz w:val="32"/>
          <w:highlight w:val="none"/>
        </w:rPr>
        <w:t>：商务标目录</w:t>
      </w:r>
      <w:bookmarkEnd w:id="957"/>
    </w:p>
    <w:p w14:paraId="4402BDA9">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（1）投标函；</w:t>
      </w:r>
    </w:p>
    <w:p w14:paraId="0A358BA2">
      <w:pPr>
        <w:adjustRightInd w:val="0"/>
        <w:snapToGrid w:val="0"/>
        <w:spacing w:line="560" w:lineRule="exact"/>
        <w:ind w:firstLine="420" w:firstLineChars="200"/>
        <w:rPr>
          <w:color w:val="000000"/>
          <w:highlight w:val="none"/>
        </w:rPr>
      </w:pPr>
      <w:r>
        <w:rPr>
          <w:rFonts w:hint="eastAsia" w:ascii="宋体" w:hAnsi="宋体"/>
          <w:color w:val="000000"/>
          <w:szCs w:val="21"/>
          <w:highlight w:val="none"/>
        </w:rPr>
        <w:t>（2）工程量清单报价书；</w:t>
      </w:r>
    </w:p>
    <w:p w14:paraId="0E334146">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（3）招标人推荐的材料品牌响应表（如有）；</w:t>
      </w:r>
    </w:p>
    <w:p w14:paraId="2F74FC6F">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w:t>
      </w:r>
      <w:r>
        <w:rPr>
          <w:rFonts w:hint="eastAsia" w:ascii="宋体" w:hAnsi="宋体"/>
          <w:color w:val="000000"/>
          <w:szCs w:val="21"/>
          <w:highlight w:val="none"/>
          <w:lang w:val="en-US" w:eastAsia="zh-CN"/>
        </w:rPr>
        <w:t>4</w:t>
      </w:r>
      <w:r>
        <w:rPr>
          <w:rFonts w:hint="eastAsia" w:ascii="宋体" w:hAnsi="宋体"/>
          <w:color w:val="000000"/>
          <w:szCs w:val="21"/>
          <w:highlight w:val="none"/>
        </w:rPr>
        <w:t>）全国建筑市场监管公共服务平台</w:t>
      </w:r>
      <w:r>
        <w:rPr>
          <w:rFonts w:hint="eastAsia" w:ascii="宋体" w:hAnsi="宋体"/>
          <w:color w:val="000000"/>
          <w:szCs w:val="21"/>
          <w:highlight w:val="none"/>
          <w:lang w:eastAsia="zh-CN"/>
        </w:rPr>
        <w:t>（</w:t>
      </w:r>
      <w:r>
        <w:rPr>
          <w:rFonts w:hint="eastAsia" w:ascii="宋体" w:hAnsi="宋体"/>
          <w:color w:val="000000"/>
          <w:szCs w:val="21"/>
          <w:highlight w:val="none"/>
        </w:rPr>
        <w:t>四库一平台</w:t>
      </w:r>
      <w:r>
        <w:rPr>
          <w:rFonts w:hint="eastAsia" w:ascii="宋体" w:hAnsi="宋体"/>
          <w:color w:val="000000"/>
          <w:szCs w:val="21"/>
          <w:highlight w:val="none"/>
          <w:lang w:eastAsia="zh-CN"/>
        </w:rPr>
        <w:t>）</w:t>
      </w:r>
      <w:r>
        <w:rPr>
          <w:rFonts w:hint="eastAsia" w:ascii="宋体" w:hAnsi="宋体"/>
          <w:color w:val="000000"/>
          <w:szCs w:val="21"/>
          <w:highlight w:val="none"/>
        </w:rPr>
        <w:t>企业注册人员网页截图；</w:t>
      </w:r>
    </w:p>
    <w:p w14:paraId="11B63892">
      <w:pPr>
        <w:adjustRightInd w:val="0"/>
        <w:snapToGrid w:val="0"/>
        <w:spacing w:line="560" w:lineRule="exact"/>
        <w:ind w:firstLine="420" w:firstLineChars="200"/>
        <w:rPr>
          <w:rFonts w:hint="eastAsia"/>
          <w:color w:val="000000"/>
          <w:highlight w:val="none"/>
        </w:rPr>
      </w:pPr>
      <w:r>
        <w:rPr>
          <w:rFonts w:hint="eastAsia" w:ascii="宋体" w:hAnsi="宋体"/>
          <w:color w:val="000000"/>
          <w:szCs w:val="21"/>
          <w:highlight w:val="none"/>
        </w:rPr>
        <w:t>（</w:t>
      </w:r>
      <w:r>
        <w:rPr>
          <w:rFonts w:hint="eastAsia" w:ascii="宋体" w:hAnsi="宋体"/>
          <w:color w:val="000000"/>
          <w:szCs w:val="21"/>
          <w:highlight w:val="none"/>
          <w:lang w:val="en-US" w:eastAsia="zh-CN"/>
        </w:rPr>
        <w:t>5</w:t>
      </w:r>
      <w:r>
        <w:rPr>
          <w:rFonts w:hint="eastAsia" w:ascii="宋体" w:hAnsi="宋体"/>
          <w:color w:val="000000"/>
          <w:szCs w:val="21"/>
          <w:highlight w:val="none"/>
        </w:rPr>
        <w:t>）详细评审所需其他材料。</w:t>
      </w:r>
    </w:p>
    <w:p w14:paraId="1B8DADD4">
      <w:pPr>
        <w:spacing w:line="540" w:lineRule="exact"/>
        <w:rPr>
          <w:highlight w:val="none"/>
        </w:rPr>
      </w:pPr>
    </w:p>
    <w:p w14:paraId="03122088">
      <w:pPr>
        <w:spacing w:line="540" w:lineRule="exact"/>
        <w:rPr>
          <w:rFonts w:eastAsia="黑体"/>
          <w:sz w:val="20"/>
          <w:szCs w:val="20"/>
          <w:highlight w:val="none"/>
        </w:rPr>
      </w:pPr>
    </w:p>
    <w:p w14:paraId="3338FC9F">
      <w:pPr>
        <w:spacing w:line="540" w:lineRule="exact"/>
        <w:rPr>
          <w:rFonts w:eastAsia="黑体"/>
          <w:sz w:val="20"/>
          <w:szCs w:val="20"/>
          <w:highlight w:val="none"/>
        </w:rPr>
      </w:pPr>
    </w:p>
    <w:p w14:paraId="3D5F9903">
      <w:pPr>
        <w:spacing w:line="540" w:lineRule="exact"/>
        <w:rPr>
          <w:rFonts w:eastAsia="黑体"/>
          <w:sz w:val="20"/>
          <w:szCs w:val="20"/>
          <w:highlight w:val="none"/>
        </w:rPr>
      </w:pPr>
    </w:p>
    <w:p w14:paraId="6FEF5B0D">
      <w:pPr>
        <w:spacing w:line="360" w:lineRule="auto"/>
        <w:ind w:firstLine="420" w:firstLineChars="200"/>
        <w:jc w:val="right"/>
        <w:rPr>
          <w:szCs w:val="21"/>
          <w:highlight w:val="none"/>
          <w:u w:val="single"/>
        </w:rPr>
      </w:pPr>
    </w:p>
    <w:p w14:paraId="70F20168">
      <w:pPr>
        <w:spacing w:line="360" w:lineRule="auto"/>
        <w:ind w:firstLine="420" w:firstLineChars="200"/>
        <w:jc w:val="right"/>
        <w:rPr>
          <w:szCs w:val="21"/>
          <w:highlight w:val="none"/>
          <w:u w:val="single"/>
        </w:rPr>
      </w:pPr>
    </w:p>
    <w:p w14:paraId="5BDCA848">
      <w:pPr>
        <w:spacing w:line="360" w:lineRule="auto"/>
        <w:ind w:firstLine="420" w:firstLineChars="200"/>
        <w:jc w:val="right"/>
        <w:rPr>
          <w:szCs w:val="21"/>
          <w:highlight w:val="none"/>
          <w:u w:val="single"/>
        </w:rPr>
      </w:pPr>
    </w:p>
    <w:p w14:paraId="5B4A47D5">
      <w:pPr>
        <w:spacing w:line="360" w:lineRule="auto"/>
        <w:ind w:firstLine="420" w:firstLineChars="200"/>
        <w:jc w:val="right"/>
        <w:rPr>
          <w:szCs w:val="21"/>
          <w:highlight w:val="none"/>
          <w:u w:val="single"/>
        </w:rPr>
      </w:pPr>
    </w:p>
    <w:p w14:paraId="6AF87BBA">
      <w:pPr>
        <w:spacing w:line="360" w:lineRule="auto"/>
        <w:ind w:firstLine="420" w:firstLineChars="200"/>
        <w:jc w:val="right"/>
        <w:rPr>
          <w:szCs w:val="21"/>
          <w:highlight w:val="none"/>
          <w:u w:val="single"/>
        </w:rPr>
      </w:pPr>
    </w:p>
    <w:p w14:paraId="49A7FE35">
      <w:pPr>
        <w:spacing w:line="360" w:lineRule="auto"/>
        <w:ind w:firstLine="420" w:firstLineChars="200"/>
        <w:jc w:val="right"/>
        <w:rPr>
          <w:szCs w:val="21"/>
          <w:highlight w:val="none"/>
          <w:u w:val="single"/>
        </w:rPr>
      </w:pPr>
    </w:p>
    <w:p w14:paraId="7EAE036F">
      <w:pPr>
        <w:spacing w:line="360" w:lineRule="auto"/>
        <w:ind w:firstLine="420" w:firstLineChars="200"/>
        <w:jc w:val="right"/>
        <w:rPr>
          <w:szCs w:val="21"/>
          <w:highlight w:val="none"/>
          <w:u w:val="single"/>
        </w:rPr>
      </w:pPr>
    </w:p>
    <w:p w14:paraId="39D3A8B9">
      <w:pPr>
        <w:spacing w:line="360" w:lineRule="auto"/>
        <w:ind w:firstLine="420" w:firstLineChars="200"/>
        <w:jc w:val="right"/>
        <w:rPr>
          <w:szCs w:val="21"/>
          <w:highlight w:val="none"/>
          <w:u w:val="single"/>
        </w:rPr>
      </w:pPr>
    </w:p>
    <w:p w14:paraId="042B576F">
      <w:pPr>
        <w:jc w:val="center"/>
        <w:rPr>
          <w:b/>
          <w:sz w:val="32"/>
          <w:szCs w:val="32"/>
          <w:highlight w:val="none"/>
        </w:rPr>
      </w:pPr>
    </w:p>
    <w:p w14:paraId="29EE3D81">
      <w:pPr>
        <w:jc w:val="center"/>
        <w:rPr>
          <w:b/>
          <w:sz w:val="32"/>
          <w:szCs w:val="32"/>
          <w:highlight w:val="none"/>
        </w:rPr>
      </w:pPr>
    </w:p>
    <w:p w14:paraId="569DA32B">
      <w:pPr>
        <w:jc w:val="center"/>
        <w:rPr>
          <w:b/>
          <w:sz w:val="32"/>
          <w:szCs w:val="32"/>
          <w:highlight w:val="none"/>
        </w:rPr>
      </w:pPr>
    </w:p>
    <w:p w14:paraId="30415CF4">
      <w:pPr>
        <w:jc w:val="center"/>
        <w:rPr>
          <w:b/>
          <w:sz w:val="32"/>
          <w:szCs w:val="32"/>
          <w:highlight w:val="none"/>
        </w:rPr>
      </w:pPr>
    </w:p>
    <w:p w14:paraId="1AAF50B0">
      <w:pPr>
        <w:jc w:val="center"/>
        <w:rPr>
          <w:b/>
          <w:sz w:val="32"/>
          <w:szCs w:val="32"/>
          <w:highlight w:val="none"/>
        </w:rPr>
      </w:pPr>
    </w:p>
    <w:p w14:paraId="5BCCA520">
      <w:pPr>
        <w:jc w:val="center"/>
        <w:rPr>
          <w:b/>
          <w:sz w:val="32"/>
          <w:szCs w:val="32"/>
          <w:highlight w:val="none"/>
        </w:rPr>
      </w:pPr>
    </w:p>
    <w:p w14:paraId="194A658F">
      <w:pPr>
        <w:jc w:val="center"/>
        <w:rPr>
          <w:b/>
          <w:sz w:val="32"/>
          <w:szCs w:val="32"/>
          <w:highlight w:val="none"/>
        </w:rPr>
      </w:pPr>
    </w:p>
    <w:p w14:paraId="3F1030A3">
      <w:pPr>
        <w:spacing w:line="360" w:lineRule="auto"/>
        <w:rPr>
          <w:b/>
          <w:bCs/>
          <w:sz w:val="32"/>
          <w:szCs w:val="32"/>
          <w:highlight w:val="none"/>
        </w:rPr>
      </w:pPr>
    </w:p>
    <w:p w14:paraId="5D358DCD">
      <w:pPr>
        <w:jc w:val="center"/>
        <w:rPr>
          <w:rFonts w:ascii="宋体" w:hAnsi="宋体"/>
          <w:b/>
          <w:sz w:val="32"/>
          <w:szCs w:val="32"/>
          <w:highlight w:val="none"/>
        </w:rPr>
      </w:pPr>
      <w:r>
        <w:rPr>
          <w:rFonts w:hint="eastAsia" w:ascii="宋体" w:hAnsi="宋体"/>
          <w:b/>
          <w:sz w:val="32"/>
          <w:szCs w:val="32"/>
          <w:highlight w:val="none"/>
        </w:rPr>
        <w:br w:type="page"/>
      </w:r>
      <w:r>
        <w:rPr>
          <w:rFonts w:hint="eastAsia" w:ascii="宋体" w:hAnsi="宋体"/>
          <w:b/>
          <w:sz w:val="32"/>
          <w:szCs w:val="32"/>
          <w:highlight w:val="none"/>
        </w:rPr>
        <w:t>（1）投 标 函</w:t>
      </w:r>
    </w:p>
    <w:p w14:paraId="246EE23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highlight w:val="none"/>
        </w:rPr>
      </w:pPr>
      <w:bookmarkStart w:id="958" w:name="_Toc15058950"/>
      <w:bookmarkStart w:id="959" w:name="_Toc35424974"/>
      <w:bookmarkStart w:id="960" w:name="_Toc506107366"/>
      <w:bookmarkStart w:id="961" w:name="_Toc35425140"/>
      <w:r>
        <w:rPr>
          <w:rFonts w:hint="eastAsia" w:ascii="宋体" w:hAnsi="宋体" w:eastAsia="宋体" w:cs="宋体"/>
          <w:b/>
          <w:bCs/>
          <w:color w:val="auto"/>
          <w:highlight w:val="none"/>
        </w:rPr>
        <w:t>致 ：</w:t>
      </w:r>
      <w:r>
        <w:rPr>
          <w:rFonts w:hint="eastAsia" w:ascii="宋体" w:hAnsi="宋体" w:eastAsia="宋体" w:cs="宋体"/>
          <w:b/>
          <w:bCs/>
          <w:color w:val="auto"/>
          <w:highlight w:val="none"/>
          <w:u w:val="single"/>
          <w:lang w:val="en-US" w:eastAsia="zh-CN"/>
        </w:rPr>
        <w:t xml:space="preserve">       （招标人） </w:t>
      </w:r>
      <w:r>
        <w:rPr>
          <w:rFonts w:hint="eastAsia" w:ascii="宋体" w:hAnsi="宋体" w:eastAsia="宋体" w:cs="宋体"/>
          <w:color w:val="auto"/>
          <w:highlight w:val="none"/>
        </w:rPr>
        <w:t xml:space="preserve">：  </w:t>
      </w:r>
    </w:p>
    <w:p w14:paraId="34202DD2">
      <w:pPr>
        <w:keepNext w:val="0"/>
        <w:keepLines w:val="0"/>
        <w:pageBreakBefore w:val="0"/>
        <w:widowControl w:val="0"/>
        <w:kinsoku/>
        <w:wordWrap/>
        <w:overflowPunct/>
        <w:topLinePunct w:val="0"/>
        <w:autoSpaceDE/>
        <w:autoSpaceDN/>
        <w:bidi w:val="0"/>
        <w:adjustRightInd/>
        <w:snapToGrid/>
        <w:spacing w:line="460" w:lineRule="exact"/>
        <w:ind w:firstLine="525" w:firstLineChars="25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我们决定参加贵单位组织的“</w:t>
      </w:r>
      <w:r>
        <w:rPr>
          <w:rFonts w:hint="eastAsia" w:ascii="宋体" w:hAnsi="宋体" w:eastAsia="宋体" w:cs="宋体"/>
          <w:color w:val="auto"/>
          <w:highlight w:val="none"/>
          <w:u w:val="single"/>
          <w:lang w:val="en-US" w:eastAsia="zh-CN"/>
        </w:rPr>
        <w:t xml:space="preserve">                   （项目名称）</w:t>
      </w:r>
      <w:r>
        <w:rPr>
          <w:rFonts w:hint="eastAsia" w:ascii="宋体" w:hAnsi="宋体" w:eastAsia="宋体" w:cs="宋体"/>
          <w:color w:val="auto"/>
          <w:highlight w:val="none"/>
        </w:rPr>
        <w:t xml:space="preserve">”的项目。我方授权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none"/>
        </w:rPr>
        <w:t>姓名和职务</w:t>
      </w:r>
      <w:r>
        <w:rPr>
          <w:rFonts w:hint="eastAsia" w:ascii="宋体" w:hAnsi="宋体" w:eastAsia="宋体" w:cs="宋体"/>
          <w:color w:val="auto"/>
          <w:highlight w:val="none"/>
        </w:rPr>
        <w:t xml:space="preserve">)代表我方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（投标单位的名称）全权处理本项目投标的有关事宜 </w:t>
      </w:r>
      <w:r>
        <w:rPr>
          <w:rFonts w:hint="eastAsia" w:ascii="宋体" w:hAnsi="宋体" w:eastAsia="宋体" w:cs="宋体"/>
          <w:color w:val="auto"/>
          <w:highlight w:val="none"/>
          <w:lang w:eastAsia="zh-CN"/>
        </w:rPr>
        <w:t>。</w:t>
      </w:r>
    </w:p>
    <w:p w14:paraId="031A56B9">
      <w:pPr>
        <w:spacing w:line="440" w:lineRule="exact"/>
        <w:ind w:firstLine="420" w:firstLineChars="200"/>
        <w:jc w:val="left"/>
        <w:rPr>
          <w:rFonts w:ascii="宋体" w:hAnsi="宋体"/>
          <w:color w:val="auto"/>
          <w:szCs w:val="21"/>
          <w:highlight w:val="none"/>
        </w:rPr>
      </w:pPr>
      <w:r>
        <w:rPr>
          <w:rFonts w:hint="eastAsia" w:ascii="宋体" w:hAnsi="宋体" w:cs="宋体"/>
          <w:color w:val="auto"/>
          <w:highlight w:val="none"/>
          <w:lang w:val="en-US" w:eastAsia="zh-CN"/>
        </w:rPr>
        <w:t>1.</w:t>
      </w:r>
      <w:r>
        <w:rPr>
          <w:rFonts w:hint="eastAsia" w:ascii="宋体" w:hAnsi="宋体" w:eastAsia="宋体" w:cs="宋体"/>
          <w:color w:val="auto"/>
          <w:highlight w:val="none"/>
        </w:rPr>
        <w:t>我们已仔细地研究了</w:t>
      </w:r>
      <w:r>
        <w:rPr>
          <w:rFonts w:hint="eastAsia" w:ascii="宋体" w:hAnsi="宋体" w:eastAsia="宋体" w:cs="宋体"/>
          <w:color w:val="auto"/>
          <w:highlight w:val="none"/>
          <w:u w:val="single"/>
          <w:lang w:val="en-US" w:eastAsia="zh-CN"/>
        </w:rPr>
        <w:t xml:space="preserve">                （项目名称）</w:t>
      </w:r>
      <w:r>
        <w:rPr>
          <w:rFonts w:hint="eastAsia" w:ascii="宋体" w:hAnsi="宋体" w:eastAsia="宋体" w:cs="宋体"/>
          <w:color w:val="auto"/>
          <w:highlight w:val="none"/>
        </w:rPr>
        <w:t>招标文件的全部内容，包括但不限于承包人须知合同条件、工作要求，以及全部补遗和澄清文件。我们已了解和审核了全部招标文件，并完全理解了招标文件</w:t>
      </w:r>
      <w:r>
        <w:rPr>
          <w:rFonts w:hint="eastAsia" w:ascii="宋体" w:hAnsi="宋体" w:eastAsia="宋体" w:cs="宋体"/>
          <w:color w:val="auto"/>
          <w:spacing w:val="-1"/>
          <w:highlight w:val="none"/>
        </w:rPr>
        <w:t>规定的合同范围，工作要求，并考虑到了潜在所有风险。</w:t>
      </w:r>
      <w:r>
        <w:rPr>
          <w:rFonts w:hint="eastAsia" w:ascii="宋体" w:hAnsi="宋体"/>
          <w:color w:val="auto"/>
          <w:szCs w:val="21"/>
          <w:highlight w:val="none"/>
        </w:rPr>
        <w:t>我方愿以</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元</w:t>
      </w:r>
      <w:r>
        <w:rPr>
          <w:rFonts w:hint="eastAsia" w:ascii="宋体" w:hAnsi="宋体"/>
          <w:color w:val="auto"/>
          <w:szCs w:val="21"/>
          <w:highlight w:val="none"/>
        </w:rPr>
        <w:t>的投标报价承包上述项目，并承担任何质量缺陷保修责任。</w:t>
      </w:r>
    </w:p>
    <w:p w14:paraId="4CDABD9D">
      <w:pPr>
        <w:numPr>
          <w:ilvl w:val="0"/>
          <w:numId w:val="0"/>
        </w:numPr>
        <w:spacing w:line="440" w:lineRule="exact"/>
        <w:ind w:leftChars="200"/>
        <w:jc w:val="left"/>
        <w:rPr>
          <w:rFonts w:ascii="宋体" w:hAnsi="宋体"/>
          <w:color w:val="auto"/>
          <w:spacing w:val="-4"/>
          <w:szCs w:val="21"/>
          <w:highlight w:val="none"/>
        </w:rPr>
      </w:pPr>
      <w:r>
        <w:rPr>
          <w:rFonts w:hint="eastAsia" w:ascii="宋体" w:hAnsi="宋体"/>
          <w:color w:val="auto"/>
          <w:spacing w:val="-4"/>
          <w:szCs w:val="21"/>
          <w:highlight w:val="none"/>
          <w:lang w:val="en-US" w:eastAsia="zh-CN"/>
        </w:rPr>
        <w:t>2.</w:t>
      </w:r>
      <w:r>
        <w:rPr>
          <w:rFonts w:hint="eastAsia" w:ascii="宋体" w:hAnsi="宋体"/>
          <w:color w:val="auto"/>
          <w:spacing w:val="-4"/>
          <w:szCs w:val="21"/>
          <w:highlight w:val="none"/>
        </w:rPr>
        <w:t>我方已详细审核全部招标文件及有关附件，承诺招标文件及有关附件中所有条款。</w:t>
      </w:r>
    </w:p>
    <w:p w14:paraId="06C7E94A">
      <w:pPr>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一旦我方中标，我方将派出</w:t>
      </w:r>
      <w:r>
        <w:rPr>
          <w:rFonts w:hint="eastAsia" w:ascii="宋体" w:hAnsi="宋体"/>
          <w:color w:val="auto"/>
          <w:szCs w:val="21"/>
          <w:highlight w:val="none"/>
          <w:u w:val="single"/>
        </w:rPr>
        <w:t xml:space="preserve">      </w:t>
      </w:r>
      <w:r>
        <w:rPr>
          <w:rFonts w:hint="eastAsia" w:ascii="宋体" w:hAnsi="宋体"/>
          <w:color w:val="auto"/>
          <w:szCs w:val="21"/>
          <w:highlight w:val="none"/>
        </w:rPr>
        <w:t>为本项目的项目负责人，保证按照招标人要求开始实施本项目，按招标文件要求的时间内完成本合同的施工，并移交整个项目，项目质量达到</w:t>
      </w:r>
      <w:r>
        <w:rPr>
          <w:rFonts w:ascii="宋体" w:hAnsi="宋体"/>
          <w:color w:val="auto"/>
          <w:szCs w:val="21"/>
          <w:highlight w:val="none"/>
          <w:u w:val="single"/>
        </w:rPr>
        <w:t xml:space="preserve">   </w:t>
      </w:r>
      <w:r>
        <w:rPr>
          <w:rFonts w:hint="eastAsia" w:ascii="宋体" w:hAnsi="宋体"/>
          <w:color w:val="auto"/>
          <w:szCs w:val="21"/>
          <w:highlight w:val="none"/>
          <w:u w:val="single"/>
        </w:rPr>
        <w:t>合格</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标准。</w:t>
      </w:r>
    </w:p>
    <w:p w14:paraId="2F719ABD">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olor w:val="auto"/>
          <w:szCs w:val="21"/>
          <w:highlight w:val="none"/>
          <w:lang w:val="en-US" w:eastAsia="zh-CN"/>
        </w:rPr>
        <w:t>4.</w:t>
      </w:r>
      <w:r>
        <w:rPr>
          <w:rFonts w:hint="eastAsia" w:ascii="宋体" w:hAnsi="宋体" w:eastAsia="宋体" w:cs="宋体"/>
          <w:color w:val="auto"/>
          <w:highlight w:val="none"/>
        </w:rPr>
        <w:t>如果贵方接受我单位中标，我单位保证在承包人须知规定的期限内，按本投标配备的人员及时开展工作，否则，贵方有权单方面终止合同，并令我单位立即退场，工程项目另行处理，由此造成的一切损失由我单位负责赔偿。</w:t>
      </w:r>
    </w:p>
    <w:p w14:paraId="30BD36D7">
      <w:pPr>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如果我方在本投标书有效期内撤回投标书，或在中标通知书下达后</w:t>
      </w:r>
      <w:r>
        <w:rPr>
          <w:rFonts w:ascii="宋体" w:hAnsi="宋体"/>
          <w:color w:val="auto"/>
          <w:szCs w:val="21"/>
          <w:highlight w:val="none"/>
          <w:u w:val="single"/>
        </w:rPr>
        <w:t xml:space="preserve">  </w:t>
      </w:r>
      <w:r>
        <w:rPr>
          <w:rFonts w:hint="eastAsia" w:ascii="宋体" w:hAnsi="宋体"/>
          <w:color w:val="auto"/>
          <w:szCs w:val="21"/>
          <w:highlight w:val="none"/>
          <w:u w:val="single"/>
        </w:rPr>
        <w:t>30</w:t>
      </w:r>
      <w:r>
        <w:rPr>
          <w:rFonts w:ascii="宋体" w:hAnsi="宋体"/>
          <w:color w:val="auto"/>
          <w:szCs w:val="21"/>
          <w:highlight w:val="none"/>
          <w:u w:val="single"/>
        </w:rPr>
        <w:t xml:space="preserve"> </w:t>
      </w:r>
      <w:r>
        <w:rPr>
          <w:rFonts w:hint="eastAsia" w:ascii="宋体" w:hAnsi="宋体"/>
          <w:color w:val="auto"/>
          <w:szCs w:val="21"/>
          <w:highlight w:val="none"/>
        </w:rPr>
        <w:t>天内未能或拒绝签订合同书，或自行转标，贵单位有权另选中标单位。</w:t>
      </w:r>
    </w:p>
    <w:p w14:paraId="39C14C69">
      <w:pPr>
        <w:spacing w:line="440" w:lineRule="exact"/>
        <w:ind w:firstLine="420" w:firstLineChars="200"/>
        <w:jc w:val="left"/>
        <w:rPr>
          <w:rFonts w:hint="eastAsia" w:ascii="宋体" w:hAnsi="宋体"/>
          <w:szCs w:val="21"/>
          <w:highlight w:val="none"/>
        </w:rPr>
      </w:pPr>
      <w:r>
        <w:rPr>
          <w:rFonts w:hint="eastAsia" w:ascii="宋体" w:hAnsi="宋体"/>
          <w:szCs w:val="21"/>
          <w:highlight w:val="none"/>
          <w:lang w:val="en-US" w:eastAsia="zh-CN"/>
        </w:rPr>
        <w:t>6.</w:t>
      </w:r>
      <w:r>
        <w:rPr>
          <w:rFonts w:hint="eastAsia" w:ascii="宋体" w:hAnsi="宋体"/>
          <w:szCs w:val="21"/>
          <w:highlight w:val="none"/>
        </w:rPr>
        <w:t>如果我方中标我方将按照招标文件的规定提交</w:t>
      </w:r>
      <w:r>
        <w:rPr>
          <w:rFonts w:ascii="宋体" w:hAnsi="宋体"/>
          <w:szCs w:val="21"/>
          <w:highlight w:val="none"/>
          <w:u w:val="singl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ascii="宋体" w:hAnsi="宋体"/>
          <w:szCs w:val="21"/>
          <w:highlight w:val="none"/>
          <w:u w:val="single"/>
        </w:rPr>
        <w:t xml:space="preserve">  </w:t>
      </w:r>
      <w:r>
        <w:rPr>
          <w:rFonts w:hint="eastAsia" w:ascii="宋体" w:hAnsi="宋体"/>
          <w:szCs w:val="21"/>
          <w:highlight w:val="none"/>
          <w:u w:val="none"/>
          <w:lang w:val="en-US" w:eastAsia="zh-CN"/>
        </w:rPr>
        <w:t>万</w:t>
      </w:r>
      <w:r>
        <w:rPr>
          <w:rFonts w:hint="eastAsia" w:ascii="宋体" w:hAnsi="宋体"/>
          <w:szCs w:val="21"/>
          <w:highlight w:val="none"/>
        </w:rPr>
        <w:t>元作为履约担保。项目验收合格后，方可退还。</w:t>
      </w:r>
    </w:p>
    <w:p w14:paraId="29ED317A">
      <w:pPr>
        <w:spacing w:line="440" w:lineRule="exact"/>
        <w:ind w:firstLine="420" w:firstLineChars="200"/>
        <w:jc w:val="left"/>
        <w:rPr>
          <w:rFonts w:hint="eastAsia" w:ascii="宋体" w:hAnsi="宋体"/>
          <w:szCs w:val="21"/>
          <w:highlight w:val="none"/>
        </w:rPr>
      </w:pPr>
      <w:r>
        <w:rPr>
          <w:rFonts w:hint="eastAsia" w:ascii="宋体" w:hAnsi="宋体"/>
          <w:szCs w:val="21"/>
          <w:highlight w:val="none"/>
          <w:lang w:val="en-US" w:eastAsia="zh-CN"/>
        </w:rPr>
        <w:t>7.</w:t>
      </w:r>
      <w:r>
        <w:rPr>
          <w:rFonts w:hint="eastAsia" w:ascii="宋体" w:hAnsi="宋体"/>
          <w:szCs w:val="21"/>
          <w:highlight w:val="none"/>
        </w:rPr>
        <w:t>投标有效期为</w:t>
      </w:r>
      <w:r>
        <w:rPr>
          <w:rFonts w:hint="eastAsia" w:ascii="宋体" w:hAnsi="宋体"/>
          <w:szCs w:val="21"/>
          <w:highlight w:val="none"/>
          <w:u w:val="single"/>
        </w:rPr>
        <w:t xml:space="preserve"> 90</w:t>
      </w:r>
      <w:r>
        <w:rPr>
          <w:rFonts w:hint="eastAsia" w:ascii="宋体" w:hAnsi="宋体"/>
          <w:szCs w:val="21"/>
          <w:highlight w:val="none"/>
        </w:rPr>
        <w:t>日历天（从投标截止之日算起）。</w:t>
      </w:r>
    </w:p>
    <w:p w14:paraId="2E1A98A0">
      <w:pPr>
        <w:spacing w:line="440" w:lineRule="exact"/>
        <w:ind w:firstLine="420" w:firstLineChars="200"/>
        <w:jc w:val="left"/>
        <w:rPr>
          <w:rFonts w:hint="eastAsia" w:ascii="宋体" w:hAnsi="宋体"/>
          <w:szCs w:val="21"/>
          <w:highlight w:val="none"/>
        </w:rPr>
      </w:pPr>
      <w:r>
        <w:rPr>
          <w:rFonts w:hint="eastAsia" w:ascii="宋体" w:hAnsi="宋体"/>
          <w:szCs w:val="21"/>
          <w:highlight w:val="none"/>
          <w:lang w:val="en-US" w:eastAsia="zh-CN"/>
        </w:rPr>
        <w:t>8.</w:t>
      </w:r>
      <w:r>
        <w:rPr>
          <w:rFonts w:hint="eastAsia" w:ascii="宋体" w:hAnsi="宋体"/>
          <w:szCs w:val="21"/>
          <w:highlight w:val="none"/>
        </w:rPr>
        <w:t>我单位提供如下通讯地址：</w:t>
      </w:r>
      <w:r>
        <w:rPr>
          <w:rFonts w:hint="eastAsia" w:ascii="宋体" w:hAnsi="宋体"/>
          <w:szCs w:val="21"/>
          <w:highlight w:val="none"/>
          <w:u w:val="single"/>
        </w:rPr>
        <w:t xml:space="preserve">                </w:t>
      </w:r>
      <w:r>
        <w:rPr>
          <w:rFonts w:hint="eastAsia" w:ascii="宋体" w:hAnsi="宋体"/>
          <w:szCs w:val="21"/>
          <w:highlight w:val="none"/>
        </w:rPr>
        <w:t>电子邮箱（地址），确认本项目相关法律文书均通过提供的以上地址送达，相关文书只要发送至以上电子邮箱（地址）即视为送达，投标人愿意承担一切法律后果。</w:t>
      </w:r>
    </w:p>
    <w:p w14:paraId="58D9FF6D">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rPr>
      </w:pPr>
    </w:p>
    <w:p w14:paraId="7B092613">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盖</w:t>
      </w:r>
      <w:r>
        <w:rPr>
          <w:rFonts w:hint="eastAsia" w:ascii="宋体" w:hAnsi="宋体" w:eastAsia="宋体" w:cs="宋体"/>
          <w:color w:val="auto"/>
          <w:szCs w:val="21"/>
          <w:highlight w:val="none"/>
          <w:u w:val="single"/>
        </w:rPr>
        <w:t xml:space="preserve">章）   </w:t>
      </w:r>
    </w:p>
    <w:p w14:paraId="41B57621">
      <w:pPr>
        <w:spacing w:line="600" w:lineRule="exact"/>
        <w:ind w:firstLine="2310" w:firstLineChars="1100"/>
        <w:jc w:val="left"/>
        <w:rPr>
          <w:rFonts w:ascii="宋体" w:hAnsi="宋体"/>
          <w:szCs w:val="21"/>
          <w:highlight w:val="none"/>
        </w:rPr>
      </w:pPr>
      <w:r>
        <w:rPr>
          <w:rFonts w:hint="eastAsia" w:ascii="宋体" w:hAnsi="宋体"/>
          <w:szCs w:val="21"/>
          <w:highlight w:val="none"/>
        </w:rPr>
        <w:t>法定代表人</w:t>
      </w:r>
      <w:r>
        <w:rPr>
          <w:rFonts w:hint="eastAsia" w:ascii="宋体" w:hAnsi="宋体"/>
          <w:szCs w:val="21"/>
          <w:highlight w:val="none"/>
          <w:lang w:val="en-US" w:eastAsia="zh-CN"/>
        </w:rPr>
        <w:t>或委托代理人</w:t>
      </w:r>
      <w:r>
        <w:rPr>
          <w:rFonts w:hint="eastAsia" w:ascii="宋体" w:hAnsi="宋体"/>
          <w:szCs w:val="21"/>
          <w:highlight w:val="none"/>
        </w:rPr>
        <w:t>：</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w:t>
      </w:r>
      <w:r>
        <w:rPr>
          <w:rFonts w:hint="eastAsia" w:ascii="宋体" w:hAnsi="宋体"/>
          <w:szCs w:val="21"/>
          <w:highlight w:val="none"/>
          <w:u w:val="single"/>
          <w:lang w:val="en-US" w:eastAsia="zh-CN"/>
        </w:rPr>
        <w:t>签字或盖章</w:t>
      </w:r>
      <w:r>
        <w:rPr>
          <w:rFonts w:hint="eastAsia" w:ascii="宋体" w:hAnsi="宋体"/>
          <w:szCs w:val="21"/>
          <w:highlight w:val="none"/>
          <w:u w:val="single"/>
        </w:rPr>
        <w:t>）</w:t>
      </w:r>
    </w:p>
    <w:p w14:paraId="75BF44E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单位地址：</w:t>
      </w:r>
      <w:r>
        <w:rPr>
          <w:rFonts w:hint="eastAsia" w:ascii="宋体" w:hAnsi="宋体" w:eastAsia="宋体" w:cs="宋体"/>
          <w:color w:val="auto"/>
          <w:szCs w:val="21"/>
          <w:highlight w:val="none"/>
          <w:u w:val="single"/>
        </w:rPr>
        <w:t xml:space="preserve">                                       </w:t>
      </w:r>
    </w:p>
    <w:p w14:paraId="152985B8">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传真：</w:t>
      </w:r>
      <w:r>
        <w:rPr>
          <w:rFonts w:hint="eastAsia" w:ascii="宋体" w:hAnsi="宋体" w:eastAsia="宋体" w:cs="宋体"/>
          <w:color w:val="auto"/>
          <w:szCs w:val="21"/>
          <w:highlight w:val="none"/>
          <w:u w:val="single"/>
        </w:rPr>
        <w:t xml:space="preserve">       </w:t>
      </w:r>
    </w:p>
    <w:p w14:paraId="2636742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年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月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809622B">
      <w:pPr>
        <w:pStyle w:val="4"/>
        <w:adjustRightInd w:val="0"/>
        <w:snapToGrid w:val="0"/>
        <w:spacing w:before="0" w:after="0" w:line="560" w:lineRule="exact"/>
        <w:jc w:val="center"/>
        <w:rPr>
          <w:rFonts w:hint="eastAsia"/>
          <w:color w:val="000000"/>
          <w:highlight w:val="none"/>
        </w:rPr>
      </w:pPr>
      <w:r>
        <w:rPr>
          <w:rFonts w:hint="eastAsia"/>
          <w:sz w:val="32"/>
          <w:szCs w:val="32"/>
          <w:highlight w:val="none"/>
        </w:rPr>
        <w:br w:type="page"/>
      </w:r>
      <w:bookmarkEnd w:id="7"/>
      <w:bookmarkEnd w:id="8"/>
      <w:bookmarkEnd w:id="9"/>
      <w:bookmarkEnd w:id="10"/>
      <w:bookmarkEnd w:id="11"/>
      <w:bookmarkEnd w:id="958"/>
      <w:bookmarkEnd w:id="959"/>
      <w:bookmarkEnd w:id="960"/>
      <w:bookmarkEnd w:id="961"/>
      <w:bookmarkStart w:id="962" w:name="_Toc78803402"/>
      <w:r>
        <w:rPr>
          <w:rFonts w:hint="eastAsia"/>
          <w:color w:val="000000"/>
          <w:highlight w:val="none"/>
        </w:rPr>
        <w:t>（2）工程量清单报价书</w:t>
      </w:r>
    </w:p>
    <w:p w14:paraId="7D855F0A">
      <w:pPr>
        <w:jc w:val="center"/>
        <w:rPr>
          <w:rFonts w:ascii="Calibri" w:hAnsi="Calibri"/>
          <w:sz w:val="32"/>
          <w:szCs w:val="32"/>
          <w:highlight w:val="none"/>
        </w:rPr>
      </w:pPr>
    </w:p>
    <w:p w14:paraId="2528277B">
      <w:pPr>
        <w:jc w:val="center"/>
        <w:rPr>
          <w:rFonts w:ascii="Calibri" w:hAnsi="Calibri"/>
          <w:sz w:val="32"/>
          <w:szCs w:val="32"/>
          <w:highlight w:val="none"/>
        </w:rPr>
      </w:pPr>
      <w:r>
        <w:rPr>
          <w:rFonts w:hint="eastAsia" w:ascii="仿宋_GB2312" w:hAnsi="Calibri" w:eastAsia="仿宋_GB2312"/>
          <w:b/>
          <w:sz w:val="36"/>
          <w:szCs w:val="36"/>
          <w:highlight w:val="none"/>
        </w:rPr>
        <w:t>①</w:t>
      </w:r>
      <w:r>
        <w:rPr>
          <w:rFonts w:hint="eastAsia" w:ascii="Calibri" w:hAnsi="Calibri"/>
          <w:b/>
          <w:sz w:val="36"/>
          <w:szCs w:val="36"/>
          <w:highlight w:val="none"/>
        </w:rPr>
        <w:t>工程量清单报价书（封面）</w:t>
      </w:r>
      <w:r>
        <w:rPr>
          <w:rFonts w:hint="eastAsia" w:ascii="Calibri" w:hAnsi="Calibri"/>
          <w:sz w:val="32"/>
          <w:szCs w:val="32"/>
          <w:highlight w:val="none"/>
          <w:vertAlign w:val="superscript"/>
        </w:rPr>
        <w:t>1</w:t>
      </w:r>
    </w:p>
    <w:p w14:paraId="3D7A056C">
      <w:pPr>
        <w:jc w:val="center"/>
        <w:rPr>
          <w:rFonts w:ascii="Calibri" w:hAnsi="Calibri"/>
          <w:b/>
          <w:sz w:val="32"/>
          <w:szCs w:val="32"/>
          <w:highlight w:val="none"/>
        </w:rPr>
      </w:pPr>
    </w:p>
    <w:p w14:paraId="5262813B">
      <w:pPr>
        <w:ind w:firstLine="643" w:firstLineChars="200"/>
        <w:jc w:val="center"/>
        <w:rPr>
          <w:rFonts w:ascii="Calibri" w:hAnsi="Calibri"/>
          <w:b/>
          <w:sz w:val="32"/>
          <w:szCs w:val="32"/>
          <w:highlight w:val="none"/>
        </w:rPr>
      </w:pPr>
      <w:r>
        <w:rPr>
          <w:rFonts w:hint="eastAsia" w:ascii="Calibri" w:hAnsi="Calibri"/>
          <w:b/>
          <w:sz w:val="32"/>
          <w:szCs w:val="32"/>
          <w:highlight w:val="none"/>
        </w:rPr>
        <w:t>投标总价</w:t>
      </w:r>
    </w:p>
    <w:p w14:paraId="51772B8A">
      <w:pPr>
        <w:spacing w:line="800" w:lineRule="exact"/>
        <w:ind w:firstLine="640" w:firstLineChars="200"/>
        <w:rPr>
          <w:rFonts w:ascii="Calibri" w:hAnsi="Calibri"/>
          <w:sz w:val="32"/>
          <w:szCs w:val="32"/>
          <w:highlight w:val="none"/>
          <w:u w:val="single"/>
        </w:rPr>
      </w:pPr>
      <w:r>
        <w:rPr>
          <w:rFonts w:hint="eastAsia" w:ascii="Calibri" w:hAnsi="Calibri"/>
          <w:sz w:val="32"/>
          <w:szCs w:val="32"/>
          <w:highlight w:val="none"/>
        </w:rPr>
        <w:t>招标人：</w:t>
      </w:r>
      <w:r>
        <w:rPr>
          <w:rFonts w:hint="eastAsia" w:ascii="Calibri" w:hAnsi="Calibri"/>
          <w:sz w:val="32"/>
          <w:szCs w:val="32"/>
          <w:highlight w:val="none"/>
          <w:u w:val="single"/>
        </w:rPr>
        <w:t xml:space="preserve">                                                 </w:t>
      </w:r>
    </w:p>
    <w:p w14:paraId="55501C58">
      <w:pPr>
        <w:spacing w:line="800" w:lineRule="exact"/>
        <w:ind w:firstLine="640" w:firstLineChars="200"/>
        <w:rPr>
          <w:rFonts w:ascii="Calibri" w:hAnsi="Calibri"/>
          <w:sz w:val="32"/>
          <w:szCs w:val="32"/>
          <w:highlight w:val="none"/>
        </w:rPr>
      </w:pPr>
      <w:r>
        <w:rPr>
          <w:rFonts w:hint="eastAsia" w:ascii="Calibri" w:hAnsi="Calibri"/>
          <w:sz w:val="32"/>
          <w:szCs w:val="32"/>
          <w:highlight w:val="none"/>
        </w:rPr>
        <w:t>工程名称：</w:t>
      </w:r>
      <w:r>
        <w:rPr>
          <w:rFonts w:hint="eastAsia" w:ascii="Calibri" w:hAnsi="Calibri"/>
          <w:sz w:val="32"/>
          <w:szCs w:val="32"/>
          <w:highlight w:val="none"/>
          <w:u w:val="single"/>
        </w:rPr>
        <w:t xml:space="preserve">                                               </w:t>
      </w:r>
    </w:p>
    <w:p w14:paraId="0A224365">
      <w:pPr>
        <w:spacing w:line="800" w:lineRule="exact"/>
        <w:ind w:firstLine="640" w:firstLineChars="200"/>
        <w:rPr>
          <w:rFonts w:ascii="Calibri" w:hAnsi="Calibri"/>
          <w:sz w:val="32"/>
          <w:szCs w:val="32"/>
          <w:highlight w:val="none"/>
          <w:u w:val="single"/>
        </w:rPr>
      </w:pPr>
      <w:r>
        <w:rPr>
          <w:rFonts w:hint="eastAsia" w:ascii="Calibri" w:hAnsi="Calibri"/>
          <w:sz w:val="32"/>
          <w:szCs w:val="32"/>
          <w:highlight w:val="none"/>
        </w:rPr>
        <w:t>投标总价（小写）：</w:t>
      </w:r>
      <w:r>
        <w:rPr>
          <w:rFonts w:hint="eastAsia" w:ascii="Calibri" w:hAnsi="Calibri"/>
          <w:sz w:val="32"/>
          <w:szCs w:val="32"/>
          <w:highlight w:val="none"/>
          <w:u w:val="single"/>
        </w:rPr>
        <w:t xml:space="preserve">                                       </w:t>
      </w:r>
    </w:p>
    <w:p w14:paraId="6243B7A2">
      <w:pPr>
        <w:spacing w:line="800" w:lineRule="exact"/>
        <w:ind w:firstLine="1920" w:firstLineChars="600"/>
        <w:rPr>
          <w:rFonts w:ascii="Calibri" w:hAnsi="Calibri"/>
          <w:sz w:val="32"/>
          <w:szCs w:val="32"/>
          <w:highlight w:val="none"/>
        </w:rPr>
      </w:pPr>
      <w:r>
        <w:rPr>
          <w:rFonts w:hint="eastAsia" w:ascii="Calibri" w:hAnsi="Calibri"/>
          <w:sz w:val="32"/>
          <w:szCs w:val="32"/>
          <w:highlight w:val="none"/>
        </w:rPr>
        <w:t>（大写）：</w:t>
      </w:r>
      <w:r>
        <w:rPr>
          <w:rFonts w:hint="eastAsia" w:ascii="Calibri" w:hAnsi="Calibri"/>
          <w:sz w:val="32"/>
          <w:szCs w:val="32"/>
          <w:highlight w:val="none"/>
          <w:u w:val="single"/>
        </w:rPr>
        <w:t xml:space="preserve">                                       </w:t>
      </w:r>
    </w:p>
    <w:p w14:paraId="7A25A46B">
      <w:pPr>
        <w:spacing w:line="800" w:lineRule="exact"/>
        <w:ind w:firstLine="640" w:firstLineChars="200"/>
        <w:rPr>
          <w:rFonts w:ascii="Calibri" w:hAnsi="Calibri"/>
          <w:sz w:val="32"/>
          <w:szCs w:val="32"/>
          <w:highlight w:val="none"/>
        </w:rPr>
      </w:pPr>
    </w:p>
    <w:p w14:paraId="7DB1D3AF">
      <w:pPr>
        <w:spacing w:line="800" w:lineRule="exact"/>
        <w:ind w:firstLine="640" w:firstLineChars="200"/>
        <w:rPr>
          <w:rFonts w:ascii="Calibri" w:hAnsi="Calibri"/>
          <w:sz w:val="32"/>
          <w:szCs w:val="32"/>
          <w:highlight w:val="none"/>
        </w:rPr>
      </w:pPr>
      <w:r>
        <w:rPr>
          <w:rFonts w:hint="eastAsia" w:ascii="Calibri" w:hAnsi="Calibri"/>
          <w:sz w:val="32"/>
          <w:szCs w:val="32"/>
          <w:highlight w:val="none"/>
        </w:rPr>
        <w:t>投 标 人：</w:t>
      </w:r>
      <w:r>
        <w:rPr>
          <w:rFonts w:hint="eastAsia" w:ascii="Calibri" w:hAnsi="Calibri"/>
          <w:sz w:val="32"/>
          <w:szCs w:val="32"/>
          <w:highlight w:val="none"/>
          <w:u w:val="single"/>
        </w:rPr>
        <w:t xml:space="preserve">                                     </w:t>
      </w:r>
      <w:r>
        <w:rPr>
          <w:rFonts w:hint="eastAsia" w:ascii="Calibri" w:hAnsi="Calibri"/>
          <w:sz w:val="32"/>
          <w:szCs w:val="32"/>
          <w:highlight w:val="none"/>
        </w:rPr>
        <w:t xml:space="preserve"> (单位盖章)</w:t>
      </w:r>
    </w:p>
    <w:p w14:paraId="2923CD59">
      <w:pPr>
        <w:spacing w:line="800" w:lineRule="exact"/>
        <w:ind w:firstLine="640" w:firstLineChars="200"/>
        <w:rPr>
          <w:rFonts w:ascii="Calibri" w:hAnsi="Calibri"/>
          <w:sz w:val="32"/>
          <w:szCs w:val="32"/>
          <w:highlight w:val="none"/>
        </w:rPr>
      </w:pPr>
    </w:p>
    <w:p w14:paraId="27258875">
      <w:pPr>
        <w:spacing w:line="800" w:lineRule="exact"/>
        <w:ind w:firstLine="640" w:firstLineChars="200"/>
        <w:rPr>
          <w:rFonts w:ascii="Calibri" w:hAnsi="Calibri"/>
          <w:sz w:val="32"/>
          <w:szCs w:val="32"/>
          <w:highlight w:val="none"/>
        </w:rPr>
      </w:pPr>
      <w:r>
        <w:rPr>
          <w:rFonts w:hint="eastAsia" w:ascii="Calibri" w:hAnsi="Calibri"/>
          <w:sz w:val="32"/>
          <w:szCs w:val="32"/>
          <w:highlight w:val="none"/>
        </w:rPr>
        <w:t>法定代表人：</w:t>
      </w:r>
      <w:r>
        <w:rPr>
          <w:rFonts w:hint="eastAsia" w:ascii="Calibri" w:hAnsi="Calibri"/>
          <w:sz w:val="32"/>
          <w:szCs w:val="32"/>
          <w:highlight w:val="none"/>
          <w:u w:val="single"/>
        </w:rPr>
        <w:t xml:space="preserve">                                 </w:t>
      </w:r>
      <w:r>
        <w:rPr>
          <w:rFonts w:hint="eastAsia" w:ascii="Calibri" w:hAnsi="Calibri"/>
          <w:sz w:val="32"/>
          <w:szCs w:val="32"/>
          <w:highlight w:val="none"/>
        </w:rPr>
        <w:t xml:space="preserve"> (签字或盖章)</w:t>
      </w:r>
    </w:p>
    <w:p w14:paraId="4925F3C8">
      <w:pPr>
        <w:spacing w:line="800" w:lineRule="exact"/>
        <w:ind w:firstLine="640" w:firstLineChars="200"/>
        <w:rPr>
          <w:rFonts w:ascii="Calibri" w:hAnsi="Calibri"/>
          <w:sz w:val="32"/>
          <w:szCs w:val="32"/>
          <w:highlight w:val="none"/>
        </w:rPr>
      </w:pPr>
    </w:p>
    <w:p w14:paraId="22B76E0B">
      <w:pPr>
        <w:spacing w:line="800" w:lineRule="exact"/>
        <w:ind w:firstLine="640" w:firstLineChars="200"/>
        <w:rPr>
          <w:rFonts w:ascii="Calibri" w:hAnsi="Calibri"/>
          <w:sz w:val="32"/>
          <w:szCs w:val="32"/>
          <w:highlight w:val="none"/>
          <w:u w:val="single"/>
        </w:rPr>
      </w:pPr>
      <w:r>
        <w:rPr>
          <w:rFonts w:hint="eastAsia" w:ascii="Calibri" w:hAnsi="Calibri"/>
          <w:sz w:val="32"/>
          <w:szCs w:val="32"/>
          <w:highlight w:val="none"/>
        </w:rPr>
        <w:t>编制人：</w:t>
      </w:r>
      <w:r>
        <w:rPr>
          <w:rFonts w:hint="eastAsia" w:ascii="Calibri" w:hAnsi="Calibri"/>
          <w:sz w:val="32"/>
          <w:szCs w:val="32"/>
          <w:highlight w:val="none"/>
          <w:u w:val="single"/>
        </w:rPr>
        <w:t xml:space="preserve">                                                 </w:t>
      </w:r>
    </w:p>
    <w:p w14:paraId="7BBAE3CA">
      <w:pPr>
        <w:spacing w:line="800" w:lineRule="exact"/>
        <w:ind w:firstLine="2720" w:firstLineChars="850"/>
        <w:rPr>
          <w:rFonts w:ascii="Calibri" w:hAnsi="Calibri"/>
          <w:sz w:val="32"/>
          <w:szCs w:val="32"/>
          <w:highlight w:val="none"/>
          <w:u w:val="single"/>
        </w:rPr>
      </w:pPr>
      <w:r>
        <w:rPr>
          <w:rFonts w:hint="eastAsia" w:ascii="Calibri" w:hAnsi="Calibri"/>
          <w:sz w:val="32"/>
          <w:szCs w:val="32"/>
          <w:highlight w:val="none"/>
        </w:rPr>
        <w:t xml:space="preserve"> (注册造价工程师签字并盖执业专用章)</w:t>
      </w:r>
    </w:p>
    <w:p w14:paraId="0D1E8CE0">
      <w:pPr>
        <w:spacing w:line="800" w:lineRule="exact"/>
        <w:ind w:firstLine="640" w:firstLineChars="200"/>
        <w:rPr>
          <w:rFonts w:ascii="Calibri" w:hAnsi="Calibri"/>
          <w:sz w:val="32"/>
          <w:szCs w:val="32"/>
          <w:highlight w:val="none"/>
        </w:rPr>
      </w:pPr>
    </w:p>
    <w:p w14:paraId="2768937A">
      <w:pPr>
        <w:spacing w:line="800" w:lineRule="exact"/>
        <w:ind w:firstLine="640" w:firstLineChars="200"/>
        <w:rPr>
          <w:rFonts w:ascii="Calibri" w:hAnsi="Calibri"/>
          <w:sz w:val="32"/>
          <w:szCs w:val="32"/>
          <w:highlight w:val="none"/>
        </w:rPr>
      </w:pPr>
      <w:r>
        <w:rPr>
          <w:rFonts w:hint="eastAsia" w:ascii="Calibri" w:hAnsi="Calibri"/>
          <w:sz w:val="32"/>
          <w:szCs w:val="32"/>
          <w:highlight w:val="none"/>
        </w:rPr>
        <w:t>编制时间：</w:t>
      </w:r>
      <w:r>
        <w:rPr>
          <w:rFonts w:hint="eastAsia" w:ascii="Calibri" w:hAnsi="Calibri"/>
          <w:sz w:val="32"/>
          <w:szCs w:val="32"/>
          <w:highlight w:val="none"/>
          <w:u w:val="single"/>
        </w:rPr>
        <w:t xml:space="preserve">             </w:t>
      </w:r>
      <w:r>
        <w:rPr>
          <w:rFonts w:hint="eastAsia" w:ascii="Calibri" w:hAnsi="Calibri"/>
          <w:sz w:val="32"/>
          <w:szCs w:val="32"/>
          <w:highlight w:val="none"/>
        </w:rPr>
        <w:t>年</w:t>
      </w:r>
      <w:r>
        <w:rPr>
          <w:rFonts w:hint="eastAsia" w:ascii="Calibri" w:hAnsi="Calibri"/>
          <w:sz w:val="32"/>
          <w:szCs w:val="32"/>
          <w:highlight w:val="none"/>
          <w:u w:val="single"/>
        </w:rPr>
        <w:t xml:space="preserve">          </w:t>
      </w:r>
      <w:r>
        <w:rPr>
          <w:rFonts w:hint="eastAsia" w:ascii="Calibri" w:hAnsi="Calibri"/>
          <w:sz w:val="32"/>
          <w:szCs w:val="32"/>
          <w:highlight w:val="none"/>
        </w:rPr>
        <w:t>月</w:t>
      </w:r>
      <w:r>
        <w:rPr>
          <w:rFonts w:hint="eastAsia" w:ascii="Calibri" w:hAnsi="Calibri"/>
          <w:sz w:val="32"/>
          <w:szCs w:val="32"/>
          <w:highlight w:val="none"/>
          <w:u w:val="single"/>
        </w:rPr>
        <w:t xml:space="preserve">          </w:t>
      </w:r>
      <w:r>
        <w:rPr>
          <w:rFonts w:hint="eastAsia" w:ascii="Calibri" w:hAnsi="Calibri"/>
          <w:sz w:val="32"/>
          <w:szCs w:val="32"/>
          <w:highlight w:val="none"/>
        </w:rPr>
        <w:t>日</w:t>
      </w:r>
    </w:p>
    <w:p w14:paraId="0E20567A">
      <w:pPr>
        <w:rPr>
          <w:rFonts w:ascii="Calibri" w:hAnsi="Calibri"/>
          <w:sz w:val="32"/>
          <w:szCs w:val="32"/>
          <w:highlight w:val="none"/>
        </w:rPr>
      </w:pPr>
    </w:p>
    <w:p w14:paraId="25DA0702">
      <w:pPr>
        <w:rPr>
          <w:rFonts w:ascii="宋体" w:hAnsi="宋体"/>
          <w:sz w:val="18"/>
          <w:szCs w:val="18"/>
          <w:highlight w:val="none"/>
        </w:rPr>
      </w:pPr>
      <w:r>
        <w:rPr>
          <w:rFonts w:hint="eastAsia" w:ascii="宋体" w:hAnsi="宋体"/>
          <w:sz w:val="18"/>
          <w:szCs w:val="18"/>
          <w:highlight w:val="none"/>
        </w:rPr>
        <w:t>1注：投标文件格式中工程量清单报价书（封面）及投标报价编制人信息表与投标文件制作工具导出文件不一致的，以投标文件格式文件为准。</w:t>
      </w:r>
    </w:p>
    <w:p w14:paraId="158AF5EF">
      <w:pPr>
        <w:jc w:val="center"/>
        <w:rPr>
          <w:rFonts w:hint="eastAsia" w:ascii="宋体" w:hAnsi="宋体"/>
          <w:sz w:val="32"/>
          <w:szCs w:val="32"/>
          <w:highlight w:val="none"/>
        </w:rPr>
      </w:pPr>
    </w:p>
    <w:p w14:paraId="3E802F3D">
      <w:pPr>
        <w:rPr>
          <w:rFonts w:hint="eastAsia" w:ascii="宋体" w:hAnsi="宋体"/>
          <w:sz w:val="32"/>
          <w:szCs w:val="32"/>
          <w:highlight w:val="none"/>
        </w:rPr>
      </w:pPr>
    </w:p>
    <w:p w14:paraId="73C8E6C7">
      <w:pPr>
        <w:jc w:val="center"/>
        <w:rPr>
          <w:rFonts w:ascii="宋体" w:hAnsi="宋体"/>
          <w:sz w:val="32"/>
          <w:szCs w:val="32"/>
          <w:highlight w:val="none"/>
        </w:rPr>
        <w:sectPr>
          <w:footerReference r:id="rId6" w:type="default"/>
          <w:pgSz w:w="11910" w:h="16840"/>
          <w:pgMar w:top="1060" w:right="660" w:bottom="1020" w:left="1120" w:header="0" w:footer="833" w:gutter="0"/>
          <w:pgNumType w:start="1"/>
          <w:cols w:space="720" w:num="1"/>
        </w:sectPr>
      </w:pPr>
    </w:p>
    <w:p w14:paraId="6BE3DC7D">
      <w:pPr>
        <w:jc w:val="center"/>
        <w:rPr>
          <w:rFonts w:hint="eastAsia" w:ascii="宋体" w:hAnsi="宋体"/>
          <w:sz w:val="32"/>
          <w:szCs w:val="32"/>
          <w:highlight w:val="none"/>
        </w:rPr>
      </w:pPr>
    </w:p>
    <w:p w14:paraId="4FFA3562">
      <w:pPr>
        <w:jc w:val="center"/>
        <w:rPr>
          <w:rFonts w:ascii="Calibri" w:hAnsi="Calibri"/>
          <w:sz w:val="32"/>
          <w:szCs w:val="32"/>
          <w:highlight w:val="none"/>
        </w:rPr>
      </w:pPr>
      <w:r>
        <w:rPr>
          <w:rFonts w:hint="eastAsia" w:ascii="宋体" w:hAnsi="宋体"/>
          <w:sz w:val="32"/>
          <w:szCs w:val="32"/>
          <w:highlight w:val="none"/>
        </w:rPr>
        <w:t>②</w:t>
      </w:r>
      <w:r>
        <w:rPr>
          <w:rFonts w:hint="eastAsia" w:ascii="Calibri" w:hAnsi="Calibri"/>
          <w:sz w:val="32"/>
          <w:szCs w:val="32"/>
          <w:highlight w:val="none"/>
        </w:rPr>
        <w:t>投标报价编制人信息表</w:t>
      </w:r>
      <w:r>
        <w:rPr>
          <w:rFonts w:hint="eastAsia" w:ascii="Calibri" w:hAnsi="Calibri"/>
          <w:sz w:val="32"/>
          <w:szCs w:val="32"/>
          <w:highlight w:val="none"/>
          <w:vertAlign w:val="superscript"/>
        </w:rPr>
        <w:t>1</w:t>
      </w:r>
    </w:p>
    <w:p w14:paraId="4E0FE831">
      <w:pPr>
        <w:jc w:val="center"/>
        <w:rPr>
          <w:rFonts w:ascii="Calibri" w:hAnsi="Calibri"/>
          <w:sz w:val="32"/>
          <w:szCs w:val="32"/>
          <w:highlight w:val="none"/>
        </w:rPr>
      </w:pPr>
    </w:p>
    <w:tbl>
      <w:tblPr>
        <w:tblStyle w:val="47"/>
        <w:tblW w:w="10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1216"/>
        <w:gridCol w:w="2951"/>
        <w:gridCol w:w="1737"/>
        <w:gridCol w:w="1563"/>
        <w:gridCol w:w="1967"/>
      </w:tblGrid>
      <w:tr w14:paraId="734C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827" w:type="dxa"/>
            <w:noWrap w:val="0"/>
            <w:vAlign w:val="center"/>
          </w:tcPr>
          <w:p w14:paraId="76C3EEF7">
            <w:pPr>
              <w:jc w:val="center"/>
              <w:rPr>
                <w:rFonts w:ascii="Calibri" w:hAnsi="Calibri"/>
                <w:szCs w:val="22"/>
                <w:highlight w:val="none"/>
              </w:rPr>
            </w:pPr>
            <w:r>
              <w:rPr>
                <w:rFonts w:hint="eastAsia" w:ascii="Calibri" w:hAnsi="Calibri"/>
                <w:szCs w:val="22"/>
                <w:highlight w:val="none"/>
              </w:rPr>
              <w:t>序号</w:t>
            </w:r>
          </w:p>
        </w:tc>
        <w:tc>
          <w:tcPr>
            <w:tcW w:w="1216" w:type="dxa"/>
            <w:noWrap w:val="0"/>
            <w:vAlign w:val="center"/>
          </w:tcPr>
          <w:p w14:paraId="2EAD4517">
            <w:pPr>
              <w:jc w:val="center"/>
              <w:rPr>
                <w:rFonts w:ascii="Calibri" w:hAnsi="Calibri"/>
                <w:szCs w:val="22"/>
                <w:highlight w:val="none"/>
              </w:rPr>
            </w:pPr>
            <w:r>
              <w:rPr>
                <w:rFonts w:hint="eastAsia" w:ascii="Calibri" w:hAnsi="Calibri"/>
                <w:szCs w:val="22"/>
                <w:highlight w:val="none"/>
              </w:rPr>
              <w:t>姓名</w:t>
            </w:r>
          </w:p>
        </w:tc>
        <w:tc>
          <w:tcPr>
            <w:tcW w:w="2951" w:type="dxa"/>
            <w:noWrap w:val="0"/>
            <w:vAlign w:val="center"/>
          </w:tcPr>
          <w:p w14:paraId="2519E21A">
            <w:pPr>
              <w:jc w:val="center"/>
              <w:rPr>
                <w:rFonts w:ascii="Calibri" w:hAnsi="Calibri"/>
                <w:szCs w:val="22"/>
                <w:highlight w:val="none"/>
              </w:rPr>
            </w:pPr>
            <w:r>
              <w:rPr>
                <w:rFonts w:hint="eastAsia" w:ascii="Calibri" w:hAnsi="Calibri"/>
                <w:szCs w:val="22"/>
                <w:highlight w:val="none"/>
              </w:rPr>
              <w:t>身份证号码</w:t>
            </w:r>
          </w:p>
        </w:tc>
        <w:tc>
          <w:tcPr>
            <w:tcW w:w="1737" w:type="dxa"/>
            <w:noWrap w:val="0"/>
            <w:vAlign w:val="center"/>
          </w:tcPr>
          <w:p w14:paraId="29F76927">
            <w:pPr>
              <w:jc w:val="center"/>
              <w:rPr>
                <w:rFonts w:ascii="Calibri" w:hAnsi="Calibri"/>
                <w:szCs w:val="22"/>
                <w:highlight w:val="none"/>
              </w:rPr>
            </w:pPr>
            <w:r>
              <w:rPr>
                <w:rFonts w:hint="eastAsia" w:ascii="Calibri" w:hAnsi="Calibri"/>
                <w:szCs w:val="22"/>
                <w:highlight w:val="none"/>
              </w:rPr>
              <w:t>手机号码</w:t>
            </w:r>
          </w:p>
        </w:tc>
        <w:tc>
          <w:tcPr>
            <w:tcW w:w="1563" w:type="dxa"/>
            <w:noWrap w:val="0"/>
            <w:vAlign w:val="center"/>
          </w:tcPr>
          <w:p w14:paraId="0498F078">
            <w:pPr>
              <w:jc w:val="center"/>
              <w:rPr>
                <w:rFonts w:ascii="Calibri" w:hAnsi="Calibri"/>
                <w:szCs w:val="22"/>
                <w:highlight w:val="none"/>
              </w:rPr>
            </w:pPr>
            <w:r>
              <w:rPr>
                <w:rFonts w:hint="eastAsia" w:ascii="Calibri" w:hAnsi="Calibri"/>
                <w:szCs w:val="22"/>
                <w:highlight w:val="none"/>
              </w:rPr>
              <w:t>单位名称</w:t>
            </w:r>
          </w:p>
        </w:tc>
        <w:tc>
          <w:tcPr>
            <w:tcW w:w="1967" w:type="dxa"/>
            <w:noWrap w:val="0"/>
            <w:vAlign w:val="center"/>
          </w:tcPr>
          <w:p w14:paraId="0B040D36">
            <w:pPr>
              <w:jc w:val="center"/>
              <w:rPr>
                <w:rFonts w:ascii="Calibri" w:hAnsi="Calibri"/>
                <w:szCs w:val="22"/>
                <w:highlight w:val="none"/>
              </w:rPr>
            </w:pPr>
            <w:r>
              <w:rPr>
                <w:rFonts w:hint="eastAsia" w:ascii="Calibri" w:hAnsi="Calibri"/>
                <w:szCs w:val="22"/>
                <w:highlight w:val="none"/>
              </w:rPr>
              <w:t>注册造价工程师注册证书号</w:t>
            </w:r>
          </w:p>
        </w:tc>
      </w:tr>
      <w:tr w14:paraId="0E2F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7" w:type="dxa"/>
            <w:noWrap w:val="0"/>
            <w:vAlign w:val="center"/>
          </w:tcPr>
          <w:p w14:paraId="64773D5B">
            <w:pPr>
              <w:jc w:val="center"/>
              <w:rPr>
                <w:rFonts w:ascii="Calibri" w:hAnsi="Calibri"/>
                <w:szCs w:val="22"/>
                <w:highlight w:val="none"/>
              </w:rPr>
            </w:pPr>
          </w:p>
        </w:tc>
        <w:tc>
          <w:tcPr>
            <w:tcW w:w="1216" w:type="dxa"/>
            <w:noWrap w:val="0"/>
            <w:vAlign w:val="center"/>
          </w:tcPr>
          <w:p w14:paraId="70AA3C12">
            <w:pPr>
              <w:jc w:val="center"/>
              <w:rPr>
                <w:rFonts w:ascii="Calibri" w:hAnsi="Calibri"/>
                <w:szCs w:val="22"/>
                <w:highlight w:val="none"/>
              </w:rPr>
            </w:pPr>
          </w:p>
        </w:tc>
        <w:tc>
          <w:tcPr>
            <w:tcW w:w="2951" w:type="dxa"/>
            <w:noWrap w:val="0"/>
            <w:vAlign w:val="center"/>
          </w:tcPr>
          <w:p w14:paraId="27D03DA0">
            <w:pPr>
              <w:jc w:val="center"/>
              <w:rPr>
                <w:rFonts w:ascii="Calibri" w:hAnsi="Calibri"/>
                <w:szCs w:val="22"/>
                <w:highlight w:val="none"/>
              </w:rPr>
            </w:pPr>
          </w:p>
        </w:tc>
        <w:tc>
          <w:tcPr>
            <w:tcW w:w="1737" w:type="dxa"/>
            <w:noWrap w:val="0"/>
            <w:vAlign w:val="center"/>
          </w:tcPr>
          <w:p w14:paraId="71B2152F">
            <w:pPr>
              <w:jc w:val="center"/>
              <w:rPr>
                <w:rFonts w:ascii="Calibri" w:hAnsi="Calibri"/>
                <w:szCs w:val="22"/>
                <w:highlight w:val="none"/>
              </w:rPr>
            </w:pPr>
          </w:p>
        </w:tc>
        <w:tc>
          <w:tcPr>
            <w:tcW w:w="1563" w:type="dxa"/>
            <w:noWrap w:val="0"/>
            <w:vAlign w:val="center"/>
          </w:tcPr>
          <w:p w14:paraId="56637195">
            <w:pPr>
              <w:jc w:val="center"/>
              <w:rPr>
                <w:rFonts w:ascii="Calibri" w:hAnsi="Calibri"/>
                <w:szCs w:val="22"/>
                <w:highlight w:val="none"/>
              </w:rPr>
            </w:pPr>
          </w:p>
        </w:tc>
        <w:tc>
          <w:tcPr>
            <w:tcW w:w="1967" w:type="dxa"/>
            <w:noWrap w:val="0"/>
            <w:vAlign w:val="center"/>
          </w:tcPr>
          <w:p w14:paraId="309B0DDF">
            <w:pPr>
              <w:jc w:val="center"/>
              <w:rPr>
                <w:rFonts w:ascii="Calibri" w:hAnsi="Calibri"/>
                <w:szCs w:val="22"/>
                <w:highlight w:val="none"/>
              </w:rPr>
            </w:pPr>
          </w:p>
        </w:tc>
      </w:tr>
      <w:tr w14:paraId="43C9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827" w:type="dxa"/>
            <w:noWrap w:val="0"/>
            <w:vAlign w:val="center"/>
          </w:tcPr>
          <w:p w14:paraId="73681B26">
            <w:pPr>
              <w:jc w:val="center"/>
              <w:rPr>
                <w:rFonts w:ascii="Calibri" w:hAnsi="Calibri"/>
                <w:szCs w:val="22"/>
                <w:highlight w:val="none"/>
              </w:rPr>
            </w:pPr>
          </w:p>
        </w:tc>
        <w:tc>
          <w:tcPr>
            <w:tcW w:w="1216" w:type="dxa"/>
            <w:noWrap w:val="0"/>
            <w:vAlign w:val="center"/>
          </w:tcPr>
          <w:p w14:paraId="24FDB299">
            <w:pPr>
              <w:jc w:val="center"/>
              <w:rPr>
                <w:rFonts w:ascii="Calibri" w:hAnsi="Calibri"/>
                <w:szCs w:val="22"/>
                <w:highlight w:val="none"/>
              </w:rPr>
            </w:pPr>
          </w:p>
        </w:tc>
        <w:tc>
          <w:tcPr>
            <w:tcW w:w="2951" w:type="dxa"/>
            <w:noWrap w:val="0"/>
            <w:vAlign w:val="center"/>
          </w:tcPr>
          <w:p w14:paraId="39C811F2">
            <w:pPr>
              <w:jc w:val="center"/>
              <w:rPr>
                <w:rFonts w:ascii="Calibri" w:hAnsi="Calibri"/>
                <w:szCs w:val="22"/>
                <w:highlight w:val="none"/>
              </w:rPr>
            </w:pPr>
          </w:p>
        </w:tc>
        <w:tc>
          <w:tcPr>
            <w:tcW w:w="1737" w:type="dxa"/>
            <w:noWrap w:val="0"/>
            <w:vAlign w:val="center"/>
          </w:tcPr>
          <w:p w14:paraId="561EFFBE">
            <w:pPr>
              <w:jc w:val="center"/>
              <w:rPr>
                <w:rFonts w:ascii="Calibri" w:hAnsi="Calibri"/>
                <w:szCs w:val="22"/>
                <w:highlight w:val="none"/>
              </w:rPr>
            </w:pPr>
          </w:p>
        </w:tc>
        <w:tc>
          <w:tcPr>
            <w:tcW w:w="1563" w:type="dxa"/>
            <w:noWrap w:val="0"/>
            <w:vAlign w:val="center"/>
          </w:tcPr>
          <w:p w14:paraId="03686129">
            <w:pPr>
              <w:jc w:val="center"/>
              <w:rPr>
                <w:rFonts w:ascii="Calibri" w:hAnsi="Calibri"/>
                <w:szCs w:val="22"/>
                <w:highlight w:val="none"/>
              </w:rPr>
            </w:pPr>
          </w:p>
        </w:tc>
        <w:tc>
          <w:tcPr>
            <w:tcW w:w="1967" w:type="dxa"/>
            <w:noWrap w:val="0"/>
            <w:vAlign w:val="center"/>
          </w:tcPr>
          <w:p w14:paraId="7663A0DE">
            <w:pPr>
              <w:jc w:val="center"/>
              <w:rPr>
                <w:rFonts w:ascii="Calibri" w:hAnsi="Calibri"/>
                <w:szCs w:val="22"/>
                <w:highlight w:val="none"/>
              </w:rPr>
            </w:pPr>
          </w:p>
        </w:tc>
      </w:tr>
    </w:tbl>
    <w:p w14:paraId="1C3498CD">
      <w:pPr>
        <w:rPr>
          <w:rFonts w:ascii="宋体" w:hAnsi="宋体"/>
          <w:b/>
          <w:sz w:val="24"/>
          <w:highlight w:val="none"/>
        </w:rPr>
      </w:pPr>
    </w:p>
    <w:p w14:paraId="0E3B9A49">
      <w:pPr>
        <w:spacing w:line="560" w:lineRule="exact"/>
        <w:rPr>
          <w:rFonts w:ascii="宋体" w:hAnsi="宋体"/>
          <w:b/>
          <w:sz w:val="24"/>
          <w:highlight w:val="none"/>
        </w:rPr>
      </w:pPr>
      <w:r>
        <w:rPr>
          <w:rFonts w:hint="eastAsia" w:ascii="宋体" w:hAnsi="宋体"/>
          <w:b/>
          <w:sz w:val="24"/>
          <w:highlight w:val="none"/>
        </w:rPr>
        <w:t>注：</w:t>
      </w:r>
    </w:p>
    <w:p w14:paraId="617A53C3">
      <w:pPr>
        <w:spacing w:line="560" w:lineRule="exact"/>
        <w:rPr>
          <w:rFonts w:ascii="宋体" w:hAnsi="宋体"/>
          <w:sz w:val="24"/>
          <w:highlight w:val="none"/>
        </w:rPr>
      </w:pPr>
      <w:r>
        <w:rPr>
          <w:rFonts w:hint="eastAsia" w:ascii="宋体" w:hAnsi="宋体"/>
          <w:sz w:val="24"/>
          <w:highlight w:val="none"/>
        </w:rPr>
        <w:t>1. 提供投标报价编制人员的注册造价工程师证书扫描件或影印件；</w:t>
      </w:r>
    </w:p>
    <w:p w14:paraId="6D22DC2A">
      <w:pPr>
        <w:spacing w:line="560" w:lineRule="exact"/>
        <w:rPr>
          <w:rFonts w:ascii="宋体" w:hAnsi="宋体"/>
          <w:sz w:val="24"/>
          <w:highlight w:val="none"/>
        </w:rPr>
      </w:pPr>
      <w:r>
        <w:rPr>
          <w:rFonts w:hint="eastAsia" w:ascii="宋体" w:hAnsi="宋体"/>
          <w:sz w:val="24"/>
          <w:highlight w:val="none"/>
        </w:rPr>
        <w:t>2. 若投标报价编制人员为投标人委托的造价咨询单位注册造价人员，须提供与造价咨询单位签订的委托协议。</w:t>
      </w:r>
    </w:p>
    <w:p w14:paraId="3614E8A5">
      <w:pPr>
        <w:spacing w:line="560" w:lineRule="exact"/>
        <w:rPr>
          <w:rFonts w:ascii="宋体" w:hAnsi="宋体"/>
          <w:sz w:val="24"/>
          <w:highlight w:val="none"/>
        </w:rPr>
      </w:pPr>
      <w:r>
        <w:rPr>
          <w:rFonts w:hint="eastAsia" w:ascii="宋体" w:hAnsi="宋体"/>
          <w:sz w:val="24"/>
          <w:highlight w:val="none"/>
        </w:rPr>
        <w:t>3. 表格内容将作为公安机关和行政主管部门调查串通投标、允许他人以自己名义从事工程造价业务等违法违规行为的重要依据。</w:t>
      </w:r>
    </w:p>
    <w:p w14:paraId="73668EF9">
      <w:pPr>
        <w:spacing w:line="560" w:lineRule="exact"/>
        <w:rPr>
          <w:rFonts w:ascii="宋体" w:hAnsi="宋体"/>
          <w:sz w:val="24"/>
          <w:highlight w:val="none"/>
        </w:rPr>
      </w:pPr>
      <w:r>
        <w:rPr>
          <w:rFonts w:hint="eastAsia" w:ascii="宋体" w:hAnsi="宋体"/>
          <w:sz w:val="24"/>
          <w:highlight w:val="none"/>
        </w:rPr>
        <w:t>4. 投标人填写内容务必真实准确，否则将承担投标失败、中标无效的风险。</w:t>
      </w:r>
    </w:p>
    <w:p w14:paraId="081E94DD">
      <w:pPr>
        <w:spacing w:line="560" w:lineRule="exact"/>
        <w:rPr>
          <w:rFonts w:ascii="宋体" w:hAnsi="宋体"/>
          <w:sz w:val="24"/>
          <w:highlight w:val="none"/>
        </w:rPr>
      </w:pPr>
    </w:p>
    <w:p w14:paraId="69A73CA9">
      <w:pPr>
        <w:spacing w:line="560" w:lineRule="exact"/>
        <w:rPr>
          <w:rFonts w:ascii="宋体" w:hAnsi="宋体"/>
          <w:sz w:val="24"/>
          <w:highlight w:val="none"/>
        </w:rPr>
      </w:pPr>
    </w:p>
    <w:p w14:paraId="3EBDA530">
      <w:pPr>
        <w:spacing w:line="560" w:lineRule="exact"/>
        <w:ind w:firstLine="480" w:firstLineChars="200"/>
        <w:rPr>
          <w:rFonts w:ascii="宋体" w:hAnsi="宋体"/>
          <w:sz w:val="24"/>
          <w:highlight w:val="none"/>
        </w:rPr>
      </w:pPr>
      <w:r>
        <w:rPr>
          <w:rFonts w:hint="eastAsia" w:ascii="宋体" w:hAnsi="宋体"/>
          <w:sz w:val="24"/>
          <w:highlight w:val="none"/>
        </w:rPr>
        <w:t>③工程量清单报价书正文格式：见2018版“工程量清单计价文件”格式，在滁州市公共资源交易中心网站下载招标文件后，使用投标文件制作工具导出“招标清单文件”，即为“工程量清单计价文件”正文格式。</w:t>
      </w:r>
    </w:p>
    <w:p w14:paraId="7ACE6453">
      <w:pPr>
        <w:pStyle w:val="4"/>
        <w:adjustRightInd w:val="0"/>
        <w:snapToGrid w:val="0"/>
        <w:spacing w:before="0" w:after="0" w:line="560" w:lineRule="exact"/>
        <w:jc w:val="center"/>
        <w:rPr>
          <w:rFonts w:hint="eastAsia"/>
          <w:color w:val="000000"/>
          <w:highlight w:val="none"/>
        </w:rPr>
      </w:pPr>
      <w:bookmarkStart w:id="963" w:name="_Toc95223546"/>
    </w:p>
    <w:bookmarkEnd w:id="963"/>
    <w:p w14:paraId="65A7D629">
      <w:pPr>
        <w:rPr>
          <w:rFonts w:hint="eastAsia"/>
          <w:bCs/>
          <w:szCs w:val="32"/>
          <w:highlight w:val="none"/>
        </w:rPr>
      </w:pPr>
      <w:r>
        <w:rPr>
          <w:rFonts w:hint="eastAsia"/>
          <w:bCs/>
          <w:szCs w:val="32"/>
          <w:highlight w:val="none"/>
        </w:rPr>
        <w:br w:type="page"/>
      </w:r>
    </w:p>
    <w:p w14:paraId="2D014E15">
      <w:pPr>
        <w:pStyle w:val="4"/>
        <w:adjustRightInd w:val="0"/>
        <w:snapToGrid w:val="0"/>
        <w:spacing w:before="0" w:after="0" w:line="560" w:lineRule="exact"/>
        <w:jc w:val="center"/>
        <w:rPr>
          <w:b/>
          <w:color w:val="000000"/>
          <w:sz w:val="5"/>
          <w:highlight w:val="none"/>
        </w:rPr>
      </w:pPr>
      <w:bookmarkStart w:id="964" w:name="_Toc95223545"/>
      <w:r>
        <w:rPr>
          <w:rFonts w:hint="eastAsia"/>
          <w:color w:val="000000"/>
          <w:highlight w:val="none"/>
        </w:rPr>
        <w:t>（3）</w:t>
      </w:r>
      <w:r>
        <w:rPr>
          <w:color w:val="000000"/>
          <w:highlight w:val="none"/>
        </w:rPr>
        <w:t>招标人推荐的材料品牌响应表</w:t>
      </w:r>
      <w:bookmarkEnd w:id="964"/>
    </w:p>
    <w:tbl>
      <w:tblPr>
        <w:tblStyle w:val="47"/>
        <w:tblW w:w="7816" w:type="dxa"/>
        <w:tblInd w:w="9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6"/>
        <w:gridCol w:w="1685"/>
        <w:gridCol w:w="794"/>
        <w:gridCol w:w="794"/>
        <w:gridCol w:w="794"/>
        <w:gridCol w:w="791"/>
        <w:gridCol w:w="635"/>
        <w:gridCol w:w="1687"/>
      </w:tblGrid>
      <w:tr w14:paraId="4E908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636" w:type="dxa"/>
            <w:noWrap w:val="0"/>
            <w:vAlign w:val="top"/>
          </w:tcPr>
          <w:p w14:paraId="39996DDF">
            <w:pPr>
              <w:pStyle w:val="92"/>
              <w:adjustRightInd w:val="0"/>
              <w:snapToGrid w:val="0"/>
              <w:spacing w:line="560" w:lineRule="exact"/>
              <w:jc w:val="center"/>
              <w:rPr>
                <w:rFonts w:hint="eastAsia" w:ascii="黑体" w:eastAsia="黑体"/>
                <w:color w:val="000000"/>
                <w:highlight w:val="none"/>
              </w:rPr>
            </w:pPr>
            <w:r>
              <w:rPr>
                <w:rFonts w:hint="eastAsia" w:ascii="黑体" w:eastAsia="黑体"/>
                <w:color w:val="000000"/>
                <w:highlight w:val="none"/>
              </w:rPr>
              <w:t>序号</w:t>
            </w:r>
          </w:p>
        </w:tc>
        <w:tc>
          <w:tcPr>
            <w:tcW w:w="1685" w:type="dxa"/>
            <w:noWrap w:val="0"/>
            <w:vAlign w:val="top"/>
          </w:tcPr>
          <w:p w14:paraId="47D19956">
            <w:pPr>
              <w:pStyle w:val="92"/>
              <w:adjustRightInd w:val="0"/>
              <w:snapToGrid w:val="0"/>
              <w:spacing w:line="560" w:lineRule="exact"/>
              <w:rPr>
                <w:rFonts w:hint="eastAsia" w:ascii="黑体" w:eastAsia="黑体"/>
                <w:color w:val="000000"/>
                <w:highlight w:val="none"/>
              </w:rPr>
            </w:pPr>
            <w:r>
              <w:rPr>
                <w:rFonts w:hint="eastAsia" w:ascii="黑体" w:eastAsia="黑体"/>
                <w:color w:val="000000"/>
                <w:highlight w:val="none"/>
              </w:rPr>
              <w:t>材料、设备名称</w:t>
            </w:r>
          </w:p>
        </w:tc>
        <w:tc>
          <w:tcPr>
            <w:tcW w:w="794" w:type="dxa"/>
            <w:noWrap w:val="0"/>
            <w:vAlign w:val="top"/>
          </w:tcPr>
          <w:p w14:paraId="6DBFA5C4">
            <w:pPr>
              <w:pStyle w:val="92"/>
              <w:adjustRightInd w:val="0"/>
              <w:snapToGrid w:val="0"/>
              <w:spacing w:line="560" w:lineRule="exact"/>
              <w:rPr>
                <w:rFonts w:hint="eastAsia" w:ascii="黑体" w:eastAsia="黑体"/>
                <w:color w:val="000000"/>
                <w:highlight w:val="none"/>
              </w:rPr>
            </w:pPr>
            <w:r>
              <w:rPr>
                <w:rFonts w:hint="eastAsia" w:ascii="黑体" w:eastAsia="黑体"/>
                <w:color w:val="000000"/>
                <w:highlight w:val="none"/>
              </w:rPr>
              <w:t>品牌 1</w:t>
            </w:r>
          </w:p>
        </w:tc>
        <w:tc>
          <w:tcPr>
            <w:tcW w:w="794" w:type="dxa"/>
            <w:noWrap w:val="0"/>
            <w:vAlign w:val="top"/>
          </w:tcPr>
          <w:p w14:paraId="330A1126">
            <w:pPr>
              <w:pStyle w:val="92"/>
              <w:adjustRightInd w:val="0"/>
              <w:snapToGrid w:val="0"/>
              <w:spacing w:line="560" w:lineRule="exact"/>
              <w:rPr>
                <w:rFonts w:hint="eastAsia" w:ascii="黑体" w:eastAsia="黑体"/>
                <w:color w:val="000000"/>
                <w:highlight w:val="none"/>
              </w:rPr>
            </w:pPr>
            <w:r>
              <w:rPr>
                <w:rFonts w:hint="eastAsia" w:ascii="黑体" w:eastAsia="黑体"/>
                <w:color w:val="000000"/>
                <w:highlight w:val="none"/>
              </w:rPr>
              <w:t>品牌 2</w:t>
            </w:r>
          </w:p>
        </w:tc>
        <w:tc>
          <w:tcPr>
            <w:tcW w:w="794" w:type="dxa"/>
            <w:noWrap w:val="0"/>
            <w:vAlign w:val="top"/>
          </w:tcPr>
          <w:p w14:paraId="5E6D066E">
            <w:pPr>
              <w:pStyle w:val="92"/>
              <w:adjustRightInd w:val="0"/>
              <w:snapToGrid w:val="0"/>
              <w:spacing w:line="560" w:lineRule="exact"/>
              <w:rPr>
                <w:rFonts w:hint="eastAsia" w:ascii="黑体" w:eastAsia="黑体"/>
                <w:color w:val="000000"/>
                <w:highlight w:val="none"/>
              </w:rPr>
            </w:pPr>
            <w:r>
              <w:rPr>
                <w:rFonts w:hint="eastAsia" w:ascii="黑体" w:eastAsia="黑体"/>
                <w:color w:val="000000"/>
                <w:highlight w:val="none"/>
              </w:rPr>
              <w:t>品牌 3</w:t>
            </w:r>
          </w:p>
        </w:tc>
        <w:tc>
          <w:tcPr>
            <w:tcW w:w="791" w:type="dxa"/>
            <w:noWrap w:val="0"/>
            <w:vAlign w:val="top"/>
          </w:tcPr>
          <w:p w14:paraId="3A8C7568">
            <w:pPr>
              <w:pStyle w:val="92"/>
              <w:adjustRightInd w:val="0"/>
              <w:snapToGrid w:val="0"/>
              <w:spacing w:line="560" w:lineRule="exact"/>
              <w:rPr>
                <w:rFonts w:hint="eastAsia" w:ascii="黑体" w:eastAsia="黑体"/>
                <w:color w:val="000000"/>
                <w:highlight w:val="none"/>
              </w:rPr>
            </w:pPr>
            <w:r>
              <w:rPr>
                <w:rFonts w:hint="eastAsia" w:ascii="黑体" w:eastAsia="黑体"/>
                <w:color w:val="000000"/>
                <w:highlight w:val="none"/>
              </w:rPr>
              <w:t>品牌 4</w:t>
            </w:r>
          </w:p>
        </w:tc>
        <w:tc>
          <w:tcPr>
            <w:tcW w:w="635" w:type="dxa"/>
            <w:noWrap w:val="0"/>
            <w:vAlign w:val="top"/>
          </w:tcPr>
          <w:p w14:paraId="09FB6642">
            <w:pPr>
              <w:pStyle w:val="92"/>
              <w:adjustRightInd w:val="0"/>
              <w:snapToGrid w:val="0"/>
              <w:spacing w:line="560" w:lineRule="exact"/>
              <w:rPr>
                <w:rFonts w:hint="eastAsia" w:ascii="黑体" w:eastAsia="黑体"/>
                <w:color w:val="000000"/>
                <w:highlight w:val="none"/>
              </w:rPr>
            </w:pPr>
            <w:r>
              <w:rPr>
                <w:rFonts w:hint="eastAsia" w:ascii="黑体" w:eastAsia="黑体"/>
                <w:color w:val="000000"/>
                <w:highlight w:val="none"/>
              </w:rPr>
              <w:t>备注</w:t>
            </w:r>
          </w:p>
        </w:tc>
        <w:tc>
          <w:tcPr>
            <w:tcW w:w="1687" w:type="dxa"/>
            <w:noWrap w:val="0"/>
            <w:vAlign w:val="top"/>
          </w:tcPr>
          <w:p w14:paraId="296EB794">
            <w:pPr>
              <w:pStyle w:val="92"/>
              <w:adjustRightInd w:val="0"/>
              <w:snapToGrid w:val="0"/>
              <w:spacing w:line="560" w:lineRule="exact"/>
              <w:rPr>
                <w:rFonts w:hint="eastAsia" w:ascii="黑体" w:eastAsia="黑体"/>
                <w:color w:val="000000"/>
                <w:highlight w:val="none"/>
              </w:rPr>
            </w:pPr>
            <w:r>
              <w:rPr>
                <w:rFonts w:hint="eastAsia" w:ascii="黑体" w:eastAsia="黑体"/>
                <w:color w:val="000000"/>
                <w:highlight w:val="none"/>
              </w:rPr>
              <w:t>投标人选定品牌</w:t>
            </w:r>
          </w:p>
        </w:tc>
      </w:tr>
      <w:tr w14:paraId="6DB09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43DE0776">
            <w:pPr>
              <w:pStyle w:val="92"/>
              <w:adjustRightInd w:val="0"/>
              <w:snapToGrid w:val="0"/>
              <w:spacing w:line="560" w:lineRule="exact"/>
              <w:jc w:val="center"/>
              <w:rPr>
                <w:color w:val="000000"/>
                <w:highlight w:val="none"/>
              </w:rPr>
            </w:pPr>
            <w:r>
              <w:rPr>
                <w:color w:val="000000"/>
                <w:highlight w:val="none"/>
              </w:rPr>
              <w:t>1</w:t>
            </w:r>
          </w:p>
        </w:tc>
        <w:tc>
          <w:tcPr>
            <w:tcW w:w="1685" w:type="dxa"/>
            <w:noWrap w:val="0"/>
            <w:vAlign w:val="top"/>
          </w:tcPr>
          <w:p w14:paraId="61F8B33B">
            <w:pPr>
              <w:pStyle w:val="92"/>
              <w:adjustRightInd w:val="0"/>
              <w:snapToGrid w:val="0"/>
              <w:spacing w:line="560" w:lineRule="exact"/>
              <w:rPr>
                <w:rFonts w:ascii="Times New Roman"/>
                <w:color w:val="000000"/>
                <w:sz w:val="20"/>
                <w:highlight w:val="none"/>
              </w:rPr>
            </w:pPr>
          </w:p>
        </w:tc>
        <w:tc>
          <w:tcPr>
            <w:tcW w:w="794" w:type="dxa"/>
            <w:noWrap w:val="0"/>
            <w:vAlign w:val="top"/>
          </w:tcPr>
          <w:p w14:paraId="366AE7C8">
            <w:pPr>
              <w:pStyle w:val="92"/>
              <w:adjustRightInd w:val="0"/>
              <w:snapToGrid w:val="0"/>
              <w:spacing w:line="560" w:lineRule="exact"/>
              <w:rPr>
                <w:rFonts w:ascii="Times New Roman"/>
                <w:color w:val="000000"/>
                <w:sz w:val="20"/>
                <w:highlight w:val="none"/>
              </w:rPr>
            </w:pPr>
          </w:p>
        </w:tc>
        <w:tc>
          <w:tcPr>
            <w:tcW w:w="794" w:type="dxa"/>
            <w:noWrap w:val="0"/>
            <w:vAlign w:val="top"/>
          </w:tcPr>
          <w:p w14:paraId="120F996F">
            <w:pPr>
              <w:pStyle w:val="92"/>
              <w:adjustRightInd w:val="0"/>
              <w:snapToGrid w:val="0"/>
              <w:spacing w:line="560" w:lineRule="exact"/>
              <w:rPr>
                <w:rFonts w:ascii="Times New Roman"/>
                <w:color w:val="000000"/>
                <w:sz w:val="20"/>
                <w:highlight w:val="none"/>
              </w:rPr>
            </w:pPr>
          </w:p>
        </w:tc>
        <w:tc>
          <w:tcPr>
            <w:tcW w:w="794" w:type="dxa"/>
            <w:noWrap w:val="0"/>
            <w:vAlign w:val="top"/>
          </w:tcPr>
          <w:p w14:paraId="7404B5D9">
            <w:pPr>
              <w:pStyle w:val="92"/>
              <w:adjustRightInd w:val="0"/>
              <w:snapToGrid w:val="0"/>
              <w:spacing w:line="560" w:lineRule="exact"/>
              <w:rPr>
                <w:rFonts w:ascii="Times New Roman"/>
                <w:color w:val="000000"/>
                <w:sz w:val="20"/>
                <w:highlight w:val="none"/>
              </w:rPr>
            </w:pPr>
          </w:p>
        </w:tc>
        <w:tc>
          <w:tcPr>
            <w:tcW w:w="791" w:type="dxa"/>
            <w:noWrap w:val="0"/>
            <w:vAlign w:val="top"/>
          </w:tcPr>
          <w:p w14:paraId="691065A0">
            <w:pPr>
              <w:pStyle w:val="92"/>
              <w:adjustRightInd w:val="0"/>
              <w:snapToGrid w:val="0"/>
              <w:spacing w:line="560" w:lineRule="exact"/>
              <w:rPr>
                <w:rFonts w:ascii="Times New Roman"/>
                <w:color w:val="000000"/>
                <w:sz w:val="20"/>
                <w:highlight w:val="none"/>
              </w:rPr>
            </w:pPr>
          </w:p>
        </w:tc>
        <w:tc>
          <w:tcPr>
            <w:tcW w:w="635" w:type="dxa"/>
            <w:noWrap w:val="0"/>
            <w:vAlign w:val="top"/>
          </w:tcPr>
          <w:p w14:paraId="21F15A4E">
            <w:pPr>
              <w:pStyle w:val="92"/>
              <w:adjustRightInd w:val="0"/>
              <w:snapToGrid w:val="0"/>
              <w:spacing w:line="560" w:lineRule="exact"/>
              <w:rPr>
                <w:rFonts w:ascii="Times New Roman"/>
                <w:color w:val="000000"/>
                <w:sz w:val="20"/>
                <w:highlight w:val="none"/>
              </w:rPr>
            </w:pPr>
          </w:p>
        </w:tc>
        <w:tc>
          <w:tcPr>
            <w:tcW w:w="1687" w:type="dxa"/>
            <w:noWrap w:val="0"/>
            <w:vAlign w:val="top"/>
          </w:tcPr>
          <w:p w14:paraId="6A6C8313">
            <w:pPr>
              <w:pStyle w:val="92"/>
              <w:adjustRightInd w:val="0"/>
              <w:snapToGrid w:val="0"/>
              <w:spacing w:line="560" w:lineRule="exact"/>
              <w:rPr>
                <w:rFonts w:ascii="Times New Roman"/>
                <w:color w:val="000000"/>
                <w:sz w:val="20"/>
                <w:highlight w:val="none"/>
              </w:rPr>
            </w:pPr>
          </w:p>
        </w:tc>
      </w:tr>
      <w:tr w14:paraId="5A8CF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0A0759EC">
            <w:pPr>
              <w:pStyle w:val="92"/>
              <w:adjustRightInd w:val="0"/>
              <w:snapToGrid w:val="0"/>
              <w:spacing w:line="560" w:lineRule="exact"/>
              <w:jc w:val="center"/>
              <w:rPr>
                <w:color w:val="000000"/>
                <w:highlight w:val="none"/>
              </w:rPr>
            </w:pPr>
            <w:r>
              <w:rPr>
                <w:color w:val="000000"/>
                <w:highlight w:val="none"/>
              </w:rPr>
              <w:t>2</w:t>
            </w:r>
          </w:p>
        </w:tc>
        <w:tc>
          <w:tcPr>
            <w:tcW w:w="1685" w:type="dxa"/>
            <w:noWrap w:val="0"/>
            <w:vAlign w:val="top"/>
          </w:tcPr>
          <w:p w14:paraId="2A78BDA5">
            <w:pPr>
              <w:pStyle w:val="92"/>
              <w:adjustRightInd w:val="0"/>
              <w:snapToGrid w:val="0"/>
              <w:spacing w:line="560" w:lineRule="exact"/>
              <w:rPr>
                <w:rFonts w:ascii="Times New Roman"/>
                <w:color w:val="000000"/>
                <w:sz w:val="20"/>
                <w:highlight w:val="none"/>
              </w:rPr>
            </w:pPr>
          </w:p>
        </w:tc>
        <w:tc>
          <w:tcPr>
            <w:tcW w:w="794" w:type="dxa"/>
            <w:noWrap w:val="0"/>
            <w:vAlign w:val="top"/>
          </w:tcPr>
          <w:p w14:paraId="73DC44F9">
            <w:pPr>
              <w:pStyle w:val="92"/>
              <w:adjustRightInd w:val="0"/>
              <w:snapToGrid w:val="0"/>
              <w:spacing w:line="560" w:lineRule="exact"/>
              <w:rPr>
                <w:rFonts w:ascii="Times New Roman"/>
                <w:color w:val="000000"/>
                <w:sz w:val="20"/>
                <w:highlight w:val="none"/>
              </w:rPr>
            </w:pPr>
          </w:p>
        </w:tc>
        <w:tc>
          <w:tcPr>
            <w:tcW w:w="794" w:type="dxa"/>
            <w:noWrap w:val="0"/>
            <w:vAlign w:val="top"/>
          </w:tcPr>
          <w:p w14:paraId="6A028669">
            <w:pPr>
              <w:pStyle w:val="92"/>
              <w:adjustRightInd w:val="0"/>
              <w:snapToGrid w:val="0"/>
              <w:spacing w:line="560" w:lineRule="exact"/>
              <w:rPr>
                <w:rFonts w:ascii="Times New Roman"/>
                <w:color w:val="000000"/>
                <w:sz w:val="20"/>
                <w:highlight w:val="none"/>
              </w:rPr>
            </w:pPr>
          </w:p>
        </w:tc>
        <w:tc>
          <w:tcPr>
            <w:tcW w:w="794" w:type="dxa"/>
            <w:noWrap w:val="0"/>
            <w:vAlign w:val="top"/>
          </w:tcPr>
          <w:p w14:paraId="2D9BDD26">
            <w:pPr>
              <w:pStyle w:val="92"/>
              <w:adjustRightInd w:val="0"/>
              <w:snapToGrid w:val="0"/>
              <w:spacing w:line="560" w:lineRule="exact"/>
              <w:rPr>
                <w:rFonts w:ascii="Times New Roman"/>
                <w:color w:val="000000"/>
                <w:sz w:val="20"/>
                <w:highlight w:val="none"/>
              </w:rPr>
            </w:pPr>
          </w:p>
        </w:tc>
        <w:tc>
          <w:tcPr>
            <w:tcW w:w="791" w:type="dxa"/>
            <w:noWrap w:val="0"/>
            <w:vAlign w:val="top"/>
          </w:tcPr>
          <w:p w14:paraId="297099B4">
            <w:pPr>
              <w:pStyle w:val="92"/>
              <w:adjustRightInd w:val="0"/>
              <w:snapToGrid w:val="0"/>
              <w:spacing w:line="560" w:lineRule="exact"/>
              <w:rPr>
                <w:rFonts w:ascii="Times New Roman"/>
                <w:color w:val="000000"/>
                <w:sz w:val="20"/>
                <w:highlight w:val="none"/>
              </w:rPr>
            </w:pPr>
          </w:p>
        </w:tc>
        <w:tc>
          <w:tcPr>
            <w:tcW w:w="635" w:type="dxa"/>
            <w:noWrap w:val="0"/>
            <w:vAlign w:val="top"/>
          </w:tcPr>
          <w:p w14:paraId="703E8F17">
            <w:pPr>
              <w:pStyle w:val="92"/>
              <w:adjustRightInd w:val="0"/>
              <w:snapToGrid w:val="0"/>
              <w:spacing w:line="560" w:lineRule="exact"/>
              <w:rPr>
                <w:rFonts w:ascii="Times New Roman"/>
                <w:color w:val="000000"/>
                <w:sz w:val="20"/>
                <w:highlight w:val="none"/>
              </w:rPr>
            </w:pPr>
          </w:p>
        </w:tc>
        <w:tc>
          <w:tcPr>
            <w:tcW w:w="1687" w:type="dxa"/>
            <w:noWrap w:val="0"/>
            <w:vAlign w:val="top"/>
          </w:tcPr>
          <w:p w14:paraId="4AADEC56">
            <w:pPr>
              <w:pStyle w:val="92"/>
              <w:adjustRightInd w:val="0"/>
              <w:snapToGrid w:val="0"/>
              <w:spacing w:line="560" w:lineRule="exact"/>
              <w:rPr>
                <w:rFonts w:ascii="Times New Roman"/>
                <w:color w:val="000000"/>
                <w:sz w:val="20"/>
                <w:highlight w:val="none"/>
              </w:rPr>
            </w:pPr>
          </w:p>
        </w:tc>
      </w:tr>
      <w:tr w14:paraId="58D73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36" w:type="dxa"/>
            <w:tcBorders>
              <w:bottom w:val="single" w:color="000000" w:sz="6" w:space="0"/>
            </w:tcBorders>
            <w:noWrap w:val="0"/>
            <w:vAlign w:val="top"/>
          </w:tcPr>
          <w:p w14:paraId="0F5E9CCC">
            <w:pPr>
              <w:pStyle w:val="92"/>
              <w:adjustRightInd w:val="0"/>
              <w:snapToGrid w:val="0"/>
              <w:spacing w:line="560" w:lineRule="exact"/>
              <w:jc w:val="center"/>
              <w:rPr>
                <w:color w:val="000000"/>
                <w:highlight w:val="none"/>
              </w:rPr>
            </w:pPr>
          </w:p>
        </w:tc>
        <w:tc>
          <w:tcPr>
            <w:tcW w:w="1685" w:type="dxa"/>
            <w:tcBorders>
              <w:bottom w:val="single" w:color="000000" w:sz="6" w:space="0"/>
            </w:tcBorders>
            <w:noWrap w:val="0"/>
            <w:vAlign w:val="top"/>
          </w:tcPr>
          <w:p w14:paraId="450DC52B">
            <w:pPr>
              <w:pStyle w:val="92"/>
              <w:adjustRightInd w:val="0"/>
              <w:snapToGrid w:val="0"/>
              <w:spacing w:line="560" w:lineRule="exact"/>
              <w:rPr>
                <w:rFonts w:ascii="Times New Roman"/>
                <w:color w:val="000000"/>
                <w:sz w:val="20"/>
                <w:highlight w:val="none"/>
              </w:rPr>
            </w:pPr>
          </w:p>
        </w:tc>
        <w:tc>
          <w:tcPr>
            <w:tcW w:w="794" w:type="dxa"/>
            <w:tcBorders>
              <w:bottom w:val="single" w:color="000000" w:sz="6" w:space="0"/>
            </w:tcBorders>
            <w:noWrap w:val="0"/>
            <w:vAlign w:val="top"/>
          </w:tcPr>
          <w:p w14:paraId="301FCA62">
            <w:pPr>
              <w:pStyle w:val="92"/>
              <w:adjustRightInd w:val="0"/>
              <w:snapToGrid w:val="0"/>
              <w:spacing w:line="560" w:lineRule="exact"/>
              <w:rPr>
                <w:rFonts w:ascii="Times New Roman"/>
                <w:color w:val="000000"/>
                <w:sz w:val="20"/>
                <w:highlight w:val="none"/>
              </w:rPr>
            </w:pPr>
          </w:p>
        </w:tc>
        <w:tc>
          <w:tcPr>
            <w:tcW w:w="794" w:type="dxa"/>
            <w:tcBorders>
              <w:bottom w:val="single" w:color="000000" w:sz="6" w:space="0"/>
            </w:tcBorders>
            <w:noWrap w:val="0"/>
            <w:vAlign w:val="top"/>
          </w:tcPr>
          <w:p w14:paraId="09CFE58C">
            <w:pPr>
              <w:pStyle w:val="92"/>
              <w:adjustRightInd w:val="0"/>
              <w:snapToGrid w:val="0"/>
              <w:spacing w:line="560" w:lineRule="exact"/>
              <w:rPr>
                <w:rFonts w:ascii="Times New Roman"/>
                <w:color w:val="000000"/>
                <w:sz w:val="20"/>
                <w:highlight w:val="none"/>
              </w:rPr>
            </w:pPr>
          </w:p>
        </w:tc>
        <w:tc>
          <w:tcPr>
            <w:tcW w:w="794" w:type="dxa"/>
            <w:tcBorders>
              <w:bottom w:val="single" w:color="000000" w:sz="6" w:space="0"/>
            </w:tcBorders>
            <w:noWrap w:val="0"/>
            <w:vAlign w:val="top"/>
          </w:tcPr>
          <w:p w14:paraId="67183585">
            <w:pPr>
              <w:pStyle w:val="92"/>
              <w:adjustRightInd w:val="0"/>
              <w:snapToGrid w:val="0"/>
              <w:spacing w:line="560" w:lineRule="exact"/>
              <w:rPr>
                <w:rFonts w:ascii="Times New Roman"/>
                <w:color w:val="000000"/>
                <w:sz w:val="20"/>
                <w:highlight w:val="none"/>
              </w:rPr>
            </w:pPr>
          </w:p>
        </w:tc>
        <w:tc>
          <w:tcPr>
            <w:tcW w:w="791" w:type="dxa"/>
            <w:tcBorders>
              <w:bottom w:val="single" w:color="000000" w:sz="6" w:space="0"/>
            </w:tcBorders>
            <w:noWrap w:val="0"/>
            <w:vAlign w:val="top"/>
          </w:tcPr>
          <w:p w14:paraId="0269B4C9">
            <w:pPr>
              <w:pStyle w:val="92"/>
              <w:adjustRightInd w:val="0"/>
              <w:snapToGrid w:val="0"/>
              <w:spacing w:line="560" w:lineRule="exact"/>
              <w:rPr>
                <w:rFonts w:ascii="Times New Roman"/>
                <w:color w:val="000000"/>
                <w:sz w:val="20"/>
                <w:highlight w:val="none"/>
              </w:rPr>
            </w:pPr>
          </w:p>
        </w:tc>
        <w:tc>
          <w:tcPr>
            <w:tcW w:w="635" w:type="dxa"/>
            <w:tcBorders>
              <w:bottom w:val="single" w:color="000000" w:sz="6" w:space="0"/>
            </w:tcBorders>
            <w:noWrap w:val="0"/>
            <w:vAlign w:val="top"/>
          </w:tcPr>
          <w:p w14:paraId="17B17CEC">
            <w:pPr>
              <w:pStyle w:val="92"/>
              <w:adjustRightInd w:val="0"/>
              <w:snapToGrid w:val="0"/>
              <w:spacing w:line="560" w:lineRule="exact"/>
              <w:rPr>
                <w:rFonts w:ascii="Times New Roman"/>
                <w:color w:val="000000"/>
                <w:sz w:val="20"/>
                <w:highlight w:val="none"/>
              </w:rPr>
            </w:pPr>
          </w:p>
        </w:tc>
        <w:tc>
          <w:tcPr>
            <w:tcW w:w="1687" w:type="dxa"/>
            <w:tcBorders>
              <w:bottom w:val="single" w:color="000000" w:sz="6" w:space="0"/>
            </w:tcBorders>
            <w:noWrap w:val="0"/>
            <w:vAlign w:val="top"/>
          </w:tcPr>
          <w:p w14:paraId="3E1CCEC0">
            <w:pPr>
              <w:pStyle w:val="92"/>
              <w:adjustRightInd w:val="0"/>
              <w:snapToGrid w:val="0"/>
              <w:spacing w:line="560" w:lineRule="exact"/>
              <w:rPr>
                <w:rFonts w:ascii="Times New Roman"/>
                <w:color w:val="000000"/>
                <w:sz w:val="20"/>
                <w:highlight w:val="none"/>
              </w:rPr>
            </w:pPr>
          </w:p>
        </w:tc>
      </w:tr>
      <w:tr w14:paraId="1B37A9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36" w:type="dxa"/>
            <w:tcBorders>
              <w:top w:val="single" w:color="000000" w:sz="6" w:space="0"/>
            </w:tcBorders>
            <w:noWrap w:val="0"/>
            <w:vAlign w:val="top"/>
          </w:tcPr>
          <w:p w14:paraId="4FDF53FD">
            <w:pPr>
              <w:pStyle w:val="92"/>
              <w:adjustRightInd w:val="0"/>
              <w:snapToGrid w:val="0"/>
              <w:spacing w:line="560" w:lineRule="exact"/>
              <w:jc w:val="center"/>
              <w:rPr>
                <w:color w:val="000000"/>
                <w:highlight w:val="none"/>
              </w:rPr>
            </w:pPr>
          </w:p>
        </w:tc>
        <w:tc>
          <w:tcPr>
            <w:tcW w:w="1685" w:type="dxa"/>
            <w:tcBorders>
              <w:top w:val="single" w:color="000000" w:sz="6" w:space="0"/>
            </w:tcBorders>
            <w:noWrap w:val="0"/>
            <w:vAlign w:val="top"/>
          </w:tcPr>
          <w:p w14:paraId="1007FE2A">
            <w:pPr>
              <w:pStyle w:val="92"/>
              <w:adjustRightInd w:val="0"/>
              <w:snapToGrid w:val="0"/>
              <w:spacing w:line="560" w:lineRule="exact"/>
              <w:rPr>
                <w:rFonts w:ascii="Times New Roman"/>
                <w:color w:val="000000"/>
                <w:sz w:val="20"/>
                <w:highlight w:val="none"/>
              </w:rPr>
            </w:pPr>
          </w:p>
        </w:tc>
        <w:tc>
          <w:tcPr>
            <w:tcW w:w="794" w:type="dxa"/>
            <w:tcBorders>
              <w:top w:val="single" w:color="000000" w:sz="6" w:space="0"/>
            </w:tcBorders>
            <w:noWrap w:val="0"/>
            <w:vAlign w:val="top"/>
          </w:tcPr>
          <w:p w14:paraId="31DFA109">
            <w:pPr>
              <w:pStyle w:val="92"/>
              <w:adjustRightInd w:val="0"/>
              <w:snapToGrid w:val="0"/>
              <w:spacing w:line="560" w:lineRule="exact"/>
              <w:rPr>
                <w:rFonts w:ascii="Times New Roman"/>
                <w:color w:val="000000"/>
                <w:sz w:val="20"/>
                <w:highlight w:val="none"/>
              </w:rPr>
            </w:pPr>
          </w:p>
        </w:tc>
        <w:tc>
          <w:tcPr>
            <w:tcW w:w="794" w:type="dxa"/>
            <w:tcBorders>
              <w:top w:val="single" w:color="000000" w:sz="6" w:space="0"/>
            </w:tcBorders>
            <w:noWrap w:val="0"/>
            <w:vAlign w:val="top"/>
          </w:tcPr>
          <w:p w14:paraId="67DAD14D">
            <w:pPr>
              <w:pStyle w:val="92"/>
              <w:adjustRightInd w:val="0"/>
              <w:snapToGrid w:val="0"/>
              <w:spacing w:line="560" w:lineRule="exact"/>
              <w:rPr>
                <w:rFonts w:ascii="Times New Roman"/>
                <w:color w:val="000000"/>
                <w:sz w:val="20"/>
                <w:highlight w:val="none"/>
              </w:rPr>
            </w:pPr>
          </w:p>
        </w:tc>
        <w:tc>
          <w:tcPr>
            <w:tcW w:w="794" w:type="dxa"/>
            <w:tcBorders>
              <w:top w:val="single" w:color="000000" w:sz="6" w:space="0"/>
            </w:tcBorders>
            <w:noWrap w:val="0"/>
            <w:vAlign w:val="top"/>
          </w:tcPr>
          <w:p w14:paraId="38C8A336">
            <w:pPr>
              <w:pStyle w:val="92"/>
              <w:adjustRightInd w:val="0"/>
              <w:snapToGrid w:val="0"/>
              <w:spacing w:line="560" w:lineRule="exact"/>
              <w:rPr>
                <w:rFonts w:ascii="Times New Roman"/>
                <w:color w:val="000000"/>
                <w:sz w:val="20"/>
                <w:highlight w:val="none"/>
              </w:rPr>
            </w:pPr>
          </w:p>
        </w:tc>
        <w:tc>
          <w:tcPr>
            <w:tcW w:w="791" w:type="dxa"/>
            <w:tcBorders>
              <w:top w:val="single" w:color="000000" w:sz="6" w:space="0"/>
            </w:tcBorders>
            <w:noWrap w:val="0"/>
            <w:vAlign w:val="top"/>
          </w:tcPr>
          <w:p w14:paraId="606D2DE2">
            <w:pPr>
              <w:pStyle w:val="92"/>
              <w:adjustRightInd w:val="0"/>
              <w:snapToGrid w:val="0"/>
              <w:spacing w:line="560" w:lineRule="exact"/>
              <w:rPr>
                <w:rFonts w:ascii="Times New Roman"/>
                <w:color w:val="000000"/>
                <w:sz w:val="20"/>
                <w:highlight w:val="none"/>
              </w:rPr>
            </w:pPr>
          </w:p>
        </w:tc>
        <w:tc>
          <w:tcPr>
            <w:tcW w:w="635" w:type="dxa"/>
            <w:tcBorders>
              <w:top w:val="single" w:color="000000" w:sz="6" w:space="0"/>
            </w:tcBorders>
            <w:noWrap w:val="0"/>
            <w:vAlign w:val="top"/>
          </w:tcPr>
          <w:p w14:paraId="56118CDB">
            <w:pPr>
              <w:pStyle w:val="92"/>
              <w:adjustRightInd w:val="0"/>
              <w:snapToGrid w:val="0"/>
              <w:spacing w:line="560" w:lineRule="exact"/>
              <w:rPr>
                <w:rFonts w:ascii="Times New Roman"/>
                <w:color w:val="000000"/>
                <w:sz w:val="20"/>
                <w:highlight w:val="none"/>
              </w:rPr>
            </w:pPr>
          </w:p>
        </w:tc>
        <w:tc>
          <w:tcPr>
            <w:tcW w:w="1687" w:type="dxa"/>
            <w:tcBorders>
              <w:top w:val="single" w:color="000000" w:sz="6" w:space="0"/>
            </w:tcBorders>
            <w:noWrap w:val="0"/>
            <w:vAlign w:val="top"/>
          </w:tcPr>
          <w:p w14:paraId="2C2D2742">
            <w:pPr>
              <w:pStyle w:val="92"/>
              <w:adjustRightInd w:val="0"/>
              <w:snapToGrid w:val="0"/>
              <w:spacing w:line="560" w:lineRule="exact"/>
              <w:rPr>
                <w:rFonts w:ascii="Times New Roman"/>
                <w:color w:val="000000"/>
                <w:sz w:val="20"/>
                <w:highlight w:val="none"/>
              </w:rPr>
            </w:pPr>
          </w:p>
        </w:tc>
      </w:tr>
      <w:tr w14:paraId="60F21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0CD7544A">
            <w:pPr>
              <w:pStyle w:val="92"/>
              <w:adjustRightInd w:val="0"/>
              <w:snapToGrid w:val="0"/>
              <w:spacing w:line="560" w:lineRule="exact"/>
              <w:jc w:val="center"/>
              <w:rPr>
                <w:color w:val="000000"/>
                <w:highlight w:val="none"/>
              </w:rPr>
            </w:pPr>
          </w:p>
        </w:tc>
        <w:tc>
          <w:tcPr>
            <w:tcW w:w="1685" w:type="dxa"/>
            <w:noWrap w:val="0"/>
            <w:vAlign w:val="top"/>
          </w:tcPr>
          <w:p w14:paraId="61C486B5">
            <w:pPr>
              <w:pStyle w:val="92"/>
              <w:adjustRightInd w:val="0"/>
              <w:snapToGrid w:val="0"/>
              <w:spacing w:line="560" w:lineRule="exact"/>
              <w:rPr>
                <w:rFonts w:ascii="Times New Roman"/>
                <w:color w:val="000000"/>
                <w:sz w:val="20"/>
                <w:highlight w:val="none"/>
              </w:rPr>
            </w:pPr>
          </w:p>
        </w:tc>
        <w:tc>
          <w:tcPr>
            <w:tcW w:w="794" w:type="dxa"/>
            <w:noWrap w:val="0"/>
            <w:vAlign w:val="top"/>
          </w:tcPr>
          <w:p w14:paraId="09BFE5D4">
            <w:pPr>
              <w:pStyle w:val="92"/>
              <w:adjustRightInd w:val="0"/>
              <w:snapToGrid w:val="0"/>
              <w:spacing w:line="560" w:lineRule="exact"/>
              <w:rPr>
                <w:rFonts w:ascii="Times New Roman"/>
                <w:color w:val="000000"/>
                <w:sz w:val="20"/>
                <w:highlight w:val="none"/>
              </w:rPr>
            </w:pPr>
          </w:p>
        </w:tc>
        <w:tc>
          <w:tcPr>
            <w:tcW w:w="794" w:type="dxa"/>
            <w:noWrap w:val="0"/>
            <w:vAlign w:val="top"/>
          </w:tcPr>
          <w:p w14:paraId="2126B23B">
            <w:pPr>
              <w:pStyle w:val="92"/>
              <w:adjustRightInd w:val="0"/>
              <w:snapToGrid w:val="0"/>
              <w:spacing w:line="560" w:lineRule="exact"/>
              <w:rPr>
                <w:rFonts w:ascii="Times New Roman"/>
                <w:color w:val="000000"/>
                <w:sz w:val="20"/>
                <w:highlight w:val="none"/>
              </w:rPr>
            </w:pPr>
          </w:p>
        </w:tc>
        <w:tc>
          <w:tcPr>
            <w:tcW w:w="794" w:type="dxa"/>
            <w:noWrap w:val="0"/>
            <w:vAlign w:val="top"/>
          </w:tcPr>
          <w:p w14:paraId="19F4B085">
            <w:pPr>
              <w:pStyle w:val="92"/>
              <w:adjustRightInd w:val="0"/>
              <w:snapToGrid w:val="0"/>
              <w:spacing w:line="560" w:lineRule="exact"/>
              <w:rPr>
                <w:rFonts w:ascii="Times New Roman"/>
                <w:color w:val="000000"/>
                <w:sz w:val="20"/>
                <w:highlight w:val="none"/>
              </w:rPr>
            </w:pPr>
          </w:p>
        </w:tc>
        <w:tc>
          <w:tcPr>
            <w:tcW w:w="791" w:type="dxa"/>
            <w:noWrap w:val="0"/>
            <w:vAlign w:val="top"/>
          </w:tcPr>
          <w:p w14:paraId="07F86F5C">
            <w:pPr>
              <w:pStyle w:val="92"/>
              <w:adjustRightInd w:val="0"/>
              <w:snapToGrid w:val="0"/>
              <w:spacing w:line="560" w:lineRule="exact"/>
              <w:rPr>
                <w:rFonts w:ascii="Times New Roman"/>
                <w:color w:val="000000"/>
                <w:sz w:val="20"/>
                <w:highlight w:val="none"/>
              </w:rPr>
            </w:pPr>
          </w:p>
        </w:tc>
        <w:tc>
          <w:tcPr>
            <w:tcW w:w="635" w:type="dxa"/>
            <w:noWrap w:val="0"/>
            <w:vAlign w:val="top"/>
          </w:tcPr>
          <w:p w14:paraId="19949CFA">
            <w:pPr>
              <w:pStyle w:val="92"/>
              <w:adjustRightInd w:val="0"/>
              <w:snapToGrid w:val="0"/>
              <w:spacing w:line="560" w:lineRule="exact"/>
              <w:rPr>
                <w:rFonts w:ascii="Times New Roman"/>
                <w:color w:val="000000"/>
                <w:sz w:val="20"/>
                <w:highlight w:val="none"/>
              </w:rPr>
            </w:pPr>
          </w:p>
        </w:tc>
        <w:tc>
          <w:tcPr>
            <w:tcW w:w="1687" w:type="dxa"/>
            <w:noWrap w:val="0"/>
            <w:vAlign w:val="top"/>
          </w:tcPr>
          <w:p w14:paraId="15C3AFBC">
            <w:pPr>
              <w:pStyle w:val="92"/>
              <w:adjustRightInd w:val="0"/>
              <w:snapToGrid w:val="0"/>
              <w:spacing w:line="560" w:lineRule="exact"/>
              <w:rPr>
                <w:rFonts w:ascii="Times New Roman"/>
                <w:color w:val="000000"/>
                <w:sz w:val="20"/>
                <w:highlight w:val="none"/>
              </w:rPr>
            </w:pPr>
          </w:p>
        </w:tc>
      </w:tr>
      <w:tr w14:paraId="131A8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26BBF94B">
            <w:pPr>
              <w:pStyle w:val="92"/>
              <w:adjustRightInd w:val="0"/>
              <w:snapToGrid w:val="0"/>
              <w:spacing w:line="560" w:lineRule="exact"/>
              <w:jc w:val="center"/>
              <w:rPr>
                <w:color w:val="000000"/>
                <w:highlight w:val="none"/>
              </w:rPr>
            </w:pPr>
          </w:p>
        </w:tc>
        <w:tc>
          <w:tcPr>
            <w:tcW w:w="1685" w:type="dxa"/>
            <w:noWrap w:val="0"/>
            <w:vAlign w:val="top"/>
          </w:tcPr>
          <w:p w14:paraId="1D82D493">
            <w:pPr>
              <w:pStyle w:val="92"/>
              <w:adjustRightInd w:val="0"/>
              <w:snapToGrid w:val="0"/>
              <w:spacing w:line="560" w:lineRule="exact"/>
              <w:rPr>
                <w:rFonts w:ascii="Times New Roman"/>
                <w:color w:val="000000"/>
                <w:sz w:val="20"/>
                <w:highlight w:val="none"/>
              </w:rPr>
            </w:pPr>
          </w:p>
        </w:tc>
        <w:tc>
          <w:tcPr>
            <w:tcW w:w="794" w:type="dxa"/>
            <w:noWrap w:val="0"/>
            <w:vAlign w:val="top"/>
          </w:tcPr>
          <w:p w14:paraId="3BBA7159">
            <w:pPr>
              <w:pStyle w:val="92"/>
              <w:adjustRightInd w:val="0"/>
              <w:snapToGrid w:val="0"/>
              <w:spacing w:line="560" w:lineRule="exact"/>
              <w:rPr>
                <w:rFonts w:ascii="Times New Roman"/>
                <w:color w:val="000000"/>
                <w:sz w:val="20"/>
                <w:highlight w:val="none"/>
              </w:rPr>
            </w:pPr>
          </w:p>
        </w:tc>
        <w:tc>
          <w:tcPr>
            <w:tcW w:w="794" w:type="dxa"/>
            <w:noWrap w:val="0"/>
            <w:vAlign w:val="top"/>
          </w:tcPr>
          <w:p w14:paraId="39C0656E">
            <w:pPr>
              <w:pStyle w:val="92"/>
              <w:adjustRightInd w:val="0"/>
              <w:snapToGrid w:val="0"/>
              <w:spacing w:line="560" w:lineRule="exact"/>
              <w:rPr>
                <w:rFonts w:ascii="Times New Roman"/>
                <w:color w:val="000000"/>
                <w:sz w:val="20"/>
                <w:highlight w:val="none"/>
              </w:rPr>
            </w:pPr>
          </w:p>
        </w:tc>
        <w:tc>
          <w:tcPr>
            <w:tcW w:w="794" w:type="dxa"/>
            <w:noWrap w:val="0"/>
            <w:vAlign w:val="top"/>
          </w:tcPr>
          <w:p w14:paraId="51C8B79C">
            <w:pPr>
              <w:pStyle w:val="92"/>
              <w:adjustRightInd w:val="0"/>
              <w:snapToGrid w:val="0"/>
              <w:spacing w:line="560" w:lineRule="exact"/>
              <w:rPr>
                <w:rFonts w:ascii="Times New Roman"/>
                <w:color w:val="000000"/>
                <w:sz w:val="20"/>
                <w:highlight w:val="none"/>
              </w:rPr>
            </w:pPr>
          </w:p>
        </w:tc>
        <w:tc>
          <w:tcPr>
            <w:tcW w:w="791" w:type="dxa"/>
            <w:noWrap w:val="0"/>
            <w:vAlign w:val="top"/>
          </w:tcPr>
          <w:p w14:paraId="2DBF401A">
            <w:pPr>
              <w:pStyle w:val="92"/>
              <w:adjustRightInd w:val="0"/>
              <w:snapToGrid w:val="0"/>
              <w:spacing w:line="560" w:lineRule="exact"/>
              <w:rPr>
                <w:rFonts w:ascii="Times New Roman"/>
                <w:color w:val="000000"/>
                <w:sz w:val="20"/>
                <w:highlight w:val="none"/>
              </w:rPr>
            </w:pPr>
          </w:p>
        </w:tc>
        <w:tc>
          <w:tcPr>
            <w:tcW w:w="635" w:type="dxa"/>
            <w:noWrap w:val="0"/>
            <w:vAlign w:val="top"/>
          </w:tcPr>
          <w:p w14:paraId="305CDEAF">
            <w:pPr>
              <w:pStyle w:val="92"/>
              <w:adjustRightInd w:val="0"/>
              <w:snapToGrid w:val="0"/>
              <w:spacing w:line="560" w:lineRule="exact"/>
              <w:rPr>
                <w:rFonts w:ascii="Times New Roman"/>
                <w:color w:val="000000"/>
                <w:sz w:val="20"/>
                <w:highlight w:val="none"/>
              </w:rPr>
            </w:pPr>
          </w:p>
        </w:tc>
        <w:tc>
          <w:tcPr>
            <w:tcW w:w="1687" w:type="dxa"/>
            <w:noWrap w:val="0"/>
            <w:vAlign w:val="top"/>
          </w:tcPr>
          <w:p w14:paraId="41BD391A">
            <w:pPr>
              <w:pStyle w:val="92"/>
              <w:adjustRightInd w:val="0"/>
              <w:snapToGrid w:val="0"/>
              <w:spacing w:line="560" w:lineRule="exact"/>
              <w:rPr>
                <w:rFonts w:ascii="Times New Roman"/>
                <w:color w:val="000000"/>
                <w:sz w:val="20"/>
                <w:highlight w:val="none"/>
              </w:rPr>
            </w:pPr>
          </w:p>
        </w:tc>
      </w:tr>
      <w:tr w14:paraId="413B2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0BB931D1">
            <w:pPr>
              <w:pStyle w:val="92"/>
              <w:adjustRightInd w:val="0"/>
              <w:snapToGrid w:val="0"/>
              <w:spacing w:line="560" w:lineRule="exact"/>
              <w:rPr>
                <w:rFonts w:ascii="Times New Roman"/>
                <w:color w:val="000000"/>
                <w:sz w:val="20"/>
                <w:highlight w:val="none"/>
              </w:rPr>
            </w:pPr>
          </w:p>
        </w:tc>
        <w:tc>
          <w:tcPr>
            <w:tcW w:w="1685" w:type="dxa"/>
            <w:noWrap w:val="0"/>
            <w:vAlign w:val="top"/>
          </w:tcPr>
          <w:p w14:paraId="21F36DBB">
            <w:pPr>
              <w:pStyle w:val="92"/>
              <w:adjustRightInd w:val="0"/>
              <w:snapToGrid w:val="0"/>
              <w:spacing w:line="560" w:lineRule="exact"/>
              <w:rPr>
                <w:rFonts w:ascii="Times New Roman"/>
                <w:color w:val="000000"/>
                <w:sz w:val="20"/>
                <w:highlight w:val="none"/>
              </w:rPr>
            </w:pPr>
          </w:p>
        </w:tc>
        <w:tc>
          <w:tcPr>
            <w:tcW w:w="794" w:type="dxa"/>
            <w:noWrap w:val="0"/>
            <w:vAlign w:val="top"/>
          </w:tcPr>
          <w:p w14:paraId="674FA865">
            <w:pPr>
              <w:pStyle w:val="92"/>
              <w:adjustRightInd w:val="0"/>
              <w:snapToGrid w:val="0"/>
              <w:spacing w:line="560" w:lineRule="exact"/>
              <w:rPr>
                <w:rFonts w:ascii="Times New Roman"/>
                <w:color w:val="000000"/>
                <w:sz w:val="20"/>
                <w:highlight w:val="none"/>
              </w:rPr>
            </w:pPr>
          </w:p>
        </w:tc>
        <w:tc>
          <w:tcPr>
            <w:tcW w:w="794" w:type="dxa"/>
            <w:noWrap w:val="0"/>
            <w:vAlign w:val="top"/>
          </w:tcPr>
          <w:p w14:paraId="6301FD59">
            <w:pPr>
              <w:pStyle w:val="92"/>
              <w:adjustRightInd w:val="0"/>
              <w:snapToGrid w:val="0"/>
              <w:spacing w:line="560" w:lineRule="exact"/>
              <w:rPr>
                <w:rFonts w:ascii="Times New Roman"/>
                <w:color w:val="000000"/>
                <w:sz w:val="20"/>
                <w:highlight w:val="none"/>
              </w:rPr>
            </w:pPr>
          </w:p>
        </w:tc>
        <w:tc>
          <w:tcPr>
            <w:tcW w:w="794" w:type="dxa"/>
            <w:noWrap w:val="0"/>
            <w:vAlign w:val="top"/>
          </w:tcPr>
          <w:p w14:paraId="022A4E18">
            <w:pPr>
              <w:pStyle w:val="92"/>
              <w:adjustRightInd w:val="0"/>
              <w:snapToGrid w:val="0"/>
              <w:spacing w:line="560" w:lineRule="exact"/>
              <w:rPr>
                <w:rFonts w:ascii="Times New Roman"/>
                <w:color w:val="000000"/>
                <w:sz w:val="20"/>
                <w:highlight w:val="none"/>
              </w:rPr>
            </w:pPr>
          </w:p>
        </w:tc>
        <w:tc>
          <w:tcPr>
            <w:tcW w:w="791" w:type="dxa"/>
            <w:noWrap w:val="0"/>
            <w:vAlign w:val="top"/>
          </w:tcPr>
          <w:p w14:paraId="2542DF6C">
            <w:pPr>
              <w:pStyle w:val="92"/>
              <w:adjustRightInd w:val="0"/>
              <w:snapToGrid w:val="0"/>
              <w:spacing w:line="560" w:lineRule="exact"/>
              <w:rPr>
                <w:rFonts w:ascii="Times New Roman"/>
                <w:color w:val="000000"/>
                <w:sz w:val="20"/>
                <w:highlight w:val="none"/>
              </w:rPr>
            </w:pPr>
          </w:p>
        </w:tc>
        <w:tc>
          <w:tcPr>
            <w:tcW w:w="635" w:type="dxa"/>
            <w:noWrap w:val="0"/>
            <w:vAlign w:val="top"/>
          </w:tcPr>
          <w:p w14:paraId="209A64F9">
            <w:pPr>
              <w:pStyle w:val="92"/>
              <w:adjustRightInd w:val="0"/>
              <w:snapToGrid w:val="0"/>
              <w:spacing w:line="560" w:lineRule="exact"/>
              <w:rPr>
                <w:rFonts w:ascii="Times New Roman"/>
                <w:color w:val="000000"/>
                <w:sz w:val="20"/>
                <w:highlight w:val="none"/>
              </w:rPr>
            </w:pPr>
          </w:p>
        </w:tc>
        <w:tc>
          <w:tcPr>
            <w:tcW w:w="1687" w:type="dxa"/>
            <w:noWrap w:val="0"/>
            <w:vAlign w:val="top"/>
          </w:tcPr>
          <w:p w14:paraId="139B0DC6">
            <w:pPr>
              <w:pStyle w:val="92"/>
              <w:adjustRightInd w:val="0"/>
              <w:snapToGrid w:val="0"/>
              <w:spacing w:line="560" w:lineRule="exact"/>
              <w:rPr>
                <w:rFonts w:ascii="Times New Roman"/>
                <w:color w:val="000000"/>
                <w:sz w:val="20"/>
                <w:highlight w:val="none"/>
              </w:rPr>
            </w:pPr>
          </w:p>
        </w:tc>
      </w:tr>
      <w:tr w14:paraId="47116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08AF6C58">
            <w:pPr>
              <w:pStyle w:val="92"/>
              <w:adjustRightInd w:val="0"/>
              <w:snapToGrid w:val="0"/>
              <w:spacing w:line="560" w:lineRule="exact"/>
              <w:rPr>
                <w:rFonts w:ascii="Times New Roman"/>
                <w:color w:val="000000"/>
                <w:sz w:val="20"/>
                <w:highlight w:val="none"/>
              </w:rPr>
            </w:pPr>
          </w:p>
        </w:tc>
        <w:tc>
          <w:tcPr>
            <w:tcW w:w="1685" w:type="dxa"/>
            <w:noWrap w:val="0"/>
            <w:vAlign w:val="top"/>
          </w:tcPr>
          <w:p w14:paraId="5180EB7F">
            <w:pPr>
              <w:pStyle w:val="92"/>
              <w:adjustRightInd w:val="0"/>
              <w:snapToGrid w:val="0"/>
              <w:spacing w:line="560" w:lineRule="exact"/>
              <w:rPr>
                <w:rFonts w:ascii="Times New Roman"/>
                <w:color w:val="000000"/>
                <w:sz w:val="20"/>
                <w:highlight w:val="none"/>
              </w:rPr>
            </w:pPr>
          </w:p>
        </w:tc>
        <w:tc>
          <w:tcPr>
            <w:tcW w:w="794" w:type="dxa"/>
            <w:noWrap w:val="0"/>
            <w:vAlign w:val="top"/>
          </w:tcPr>
          <w:p w14:paraId="3EFE59EF">
            <w:pPr>
              <w:pStyle w:val="92"/>
              <w:adjustRightInd w:val="0"/>
              <w:snapToGrid w:val="0"/>
              <w:spacing w:line="560" w:lineRule="exact"/>
              <w:rPr>
                <w:rFonts w:ascii="Times New Roman"/>
                <w:color w:val="000000"/>
                <w:sz w:val="20"/>
                <w:highlight w:val="none"/>
              </w:rPr>
            </w:pPr>
          </w:p>
        </w:tc>
        <w:tc>
          <w:tcPr>
            <w:tcW w:w="794" w:type="dxa"/>
            <w:noWrap w:val="0"/>
            <w:vAlign w:val="top"/>
          </w:tcPr>
          <w:p w14:paraId="18DCD00D">
            <w:pPr>
              <w:pStyle w:val="92"/>
              <w:adjustRightInd w:val="0"/>
              <w:snapToGrid w:val="0"/>
              <w:spacing w:line="560" w:lineRule="exact"/>
              <w:rPr>
                <w:rFonts w:ascii="Times New Roman"/>
                <w:color w:val="000000"/>
                <w:sz w:val="20"/>
                <w:highlight w:val="none"/>
              </w:rPr>
            </w:pPr>
          </w:p>
        </w:tc>
        <w:tc>
          <w:tcPr>
            <w:tcW w:w="794" w:type="dxa"/>
            <w:noWrap w:val="0"/>
            <w:vAlign w:val="top"/>
          </w:tcPr>
          <w:p w14:paraId="28B59B1E">
            <w:pPr>
              <w:pStyle w:val="92"/>
              <w:adjustRightInd w:val="0"/>
              <w:snapToGrid w:val="0"/>
              <w:spacing w:line="560" w:lineRule="exact"/>
              <w:rPr>
                <w:rFonts w:ascii="Times New Roman"/>
                <w:color w:val="000000"/>
                <w:sz w:val="20"/>
                <w:highlight w:val="none"/>
              </w:rPr>
            </w:pPr>
          </w:p>
        </w:tc>
        <w:tc>
          <w:tcPr>
            <w:tcW w:w="791" w:type="dxa"/>
            <w:noWrap w:val="0"/>
            <w:vAlign w:val="top"/>
          </w:tcPr>
          <w:p w14:paraId="5479BE61">
            <w:pPr>
              <w:pStyle w:val="92"/>
              <w:adjustRightInd w:val="0"/>
              <w:snapToGrid w:val="0"/>
              <w:spacing w:line="560" w:lineRule="exact"/>
              <w:rPr>
                <w:rFonts w:ascii="Times New Roman"/>
                <w:color w:val="000000"/>
                <w:sz w:val="20"/>
                <w:highlight w:val="none"/>
              </w:rPr>
            </w:pPr>
          </w:p>
        </w:tc>
        <w:tc>
          <w:tcPr>
            <w:tcW w:w="635" w:type="dxa"/>
            <w:noWrap w:val="0"/>
            <w:vAlign w:val="top"/>
          </w:tcPr>
          <w:p w14:paraId="59BDE95B">
            <w:pPr>
              <w:pStyle w:val="92"/>
              <w:adjustRightInd w:val="0"/>
              <w:snapToGrid w:val="0"/>
              <w:spacing w:line="560" w:lineRule="exact"/>
              <w:rPr>
                <w:rFonts w:ascii="Times New Roman"/>
                <w:color w:val="000000"/>
                <w:sz w:val="20"/>
                <w:highlight w:val="none"/>
              </w:rPr>
            </w:pPr>
          </w:p>
        </w:tc>
        <w:tc>
          <w:tcPr>
            <w:tcW w:w="1687" w:type="dxa"/>
            <w:noWrap w:val="0"/>
            <w:vAlign w:val="top"/>
          </w:tcPr>
          <w:p w14:paraId="6FC9178E">
            <w:pPr>
              <w:pStyle w:val="92"/>
              <w:adjustRightInd w:val="0"/>
              <w:snapToGrid w:val="0"/>
              <w:spacing w:line="560" w:lineRule="exact"/>
              <w:rPr>
                <w:rFonts w:ascii="Times New Roman"/>
                <w:color w:val="000000"/>
                <w:sz w:val="20"/>
                <w:highlight w:val="none"/>
              </w:rPr>
            </w:pPr>
          </w:p>
        </w:tc>
      </w:tr>
      <w:tr w14:paraId="2EAD5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50DD93B5">
            <w:pPr>
              <w:pStyle w:val="92"/>
              <w:adjustRightInd w:val="0"/>
              <w:snapToGrid w:val="0"/>
              <w:spacing w:line="560" w:lineRule="exact"/>
              <w:rPr>
                <w:rFonts w:ascii="Times New Roman"/>
                <w:color w:val="000000"/>
                <w:sz w:val="20"/>
                <w:highlight w:val="none"/>
              </w:rPr>
            </w:pPr>
          </w:p>
        </w:tc>
        <w:tc>
          <w:tcPr>
            <w:tcW w:w="1685" w:type="dxa"/>
            <w:noWrap w:val="0"/>
            <w:vAlign w:val="top"/>
          </w:tcPr>
          <w:p w14:paraId="459D787C">
            <w:pPr>
              <w:pStyle w:val="92"/>
              <w:adjustRightInd w:val="0"/>
              <w:snapToGrid w:val="0"/>
              <w:spacing w:line="560" w:lineRule="exact"/>
              <w:rPr>
                <w:rFonts w:ascii="Times New Roman"/>
                <w:color w:val="000000"/>
                <w:sz w:val="20"/>
                <w:highlight w:val="none"/>
              </w:rPr>
            </w:pPr>
          </w:p>
        </w:tc>
        <w:tc>
          <w:tcPr>
            <w:tcW w:w="794" w:type="dxa"/>
            <w:noWrap w:val="0"/>
            <w:vAlign w:val="top"/>
          </w:tcPr>
          <w:p w14:paraId="48B952DB">
            <w:pPr>
              <w:pStyle w:val="92"/>
              <w:adjustRightInd w:val="0"/>
              <w:snapToGrid w:val="0"/>
              <w:spacing w:line="560" w:lineRule="exact"/>
              <w:rPr>
                <w:rFonts w:ascii="Times New Roman"/>
                <w:color w:val="000000"/>
                <w:sz w:val="20"/>
                <w:highlight w:val="none"/>
              </w:rPr>
            </w:pPr>
          </w:p>
        </w:tc>
        <w:tc>
          <w:tcPr>
            <w:tcW w:w="794" w:type="dxa"/>
            <w:noWrap w:val="0"/>
            <w:vAlign w:val="top"/>
          </w:tcPr>
          <w:p w14:paraId="49FC302A">
            <w:pPr>
              <w:pStyle w:val="92"/>
              <w:adjustRightInd w:val="0"/>
              <w:snapToGrid w:val="0"/>
              <w:spacing w:line="560" w:lineRule="exact"/>
              <w:rPr>
                <w:rFonts w:ascii="Times New Roman"/>
                <w:color w:val="000000"/>
                <w:sz w:val="20"/>
                <w:highlight w:val="none"/>
              </w:rPr>
            </w:pPr>
          </w:p>
        </w:tc>
        <w:tc>
          <w:tcPr>
            <w:tcW w:w="794" w:type="dxa"/>
            <w:noWrap w:val="0"/>
            <w:vAlign w:val="top"/>
          </w:tcPr>
          <w:p w14:paraId="59522151">
            <w:pPr>
              <w:pStyle w:val="92"/>
              <w:adjustRightInd w:val="0"/>
              <w:snapToGrid w:val="0"/>
              <w:spacing w:line="560" w:lineRule="exact"/>
              <w:rPr>
                <w:rFonts w:ascii="Times New Roman"/>
                <w:color w:val="000000"/>
                <w:sz w:val="20"/>
                <w:highlight w:val="none"/>
              </w:rPr>
            </w:pPr>
          </w:p>
        </w:tc>
        <w:tc>
          <w:tcPr>
            <w:tcW w:w="791" w:type="dxa"/>
            <w:noWrap w:val="0"/>
            <w:vAlign w:val="top"/>
          </w:tcPr>
          <w:p w14:paraId="235575F2">
            <w:pPr>
              <w:pStyle w:val="92"/>
              <w:adjustRightInd w:val="0"/>
              <w:snapToGrid w:val="0"/>
              <w:spacing w:line="560" w:lineRule="exact"/>
              <w:rPr>
                <w:rFonts w:ascii="Times New Roman"/>
                <w:color w:val="000000"/>
                <w:sz w:val="20"/>
                <w:highlight w:val="none"/>
              </w:rPr>
            </w:pPr>
          </w:p>
        </w:tc>
        <w:tc>
          <w:tcPr>
            <w:tcW w:w="635" w:type="dxa"/>
            <w:noWrap w:val="0"/>
            <w:vAlign w:val="top"/>
          </w:tcPr>
          <w:p w14:paraId="133242D4">
            <w:pPr>
              <w:pStyle w:val="92"/>
              <w:adjustRightInd w:val="0"/>
              <w:snapToGrid w:val="0"/>
              <w:spacing w:line="560" w:lineRule="exact"/>
              <w:rPr>
                <w:rFonts w:ascii="Times New Roman"/>
                <w:color w:val="000000"/>
                <w:sz w:val="20"/>
                <w:highlight w:val="none"/>
              </w:rPr>
            </w:pPr>
          </w:p>
        </w:tc>
        <w:tc>
          <w:tcPr>
            <w:tcW w:w="1687" w:type="dxa"/>
            <w:noWrap w:val="0"/>
            <w:vAlign w:val="top"/>
          </w:tcPr>
          <w:p w14:paraId="2457E67D">
            <w:pPr>
              <w:pStyle w:val="92"/>
              <w:adjustRightInd w:val="0"/>
              <w:snapToGrid w:val="0"/>
              <w:spacing w:line="560" w:lineRule="exact"/>
              <w:rPr>
                <w:rFonts w:ascii="Times New Roman"/>
                <w:color w:val="000000"/>
                <w:sz w:val="20"/>
                <w:highlight w:val="none"/>
              </w:rPr>
            </w:pPr>
          </w:p>
        </w:tc>
      </w:tr>
      <w:tr w14:paraId="4B3B8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636" w:type="dxa"/>
            <w:noWrap w:val="0"/>
            <w:vAlign w:val="top"/>
          </w:tcPr>
          <w:p w14:paraId="5325F49C">
            <w:pPr>
              <w:pStyle w:val="92"/>
              <w:adjustRightInd w:val="0"/>
              <w:snapToGrid w:val="0"/>
              <w:spacing w:line="560" w:lineRule="exact"/>
              <w:rPr>
                <w:rFonts w:ascii="Times New Roman"/>
                <w:color w:val="000000"/>
                <w:sz w:val="20"/>
                <w:highlight w:val="none"/>
              </w:rPr>
            </w:pPr>
          </w:p>
        </w:tc>
        <w:tc>
          <w:tcPr>
            <w:tcW w:w="1685" w:type="dxa"/>
            <w:noWrap w:val="0"/>
            <w:vAlign w:val="top"/>
          </w:tcPr>
          <w:p w14:paraId="1E382600">
            <w:pPr>
              <w:pStyle w:val="92"/>
              <w:adjustRightInd w:val="0"/>
              <w:snapToGrid w:val="0"/>
              <w:spacing w:line="560" w:lineRule="exact"/>
              <w:rPr>
                <w:rFonts w:ascii="Times New Roman"/>
                <w:color w:val="000000"/>
                <w:sz w:val="20"/>
                <w:highlight w:val="none"/>
              </w:rPr>
            </w:pPr>
          </w:p>
        </w:tc>
        <w:tc>
          <w:tcPr>
            <w:tcW w:w="794" w:type="dxa"/>
            <w:noWrap w:val="0"/>
            <w:vAlign w:val="top"/>
          </w:tcPr>
          <w:p w14:paraId="66EFF3EE">
            <w:pPr>
              <w:pStyle w:val="92"/>
              <w:adjustRightInd w:val="0"/>
              <w:snapToGrid w:val="0"/>
              <w:spacing w:line="560" w:lineRule="exact"/>
              <w:rPr>
                <w:rFonts w:ascii="Times New Roman"/>
                <w:color w:val="000000"/>
                <w:sz w:val="20"/>
                <w:highlight w:val="none"/>
              </w:rPr>
            </w:pPr>
          </w:p>
        </w:tc>
        <w:tc>
          <w:tcPr>
            <w:tcW w:w="794" w:type="dxa"/>
            <w:noWrap w:val="0"/>
            <w:vAlign w:val="top"/>
          </w:tcPr>
          <w:p w14:paraId="38199920">
            <w:pPr>
              <w:pStyle w:val="92"/>
              <w:adjustRightInd w:val="0"/>
              <w:snapToGrid w:val="0"/>
              <w:spacing w:line="560" w:lineRule="exact"/>
              <w:rPr>
                <w:rFonts w:ascii="Times New Roman"/>
                <w:color w:val="000000"/>
                <w:sz w:val="20"/>
                <w:highlight w:val="none"/>
              </w:rPr>
            </w:pPr>
          </w:p>
        </w:tc>
        <w:tc>
          <w:tcPr>
            <w:tcW w:w="794" w:type="dxa"/>
            <w:noWrap w:val="0"/>
            <w:vAlign w:val="top"/>
          </w:tcPr>
          <w:p w14:paraId="53F7DB1F">
            <w:pPr>
              <w:pStyle w:val="92"/>
              <w:adjustRightInd w:val="0"/>
              <w:snapToGrid w:val="0"/>
              <w:spacing w:line="560" w:lineRule="exact"/>
              <w:rPr>
                <w:rFonts w:ascii="Times New Roman"/>
                <w:color w:val="000000"/>
                <w:sz w:val="20"/>
                <w:highlight w:val="none"/>
              </w:rPr>
            </w:pPr>
          </w:p>
        </w:tc>
        <w:tc>
          <w:tcPr>
            <w:tcW w:w="791" w:type="dxa"/>
            <w:noWrap w:val="0"/>
            <w:vAlign w:val="top"/>
          </w:tcPr>
          <w:p w14:paraId="4792DA64">
            <w:pPr>
              <w:pStyle w:val="92"/>
              <w:adjustRightInd w:val="0"/>
              <w:snapToGrid w:val="0"/>
              <w:spacing w:line="560" w:lineRule="exact"/>
              <w:rPr>
                <w:rFonts w:ascii="Times New Roman"/>
                <w:color w:val="000000"/>
                <w:sz w:val="20"/>
                <w:highlight w:val="none"/>
              </w:rPr>
            </w:pPr>
          </w:p>
        </w:tc>
        <w:tc>
          <w:tcPr>
            <w:tcW w:w="635" w:type="dxa"/>
            <w:noWrap w:val="0"/>
            <w:vAlign w:val="top"/>
          </w:tcPr>
          <w:p w14:paraId="5A9D465F">
            <w:pPr>
              <w:pStyle w:val="92"/>
              <w:adjustRightInd w:val="0"/>
              <w:snapToGrid w:val="0"/>
              <w:spacing w:line="560" w:lineRule="exact"/>
              <w:rPr>
                <w:rFonts w:ascii="Times New Roman"/>
                <w:color w:val="000000"/>
                <w:sz w:val="20"/>
                <w:highlight w:val="none"/>
              </w:rPr>
            </w:pPr>
          </w:p>
        </w:tc>
        <w:tc>
          <w:tcPr>
            <w:tcW w:w="1687" w:type="dxa"/>
            <w:noWrap w:val="0"/>
            <w:vAlign w:val="top"/>
          </w:tcPr>
          <w:p w14:paraId="2013413F">
            <w:pPr>
              <w:pStyle w:val="92"/>
              <w:adjustRightInd w:val="0"/>
              <w:snapToGrid w:val="0"/>
              <w:spacing w:line="560" w:lineRule="exact"/>
              <w:rPr>
                <w:rFonts w:ascii="Times New Roman"/>
                <w:color w:val="000000"/>
                <w:sz w:val="20"/>
                <w:highlight w:val="none"/>
              </w:rPr>
            </w:pPr>
          </w:p>
        </w:tc>
      </w:tr>
      <w:tr w14:paraId="256FF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36" w:type="dxa"/>
            <w:noWrap w:val="0"/>
            <w:vAlign w:val="top"/>
          </w:tcPr>
          <w:p w14:paraId="407834DF">
            <w:pPr>
              <w:pStyle w:val="92"/>
              <w:adjustRightInd w:val="0"/>
              <w:snapToGrid w:val="0"/>
              <w:spacing w:line="560" w:lineRule="exact"/>
              <w:rPr>
                <w:rFonts w:ascii="Times New Roman"/>
                <w:color w:val="000000"/>
                <w:sz w:val="20"/>
                <w:highlight w:val="none"/>
              </w:rPr>
            </w:pPr>
          </w:p>
        </w:tc>
        <w:tc>
          <w:tcPr>
            <w:tcW w:w="1685" w:type="dxa"/>
            <w:noWrap w:val="0"/>
            <w:vAlign w:val="top"/>
          </w:tcPr>
          <w:p w14:paraId="2F7A4964">
            <w:pPr>
              <w:pStyle w:val="92"/>
              <w:adjustRightInd w:val="0"/>
              <w:snapToGrid w:val="0"/>
              <w:spacing w:line="560" w:lineRule="exact"/>
              <w:rPr>
                <w:rFonts w:ascii="Times New Roman"/>
                <w:color w:val="000000"/>
                <w:sz w:val="20"/>
                <w:highlight w:val="none"/>
              </w:rPr>
            </w:pPr>
          </w:p>
        </w:tc>
        <w:tc>
          <w:tcPr>
            <w:tcW w:w="794" w:type="dxa"/>
            <w:noWrap w:val="0"/>
            <w:vAlign w:val="top"/>
          </w:tcPr>
          <w:p w14:paraId="6EF45041">
            <w:pPr>
              <w:pStyle w:val="92"/>
              <w:adjustRightInd w:val="0"/>
              <w:snapToGrid w:val="0"/>
              <w:spacing w:line="560" w:lineRule="exact"/>
              <w:rPr>
                <w:rFonts w:ascii="Times New Roman"/>
                <w:color w:val="000000"/>
                <w:sz w:val="20"/>
                <w:highlight w:val="none"/>
              </w:rPr>
            </w:pPr>
          </w:p>
        </w:tc>
        <w:tc>
          <w:tcPr>
            <w:tcW w:w="794" w:type="dxa"/>
            <w:noWrap w:val="0"/>
            <w:vAlign w:val="top"/>
          </w:tcPr>
          <w:p w14:paraId="6452406F">
            <w:pPr>
              <w:pStyle w:val="92"/>
              <w:adjustRightInd w:val="0"/>
              <w:snapToGrid w:val="0"/>
              <w:spacing w:line="560" w:lineRule="exact"/>
              <w:rPr>
                <w:rFonts w:ascii="Times New Roman"/>
                <w:color w:val="000000"/>
                <w:sz w:val="20"/>
                <w:highlight w:val="none"/>
              </w:rPr>
            </w:pPr>
          </w:p>
        </w:tc>
        <w:tc>
          <w:tcPr>
            <w:tcW w:w="794" w:type="dxa"/>
            <w:noWrap w:val="0"/>
            <w:vAlign w:val="top"/>
          </w:tcPr>
          <w:p w14:paraId="6616AEC3">
            <w:pPr>
              <w:pStyle w:val="92"/>
              <w:adjustRightInd w:val="0"/>
              <w:snapToGrid w:val="0"/>
              <w:spacing w:line="560" w:lineRule="exact"/>
              <w:rPr>
                <w:rFonts w:ascii="Times New Roman"/>
                <w:color w:val="000000"/>
                <w:sz w:val="20"/>
                <w:highlight w:val="none"/>
              </w:rPr>
            </w:pPr>
          </w:p>
        </w:tc>
        <w:tc>
          <w:tcPr>
            <w:tcW w:w="791" w:type="dxa"/>
            <w:noWrap w:val="0"/>
            <w:vAlign w:val="top"/>
          </w:tcPr>
          <w:p w14:paraId="1B179D09">
            <w:pPr>
              <w:pStyle w:val="92"/>
              <w:adjustRightInd w:val="0"/>
              <w:snapToGrid w:val="0"/>
              <w:spacing w:line="560" w:lineRule="exact"/>
              <w:rPr>
                <w:rFonts w:ascii="Times New Roman"/>
                <w:color w:val="000000"/>
                <w:sz w:val="20"/>
                <w:highlight w:val="none"/>
              </w:rPr>
            </w:pPr>
          </w:p>
        </w:tc>
        <w:tc>
          <w:tcPr>
            <w:tcW w:w="635" w:type="dxa"/>
            <w:noWrap w:val="0"/>
            <w:vAlign w:val="top"/>
          </w:tcPr>
          <w:p w14:paraId="0D42303B">
            <w:pPr>
              <w:pStyle w:val="92"/>
              <w:adjustRightInd w:val="0"/>
              <w:snapToGrid w:val="0"/>
              <w:spacing w:line="560" w:lineRule="exact"/>
              <w:rPr>
                <w:rFonts w:ascii="Times New Roman"/>
                <w:color w:val="000000"/>
                <w:sz w:val="20"/>
                <w:highlight w:val="none"/>
              </w:rPr>
            </w:pPr>
          </w:p>
        </w:tc>
        <w:tc>
          <w:tcPr>
            <w:tcW w:w="1687" w:type="dxa"/>
            <w:noWrap w:val="0"/>
            <w:vAlign w:val="top"/>
          </w:tcPr>
          <w:p w14:paraId="64A4FC18">
            <w:pPr>
              <w:pStyle w:val="92"/>
              <w:adjustRightInd w:val="0"/>
              <w:snapToGrid w:val="0"/>
              <w:spacing w:line="560" w:lineRule="exact"/>
              <w:rPr>
                <w:rFonts w:ascii="Times New Roman"/>
                <w:color w:val="000000"/>
                <w:sz w:val="20"/>
                <w:highlight w:val="none"/>
              </w:rPr>
            </w:pPr>
          </w:p>
        </w:tc>
      </w:tr>
      <w:tr w14:paraId="6F12A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287F7DF7">
            <w:pPr>
              <w:pStyle w:val="92"/>
              <w:adjustRightInd w:val="0"/>
              <w:snapToGrid w:val="0"/>
              <w:spacing w:line="560" w:lineRule="exact"/>
              <w:rPr>
                <w:rFonts w:ascii="Times New Roman"/>
                <w:color w:val="000000"/>
                <w:sz w:val="20"/>
                <w:highlight w:val="none"/>
              </w:rPr>
            </w:pPr>
          </w:p>
        </w:tc>
        <w:tc>
          <w:tcPr>
            <w:tcW w:w="1685" w:type="dxa"/>
            <w:noWrap w:val="0"/>
            <w:vAlign w:val="top"/>
          </w:tcPr>
          <w:p w14:paraId="7D31C1A9">
            <w:pPr>
              <w:pStyle w:val="92"/>
              <w:adjustRightInd w:val="0"/>
              <w:snapToGrid w:val="0"/>
              <w:spacing w:line="560" w:lineRule="exact"/>
              <w:rPr>
                <w:rFonts w:ascii="Times New Roman"/>
                <w:color w:val="000000"/>
                <w:sz w:val="20"/>
                <w:highlight w:val="none"/>
              </w:rPr>
            </w:pPr>
          </w:p>
        </w:tc>
        <w:tc>
          <w:tcPr>
            <w:tcW w:w="794" w:type="dxa"/>
            <w:noWrap w:val="0"/>
            <w:vAlign w:val="top"/>
          </w:tcPr>
          <w:p w14:paraId="429651B5">
            <w:pPr>
              <w:pStyle w:val="92"/>
              <w:adjustRightInd w:val="0"/>
              <w:snapToGrid w:val="0"/>
              <w:spacing w:line="560" w:lineRule="exact"/>
              <w:rPr>
                <w:rFonts w:ascii="Times New Roman"/>
                <w:color w:val="000000"/>
                <w:sz w:val="20"/>
                <w:highlight w:val="none"/>
              </w:rPr>
            </w:pPr>
          </w:p>
        </w:tc>
        <w:tc>
          <w:tcPr>
            <w:tcW w:w="794" w:type="dxa"/>
            <w:noWrap w:val="0"/>
            <w:vAlign w:val="top"/>
          </w:tcPr>
          <w:p w14:paraId="378F8236">
            <w:pPr>
              <w:pStyle w:val="92"/>
              <w:adjustRightInd w:val="0"/>
              <w:snapToGrid w:val="0"/>
              <w:spacing w:line="560" w:lineRule="exact"/>
              <w:rPr>
                <w:rFonts w:ascii="Times New Roman"/>
                <w:color w:val="000000"/>
                <w:sz w:val="20"/>
                <w:highlight w:val="none"/>
              </w:rPr>
            </w:pPr>
          </w:p>
        </w:tc>
        <w:tc>
          <w:tcPr>
            <w:tcW w:w="794" w:type="dxa"/>
            <w:noWrap w:val="0"/>
            <w:vAlign w:val="top"/>
          </w:tcPr>
          <w:p w14:paraId="11E9F82B">
            <w:pPr>
              <w:pStyle w:val="92"/>
              <w:adjustRightInd w:val="0"/>
              <w:snapToGrid w:val="0"/>
              <w:spacing w:line="560" w:lineRule="exact"/>
              <w:rPr>
                <w:rFonts w:ascii="Times New Roman"/>
                <w:color w:val="000000"/>
                <w:sz w:val="20"/>
                <w:highlight w:val="none"/>
              </w:rPr>
            </w:pPr>
          </w:p>
        </w:tc>
        <w:tc>
          <w:tcPr>
            <w:tcW w:w="791" w:type="dxa"/>
            <w:noWrap w:val="0"/>
            <w:vAlign w:val="top"/>
          </w:tcPr>
          <w:p w14:paraId="1E208115">
            <w:pPr>
              <w:pStyle w:val="92"/>
              <w:adjustRightInd w:val="0"/>
              <w:snapToGrid w:val="0"/>
              <w:spacing w:line="560" w:lineRule="exact"/>
              <w:rPr>
                <w:rFonts w:ascii="Times New Roman"/>
                <w:color w:val="000000"/>
                <w:sz w:val="20"/>
                <w:highlight w:val="none"/>
              </w:rPr>
            </w:pPr>
          </w:p>
        </w:tc>
        <w:tc>
          <w:tcPr>
            <w:tcW w:w="635" w:type="dxa"/>
            <w:noWrap w:val="0"/>
            <w:vAlign w:val="top"/>
          </w:tcPr>
          <w:p w14:paraId="4598398E">
            <w:pPr>
              <w:pStyle w:val="92"/>
              <w:adjustRightInd w:val="0"/>
              <w:snapToGrid w:val="0"/>
              <w:spacing w:line="560" w:lineRule="exact"/>
              <w:rPr>
                <w:rFonts w:ascii="Times New Roman"/>
                <w:color w:val="000000"/>
                <w:sz w:val="20"/>
                <w:highlight w:val="none"/>
              </w:rPr>
            </w:pPr>
          </w:p>
        </w:tc>
        <w:tc>
          <w:tcPr>
            <w:tcW w:w="1687" w:type="dxa"/>
            <w:noWrap w:val="0"/>
            <w:vAlign w:val="top"/>
          </w:tcPr>
          <w:p w14:paraId="54C92BF7">
            <w:pPr>
              <w:pStyle w:val="92"/>
              <w:adjustRightInd w:val="0"/>
              <w:snapToGrid w:val="0"/>
              <w:spacing w:line="560" w:lineRule="exact"/>
              <w:rPr>
                <w:rFonts w:ascii="Times New Roman"/>
                <w:color w:val="000000"/>
                <w:sz w:val="20"/>
                <w:highlight w:val="none"/>
              </w:rPr>
            </w:pPr>
          </w:p>
        </w:tc>
      </w:tr>
      <w:tr w14:paraId="6C270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19F24B73">
            <w:pPr>
              <w:pStyle w:val="92"/>
              <w:adjustRightInd w:val="0"/>
              <w:snapToGrid w:val="0"/>
              <w:spacing w:line="560" w:lineRule="exact"/>
              <w:rPr>
                <w:rFonts w:ascii="Times New Roman"/>
                <w:color w:val="000000"/>
                <w:sz w:val="20"/>
                <w:highlight w:val="none"/>
              </w:rPr>
            </w:pPr>
          </w:p>
        </w:tc>
        <w:tc>
          <w:tcPr>
            <w:tcW w:w="1685" w:type="dxa"/>
            <w:noWrap w:val="0"/>
            <w:vAlign w:val="top"/>
          </w:tcPr>
          <w:p w14:paraId="360B5219">
            <w:pPr>
              <w:pStyle w:val="92"/>
              <w:adjustRightInd w:val="0"/>
              <w:snapToGrid w:val="0"/>
              <w:spacing w:line="560" w:lineRule="exact"/>
              <w:rPr>
                <w:rFonts w:ascii="Times New Roman"/>
                <w:color w:val="000000"/>
                <w:sz w:val="20"/>
                <w:highlight w:val="none"/>
              </w:rPr>
            </w:pPr>
          </w:p>
        </w:tc>
        <w:tc>
          <w:tcPr>
            <w:tcW w:w="794" w:type="dxa"/>
            <w:noWrap w:val="0"/>
            <w:vAlign w:val="top"/>
          </w:tcPr>
          <w:p w14:paraId="43F782D8">
            <w:pPr>
              <w:pStyle w:val="92"/>
              <w:adjustRightInd w:val="0"/>
              <w:snapToGrid w:val="0"/>
              <w:spacing w:line="560" w:lineRule="exact"/>
              <w:rPr>
                <w:rFonts w:ascii="Times New Roman"/>
                <w:color w:val="000000"/>
                <w:sz w:val="20"/>
                <w:highlight w:val="none"/>
              </w:rPr>
            </w:pPr>
          </w:p>
        </w:tc>
        <w:tc>
          <w:tcPr>
            <w:tcW w:w="794" w:type="dxa"/>
            <w:noWrap w:val="0"/>
            <w:vAlign w:val="top"/>
          </w:tcPr>
          <w:p w14:paraId="05376679">
            <w:pPr>
              <w:pStyle w:val="92"/>
              <w:adjustRightInd w:val="0"/>
              <w:snapToGrid w:val="0"/>
              <w:spacing w:line="560" w:lineRule="exact"/>
              <w:rPr>
                <w:rFonts w:ascii="Times New Roman"/>
                <w:color w:val="000000"/>
                <w:sz w:val="20"/>
                <w:highlight w:val="none"/>
              </w:rPr>
            </w:pPr>
          </w:p>
        </w:tc>
        <w:tc>
          <w:tcPr>
            <w:tcW w:w="794" w:type="dxa"/>
            <w:noWrap w:val="0"/>
            <w:vAlign w:val="top"/>
          </w:tcPr>
          <w:p w14:paraId="4B5A4EE1">
            <w:pPr>
              <w:pStyle w:val="92"/>
              <w:adjustRightInd w:val="0"/>
              <w:snapToGrid w:val="0"/>
              <w:spacing w:line="560" w:lineRule="exact"/>
              <w:rPr>
                <w:rFonts w:ascii="Times New Roman"/>
                <w:color w:val="000000"/>
                <w:sz w:val="20"/>
                <w:highlight w:val="none"/>
              </w:rPr>
            </w:pPr>
          </w:p>
        </w:tc>
        <w:tc>
          <w:tcPr>
            <w:tcW w:w="791" w:type="dxa"/>
            <w:noWrap w:val="0"/>
            <w:vAlign w:val="top"/>
          </w:tcPr>
          <w:p w14:paraId="337A628D">
            <w:pPr>
              <w:pStyle w:val="92"/>
              <w:adjustRightInd w:val="0"/>
              <w:snapToGrid w:val="0"/>
              <w:spacing w:line="560" w:lineRule="exact"/>
              <w:rPr>
                <w:rFonts w:ascii="Times New Roman"/>
                <w:color w:val="000000"/>
                <w:sz w:val="20"/>
                <w:highlight w:val="none"/>
              </w:rPr>
            </w:pPr>
          </w:p>
        </w:tc>
        <w:tc>
          <w:tcPr>
            <w:tcW w:w="635" w:type="dxa"/>
            <w:noWrap w:val="0"/>
            <w:vAlign w:val="top"/>
          </w:tcPr>
          <w:p w14:paraId="22BE7D92">
            <w:pPr>
              <w:pStyle w:val="92"/>
              <w:adjustRightInd w:val="0"/>
              <w:snapToGrid w:val="0"/>
              <w:spacing w:line="560" w:lineRule="exact"/>
              <w:rPr>
                <w:rFonts w:ascii="Times New Roman"/>
                <w:color w:val="000000"/>
                <w:sz w:val="20"/>
                <w:highlight w:val="none"/>
              </w:rPr>
            </w:pPr>
          </w:p>
        </w:tc>
        <w:tc>
          <w:tcPr>
            <w:tcW w:w="1687" w:type="dxa"/>
            <w:noWrap w:val="0"/>
            <w:vAlign w:val="top"/>
          </w:tcPr>
          <w:p w14:paraId="3F0D780C">
            <w:pPr>
              <w:pStyle w:val="92"/>
              <w:adjustRightInd w:val="0"/>
              <w:snapToGrid w:val="0"/>
              <w:spacing w:line="560" w:lineRule="exact"/>
              <w:rPr>
                <w:rFonts w:ascii="Times New Roman"/>
                <w:color w:val="000000"/>
                <w:sz w:val="20"/>
                <w:highlight w:val="none"/>
              </w:rPr>
            </w:pPr>
          </w:p>
        </w:tc>
      </w:tr>
      <w:tr w14:paraId="6759C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3D6B5070">
            <w:pPr>
              <w:pStyle w:val="92"/>
              <w:adjustRightInd w:val="0"/>
              <w:snapToGrid w:val="0"/>
              <w:spacing w:line="560" w:lineRule="exact"/>
              <w:rPr>
                <w:rFonts w:ascii="Times New Roman"/>
                <w:color w:val="000000"/>
                <w:sz w:val="20"/>
                <w:highlight w:val="none"/>
              </w:rPr>
            </w:pPr>
          </w:p>
        </w:tc>
        <w:tc>
          <w:tcPr>
            <w:tcW w:w="1685" w:type="dxa"/>
            <w:noWrap w:val="0"/>
            <w:vAlign w:val="top"/>
          </w:tcPr>
          <w:p w14:paraId="647C7AC5">
            <w:pPr>
              <w:pStyle w:val="92"/>
              <w:adjustRightInd w:val="0"/>
              <w:snapToGrid w:val="0"/>
              <w:spacing w:line="560" w:lineRule="exact"/>
              <w:rPr>
                <w:rFonts w:ascii="Times New Roman"/>
                <w:color w:val="000000"/>
                <w:sz w:val="20"/>
                <w:highlight w:val="none"/>
              </w:rPr>
            </w:pPr>
          </w:p>
        </w:tc>
        <w:tc>
          <w:tcPr>
            <w:tcW w:w="794" w:type="dxa"/>
            <w:noWrap w:val="0"/>
            <w:vAlign w:val="top"/>
          </w:tcPr>
          <w:p w14:paraId="4A875F08">
            <w:pPr>
              <w:pStyle w:val="92"/>
              <w:adjustRightInd w:val="0"/>
              <w:snapToGrid w:val="0"/>
              <w:spacing w:line="560" w:lineRule="exact"/>
              <w:rPr>
                <w:rFonts w:ascii="Times New Roman"/>
                <w:color w:val="000000"/>
                <w:sz w:val="20"/>
                <w:highlight w:val="none"/>
              </w:rPr>
            </w:pPr>
          </w:p>
        </w:tc>
        <w:tc>
          <w:tcPr>
            <w:tcW w:w="794" w:type="dxa"/>
            <w:noWrap w:val="0"/>
            <w:vAlign w:val="top"/>
          </w:tcPr>
          <w:p w14:paraId="1A9CEE98">
            <w:pPr>
              <w:pStyle w:val="92"/>
              <w:adjustRightInd w:val="0"/>
              <w:snapToGrid w:val="0"/>
              <w:spacing w:line="560" w:lineRule="exact"/>
              <w:rPr>
                <w:rFonts w:ascii="Times New Roman"/>
                <w:color w:val="000000"/>
                <w:sz w:val="20"/>
                <w:highlight w:val="none"/>
              </w:rPr>
            </w:pPr>
          </w:p>
        </w:tc>
        <w:tc>
          <w:tcPr>
            <w:tcW w:w="794" w:type="dxa"/>
            <w:noWrap w:val="0"/>
            <w:vAlign w:val="top"/>
          </w:tcPr>
          <w:p w14:paraId="04FB1D24">
            <w:pPr>
              <w:pStyle w:val="92"/>
              <w:adjustRightInd w:val="0"/>
              <w:snapToGrid w:val="0"/>
              <w:spacing w:line="560" w:lineRule="exact"/>
              <w:rPr>
                <w:rFonts w:ascii="Times New Roman"/>
                <w:color w:val="000000"/>
                <w:sz w:val="20"/>
                <w:highlight w:val="none"/>
              </w:rPr>
            </w:pPr>
          </w:p>
        </w:tc>
        <w:tc>
          <w:tcPr>
            <w:tcW w:w="791" w:type="dxa"/>
            <w:noWrap w:val="0"/>
            <w:vAlign w:val="top"/>
          </w:tcPr>
          <w:p w14:paraId="37646CFD">
            <w:pPr>
              <w:pStyle w:val="92"/>
              <w:adjustRightInd w:val="0"/>
              <w:snapToGrid w:val="0"/>
              <w:spacing w:line="560" w:lineRule="exact"/>
              <w:rPr>
                <w:rFonts w:ascii="Times New Roman"/>
                <w:color w:val="000000"/>
                <w:sz w:val="20"/>
                <w:highlight w:val="none"/>
              </w:rPr>
            </w:pPr>
          </w:p>
        </w:tc>
        <w:tc>
          <w:tcPr>
            <w:tcW w:w="635" w:type="dxa"/>
            <w:noWrap w:val="0"/>
            <w:vAlign w:val="top"/>
          </w:tcPr>
          <w:p w14:paraId="320EB84E">
            <w:pPr>
              <w:pStyle w:val="92"/>
              <w:adjustRightInd w:val="0"/>
              <w:snapToGrid w:val="0"/>
              <w:spacing w:line="560" w:lineRule="exact"/>
              <w:rPr>
                <w:rFonts w:ascii="Times New Roman"/>
                <w:color w:val="000000"/>
                <w:sz w:val="20"/>
                <w:highlight w:val="none"/>
              </w:rPr>
            </w:pPr>
          </w:p>
        </w:tc>
        <w:tc>
          <w:tcPr>
            <w:tcW w:w="1687" w:type="dxa"/>
            <w:noWrap w:val="0"/>
            <w:vAlign w:val="top"/>
          </w:tcPr>
          <w:p w14:paraId="55FA250C">
            <w:pPr>
              <w:pStyle w:val="92"/>
              <w:adjustRightInd w:val="0"/>
              <w:snapToGrid w:val="0"/>
              <w:spacing w:line="560" w:lineRule="exact"/>
              <w:rPr>
                <w:rFonts w:ascii="Times New Roman"/>
                <w:color w:val="000000"/>
                <w:sz w:val="20"/>
                <w:highlight w:val="none"/>
              </w:rPr>
            </w:pPr>
          </w:p>
        </w:tc>
      </w:tr>
    </w:tbl>
    <w:p w14:paraId="0FA6F72C">
      <w:pPr>
        <w:pStyle w:val="20"/>
        <w:adjustRightInd w:val="0"/>
        <w:snapToGrid w:val="0"/>
        <w:spacing w:after="0" w:line="560" w:lineRule="exact"/>
        <w:ind w:firstLine="420"/>
        <w:rPr>
          <w:rFonts w:eastAsia="宋体"/>
          <w:color w:val="000000"/>
          <w:highlight w:val="none"/>
        </w:rPr>
      </w:pPr>
      <w:r>
        <w:rPr>
          <w:rFonts w:eastAsia="宋体"/>
          <w:color w:val="000000"/>
          <w:highlight w:val="none"/>
        </w:rPr>
        <w:t>注：</w:t>
      </w:r>
      <w:r>
        <w:rPr>
          <w:rFonts w:hint="eastAsia" w:eastAsia="宋体"/>
          <w:color w:val="000000"/>
          <w:highlight w:val="none"/>
        </w:rPr>
        <w:t>1、</w:t>
      </w:r>
      <w:r>
        <w:rPr>
          <w:rFonts w:eastAsia="宋体"/>
          <w:color w:val="000000"/>
          <w:highlight w:val="none"/>
        </w:rPr>
        <w:t>本表仅针对不采用招标人推荐品牌，采用其他品牌的投标人填写，并注明并提供相关技术参数、业绩等供评标委员会评审，未在上表中注明且未提供相关技术参数、业绩，或经评标委员会评审未通过的，中标后只能从招标人推荐品牌中进行选择，价格不予调整。</w:t>
      </w:r>
    </w:p>
    <w:p w14:paraId="515F1824">
      <w:pPr>
        <w:pStyle w:val="20"/>
        <w:adjustRightInd w:val="0"/>
        <w:snapToGrid w:val="0"/>
        <w:spacing w:after="0" w:line="560" w:lineRule="exact"/>
        <w:ind w:firstLine="420"/>
        <w:rPr>
          <w:rFonts w:hint="eastAsia" w:eastAsia="宋体"/>
          <w:color w:val="000000"/>
          <w:highlight w:val="none"/>
        </w:rPr>
      </w:pPr>
      <w:r>
        <w:rPr>
          <w:rFonts w:hint="eastAsia" w:eastAsia="宋体"/>
          <w:color w:val="000000"/>
          <w:highlight w:val="none"/>
        </w:rPr>
        <w:t>2、</w:t>
      </w:r>
      <w:r>
        <w:rPr>
          <w:rFonts w:eastAsia="宋体"/>
          <w:color w:val="000000"/>
          <w:highlight w:val="none"/>
        </w:rPr>
        <w:t>对于招标人推荐品牌的材料、设备等，投标人如认为招标人推荐的品牌有限定性、唯一性、明显不在同一档次等级的或者其他疑问的，应在本项目</w:t>
      </w:r>
      <w:r>
        <w:rPr>
          <w:rFonts w:hint="eastAsia" w:eastAsia="宋体"/>
          <w:color w:val="000000"/>
          <w:highlight w:val="none"/>
        </w:rPr>
        <w:t>异议</w:t>
      </w:r>
      <w:r>
        <w:rPr>
          <w:rFonts w:eastAsia="宋体"/>
          <w:color w:val="000000"/>
          <w:highlight w:val="none"/>
        </w:rPr>
        <w:t>提出的截止时间前通过电子交易系统</w:t>
      </w:r>
      <w:r>
        <w:rPr>
          <w:rFonts w:hint="eastAsia" w:eastAsia="宋体"/>
          <w:color w:val="000000"/>
          <w:highlight w:val="none"/>
        </w:rPr>
        <w:t>向招标人提出。</w:t>
      </w:r>
    </w:p>
    <w:p w14:paraId="5A8DA863">
      <w:pPr>
        <w:rPr>
          <w:rFonts w:hint="eastAsia"/>
          <w:color w:val="000000"/>
          <w:spacing w:val="-3"/>
          <w:highlight w:val="none"/>
        </w:rPr>
      </w:pPr>
      <w:r>
        <w:rPr>
          <w:rFonts w:hint="eastAsia"/>
          <w:color w:val="000000"/>
          <w:spacing w:val="-3"/>
          <w:highlight w:val="none"/>
        </w:rPr>
        <w:br w:type="page"/>
      </w:r>
    </w:p>
    <w:p w14:paraId="172B3F58">
      <w:pPr>
        <w:pStyle w:val="44"/>
        <w:spacing w:beforeLines="50" w:afterLines="50" w:line="440" w:lineRule="exact"/>
        <w:rPr>
          <w:bCs/>
          <w:szCs w:val="32"/>
          <w:highlight w:val="none"/>
        </w:rPr>
      </w:pPr>
      <w:r>
        <w:rPr>
          <w:rFonts w:hint="eastAsia"/>
          <w:bCs/>
          <w:szCs w:val="32"/>
          <w:highlight w:val="none"/>
        </w:rPr>
        <w:t>第</w:t>
      </w:r>
      <w:r>
        <w:rPr>
          <w:rFonts w:hint="eastAsia"/>
          <w:bCs/>
          <w:szCs w:val="32"/>
          <w:highlight w:val="none"/>
          <w:lang w:val="en-US" w:eastAsia="zh-CN"/>
        </w:rPr>
        <w:t>十</w:t>
      </w:r>
      <w:r>
        <w:rPr>
          <w:rFonts w:hint="eastAsia"/>
          <w:bCs/>
          <w:szCs w:val="32"/>
          <w:highlight w:val="none"/>
        </w:rPr>
        <w:t>章  招标单位、招标代理机构对本招标文件的确认</w:t>
      </w:r>
      <w:bookmarkEnd w:id="962"/>
    </w:p>
    <w:p w14:paraId="7D391125">
      <w:pPr>
        <w:pStyle w:val="20"/>
        <w:rPr>
          <w:highlight w:val="none"/>
        </w:rPr>
      </w:pPr>
    </w:p>
    <w:tbl>
      <w:tblPr>
        <w:tblStyle w:val="47"/>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28B5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9" w:hRule="atLeast"/>
          <w:jc w:val="center"/>
        </w:trPr>
        <w:tc>
          <w:tcPr>
            <w:tcW w:w="9580" w:type="dxa"/>
            <w:noWrap/>
          </w:tcPr>
          <w:p w14:paraId="45DC8EDB">
            <w:pPr>
              <w:wordWrap w:val="0"/>
              <w:adjustRightInd w:val="0"/>
              <w:snapToGrid w:val="0"/>
              <w:spacing w:line="560" w:lineRule="exact"/>
              <w:rPr>
                <w:sz w:val="30"/>
                <w:highlight w:val="none"/>
              </w:rPr>
            </w:pPr>
          </w:p>
          <w:p w14:paraId="3CB446EA">
            <w:pPr>
              <w:wordWrap w:val="0"/>
              <w:spacing w:line="560" w:lineRule="exact"/>
              <w:ind w:firstLine="560" w:firstLineChars="200"/>
              <w:rPr>
                <w:sz w:val="28"/>
                <w:szCs w:val="28"/>
                <w:highlight w:val="none"/>
              </w:rPr>
            </w:pPr>
            <w:r>
              <w:rPr>
                <w:rFonts w:hint="eastAsia"/>
                <w:sz w:val="28"/>
                <w:szCs w:val="28"/>
                <w:highlight w:val="none"/>
              </w:rPr>
              <w:t>我单位对</w:t>
            </w:r>
            <w:r>
              <w:rPr>
                <w:rFonts w:hint="eastAsia"/>
                <w:sz w:val="28"/>
                <w:szCs w:val="28"/>
                <w:highlight w:val="none"/>
                <w:u w:val="single"/>
              </w:rPr>
              <w:t xml:space="preserve"> </w:t>
            </w:r>
            <w:r>
              <w:rPr>
                <w:rFonts w:hint="eastAsia"/>
                <w:sz w:val="28"/>
                <w:szCs w:val="28"/>
                <w:highlight w:val="none"/>
                <w:u w:val="single"/>
                <w:lang w:eastAsia="zh-CN"/>
              </w:rPr>
              <w:t>2026年度滁城充电基础设施项目（第二批次）施工</w:t>
            </w:r>
            <w:r>
              <w:rPr>
                <w:rFonts w:hint="eastAsia"/>
                <w:sz w:val="28"/>
                <w:szCs w:val="28"/>
                <w:highlight w:val="none"/>
                <w:u w:val="single"/>
              </w:rPr>
              <w:t xml:space="preserve"> </w:t>
            </w:r>
            <w:r>
              <w:rPr>
                <w:rFonts w:hint="eastAsia"/>
                <w:sz w:val="28"/>
                <w:szCs w:val="28"/>
                <w:highlight w:val="none"/>
              </w:rPr>
              <w:t>的招标文件进行确认。</w:t>
            </w:r>
          </w:p>
          <w:p w14:paraId="71A0CDF3">
            <w:pPr>
              <w:widowControl/>
              <w:spacing w:line="360" w:lineRule="auto"/>
              <w:ind w:firstLine="560" w:firstLineChars="200"/>
              <w:jc w:val="left"/>
              <w:rPr>
                <w:rFonts w:hint="eastAsia" w:ascii="宋体" w:hAnsi="宋体"/>
                <w:color w:val="auto"/>
                <w:sz w:val="28"/>
                <w:szCs w:val="28"/>
                <w:highlight w:val="none"/>
              </w:rPr>
            </w:pPr>
            <w:r>
              <w:rPr>
                <w:rFonts w:hint="eastAsia" w:ascii="宋体" w:hAnsi="宋体"/>
                <w:color w:val="auto"/>
                <w:sz w:val="28"/>
                <w:szCs w:val="28"/>
                <w:highlight w:val="none"/>
                <w:lang w:val="en-US" w:eastAsia="zh-CN"/>
              </w:rPr>
              <w:t>招标人</w:t>
            </w:r>
            <w:r>
              <w:rPr>
                <w:rFonts w:hint="eastAsia" w:ascii="宋体" w:hAnsi="宋体"/>
                <w:color w:val="auto"/>
                <w:sz w:val="28"/>
                <w:szCs w:val="28"/>
                <w:highlight w:val="none"/>
              </w:rPr>
              <w:t>：</w:t>
            </w:r>
            <w:r>
              <w:rPr>
                <w:rFonts w:hint="eastAsia" w:ascii="宋体" w:hAnsi="宋体"/>
                <w:color w:val="auto"/>
                <w:sz w:val="28"/>
                <w:szCs w:val="28"/>
                <w:highlight w:val="none"/>
                <w:lang w:eastAsia="zh-CN"/>
              </w:rPr>
              <w:t>滁州工投新能源开发有限公司</w:t>
            </w:r>
            <w:r>
              <w:rPr>
                <w:rFonts w:hint="eastAsia" w:ascii="宋体" w:hAnsi="宋体"/>
                <w:color w:val="auto"/>
                <w:sz w:val="28"/>
                <w:szCs w:val="28"/>
                <w:highlight w:val="none"/>
              </w:rPr>
              <w:t xml:space="preserve">  </w:t>
            </w:r>
          </w:p>
          <w:p w14:paraId="7E988D38">
            <w:pPr>
              <w:adjustRightInd w:val="0"/>
              <w:snapToGrid w:val="0"/>
              <w:spacing w:line="560" w:lineRule="exact"/>
              <w:ind w:firstLine="560" w:firstLineChars="200"/>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联 系 人：</w:t>
            </w:r>
            <w:r>
              <w:rPr>
                <w:rFonts w:hint="eastAsia" w:ascii="宋体" w:hAnsi="宋体" w:cs="Times New Roman"/>
                <w:color w:val="auto"/>
                <w:sz w:val="28"/>
                <w:szCs w:val="28"/>
                <w:highlight w:val="none"/>
                <w:lang w:val="en-US" w:eastAsia="zh-CN"/>
              </w:rPr>
              <w:t>王工</w:t>
            </w:r>
            <w:r>
              <w:rPr>
                <w:rFonts w:hint="eastAsia" w:ascii="宋体" w:hAnsi="宋体" w:eastAsia="宋体" w:cs="Times New Roman"/>
                <w:color w:val="auto"/>
                <w:sz w:val="28"/>
                <w:szCs w:val="28"/>
                <w:highlight w:val="none"/>
              </w:rPr>
              <w:t xml:space="preserve"> </w:t>
            </w:r>
            <w:r>
              <w:rPr>
                <w:rFonts w:hint="eastAsia" w:ascii="宋体" w:hAnsi="宋体" w:eastAsia="宋体" w:cs="Times New Roman"/>
                <w:color w:val="auto"/>
                <w:sz w:val="28"/>
                <w:szCs w:val="28"/>
                <w:highlight w:val="none"/>
                <w:lang w:val="en-US" w:eastAsia="zh-CN"/>
              </w:rPr>
              <w:t xml:space="preserve"> </w:t>
            </w:r>
          </w:p>
          <w:p w14:paraId="27CF026B">
            <w:pPr>
              <w:spacing w:line="560" w:lineRule="exact"/>
              <w:ind w:firstLine="560" w:firstLineChars="200"/>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rPr>
              <w:t>联系电话：</w:t>
            </w:r>
            <w:r>
              <w:rPr>
                <w:rFonts w:hint="eastAsia" w:ascii="宋体" w:hAnsi="宋体" w:cs="宋体"/>
                <w:sz w:val="28"/>
                <w:szCs w:val="28"/>
                <w:highlight w:val="none"/>
                <w:lang w:val="en-US" w:eastAsia="zh-CN"/>
              </w:rPr>
              <w:t>0550-3018125、17625932920</w:t>
            </w:r>
          </w:p>
          <w:p w14:paraId="01C3939A">
            <w:pPr>
              <w:adjustRightInd w:val="0"/>
              <w:snapToGrid w:val="0"/>
              <w:spacing w:line="560" w:lineRule="exact"/>
              <w:ind w:firstLine="560" w:firstLineChars="200"/>
              <w:rPr>
                <w:rFonts w:hint="eastAsia" w:ascii="宋体" w:hAnsi="宋体" w:eastAsia="宋体" w:cs="Times New Roman"/>
                <w:color w:val="auto"/>
                <w:sz w:val="28"/>
                <w:szCs w:val="28"/>
                <w:highlight w:val="none"/>
                <w:lang w:val="en-US" w:eastAsia="zh-CN"/>
              </w:rPr>
            </w:pPr>
          </w:p>
          <w:p w14:paraId="01C406FE">
            <w:pPr>
              <w:wordWrap w:val="0"/>
              <w:spacing w:line="560" w:lineRule="exact"/>
              <w:ind w:firstLine="560" w:firstLineChars="200"/>
              <w:rPr>
                <w:rFonts w:ascii="宋体" w:hAnsi="宋体"/>
                <w:sz w:val="28"/>
                <w:szCs w:val="28"/>
                <w:highlight w:val="none"/>
              </w:rPr>
            </w:pPr>
            <w:r>
              <w:rPr>
                <w:rFonts w:hint="eastAsia" w:ascii="宋体" w:hAnsi="宋体"/>
                <w:color w:val="auto"/>
                <w:sz w:val="28"/>
                <w:szCs w:val="28"/>
                <w:highlight w:val="none"/>
              </w:rPr>
              <w:t xml:space="preserve">    </w:t>
            </w:r>
            <w:r>
              <w:rPr>
                <w:rFonts w:hint="eastAsia" w:ascii="宋体" w:hAnsi="宋体"/>
                <w:color w:val="auto"/>
                <w:sz w:val="28"/>
                <w:szCs w:val="28"/>
                <w:highlight w:val="none"/>
                <w:lang w:val="en-US" w:eastAsia="zh-CN"/>
              </w:rPr>
              <w:t xml:space="preserve">    </w:t>
            </w:r>
          </w:p>
          <w:p w14:paraId="3879E6FD">
            <w:pPr>
              <w:wordWrap w:val="0"/>
              <w:spacing w:line="560" w:lineRule="exact"/>
              <w:rPr>
                <w:rFonts w:ascii="宋体" w:hAnsi="宋体"/>
                <w:sz w:val="28"/>
                <w:szCs w:val="28"/>
                <w:highlight w:val="none"/>
              </w:rPr>
            </w:pPr>
          </w:p>
          <w:p w14:paraId="6BD2A618">
            <w:pPr>
              <w:wordWrap w:val="0"/>
              <w:spacing w:line="560" w:lineRule="exact"/>
              <w:ind w:firstLine="5740" w:firstLineChars="2050"/>
              <w:rPr>
                <w:rFonts w:ascii="宋体" w:hAnsi="宋体"/>
                <w:sz w:val="28"/>
                <w:szCs w:val="28"/>
                <w:highlight w:val="none"/>
              </w:rPr>
            </w:pPr>
            <w:r>
              <w:rPr>
                <w:rFonts w:hint="eastAsia" w:ascii="宋体" w:hAnsi="宋体"/>
                <w:sz w:val="28"/>
                <w:szCs w:val="28"/>
                <w:highlight w:val="none"/>
              </w:rPr>
              <w:t>（单位盖章）</w:t>
            </w:r>
          </w:p>
          <w:p w14:paraId="0DB51C41">
            <w:pPr>
              <w:spacing w:line="560" w:lineRule="exact"/>
              <w:ind w:firstLine="5880" w:firstLineChars="210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10</w:t>
            </w:r>
            <w:r>
              <w:rPr>
                <w:rFonts w:hint="eastAsia" w:ascii="宋体" w:hAnsi="宋体"/>
                <w:sz w:val="28"/>
                <w:szCs w:val="28"/>
                <w:highlight w:val="none"/>
              </w:rPr>
              <w:t>月</w:t>
            </w:r>
          </w:p>
          <w:p w14:paraId="72A7FF77">
            <w:pPr>
              <w:pStyle w:val="14"/>
              <w:ind w:firstLine="420"/>
              <w:rPr>
                <w:highlight w:val="none"/>
              </w:rPr>
            </w:pPr>
          </w:p>
        </w:tc>
      </w:tr>
      <w:tr w14:paraId="05F3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1" w:hRule="atLeast"/>
          <w:jc w:val="center"/>
        </w:trPr>
        <w:tc>
          <w:tcPr>
            <w:tcW w:w="9580" w:type="dxa"/>
            <w:noWrap/>
          </w:tcPr>
          <w:p w14:paraId="2080D8D4">
            <w:pPr>
              <w:spacing w:line="560" w:lineRule="exact"/>
              <w:ind w:firstLine="560" w:firstLineChars="200"/>
              <w:rPr>
                <w:rFonts w:ascii="宋体" w:hAnsi="宋体" w:cs="宋体"/>
                <w:sz w:val="28"/>
                <w:szCs w:val="28"/>
                <w:highlight w:val="none"/>
              </w:rPr>
            </w:pPr>
          </w:p>
          <w:p w14:paraId="297A006E">
            <w:pPr>
              <w:spacing w:line="560" w:lineRule="exact"/>
              <w:ind w:firstLine="560" w:firstLineChars="200"/>
              <w:rPr>
                <w:rFonts w:ascii="宋体" w:hAnsi="宋体" w:cs="宋体"/>
                <w:sz w:val="28"/>
                <w:szCs w:val="28"/>
                <w:highlight w:val="none"/>
                <w:u w:val="single"/>
              </w:rPr>
            </w:pPr>
            <w:r>
              <w:rPr>
                <w:rFonts w:hint="eastAsia" w:ascii="宋体" w:hAnsi="宋体" w:cs="宋体"/>
                <w:sz w:val="28"/>
                <w:szCs w:val="28"/>
                <w:highlight w:val="none"/>
              </w:rPr>
              <w:t>招标代理机构：</w:t>
            </w:r>
            <w:r>
              <w:rPr>
                <w:rFonts w:hint="eastAsia"/>
                <w:sz w:val="28"/>
                <w:szCs w:val="28"/>
                <w:highlight w:val="none"/>
              </w:rPr>
              <w:t>滁州市城投工程咨询管理有限公司</w:t>
            </w:r>
          </w:p>
          <w:p w14:paraId="04195C3D">
            <w:pPr>
              <w:spacing w:line="560" w:lineRule="exact"/>
              <w:ind w:firstLine="560" w:firstLineChars="200"/>
              <w:rPr>
                <w:rFonts w:hint="default" w:ascii="宋体" w:hAnsi="宋体" w:eastAsia="宋体" w:cs="宋体"/>
                <w:sz w:val="28"/>
                <w:szCs w:val="28"/>
                <w:highlight w:val="none"/>
                <w:u w:val="single"/>
                <w:lang w:val="en-US" w:eastAsia="zh-CN"/>
              </w:rPr>
            </w:pPr>
            <w:r>
              <w:rPr>
                <w:rFonts w:hint="eastAsia" w:ascii="宋体" w:hAnsi="宋体" w:cs="宋体"/>
                <w:sz w:val="28"/>
                <w:szCs w:val="28"/>
                <w:highlight w:val="none"/>
              </w:rPr>
              <w:t>联 系 人：</w:t>
            </w:r>
            <w:r>
              <w:rPr>
                <w:rFonts w:hint="eastAsia" w:ascii="宋体" w:hAnsi="宋体" w:cs="宋体"/>
                <w:sz w:val="28"/>
                <w:szCs w:val="28"/>
                <w:highlight w:val="none"/>
                <w:lang w:val="en-US" w:eastAsia="zh-CN"/>
              </w:rPr>
              <w:t>周蓓蕾</w:t>
            </w:r>
          </w:p>
          <w:p w14:paraId="47E8E678">
            <w:pPr>
              <w:spacing w:line="560" w:lineRule="exact"/>
              <w:ind w:firstLine="560" w:firstLineChars="200"/>
              <w:rPr>
                <w:rFonts w:hint="eastAsia" w:ascii="宋体" w:hAnsi="宋体" w:eastAsia="宋体" w:cs="宋体"/>
                <w:sz w:val="28"/>
                <w:szCs w:val="28"/>
                <w:highlight w:val="none"/>
                <w:lang w:val="en-US" w:eastAsia="zh-CN"/>
              </w:rPr>
            </w:pPr>
            <w:r>
              <w:rPr>
                <w:rFonts w:hint="eastAsia" w:ascii="宋体" w:hAnsi="宋体" w:cs="宋体"/>
                <w:sz w:val="28"/>
                <w:szCs w:val="28"/>
                <w:highlight w:val="none"/>
              </w:rPr>
              <w:t>联系电话：0550-351951</w:t>
            </w:r>
            <w:r>
              <w:rPr>
                <w:rFonts w:hint="eastAsia" w:ascii="宋体" w:hAnsi="宋体" w:cs="宋体"/>
                <w:sz w:val="28"/>
                <w:szCs w:val="28"/>
                <w:highlight w:val="none"/>
                <w:lang w:val="en-US" w:eastAsia="zh-CN"/>
              </w:rPr>
              <w:t>9</w:t>
            </w:r>
            <w:r>
              <w:rPr>
                <w:rFonts w:hint="eastAsia" w:ascii="宋体" w:hAnsi="宋体" w:cs="宋体"/>
                <w:sz w:val="28"/>
                <w:szCs w:val="28"/>
                <w:highlight w:val="none"/>
              </w:rPr>
              <w:t>、</w:t>
            </w:r>
            <w:r>
              <w:rPr>
                <w:rFonts w:hint="eastAsia" w:ascii="宋体" w:hAnsi="宋体" w:cs="宋体"/>
                <w:sz w:val="28"/>
                <w:szCs w:val="28"/>
                <w:highlight w:val="none"/>
                <w:lang w:eastAsia="zh-CN"/>
              </w:rPr>
              <w:t>18005505728</w:t>
            </w:r>
          </w:p>
          <w:p w14:paraId="60018F68">
            <w:pPr>
              <w:spacing w:line="560" w:lineRule="exact"/>
              <w:ind w:firstLine="5040" w:firstLineChars="1800"/>
              <w:rPr>
                <w:rFonts w:ascii="宋体" w:hAnsi="宋体" w:cs="宋体"/>
                <w:sz w:val="28"/>
                <w:szCs w:val="28"/>
                <w:highlight w:val="none"/>
              </w:rPr>
            </w:pPr>
          </w:p>
          <w:p w14:paraId="0781C8CF">
            <w:pPr>
              <w:spacing w:line="560" w:lineRule="exact"/>
              <w:ind w:firstLine="5460" w:firstLineChars="1950"/>
              <w:rPr>
                <w:rFonts w:ascii="宋体" w:hAnsi="宋体" w:cs="宋体"/>
                <w:sz w:val="28"/>
                <w:szCs w:val="28"/>
                <w:highlight w:val="none"/>
              </w:rPr>
            </w:pPr>
          </w:p>
          <w:p w14:paraId="579245CC">
            <w:pPr>
              <w:spacing w:line="560" w:lineRule="exact"/>
              <w:ind w:firstLine="5880" w:firstLineChars="2100"/>
              <w:rPr>
                <w:rFonts w:hint="eastAsia" w:ascii="宋体" w:hAnsi="宋体" w:cs="宋体"/>
                <w:sz w:val="28"/>
                <w:szCs w:val="28"/>
                <w:highlight w:val="none"/>
              </w:rPr>
            </w:pPr>
          </w:p>
          <w:p w14:paraId="0A1FE158">
            <w:pPr>
              <w:spacing w:line="560" w:lineRule="exact"/>
              <w:ind w:firstLine="5880" w:firstLineChars="2100"/>
              <w:rPr>
                <w:rFonts w:ascii="宋体" w:hAnsi="宋体" w:cs="宋体"/>
                <w:sz w:val="28"/>
                <w:szCs w:val="28"/>
                <w:highlight w:val="none"/>
              </w:rPr>
            </w:pPr>
            <w:r>
              <w:rPr>
                <w:rFonts w:hint="eastAsia" w:ascii="宋体" w:hAnsi="宋体" w:cs="宋体"/>
                <w:sz w:val="28"/>
                <w:szCs w:val="28"/>
                <w:highlight w:val="none"/>
              </w:rPr>
              <w:t>（单位盖章）</w:t>
            </w:r>
          </w:p>
          <w:p w14:paraId="144B0D1C">
            <w:pPr>
              <w:spacing w:line="560" w:lineRule="exact"/>
              <w:ind w:firstLine="6020" w:firstLineChars="215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10</w:t>
            </w:r>
            <w:r>
              <w:rPr>
                <w:rFonts w:hint="eastAsia" w:ascii="宋体" w:hAnsi="宋体"/>
                <w:sz w:val="28"/>
                <w:szCs w:val="28"/>
                <w:highlight w:val="none"/>
              </w:rPr>
              <w:t>月</w:t>
            </w:r>
          </w:p>
          <w:p w14:paraId="4EDF8AEB">
            <w:pPr>
              <w:pStyle w:val="14"/>
              <w:ind w:firstLine="420"/>
              <w:rPr>
                <w:highlight w:val="none"/>
              </w:rPr>
            </w:pPr>
          </w:p>
        </w:tc>
      </w:tr>
    </w:tbl>
    <w:p w14:paraId="715B92A1">
      <w:pPr>
        <w:rPr>
          <w:highlight w:val="none"/>
        </w:rPr>
      </w:pPr>
    </w:p>
    <w:sectPr>
      <w:headerReference r:id="rId7" w:type="default"/>
      <w:footerReference r:id="rId8" w:type="default"/>
      <w:pgSz w:w="11906" w:h="16838"/>
      <w:pgMar w:top="1134" w:right="1417" w:bottom="1134"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42DBF">
    <w:pPr>
      <w:pStyle w:val="29"/>
      <w:rPr>
        <w:rStyle w:val="51"/>
      </w:rPr>
    </w:pPr>
  </w:p>
  <w:p w14:paraId="53435915">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08C72">
    <w:pPr>
      <w:pStyle w:val="29"/>
      <w:rPr>
        <w:rStyle w:val="51"/>
      </w:rPr>
    </w:pPr>
  </w:p>
  <w:p w14:paraId="78B0040E">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C588D">
    <w:pPr>
      <w:pStyle w:val="29"/>
      <w:rPr>
        <w:rStyle w:val="51"/>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8F04E6">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8F04E6">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2441B96C">
    <w:pPr>
      <w:pStyle w:val="2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767B4">
    <w:pPr>
      <w:pStyle w:val="29"/>
      <w:rPr>
        <w:rStyle w:val="5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02D7ED">
                          <w:pPr>
                            <w:pStyle w:val="2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qv1RMoBAACcAwAADgAAAGRycy9lMm9Eb2MueG1srVPNjtMwEL4j8Q6W&#10;79RpD6hE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qv1RMoBAACcAwAADgAAAAAAAAABACAAAAAeAQAAZHJzL2Uyb0Rv&#10;Yy54bWxQSwUGAAAAAAYABgBZAQAAWgUAAAAA&#10;">
              <v:fill on="f" focussize="0,0"/>
              <v:stroke on="f"/>
              <v:imagedata o:title=""/>
              <o:lock v:ext="edit" aspectratio="f"/>
              <v:textbox inset="0mm,0mm,0mm,0mm" style="mso-fit-shape-to-text:t;">
                <w:txbxContent>
                  <w:p w14:paraId="2802D7ED">
                    <w:pPr>
                      <w:pStyle w:val="29"/>
                    </w:pPr>
                    <w:r>
                      <w:fldChar w:fldCharType="begin"/>
                    </w:r>
                    <w:r>
                      <w:instrText xml:space="preserve"> PAGE  \* MERGEFORMAT </w:instrText>
                    </w:r>
                    <w:r>
                      <w:fldChar w:fldCharType="separate"/>
                    </w:r>
                    <w:r>
                      <w:t>2</w:t>
                    </w:r>
                    <w:r>
                      <w:fldChar w:fldCharType="end"/>
                    </w:r>
                  </w:p>
                </w:txbxContent>
              </v:textbox>
            </v:shape>
          </w:pict>
        </mc:Fallback>
      </mc:AlternateContent>
    </w:r>
  </w:p>
  <w:p w14:paraId="01B2BA8E">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EBD4B">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8BC04">
    <w:pPr>
      <w:pStyle w:val="3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E0B1C5"/>
    <w:multiLevelType w:val="singleLevel"/>
    <w:tmpl w:val="84E0B1C5"/>
    <w:lvl w:ilvl="0" w:tentative="0">
      <w:start w:val="1"/>
      <w:numFmt w:val="decimal"/>
      <w:suff w:val="space"/>
      <w:lvlText w:val="（%1）"/>
      <w:lvlJc w:val="left"/>
    </w:lvl>
  </w:abstractNum>
  <w:abstractNum w:abstractNumId="1">
    <w:nsid w:val="EC06EF2D"/>
    <w:multiLevelType w:val="singleLevel"/>
    <w:tmpl w:val="EC06EF2D"/>
    <w:lvl w:ilvl="0" w:tentative="0">
      <w:start w:val="4"/>
      <w:numFmt w:val="chineseCounting"/>
      <w:suff w:val="space"/>
      <w:lvlText w:val="第%1章"/>
      <w:lvlJc w:val="left"/>
      <w:rPr>
        <w:rFonts w:hint="eastAsia"/>
      </w:rPr>
    </w:lvl>
  </w:abstractNum>
  <w:abstractNum w:abstractNumId="2">
    <w:nsid w:val="00000002"/>
    <w:multiLevelType w:val="singleLevel"/>
    <w:tmpl w:val="00000002"/>
    <w:lvl w:ilvl="0" w:tentative="0">
      <w:start w:val="3"/>
      <w:numFmt w:val="chineseCounting"/>
      <w:suff w:val="nothing"/>
      <w:lvlText w:val="%1、"/>
      <w:lvlJc w:val="left"/>
      <w:pPr>
        <w:tabs>
          <w:tab w:val="left" w:pos="0"/>
        </w:tabs>
        <w:ind w:left="0" w:firstLine="0"/>
      </w:pPr>
      <w:rPr>
        <w:rFonts w:cs="Times New Roman"/>
      </w:rPr>
    </w:lvl>
  </w:abstractNum>
  <w:abstractNum w:abstractNumId="3">
    <w:nsid w:val="152B3C79"/>
    <w:multiLevelType w:val="singleLevel"/>
    <w:tmpl w:val="152B3C79"/>
    <w:lvl w:ilvl="0" w:tentative="0">
      <w:start w:val="1"/>
      <w:numFmt w:val="decimal"/>
      <w:suff w:val="nothing"/>
      <w:lvlText w:val="（%1）"/>
      <w:lvlJc w:val="left"/>
    </w:lvl>
  </w:abstractNum>
  <w:abstractNum w:abstractNumId="4">
    <w:nsid w:val="1F4DEA46"/>
    <w:multiLevelType w:val="singleLevel"/>
    <w:tmpl w:val="1F4DEA46"/>
    <w:lvl w:ilvl="0" w:tentative="0">
      <w:start w:val="5"/>
      <w:numFmt w:val="decimal"/>
      <w:lvlText w:val="%1."/>
      <w:lvlJc w:val="left"/>
      <w:pPr>
        <w:tabs>
          <w:tab w:val="left" w:pos="312"/>
        </w:tabs>
      </w:pPr>
    </w:lvl>
  </w:abstractNum>
  <w:abstractNum w:abstractNumId="5">
    <w:nsid w:val="45A1E0C6"/>
    <w:multiLevelType w:val="singleLevel"/>
    <w:tmpl w:val="45A1E0C6"/>
    <w:lvl w:ilvl="0" w:tentative="0">
      <w:start w:val="10"/>
      <w:numFmt w:val="decimal"/>
      <w:suff w:val="nothing"/>
      <w:lvlText w:val="（%1）"/>
      <w:lvlJc w:val="left"/>
      <w:pPr>
        <w:tabs>
          <w:tab w:val="left" w:pos="0"/>
        </w:tabs>
        <w:ind w:left="0" w:firstLine="0"/>
      </w:pPr>
    </w:lvl>
  </w:abstractNum>
  <w:abstractNum w:abstractNumId="6">
    <w:nsid w:val="6E3C7851"/>
    <w:multiLevelType w:val="singleLevel"/>
    <w:tmpl w:val="6E3C7851"/>
    <w:lvl w:ilvl="0" w:tentative="0">
      <w:start w:val="6"/>
      <w:numFmt w:val="chineseCounting"/>
      <w:suff w:val="space"/>
      <w:lvlText w:val="第%1章"/>
      <w:lvlJc w:val="left"/>
      <w:rPr>
        <w:rFonts w:hint="eastAsia"/>
      </w:rPr>
    </w:lvl>
  </w:abstractNum>
  <w:num w:numId="1">
    <w:abstractNumId w:val="1"/>
  </w:num>
  <w:num w:numId="2">
    <w:abstractNumId w:val="5"/>
  </w:num>
  <w:num w:numId="3">
    <w:abstractNumId w:val="0"/>
  </w:num>
  <w:num w:numId="4">
    <w:abstractNumId w:val="3"/>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172A27"/>
    <w:rsid w:val="0000197A"/>
    <w:rsid w:val="00002E1B"/>
    <w:rsid w:val="000046EA"/>
    <w:rsid w:val="00004E34"/>
    <w:rsid w:val="00005CD8"/>
    <w:rsid w:val="00006123"/>
    <w:rsid w:val="000070B7"/>
    <w:rsid w:val="0000758B"/>
    <w:rsid w:val="00010F4B"/>
    <w:rsid w:val="0001111D"/>
    <w:rsid w:val="00011A14"/>
    <w:rsid w:val="00012844"/>
    <w:rsid w:val="00012D1D"/>
    <w:rsid w:val="00017114"/>
    <w:rsid w:val="00017EFA"/>
    <w:rsid w:val="00020FE0"/>
    <w:rsid w:val="00021BDB"/>
    <w:rsid w:val="000225E0"/>
    <w:rsid w:val="00022A89"/>
    <w:rsid w:val="00023D05"/>
    <w:rsid w:val="00026E12"/>
    <w:rsid w:val="000273CC"/>
    <w:rsid w:val="000330C1"/>
    <w:rsid w:val="000335C0"/>
    <w:rsid w:val="00034C73"/>
    <w:rsid w:val="0003719A"/>
    <w:rsid w:val="00037B93"/>
    <w:rsid w:val="00040224"/>
    <w:rsid w:val="0004332D"/>
    <w:rsid w:val="00044907"/>
    <w:rsid w:val="0004695D"/>
    <w:rsid w:val="00046C34"/>
    <w:rsid w:val="00057DBF"/>
    <w:rsid w:val="000617FE"/>
    <w:rsid w:val="0006411D"/>
    <w:rsid w:val="000642AF"/>
    <w:rsid w:val="00066792"/>
    <w:rsid w:val="00072090"/>
    <w:rsid w:val="00076B75"/>
    <w:rsid w:val="00076F1D"/>
    <w:rsid w:val="00077234"/>
    <w:rsid w:val="000837EF"/>
    <w:rsid w:val="00083ADA"/>
    <w:rsid w:val="0008659F"/>
    <w:rsid w:val="00086C18"/>
    <w:rsid w:val="00090A07"/>
    <w:rsid w:val="00090F90"/>
    <w:rsid w:val="00093100"/>
    <w:rsid w:val="000939B1"/>
    <w:rsid w:val="00094E9D"/>
    <w:rsid w:val="000A078C"/>
    <w:rsid w:val="000A11AD"/>
    <w:rsid w:val="000A2C9F"/>
    <w:rsid w:val="000A475B"/>
    <w:rsid w:val="000A65EE"/>
    <w:rsid w:val="000B0DC9"/>
    <w:rsid w:val="000B3A75"/>
    <w:rsid w:val="000B4B76"/>
    <w:rsid w:val="000B547D"/>
    <w:rsid w:val="000B7A7E"/>
    <w:rsid w:val="000B7EE6"/>
    <w:rsid w:val="000C10AA"/>
    <w:rsid w:val="000C26FD"/>
    <w:rsid w:val="000D08DE"/>
    <w:rsid w:val="000D203E"/>
    <w:rsid w:val="000D2C3D"/>
    <w:rsid w:val="000D2ECE"/>
    <w:rsid w:val="000D4E9E"/>
    <w:rsid w:val="000D7F9C"/>
    <w:rsid w:val="000E0020"/>
    <w:rsid w:val="000E1F7F"/>
    <w:rsid w:val="000E227E"/>
    <w:rsid w:val="000E24EC"/>
    <w:rsid w:val="000E3D3D"/>
    <w:rsid w:val="000F7312"/>
    <w:rsid w:val="000F740E"/>
    <w:rsid w:val="00104E44"/>
    <w:rsid w:val="001063CB"/>
    <w:rsid w:val="0011140E"/>
    <w:rsid w:val="00114707"/>
    <w:rsid w:val="00115943"/>
    <w:rsid w:val="00116988"/>
    <w:rsid w:val="00120E5D"/>
    <w:rsid w:val="00125553"/>
    <w:rsid w:val="0012738D"/>
    <w:rsid w:val="00130FBA"/>
    <w:rsid w:val="00131494"/>
    <w:rsid w:val="00132E3D"/>
    <w:rsid w:val="0014049F"/>
    <w:rsid w:val="00140BFD"/>
    <w:rsid w:val="00142868"/>
    <w:rsid w:val="00146B5E"/>
    <w:rsid w:val="0015292B"/>
    <w:rsid w:val="0015363F"/>
    <w:rsid w:val="00154C59"/>
    <w:rsid w:val="00155F6F"/>
    <w:rsid w:val="001564C3"/>
    <w:rsid w:val="001620D9"/>
    <w:rsid w:val="0016514F"/>
    <w:rsid w:val="00165414"/>
    <w:rsid w:val="00165F97"/>
    <w:rsid w:val="00167090"/>
    <w:rsid w:val="00167507"/>
    <w:rsid w:val="00172A27"/>
    <w:rsid w:val="00173108"/>
    <w:rsid w:val="00173D37"/>
    <w:rsid w:val="00174E43"/>
    <w:rsid w:val="0018238C"/>
    <w:rsid w:val="00182D4C"/>
    <w:rsid w:val="001834BA"/>
    <w:rsid w:val="001843D3"/>
    <w:rsid w:val="00184866"/>
    <w:rsid w:val="00185DBC"/>
    <w:rsid w:val="001867E2"/>
    <w:rsid w:val="001919D1"/>
    <w:rsid w:val="00191DD8"/>
    <w:rsid w:val="00193AE6"/>
    <w:rsid w:val="00194AEF"/>
    <w:rsid w:val="001963BD"/>
    <w:rsid w:val="001A120B"/>
    <w:rsid w:val="001A184C"/>
    <w:rsid w:val="001A274E"/>
    <w:rsid w:val="001A2C88"/>
    <w:rsid w:val="001A37E0"/>
    <w:rsid w:val="001A3EC9"/>
    <w:rsid w:val="001A50F2"/>
    <w:rsid w:val="001A6EF7"/>
    <w:rsid w:val="001B1DF0"/>
    <w:rsid w:val="001B21A5"/>
    <w:rsid w:val="001B45D5"/>
    <w:rsid w:val="001B4675"/>
    <w:rsid w:val="001B4BDE"/>
    <w:rsid w:val="001B59E9"/>
    <w:rsid w:val="001B62B0"/>
    <w:rsid w:val="001B6A78"/>
    <w:rsid w:val="001C1FC2"/>
    <w:rsid w:val="001C4E01"/>
    <w:rsid w:val="001C7AB4"/>
    <w:rsid w:val="001D0C94"/>
    <w:rsid w:val="001D3498"/>
    <w:rsid w:val="001E1380"/>
    <w:rsid w:val="001E5247"/>
    <w:rsid w:val="001F23AB"/>
    <w:rsid w:val="001F32ED"/>
    <w:rsid w:val="001F4F95"/>
    <w:rsid w:val="001F7E70"/>
    <w:rsid w:val="00200459"/>
    <w:rsid w:val="00202DB7"/>
    <w:rsid w:val="00207065"/>
    <w:rsid w:val="00207999"/>
    <w:rsid w:val="00212D04"/>
    <w:rsid w:val="00213FCA"/>
    <w:rsid w:val="00214988"/>
    <w:rsid w:val="00214B43"/>
    <w:rsid w:val="00214F76"/>
    <w:rsid w:val="002202CE"/>
    <w:rsid w:val="0022219A"/>
    <w:rsid w:val="00222521"/>
    <w:rsid w:val="00227461"/>
    <w:rsid w:val="0022783F"/>
    <w:rsid w:val="00230392"/>
    <w:rsid w:val="00230583"/>
    <w:rsid w:val="00230A2B"/>
    <w:rsid w:val="00231547"/>
    <w:rsid w:val="002334EC"/>
    <w:rsid w:val="00235B32"/>
    <w:rsid w:val="00236AD7"/>
    <w:rsid w:val="00237688"/>
    <w:rsid w:val="00240423"/>
    <w:rsid w:val="00243B18"/>
    <w:rsid w:val="00246AD7"/>
    <w:rsid w:val="00246B91"/>
    <w:rsid w:val="00247A64"/>
    <w:rsid w:val="00250013"/>
    <w:rsid w:val="00250BCF"/>
    <w:rsid w:val="00253591"/>
    <w:rsid w:val="00255670"/>
    <w:rsid w:val="00256780"/>
    <w:rsid w:val="00262ABE"/>
    <w:rsid w:val="002657EE"/>
    <w:rsid w:val="00276F57"/>
    <w:rsid w:val="00277D06"/>
    <w:rsid w:val="002816D4"/>
    <w:rsid w:val="00286980"/>
    <w:rsid w:val="002928CE"/>
    <w:rsid w:val="00292C87"/>
    <w:rsid w:val="0029757E"/>
    <w:rsid w:val="002A1A66"/>
    <w:rsid w:val="002A39EF"/>
    <w:rsid w:val="002A599F"/>
    <w:rsid w:val="002A6E04"/>
    <w:rsid w:val="002B4BA8"/>
    <w:rsid w:val="002B7071"/>
    <w:rsid w:val="002B7117"/>
    <w:rsid w:val="002B714A"/>
    <w:rsid w:val="002B718A"/>
    <w:rsid w:val="002B7621"/>
    <w:rsid w:val="002C2E22"/>
    <w:rsid w:val="002C4A57"/>
    <w:rsid w:val="002C528E"/>
    <w:rsid w:val="002C5643"/>
    <w:rsid w:val="002E13EC"/>
    <w:rsid w:val="002E41CC"/>
    <w:rsid w:val="002F05E9"/>
    <w:rsid w:val="002F2C99"/>
    <w:rsid w:val="002F3D6A"/>
    <w:rsid w:val="002F794D"/>
    <w:rsid w:val="003029B3"/>
    <w:rsid w:val="00303019"/>
    <w:rsid w:val="00306787"/>
    <w:rsid w:val="00306966"/>
    <w:rsid w:val="0031113D"/>
    <w:rsid w:val="00311AAC"/>
    <w:rsid w:val="00313CA4"/>
    <w:rsid w:val="00314E82"/>
    <w:rsid w:val="003150CE"/>
    <w:rsid w:val="00315FF9"/>
    <w:rsid w:val="00316270"/>
    <w:rsid w:val="00321598"/>
    <w:rsid w:val="00321FDB"/>
    <w:rsid w:val="00323870"/>
    <w:rsid w:val="00323FFD"/>
    <w:rsid w:val="00324847"/>
    <w:rsid w:val="00324A5E"/>
    <w:rsid w:val="00325624"/>
    <w:rsid w:val="0032611D"/>
    <w:rsid w:val="003264EB"/>
    <w:rsid w:val="00326940"/>
    <w:rsid w:val="00330CCD"/>
    <w:rsid w:val="00332891"/>
    <w:rsid w:val="00332BBD"/>
    <w:rsid w:val="00333810"/>
    <w:rsid w:val="003343C0"/>
    <w:rsid w:val="00340804"/>
    <w:rsid w:val="00342D97"/>
    <w:rsid w:val="00343375"/>
    <w:rsid w:val="003448C2"/>
    <w:rsid w:val="00344CD6"/>
    <w:rsid w:val="0034662F"/>
    <w:rsid w:val="003510D2"/>
    <w:rsid w:val="00351A8E"/>
    <w:rsid w:val="0035447B"/>
    <w:rsid w:val="00356B27"/>
    <w:rsid w:val="00356B90"/>
    <w:rsid w:val="00357C8A"/>
    <w:rsid w:val="00360C29"/>
    <w:rsid w:val="0036101B"/>
    <w:rsid w:val="003613C6"/>
    <w:rsid w:val="00361CBA"/>
    <w:rsid w:val="00362EE3"/>
    <w:rsid w:val="0036593D"/>
    <w:rsid w:val="00366951"/>
    <w:rsid w:val="00370107"/>
    <w:rsid w:val="003720A1"/>
    <w:rsid w:val="003745F9"/>
    <w:rsid w:val="00376808"/>
    <w:rsid w:val="0037767C"/>
    <w:rsid w:val="003817E6"/>
    <w:rsid w:val="00381E22"/>
    <w:rsid w:val="0038244A"/>
    <w:rsid w:val="00382545"/>
    <w:rsid w:val="00383221"/>
    <w:rsid w:val="00384090"/>
    <w:rsid w:val="003844ED"/>
    <w:rsid w:val="00386132"/>
    <w:rsid w:val="003871B4"/>
    <w:rsid w:val="00393016"/>
    <w:rsid w:val="00394BA5"/>
    <w:rsid w:val="00394D82"/>
    <w:rsid w:val="003A70F7"/>
    <w:rsid w:val="003B39C6"/>
    <w:rsid w:val="003B4CDE"/>
    <w:rsid w:val="003B5919"/>
    <w:rsid w:val="003B7075"/>
    <w:rsid w:val="003B7983"/>
    <w:rsid w:val="003C24F4"/>
    <w:rsid w:val="003C4452"/>
    <w:rsid w:val="003C4CBD"/>
    <w:rsid w:val="003C7646"/>
    <w:rsid w:val="003D0BFC"/>
    <w:rsid w:val="003D206A"/>
    <w:rsid w:val="003D27B4"/>
    <w:rsid w:val="003D34ED"/>
    <w:rsid w:val="003D60ED"/>
    <w:rsid w:val="003D7852"/>
    <w:rsid w:val="003E0F27"/>
    <w:rsid w:val="003E15AB"/>
    <w:rsid w:val="003E3274"/>
    <w:rsid w:val="003E441B"/>
    <w:rsid w:val="003E528B"/>
    <w:rsid w:val="003E62C9"/>
    <w:rsid w:val="003E64A4"/>
    <w:rsid w:val="003F1184"/>
    <w:rsid w:val="003F19CD"/>
    <w:rsid w:val="003F34D1"/>
    <w:rsid w:val="003F5214"/>
    <w:rsid w:val="003F56BE"/>
    <w:rsid w:val="003F72A7"/>
    <w:rsid w:val="00403578"/>
    <w:rsid w:val="0040419B"/>
    <w:rsid w:val="00404AFD"/>
    <w:rsid w:val="0041061A"/>
    <w:rsid w:val="00411B9C"/>
    <w:rsid w:val="004139CC"/>
    <w:rsid w:val="00416BD0"/>
    <w:rsid w:val="004179E4"/>
    <w:rsid w:val="00422908"/>
    <w:rsid w:val="0042416B"/>
    <w:rsid w:val="004249BA"/>
    <w:rsid w:val="0042531B"/>
    <w:rsid w:val="004306D8"/>
    <w:rsid w:val="00430F18"/>
    <w:rsid w:val="00432BC1"/>
    <w:rsid w:val="00433924"/>
    <w:rsid w:val="00434AAC"/>
    <w:rsid w:val="0043512B"/>
    <w:rsid w:val="00435537"/>
    <w:rsid w:val="004355FE"/>
    <w:rsid w:val="00441E58"/>
    <w:rsid w:val="00445715"/>
    <w:rsid w:val="00445E0F"/>
    <w:rsid w:val="00446179"/>
    <w:rsid w:val="004506F7"/>
    <w:rsid w:val="0045199B"/>
    <w:rsid w:val="00451F70"/>
    <w:rsid w:val="00454C0F"/>
    <w:rsid w:val="00454F95"/>
    <w:rsid w:val="004571AF"/>
    <w:rsid w:val="00462043"/>
    <w:rsid w:val="0046380E"/>
    <w:rsid w:val="00466093"/>
    <w:rsid w:val="004712B0"/>
    <w:rsid w:val="00471B5C"/>
    <w:rsid w:val="00473006"/>
    <w:rsid w:val="00473509"/>
    <w:rsid w:val="00473BA0"/>
    <w:rsid w:val="00474B17"/>
    <w:rsid w:val="0047678B"/>
    <w:rsid w:val="00477FF4"/>
    <w:rsid w:val="00482303"/>
    <w:rsid w:val="00487C57"/>
    <w:rsid w:val="00494CD7"/>
    <w:rsid w:val="004A3117"/>
    <w:rsid w:val="004A394F"/>
    <w:rsid w:val="004A7299"/>
    <w:rsid w:val="004B15C6"/>
    <w:rsid w:val="004C0130"/>
    <w:rsid w:val="004C1E7E"/>
    <w:rsid w:val="004C2BF2"/>
    <w:rsid w:val="004C4C36"/>
    <w:rsid w:val="004C791A"/>
    <w:rsid w:val="004D0871"/>
    <w:rsid w:val="004D31D7"/>
    <w:rsid w:val="004D6B92"/>
    <w:rsid w:val="004E085C"/>
    <w:rsid w:val="004E0F8D"/>
    <w:rsid w:val="004F0E30"/>
    <w:rsid w:val="004F1D3D"/>
    <w:rsid w:val="004F3C9D"/>
    <w:rsid w:val="004F5CF2"/>
    <w:rsid w:val="004F77A5"/>
    <w:rsid w:val="00504F99"/>
    <w:rsid w:val="00505F69"/>
    <w:rsid w:val="005078D7"/>
    <w:rsid w:val="00510F89"/>
    <w:rsid w:val="00512B81"/>
    <w:rsid w:val="00513D1E"/>
    <w:rsid w:val="0052022B"/>
    <w:rsid w:val="005212B3"/>
    <w:rsid w:val="00525D5C"/>
    <w:rsid w:val="00526B90"/>
    <w:rsid w:val="00527D18"/>
    <w:rsid w:val="005324F1"/>
    <w:rsid w:val="005345CF"/>
    <w:rsid w:val="00534798"/>
    <w:rsid w:val="00534AB4"/>
    <w:rsid w:val="005362C3"/>
    <w:rsid w:val="00536BAD"/>
    <w:rsid w:val="00537141"/>
    <w:rsid w:val="005408F8"/>
    <w:rsid w:val="00543A1A"/>
    <w:rsid w:val="00543D1A"/>
    <w:rsid w:val="00545A63"/>
    <w:rsid w:val="00550A8B"/>
    <w:rsid w:val="00551ABE"/>
    <w:rsid w:val="00551F3F"/>
    <w:rsid w:val="00553C28"/>
    <w:rsid w:val="00555711"/>
    <w:rsid w:val="0055655B"/>
    <w:rsid w:val="005575EF"/>
    <w:rsid w:val="00557CAA"/>
    <w:rsid w:val="005610A7"/>
    <w:rsid w:val="00562097"/>
    <w:rsid w:val="00562642"/>
    <w:rsid w:val="00562653"/>
    <w:rsid w:val="00563B31"/>
    <w:rsid w:val="00564616"/>
    <w:rsid w:val="00565E25"/>
    <w:rsid w:val="00566512"/>
    <w:rsid w:val="005677A2"/>
    <w:rsid w:val="00571668"/>
    <w:rsid w:val="00573193"/>
    <w:rsid w:val="005736B2"/>
    <w:rsid w:val="0057643A"/>
    <w:rsid w:val="00580342"/>
    <w:rsid w:val="00582213"/>
    <w:rsid w:val="005901E1"/>
    <w:rsid w:val="005915F5"/>
    <w:rsid w:val="00591F58"/>
    <w:rsid w:val="00592834"/>
    <w:rsid w:val="00594FBF"/>
    <w:rsid w:val="0059693D"/>
    <w:rsid w:val="00597823"/>
    <w:rsid w:val="005A3405"/>
    <w:rsid w:val="005A5E6E"/>
    <w:rsid w:val="005A65D3"/>
    <w:rsid w:val="005A71BD"/>
    <w:rsid w:val="005A7C75"/>
    <w:rsid w:val="005B3CFB"/>
    <w:rsid w:val="005B4AA4"/>
    <w:rsid w:val="005B5C42"/>
    <w:rsid w:val="005B682A"/>
    <w:rsid w:val="005B705D"/>
    <w:rsid w:val="005C0054"/>
    <w:rsid w:val="005D0BCF"/>
    <w:rsid w:val="005D1D33"/>
    <w:rsid w:val="005D1E1A"/>
    <w:rsid w:val="005D2808"/>
    <w:rsid w:val="005D49DC"/>
    <w:rsid w:val="005D6EDB"/>
    <w:rsid w:val="005E4BD5"/>
    <w:rsid w:val="005E6D8D"/>
    <w:rsid w:val="005E7874"/>
    <w:rsid w:val="005F2C58"/>
    <w:rsid w:val="005F3CD8"/>
    <w:rsid w:val="005F6D4E"/>
    <w:rsid w:val="00601231"/>
    <w:rsid w:val="006015AA"/>
    <w:rsid w:val="006053A4"/>
    <w:rsid w:val="00610D91"/>
    <w:rsid w:val="0061143B"/>
    <w:rsid w:val="006173D9"/>
    <w:rsid w:val="006174D0"/>
    <w:rsid w:val="00617B19"/>
    <w:rsid w:val="00620E0C"/>
    <w:rsid w:val="0062507F"/>
    <w:rsid w:val="00626412"/>
    <w:rsid w:val="00627097"/>
    <w:rsid w:val="00627F07"/>
    <w:rsid w:val="00630701"/>
    <w:rsid w:val="00630A52"/>
    <w:rsid w:val="006314EC"/>
    <w:rsid w:val="006317D9"/>
    <w:rsid w:val="006319A4"/>
    <w:rsid w:val="006320EC"/>
    <w:rsid w:val="00632505"/>
    <w:rsid w:val="0063261C"/>
    <w:rsid w:val="00634E49"/>
    <w:rsid w:val="006404B8"/>
    <w:rsid w:val="00640732"/>
    <w:rsid w:val="00640CD1"/>
    <w:rsid w:val="006411FA"/>
    <w:rsid w:val="006468C4"/>
    <w:rsid w:val="00656322"/>
    <w:rsid w:val="0065656C"/>
    <w:rsid w:val="00662C9C"/>
    <w:rsid w:val="00664CCB"/>
    <w:rsid w:val="0066501C"/>
    <w:rsid w:val="00667847"/>
    <w:rsid w:val="00667E21"/>
    <w:rsid w:val="00672253"/>
    <w:rsid w:val="00672477"/>
    <w:rsid w:val="006803F2"/>
    <w:rsid w:val="00680EED"/>
    <w:rsid w:val="00683A32"/>
    <w:rsid w:val="00686C3A"/>
    <w:rsid w:val="0069751D"/>
    <w:rsid w:val="00697E3A"/>
    <w:rsid w:val="006A5A61"/>
    <w:rsid w:val="006A6C9D"/>
    <w:rsid w:val="006B06AF"/>
    <w:rsid w:val="006B3780"/>
    <w:rsid w:val="006B3913"/>
    <w:rsid w:val="006B5F0A"/>
    <w:rsid w:val="006B7B67"/>
    <w:rsid w:val="006C004B"/>
    <w:rsid w:val="006C09E3"/>
    <w:rsid w:val="006C12A2"/>
    <w:rsid w:val="006C1EAD"/>
    <w:rsid w:val="006C3056"/>
    <w:rsid w:val="006C3E9D"/>
    <w:rsid w:val="006C4608"/>
    <w:rsid w:val="006E29E7"/>
    <w:rsid w:val="006E3C5D"/>
    <w:rsid w:val="006E4C81"/>
    <w:rsid w:val="006F3D17"/>
    <w:rsid w:val="007010A6"/>
    <w:rsid w:val="007010E6"/>
    <w:rsid w:val="007013D6"/>
    <w:rsid w:val="00704877"/>
    <w:rsid w:val="007056DC"/>
    <w:rsid w:val="00707B0D"/>
    <w:rsid w:val="00707F33"/>
    <w:rsid w:val="00707FB8"/>
    <w:rsid w:val="00710E91"/>
    <w:rsid w:val="00712094"/>
    <w:rsid w:val="00712899"/>
    <w:rsid w:val="00716F04"/>
    <w:rsid w:val="007220FC"/>
    <w:rsid w:val="007224C8"/>
    <w:rsid w:val="00731F87"/>
    <w:rsid w:val="00734057"/>
    <w:rsid w:val="007347A9"/>
    <w:rsid w:val="00734A59"/>
    <w:rsid w:val="00737389"/>
    <w:rsid w:val="00740EA7"/>
    <w:rsid w:val="00741E7A"/>
    <w:rsid w:val="00743A79"/>
    <w:rsid w:val="00746374"/>
    <w:rsid w:val="0074694C"/>
    <w:rsid w:val="00750DC6"/>
    <w:rsid w:val="00751F36"/>
    <w:rsid w:val="00752ABA"/>
    <w:rsid w:val="007544B3"/>
    <w:rsid w:val="00754953"/>
    <w:rsid w:val="00755F4B"/>
    <w:rsid w:val="007569BF"/>
    <w:rsid w:val="00764F21"/>
    <w:rsid w:val="007650EA"/>
    <w:rsid w:val="00771225"/>
    <w:rsid w:val="007716E8"/>
    <w:rsid w:val="00771EE2"/>
    <w:rsid w:val="00772F61"/>
    <w:rsid w:val="007735D0"/>
    <w:rsid w:val="00776CE6"/>
    <w:rsid w:val="0077709D"/>
    <w:rsid w:val="0077725B"/>
    <w:rsid w:val="0078232E"/>
    <w:rsid w:val="007825BB"/>
    <w:rsid w:val="0078387C"/>
    <w:rsid w:val="007846BD"/>
    <w:rsid w:val="007852C4"/>
    <w:rsid w:val="00785C7C"/>
    <w:rsid w:val="00791072"/>
    <w:rsid w:val="00791620"/>
    <w:rsid w:val="00792C93"/>
    <w:rsid w:val="0079603B"/>
    <w:rsid w:val="00796119"/>
    <w:rsid w:val="00797F29"/>
    <w:rsid w:val="00797F99"/>
    <w:rsid w:val="007A3AD3"/>
    <w:rsid w:val="007A5486"/>
    <w:rsid w:val="007A59DE"/>
    <w:rsid w:val="007B10BC"/>
    <w:rsid w:val="007B2FBF"/>
    <w:rsid w:val="007B6549"/>
    <w:rsid w:val="007B7D18"/>
    <w:rsid w:val="007C065A"/>
    <w:rsid w:val="007C313C"/>
    <w:rsid w:val="007C5C10"/>
    <w:rsid w:val="007C5C4D"/>
    <w:rsid w:val="007D2547"/>
    <w:rsid w:val="007D3552"/>
    <w:rsid w:val="007D5303"/>
    <w:rsid w:val="007D6C61"/>
    <w:rsid w:val="007D7027"/>
    <w:rsid w:val="007E1D6E"/>
    <w:rsid w:val="007E60BB"/>
    <w:rsid w:val="007E66F0"/>
    <w:rsid w:val="007E6E71"/>
    <w:rsid w:val="007F0879"/>
    <w:rsid w:val="007F2072"/>
    <w:rsid w:val="007F7CC1"/>
    <w:rsid w:val="00801530"/>
    <w:rsid w:val="00803277"/>
    <w:rsid w:val="00803BC6"/>
    <w:rsid w:val="008044D7"/>
    <w:rsid w:val="00811BC8"/>
    <w:rsid w:val="00812181"/>
    <w:rsid w:val="0081385B"/>
    <w:rsid w:val="00816600"/>
    <w:rsid w:val="00821645"/>
    <w:rsid w:val="00822D2E"/>
    <w:rsid w:val="00827EA0"/>
    <w:rsid w:val="0083345E"/>
    <w:rsid w:val="00834EAE"/>
    <w:rsid w:val="00841403"/>
    <w:rsid w:val="0084190B"/>
    <w:rsid w:val="0084411B"/>
    <w:rsid w:val="00844951"/>
    <w:rsid w:val="00844D6E"/>
    <w:rsid w:val="00845A5D"/>
    <w:rsid w:val="008462FB"/>
    <w:rsid w:val="008465CD"/>
    <w:rsid w:val="0084663D"/>
    <w:rsid w:val="008515C0"/>
    <w:rsid w:val="00854873"/>
    <w:rsid w:val="00855E83"/>
    <w:rsid w:val="00856515"/>
    <w:rsid w:val="0086292A"/>
    <w:rsid w:val="00864FC6"/>
    <w:rsid w:val="00865B48"/>
    <w:rsid w:val="00872E7D"/>
    <w:rsid w:val="00874549"/>
    <w:rsid w:val="008756B7"/>
    <w:rsid w:val="008757B7"/>
    <w:rsid w:val="00880472"/>
    <w:rsid w:val="008813F9"/>
    <w:rsid w:val="0088144C"/>
    <w:rsid w:val="00881587"/>
    <w:rsid w:val="0088218C"/>
    <w:rsid w:val="00884060"/>
    <w:rsid w:val="00890796"/>
    <w:rsid w:val="0089321E"/>
    <w:rsid w:val="008933DF"/>
    <w:rsid w:val="00894C08"/>
    <w:rsid w:val="00895001"/>
    <w:rsid w:val="0089560E"/>
    <w:rsid w:val="008A0CBD"/>
    <w:rsid w:val="008A0D2A"/>
    <w:rsid w:val="008A1DEE"/>
    <w:rsid w:val="008A3970"/>
    <w:rsid w:val="008A5701"/>
    <w:rsid w:val="008B3DFF"/>
    <w:rsid w:val="008B3F28"/>
    <w:rsid w:val="008C49D3"/>
    <w:rsid w:val="008C5947"/>
    <w:rsid w:val="008C6DA1"/>
    <w:rsid w:val="008C72A6"/>
    <w:rsid w:val="008D3D94"/>
    <w:rsid w:val="008D618A"/>
    <w:rsid w:val="008E1DC0"/>
    <w:rsid w:val="008E30BF"/>
    <w:rsid w:val="008E35A0"/>
    <w:rsid w:val="008E3A25"/>
    <w:rsid w:val="008E5038"/>
    <w:rsid w:val="008F031C"/>
    <w:rsid w:val="008F1463"/>
    <w:rsid w:val="008F1F11"/>
    <w:rsid w:val="008F31C7"/>
    <w:rsid w:val="008F7358"/>
    <w:rsid w:val="008F7394"/>
    <w:rsid w:val="008F79D7"/>
    <w:rsid w:val="009006DF"/>
    <w:rsid w:val="00910153"/>
    <w:rsid w:val="00910A19"/>
    <w:rsid w:val="00910BDC"/>
    <w:rsid w:val="00910F4E"/>
    <w:rsid w:val="00911695"/>
    <w:rsid w:val="00911E55"/>
    <w:rsid w:val="00913F05"/>
    <w:rsid w:val="0091562C"/>
    <w:rsid w:val="009177B6"/>
    <w:rsid w:val="00917A27"/>
    <w:rsid w:val="00923CD3"/>
    <w:rsid w:val="00924202"/>
    <w:rsid w:val="00924E50"/>
    <w:rsid w:val="00925CC6"/>
    <w:rsid w:val="00926ABF"/>
    <w:rsid w:val="00927A26"/>
    <w:rsid w:val="00927D00"/>
    <w:rsid w:val="00930969"/>
    <w:rsid w:val="0093269F"/>
    <w:rsid w:val="00936433"/>
    <w:rsid w:val="009412CD"/>
    <w:rsid w:val="0095349A"/>
    <w:rsid w:val="00955204"/>
    <w:rsid w:val="00960CAB"/>
    <w:rsid w:val="00960CCB"/>
    <w:rsid w:val="00961359"/>
    <w:rsid w:val="00962A0B"/>
    <w:rsid w:val="00962C4D"/>
    <w:rsid w:val="00964D34"/>
    <w:rsid w:val="00966F72"/>
    <w:rsid w:val="0096757C"/>
    <w:rsid w:val="00967A23"/>
    <w:rsid w:val="00972946"/>
    <w:rsid w:val="00972E84"/>
    <w:rsid w:val="00974691"/>
    <w:rsid w:val="00976022"/>
    <w:rsid w:val="00976169"/>
    <w:rsid w:val="00976580"/>
    <w:rsid w:val="00977C3F"/>
    <w:rsid w:val="00977CC3"/>
    <w:rsid w:val="00980102"/>
    <w:rsid w:val="0098316D"/>
    <w:rsid w:val="00984D59"/>
    <w:rsid w:val="0098502F"/>
    <w:rsid w:val="00986D16"/>
    <w:rsid w:val="009910B5"/>
    <w:rsid w:val="009920AD"/>
    <w:rsid w:val="0099244A"/>
    <w:rsid w:val="009938B8"/>
    <w:rsid w:val="00994EB2"/>
    <w:rsid w:val="00995053"/>
    <w:rsid w:val="009A0735"/>
    <w:rsid w:val="009A25E2"/>
    <w:rsid w:val="009A37CD"/>
    <w:rsid w:val="009A4C36"/>
    <w:rsid w:val="009B1FF8"/>
    <w:rsid w:val="009B42EF"/>
    <w:rsid w:val="009B4E7E"/>
    <w:rsid w:val="009B5EED"/>
    <w:rsid w:val="009C20D3"/>
    <w:rsid w:val="009C37BF"/>
    <w:rsid w:val="009C6EE6"/>
    <w:rsid w:val="009C7333"/>
    <w:rsid w:val="009C7979"/>
    <w:rsid w:val="009D0966"/>
    <w:rsid w:val="009D0B0C"/>
    <w:rsid w:val="009D22E5"/>
    <w:rsid w:val="009D4B7E"/>
    <w:rsid w:val="009D5E13"/>
    <w:rsid w:val="009D71F1"/>
    <w:rsid w:val="009E015C"/>
    <w:rsid w:val="009E0909"/>
    <w:rsid w:val="009E37B1"/>
    <w:rsid w:val="009E3E05"/>
    <w:rsid w:val="009E5780"/>
    <w:rsid w:val="009E5D72"/>
    <w:rsid w:val="009E6EC4"/>
    <w:rsid w:val="009F01E1"/>
    <w:rsid w:val="009F2F5E"/>
    <w:rsid w:val="009F3B2F"/>
    <w:rsid w:val="009F42ED"/>
    <w:rsid w:val="009F60D9"/>
    <w:rsid w:val="00A01456"/>
    <w:rsid w:val="00A01B5E"/>
    <w:rsid w:val="00A02A20"/>
    <w:rsid w:val="00A03301"/>
    <w:rsid w:val="00A05E3C"/>
    <w:rsid w:val="00A0769D"/>
    <w:rsid w:val="00A07925"/>
    <w:rsid w:val="00A101E8"/>
    <w:rsid w:val="00A10455"/>
    <w:rsid w:val="00A1132C"/>
    <w:rsid w:val="00A1168E"/>
    <w:rsid w:val="00A11DCF"/>
    <w:rsid w:val="00A11EE6"/>
    <w:rsid w:val="00A1213C"/>
    <w:rsid w:val="00A14C01"/>
    <w:rsid w:val="00A1556E"/>
    <w:rsid w:val="00A169DC"/>
    <w:rsid w:val="00A20C10"/>
    <w:rsid w:val="00A22308"/>
    <w:rsid w:val="00A22EC9"/>
    <w:rsid w:val="00A25ED3"/>
    <w:rsid w:val="00A264B5"/>
    <w:rsid w:val="00A26E1A"/>
    <w:rsid w:val="00A27D67"/>
    <w:rsid w:val="00A317E0"/>
    <w:rsid w:val="00A37208"/>
    <w:rsid w:val="00A373FE"/>
    <w:rsid w:val="00A37744"/>
    <w:rsid w:val="00A4126B"/>
    <w:rsid w:val="00A431C8"/>
    <w:rsid w:val="00A47E8E"/>
    <w:rsid w:val="00A50183"/>
    <w:rsid w:val="00A50E52"/>
    <w:rsid w:val="00A512D9"/>
    <w:rsid w:val="00A52488"/>
    <w:rsid w:val="00A52EF8"/>
    <w:rsid w:val="00A52F87"/>
    <w:rsid w:val="00A550F0"/>
    <w:rsid w:val="00A55F4D"/>
    <w:rsid w:val="00A56DFC"/>
    <w:rsid w:val="00A607D6"/>
    <w:rsid w:val="00A65ACF"/>
    <w:rsid w:val="00A71725"/>
    <w:rsid w:val="00A730D4"/>
    <w:rsid w:val="00A75160"/>
    <w:rsid w:val="00A80107"/>
    <w:rsid w:val="00A80270"/>
    <w:rsid w:val="00A81E1C"/>
    <w:rsid w:val="00A82C07"/>
    <w:rsid w:val="00A8654F"/>
    <w:rsid w:val="00A921C2"/>
    <w:rsid w:val="00A93040"/>
    <w:rsid w:val="00A9331E"/>
    <w:rsid w:val="00A96C90"/>
    <w:rsid w:val="00AA1C5D"/>
    <w:rsid w:val="00AA207A"/>
    <w:rsid w:val="00AA672A"/>
    <w:rsid w:val="00AA7717"/>
    <w:rsid w:val="00AA7A7D"/>
    <w:rsid w:val="00AA7BA4"/>
    <w:rsid w:val="00AB24DF"/>
    <w:rsid w:val="00AB2639"/>
    <w:rsid w:val="00AB41F5"/>
    <w:rsid w:val="00AB534D"/>
    <w:rsid w:val="00AB6C48"/>
    <w:rsid w:val="00AB7F2E"/>
    <w:rsid w:val="00AC00B4"/>
    <w:rsid w:val="00AC26EA"/>
    <w:rsid w:val="00AC2702"/>
    <w:rsid w:val="00AC5E52"/>
    <w:rsid w:val="00AC75F2"/>
    <w:rsid w:val="00AD0D0C"/>
    <w:rsid w:val="00AD28A1"/>
    <w:rsid w:val="00AD39D3"/>
    <w:rsid w:val="00AD6CA7"/>
    <w:rsid w:val="00AF04EA"/>
    <w:rsid w:val="00AF1B9D"/>
    <w:rsid w:val="00AF2D9F"/>
    <w:rsid w:val="00AF4146"/>
    <w:rsid w:val="00B01E1E"/>
    <w:rsid w:val="00B04E52"/>
    <w:rsid w:val="00B064E0"/>
    <w:rsid w:val="00B0681C"/>
    <w:rsid w:val="00B06DF0"/>
    <w:rsid w:val="00B125E7"/>
    <w:rsid w:val="00B17733"/>
    <w:rsid w:val="00B17A2D"/>
    <w:rsid w:val="00B238A2"/>
    <w:rsid w:val="00B24199"/>
    <w:rsid w:val="00B2684F"/>
    <w:rsid w:val="00B30708"/>
    <w:rsid w:val="00B30B1C"/>
    <w:rsid w:val="00B32557"/>
    <w:rsid w:val="00B40A36"/>
    <w:rsid w:val="00B421B9"/>
    <w:rsid w:val="00B43070"/>
    <w:rsid w:val="00B43FAA"/>
    <w:rsid w:val="00B46946"/>
    <w:rsid w:val="00B52319"/>
    <w:rsid w:val="00B5524B"/>
    <w:rsid w:val="00B60374"/>
    <w:rsid w:val="00B624DE"/>
    <w:rsid w:val="00B631C4"/>
    <w:rsid w:val="00B648B6"/>
    <w:rsid w:val="00B65453"/>
    <w:rsid w:val="00B669BA"/>
    <w:rsid w:val="00B67E11"/>
    <w:rsid w:val="00B75280"/>
    <w:rsid w:val="00B81D39"/>
    <w:rsid w:val="00B82D37"/>
    <w:rsid w:val="00B879EB"/>
    <w:rsid w:val="00B87A14"/>
    <w:rsid w:val="00B87A48"/>
    <w:rsid w:val="00B91A45"/>
    <w:rsid w:val="00BA398E"/>
    <w:rsid w:val="00BA58F0"/>
    <w:rsid w:val="00BA6D3B"/>
    <w:rsid w:val="00BA7453"/>
    <w:rsid w:val="00BB0336"/>
    <w:rsid w:val="00BB0FA2"/>
    <w:rsid w:val="00BB2223"/>
    <w:rsid w:val="00BB2B7B"/>
    <w:rsid w:val="00BB2E6B"/>
    <w:rsid w:val="00BC0C20"/>
    <w:rsid w:val="00BC508C"/>
    <w:rsid w:val="00BC79D7"/>
    <w:rsid w:val="00BD1389"/>
    <w:rsid w:val="00BD41E9"/>
    <w:rsid w:val="00BD51C6"/>
    <w:rsid w:val="00BD7908"/>
    <w:rsid w:val="00BE057A"/>
    <w:rsid w:val="00BE2D96"/>
    <w:rsid w:val="00BE520A"/>
    <w:rsid w:val="00BE5A23"/>
    <w:rsid w:val="00BE6705"/>
    <w:rsid w:val="00BE7FAD"/>
    <w:rsid w:val="00BF03C1"/>
    <w:rsid w:val="00BF0DAF"/>
    <w:rsid w:val="00BF0E76"/>
    <w:rsid w:val="00BF1E08"/>
    <w:rsid w:val="00BF2EB6"/>
    <w:rsid w:val="00BF7A0C"/>
    <w:rsid w:val="00C063C0"/>
    <w:rsid w:val="00C06DB4"/>
    <w:rsid w:val="00C0756A"/>
    <w:rsid w:val="00C12BE9"/>
    <w:rsid w:val="00C13786"/>
    <w:rsid w:val="00C14FCB"/>
    <w:rsid w:val="00C15A0C"/>
    <w:rsid w:val="00C15FE3"/>
    <w:rsid w:val="00C2443D"/>
    <w:rsid w:val="00C24999"/>
    <w:rsid w:val="00C25A3F"/>
    <w:rsid w:val="00C2616B"/>
    <w:rsid w:val="00C26E45"/>
    <w:rsid w:val="00C318C2"/>
    <w:rsid w:val="00C35769"/>
    <w:rsid w:val="00C405C9"/>
    <w:rsid w:val="00C40FE1"/>
    <w:rsid w:val="00C434BA"/>
    <w:rsid w:val="00C44BCE"/>
    <w:rsid w:val="00C46EAD"/>
    <w:rsid w:val="00C51140"/>
    <w:rsid w:val="00C536A9"/>
    <w:rsid w:val="00C56A2B"/>
    <w:rsid w:val="00C57A7D"/>
    <w:rsid w:val="00C57DD2"/>
    <w:rsid w:val="00C6039F"/>
    <w:rsid w:val="00C61FE7"/>
    <w:rsid w:val="00C64B7C"/>
    <w:rsid w:val="00C673DF"/>
    <w:rsid w:val="00C75A94"/>
    <w:rsid w:val="00C77A24"/>
    <w:rsid w:val="00C77AA8"/>
    <w:rsid w:val="00C804FA"/>
    <w:rsid w:val="00C82D91"/>
    <w:rsid w:val="00C82E68"/>
    <w:rsid w:val="00C862B3"/>
    <w:rsid w:val="00C87690"/>
    <w:rsid w:val="00C87B3D"/>
    <w:rsid w:val="00C92F00"/>
    <w:rsid w:val="00C936E3"/>
    <w:rsid w:val="00C93DA5"/>
    <w:rsid w:val="00C9452A"/>
    <w:rsid w:val="00C94FA3"/>
    <w:rsid w:val="00C9774D"/>
    <w:rsid w:val="00CA00CA"/>
    <w:rsid w:val="00CA0334"/>
    <w:rsid w:val="00CA2884"/>
    <w:rsid w:val="00CA2953"/>
    <w:rsid w:val="00CA3206"/>
    <w:rsid w:val="00CA348C"/>
    <w:rsid w:val="00CA4CD5"/>
    <w:rsid w:val="00CA68AA"/>
    <w:rsid w:val="00CB12D2"/>
    <w:rsid w:val="00CB3280"/>
    <w:rsid w:val="00CB3F09"/>
    <w:rsid w:val="00CB4283"/>
    <w:rsid w:val="00CB4873"/>
    <w:rsid w:val="00CB57BD"/>
    <w:rsid w:val="00CB618B"/>
    <w:rsid w:val="00CC1A9F"/>
    <w:rsid w:val="00CC1C9A"/>
    <w:rsid w:val="00CC252A"/>
    <w:rsid w:val="00CC4493"/>
    <w:rsid w:val="00CC44BA"/>
    <w:rsid w:val="00CC47DB"/>
    <w:rsid w:val="00CC5D81"/>
    <w:rsid w:val="00CC7B84"/>
    <w:rsid w:val="00CD275C"/>
    <w:rsid w:val="00CD4231"/>
    <w:rsid w:val="00CD4AF0"/>
    <w:rsid w:val="00CD7B4A"/>
    <w:rsid w:val="00CE3A30"/>
    <w:rsid w:val="00CE4050"/>
    <w:rsid w:val="00CE4F1D"/>
    <w:rsid w:val="00CE602D"/>
    <w:rsid w:val="00CE65F8"/>
    <w:rsid w:val="00CE792C"/>
    <w:rsid w:val="00CE7DD4"/>
    <w:rsid w:val="00CF59F8"/>
    <w:rsid w:val="00CF615A"/>
    <w:rsid w:val="00CF745F"/>
    <w:rsid w:val="00D0047C"/>
    <w:rsid w:val="00D01366"/>
    <w:rsid w:val="00D0265F"/>
    <w:rsid w:val="00D03403"/>
    <w:rsid w:val="00D046B8"/>
    <w:rsid w:val="00D12693"/>
    <w:rsid w:val="00D1359A"/>
    <w:rsid w:val="00D22FAB"/>
    <w:rsid w:val="00D258FD"/>
    <w:rsid w:val="00D26687"/>
    <w:rsid w:val="00D2689C"/>
    <w:rsid w:val="00D26B80"/>
    <w:rsid w:val="00D30EE3"/>
    <w:rsid w:val="00D329C5"/>
    <w:rsid w:val="00D3321C"/>
    <w:rsid w:val="00D337F6"/>
    <w:rsid w:val="00D35580"/>
    <w:rsid w:val="00D356EA"/>
    <w:rsid w:val="00D401A6"/>
    <w:rsid w:val="00D409EF"/>
    <w:rsid w:val="00D40B26"/>
    <w:rsid w:val="00D453E0"/>
    <w:rsid w:val="00D5328E"/>
    <w:rsid w:val="00D54F1A"/>
    <w:rsid w:val="00D565F5"/>
    <w:rsid w:val="00D567DA"/>
    <w:rsid w:val="00D577DB"/>
    <w:rsid w:val="00D57E1A"/>
    <w:rsid w:val="00D608B9"/>
    <w:rsid w:val="00D61861"/>
    <w:rsid w:val="00D622CD"/>
    <w:rsid w:val="00D62567"/>
    <w:rsid w:val="00D66575"/>
    <w:rsid w:val="00D70550"/>
    <w:rsid w:val="00D80FD3"/>
    <w:rsid w:val="00D82784"/>
    <w:rsid w:val="00D8528C"/>
    <w:rsid w:val="00D87357"/>
    <w:rsid w:val="00D93C90"/>
    <w:rsid w:val="00D97E72"/>
    <w:rsid w:val="00DA0B4C"/>
    <w:rsid w:val="00DA116F"/>
    <w:rsid w:val="00DA25E7"/>
    <w:rsid w:val="00DA56E9"/>
    <w:rsid w:val="00DA71CC"/>
    <w:rsid w:val="00DB0579"/>
    <w:rsid w:val="00DB697C"/>
    <w:rsid w:val="00DB727B"/>
    <w:rsid w:val="00DB7622"/>
    <w:rsid w:val="00DB7E9D"/>
    <w:rsid w:val="00DC26C6"/>
    <w:rsid w:val="00DC277E"/>
    <w:rsid w:val="00DC3027"/>
    <w:rsid w:val="00DC383B"/>
    <w:rsid w:val="00DC3D1F"/>
    <w:rsid w:val="00DD13E3"/>
    <w:rsid w:val="00DD2ED9"/>
    <w:rsid w:val="00DD33A6"/>
    <w:rsid w:val="00DD4A45"/>
    <w:rsid w:val="00DD63D1"/>
    <w:rsid w:val="00DE0362"/>
    <w:rsid w:val="00DE222A"/>
    <w:rsid w:val="00DE34C7"/>
    <w:rsid w:val="00DE3DF8"/>
    <w:rsid w:val="00DE5E9E"/>
    <w:rsid w:val="00DE7D44"/>
    <w:rsid w:val="00DF0E81"/>
    <w:rsid w:val="00DF1196"/>
    <w:rsid w:val="00DF73D5"/>
    <w:rsid w:val="00E006A4"/>
    <w:rsid w:val="00E01733"/>
    <w:rsid w:val="00E041AA"/>
    <w:rsid w:val="00E0726C"/>
    <w:rsid w:val="00E12C8B"/>
    <w:rsid w:val="00E13696"/>
    <w:rsid w:val="00E15607"/>
    <w:rsid w:val="00E15BD9"/>
    <w:rsid w:val="00E20153"/>
    <w:rsid w:val="00E213C3"/>
    <w:rsid w:val="00E24AF7"/>
    <w:rsid w:val="00E2637A"/>
    <w:rsid w:val="00E31555"/>
    <w:rsid w:val="00E31DCB"/>
    <w:rsid w:val="00E3267B"/>
    <w:rsid w:val="00E350B1"/>
    <w:rsid w:val="00E355CF"/>
    <w:rsid w:val="00E355D3"/>
    <w:rsid w:val="00E37A69"/>
    <w:rsid w:val="00E40E68"/>
    <w:rsid w:val="00E420DA"/>
    <w:rsid w:val="00E432BC"/>
    <w:rsid w:val="00E452FF"/>
    <w:rsid w:val="00E46A23"/>
    <w:rsid w:val="00E471B1"/>
    <w:rsid w:val="00E47253"/>
    <w:rsid w:val="00E52FB0"/>
    <w:rsid w:val="00E5543F"/>
    <w:rsid w:val="00E61183"/>
    <w:rsid w:val="00E61800"/>
    <w:rsid w:val="00E62303"/>
    <w:rsid w:val="00E658A8"/>
    <w:rsid w:val="00E668DA"/>
    <w:rsid w:val="00E676D9"/>
    <w:rsid w:val="00E71800"/>
    <w:rsid w:val="00E73BE6"/>
    <w:rsid w:val="00E73BEC"/>
    <w:rsid w:val="00E73D9E"/>
    <w:rsid w:val="00E73E25"/>
    <w:rsid w:val="00E74949"/>
    <w:rsid w:val="00E74A8E"/>
    <w:rsid w:val="00E76AD5"/>
    <w:rsid w:val="00E82224"/>
    <w:rsid w:val="00E87A83"/>
    <w:rsid w:val="00E96C97"/>
    <w:rsid w:val="00EA09A8"/>
    <w:rsid w:val="00EA3E32"/>
    <w:rsid w:val="00EA6D61"/>
    <w:rsid w:val="00EA704E"/>
    <w:rsid w:val="00EA7F7C"/>
    <w:rsid w:val="00EB2913"/>
    <w:rsid w:val="00EB42BD"/>
    <w:rsid w:val="00EB642C"/>
    <w:rsid w:val="00EC2475"/>
    <w:rsid w:val="00EC4E86"/>
    <w:rsid w:val="00EC5566"/>
    <w:rsid w:val="00EC69E9"/>
    <w:rsid w:val="00ED12A0"/>
    <w:rsid w:val="00ED2D4B"/>
    <w:rsid w:val="00ED4F9C"/>
    <w:rsid w:val="00ED55F8"/>
    <w:rsid w:val="00ED5689"/>
    <w:rsid w:val="00ED697B"/>
    <w:rsid w:val="00ED70F4"/>
    <w:rsid w:val="00EE0B69"/>
    <w:rsid w:val="00EE0F9A"/>
    <w:rsid w:val="00EE1A69"/>
    <w:rsid w:val="00EE5547"/>
    <w:rsid w:val="00EE7CE2"/>
    <w:rsid w:val="00EF6DB6"/>
    <w:rsid w:val="00EF6EF4"/>
    <w:rsid w:val="00F00091"/>
    <w:rsid w:val="00F005E7"/>
    <w:rsid w:val="00F01476"/>
    <w:rsid w:val="00F0190B"/>
    <w:rsid w:val="00F0202B"/>
    <w:rsid w:val="00F02302"/>
    <w:rsid w:val="00F03454"/>
    <w:rsid w:val="00F0494D"/>
    <w:rsid w:val="00F04A09"/>
    <w:rsid w:val="00F05D9E"/>
    <w:rsid w:val="00F06492"/>
    <w:rsid w:val="00F07ED0"/>
    <w:rsid w:val="00F10121"/>
    <w:rsid w:val="00F1264F"/>
    <w:rsid w:val="00F12882"/>
    <w:rsid w:val="00F1424F"/>
    <w:rsid w:val="00F1577A"/>
    <w:rsid w:val="00F21581"/>
    <w:rsid w:val="00F22362"/>
    <w:rsid w:val="00F24C6B"/>
    <w:rsid w:val="00F26850"/>
    <w:rsid w:val="00F274AF"/>
    <w:rsid w:val="00F308B0"/>
    <w:rsid w:val="00F3163A"/>
    <w:rsid w:val="00F3402B"/>
    <w:rsid w:val="00F365E1"/>
    <w:rsid w:val="00F3673E"/>
    <w:rsid w:val="00F400D9"/>
    <w:rsid w:val="00F40471"/>
    <w:rsid w:val="00F43778"/>
    <w:rsid w:val="00F43A25"/>
    <w:rsid w:val="00F44207"/>
    <w:rsid w:val="00F442EF"/>
    <w:rsid w:val="00F44932"/>
    <w:rsid w:val="00F471C7"/>
    <w:rsid w:val="00F509D2"/>
    <w:rsid w:val="00F53E92"/>
    <w:rsid w:val="00F554B2"/>
    <w:rsid w:val="00F579EE"/>
    <w:rsid w:val="00F57BC9"/>
    <w:rsid w:val="00F60225"/>
    <w:rsid w:val="00F61A0A"/>
    <w:rsid w:val="00F61AD6"/>
    <w:rsid w:val="00F641D8"/>
    <w:rsid w:val="00F64532"/>
    <w:rsid w:val="00F66627"/>
    <w:rsid w:val="00F711EC"/>
    <w:rsid w:val="00F71E61"/>
    <w:rsid w:val="00F75713"/>
    <w:rsid w:val="00F75AB0"/>
    <w:rsid w:val="00F75C73"/>
    <w:rsid w:val="00F81536"/>
    <w:rsid w:val="00F85169"/>
    <w:rsid w:val="00F85239"/>
    <w:rsid w:val="00F8527D"/>
    <w:rsid w:val="00F8540D"/>
    <w:rsid w:val="00F90548"/>
    <w:rsid w:val="00F922EF"/>
    <w:rsid w:val="00F937BD"/>
    <w:rsid w:val="00F962DC"/>
    <w:rsid w:val="00FA07CF"/>
    <w:rsid w:val="00FA2F0E"/>
    <w:rsid w:val="00FA4ABC"/>
    <w:rsid w:val="00FA51C6"/>
    <w:rsid w:val="00FA5D2F"/>
    <w:rsid w:val="00FB11E7"/>
    <w:rsid w:val="00FB7C96"/>
    <w:rsid w:val="00FC1F97"/>
    <w:rsid w:val="00FC460B"/>
    <w:rsid w:val="00FC56B8"/>
    <w:rsid w:val="00FC5F20"/>
    <w:rsid w:val="00FC69AF"/>
    <w:rsid w:val="00FC7B5E"/>
    <w:rsid w:val="00FD079E"/>
    <w:rsid w:val="00FD0B41"/>
    <w:rsid w:val="00FD20A0"/>
    <w:rsid w:val="00FD4991"/>
    <w:rsid w:val="00FE0113"/>
    <w:rsid w:val="00FE0A00"/>
    <w:rsid w:val="00FE0D2A"/>
    <w:rsid w:val="00FE417B"/>
    <w:rsid w:val="00FE6AF1"/>
    <w:rsid w:val="00FE7A2E"/>
    <w:rsid w:val="00FF1392"/>
    <w:rsid w:val="00FF2D63"/>
    <w:rsid w:val="00FF403E"/>
    <w:rsid w:val="00FF6ACF"/>
    <w:rsid w:val="00FF7157"/>
    <w:rsid w:val="01086012"/>
    <w:rsid w:val="012F23D2"/>
    <w:rsid w:val="01353E46"/>
    <w:rsid w:val="013D20EF"/>
    <w:rsid w:val="013D4C8F"/>
    <w:rsid w:val="0141555F"/>
    <w:rsid w:val="01425A17"/>
    <w:rsid w:val="01542AFA"/>
    <w:rsid w:val="015E6630"/>
    <w:rsid w:val="016C75C7"/>
    <w:rsid w:val="018D524F"/>
    <w:rsid w:val="019036D8"/>
    <w:rsid w:val="01A01767"/>
    <w:rsid w:val="01A66FAC"/>
    <w:rsid w:val="01BD4FDC"/>
    <w:rsid w:val="01C42B8B"/>
    <w:rsid w:val="01CE3A0A"/>
    <w:rsid w:val="01E941AE"/>
    <w:rsid w:val="01ED256A"/>
    <w:rsid w:val="01FE504C"/>
    <w:rsid w:val="02201D8C"/>
    <w:rsid w:val="0221105C"/>
    <w:rsid w:val="02240E71"/>
    <w:rsid w:val="022F6268"/>
    <w:rsid w:val="0230144B"/>
    <w:rsid w:val="023E2A8F"/>
    <w:rsid w:val="023F01AC"/>
    <w:rsid w:val="02497F02"/>
    <w:rsid w:val="025C7268"/>
    <w:rsid w:val="025D37A6"/>
    <w:rsid w:val="02630A21"/>
    <w:rsid w:val="027520D7"/>
    <w:rsid w:val="02910656"/>
    <w:rsid w:val="029452C8"/>
    <w:rsid w:val="0299330C"/>
    <w:rsid w:val="029E3E12"/>
    <w:rsid w:val="02AE2F1E"/>
    <w:rsid w:val="02B07476"/>
    <w:rsid w:val="02B12263"/>
    <w:rsid w:val="02B34262"/>
    <w:rsid w:val="02BA6D6B"/>
    <w:rsid w:val="02BC6761"/>
    <w:rsid w:val="02C30781"/>
    <w:rsid w:val="02C32A89"/>
    <w:rsid w:val="02EB23C8"/>
    <w:rsid w:val="02ED4254"/>
    <w:rsid w:val="02F54A67"/>
    <w:rsid w:val="02FB586B"/>
    <w:rsid w:val="032764F6"/>
    <w:rsid w:val="03355FAD"/>
    <w:rsid w:val="03357A15"/>
    <w:rsid w:val="033F6615"/>
    <w:rsid w:val="034A4B76"/>
    <w:rsid w:val="03604B36"/>
    <w:rsid w:val="03646BB0"/>
    <w:rsid w:val="036A455B"/>
    <w:rsid w:val="03700AD7"/>
    <w:rsid w:val="03881BEB"/>
    <w:rsid w:val="03B07722"/>
    <w:rsid w:val="03B94246"/>
    <w:rsid w:val="03C9092D"/>
    <w:rsid w:val="03C947DD"/>
    <w:rsid w:val="03CD0376"/>
    <w:rsid w:val="03E73921"/>
    <w:rsid w:val="03E868D9"/>
    <w:rsid w:val="03EB0F95"/>
    <w:rsid w:val="03F1290E"/>
    <w:rsid w:val="04002E0B"/>
    <w:rsid w:val="040F03FA"/>
    <w:rsid w:val="0412438A"/>
    <w:rsid w:val="04136717"/>
    <w:rsid w:val="041D2A27"/>
    <w:rsid w:val="04332546"/>
    <w:rsid w:val="04425FE9"/>
    <w:rsid w:val="04533461"/>
    <w:rsid w:val="048D54DF"/>
    <w:rsid w:val="04B51F1A"/>
    <w:rsid w:val="04BD0338"/>
    <w:rsid w:val="04C56D31"/>
    <w:rsid w:val="04CF0F22"/>
    <w:rsid w:val="04D7542D"/>
    <w:rsid w:val="04DD163F"/>
    <w:rsid w:val="04E452F2"/>
    <w:rsid w:val="04E82F5F"/>
    <w:rsid w:val="05084E1A"/>
    <w:rsid w:val="0536624A"/>
    <w:rsid w:val="05476ED2"/>
    <w:rsid w:val="05507187"/>
    <w:rsid w:val="05547F50"/>
    <w:rsid w:val="05586D81"/>
    <w:rsid w:val="056775E0"/>
    <w:rsid w:val="05812096"/>
    <w:rsid w:val="05A174D0"/>
    <w:rsid w:val="05A31C11"/>
    <w:rsid w:val="05A54A82"/>
    <w:rsid w:val="05B6570E"/>
    <w:rsid w:val="05B719DB"/>
    <w:rsid w:val="05D411B5"/>
    <w:rsid w:val="05DC03BC"/>
    <w:rsid w:val="05E03755"/>
    <w:rsid w:val="05E05D39"/>
    <w:rsid w:val="05EE025B"/>
    <w:rsid w:val="05FB2E46"/>
    <w:rsid w:val="06274DE9"/>
    <w:rsid w:val="0643158D"/>
    <w:rsid w:val="06606ACF"/>
    <w:rsid w:val="06632C8A"/>
    <w:rsid w:val="066C44D0"/>
    <w:rsid w:val="06780BE4"/>
    <w:rsid w:val="067D77AC"/>
    <w:rsid w:val="0688298E"/>
    <w:rsid w:val="06A978A6"/>
    <w:rsid w:val="06BA577F"/>
    <w:rsid w:val="06C373A0"/>
    <w:rsid w:val="06CA61EA"/>
    <w:rsid w:val="06CE3AAD"/>
    <w:rsid w:val="06D3256B"/>
    <w:rsid w:val="06E93094"/>
    <w:rsid w:val="07142FC9"/>
    <w:rsid w:val="0716354A"/>
    <w:rsid w:val="071A113A"/>
    <w:rsid w:val="071A5532"/>
    <w:rsid w:val="073F7F68"/>
    <w:rsid w:val="07433326"/>
    <w:rsid w:val="074D1200"/>
    <w:rsid w:val="07701435"/>
    <w:rsid w:val="078057A6"/>
    <w:rsid w:val="0791006E"/>
    <w:rsid w:val="07A93817"/>
    <w:rsid w:val="07AA51F7"/>
    <w:rsid w:val="07C16E32"/>
    <w:rsid w:val="07C956F1"/>
    <w:rsid w:val="07DE071F"/>
    <w:rsid w:val="07E724F1"/>
    <w:rsid w:val="07F54B10"/>
    <w:rsid w:val="080D2DB2"/>
    <w:rsid w:val="08236132"/>
    <w:rsid w:val="0824157E"/>
    <w:rsid w:val="082A5712"/>
    <w:rsid w:val="08365D8B"/>
    <w:rsid w:val="083932FD"/>
    <w:rsid w:val="083C1D74"/>
    <w:rsid w:val="08664D5B"/>
    <w:rsid w:val="087338E5"/>
    <w:rsid w:val="087E552F"/>
    <w:rsid w:val="08935065"/>
    <w:rsid w:val="08994E2C"/>
    <w:rsid w:val="089E0248"/>
    <w:rsid w:val="08AA7F40"/>
    <w:rsid w:val="08AC09F8"/>
    <w:rsid w:val="08AF1C74"/>
    <w:rsid w:val="08B76FB8"/>
    <w:rsid w:val="08EC3C9C"/>
    <w:rsid w:val="08EF4818"/>
    <w:rsid w:val="08F26284"/>
    <w:rsid w:val="08F57B11"/>
    <w:rsid w:val="08F617F2"/>
    <w:rsid w:val="08F64252"/>
    <w:rsid w:val="08F94C8C"/>
    <w:rsid w:val="08FD0C7A"/>
    <w:rsid w:val="09027DBF"/>
    <w:rsid w:val="090F109A"/>
    <w:rsid w:val="09151314"/>
    <w:rsid w:val="09263609"/>
    <w:rsid w:val="092E2FE0"/>
    <w:rsid w:val="093E5BC8"/>
    <w:rsid w:val="0953633D"/>
    <w:rsid w:val="095867F9"/>
    <w:rsid w:val="09697733"/>
    <w:rsid w:val="09953804"/>
    <w:rsid w:val="099A0675"/>
    <w:rsid w:val="099C034D"/>
    <w:rsid w:val="09A71810"/>
    <w:rsid w:val="09AF52BC"/>
    <w:rsid w:val="09C556F2"/>
    <w:rsid w:val="09C9680A"/>
    <w:rsid w:val="09E33DCA"/>
    <w:rsid w:val="09EA33AB"/>
    <w:rsid w:val="09EA6668"/>
    <w:rsid w:val="0A0501E5"/>
    <w:rsid w:val="0A075D0B"/>
    <w:rsid w:val="0A0A57FB"/>
    <w:rsid w:val="0A193C90"/>
    <w:rsid w:val="0A1A77A1"/>
    <w:rsid w:val="0A3E3D26"/>
    <w:rsid w:val="0A4834F8"/>
    <w:rsid w:val="0A6173D2"/>
    <w:rsid w:val="0A682231"/>
    <w:rsid w:val="0A6825A9"/>
    <w:rsid w:val="0A781198"/>
    <w:rsid w:val="0AAC10E4"/>
    <w:rsid w:val="0AB07E4A"/>
    <w:rsid w:val="0AC93B72"/>
    <w:rsid w:val="0ACA6D38"/>
    <w:rsid w:val="0AD53C26"/>
    <w:rsid w:val="0ADD3B4A"/>
    <w:rsid w:val="0AEE775A"/>
    <w:rsid w:val="0AFF5154"/>
    <w:rsid w:val="0B0260FA"/>
    <w:rsid w:val="0B127FA5"/>
    <w:rsid w:val="0B187C06"/>
    <w:rsid w:val="0B3C608F"/>
    <w:rsid w:val="0B462863"/>
    <w:rsid w:val="0B4B3360"/>
    <w:rsid w:val="0B6153F6"/>
    <w:rsid w:val="0B6C4BE2"/>
    <w:rsid w:val="0B895D1E"/>
    <w:rsid w:val="0B903157"/>
    <w:rsid w:val="0B9335CE"/>
    <w:rsid w:val="0BA653BF"/>
    <w:rsid w:val="0BAC6F99"/>
    <w:rsid w:val="0BCD1EAC"/>
    <w:rsid w:val="0BCF142C"/>
    <w:rsid w:val="0BDC319A"/>
    <w:rsid w:val="0BFB783E"/>
    <w:rsid w:val="0BFD5373"/>
    <w:rsid w:val="0BFD6481"/>
    <w:rsid w:val="0C0F0CD9"/>
    <w:rsid w:val="0C631998"/>
    <w:rsid w:val="0C6821F6"/>
    <w:rsid w:val="0C8170B4"/>
    <w:rsid w:val="0C990787"/>
    <w:rsid w:val="0C992D4F"/>
    <w:rsid w:val="0CAE3A50"/>
    <w:rsid w:val="0CBF15FF"/>
    <w:rsid w:val="0CC20F4F"/>
    <w:rsid w:val="0CD8398F"/>
    <w:rsid w:val="0CD91857"/>
    <w:rsid w:val="0CDA4E4E"/>
    <w:rsid w:val="0CF258A4"/>
    <w:rsid w:val="0D212A41"/>
    <w:rsid w:val="0D214045"/>
    <w:rsid w:val="0D215F2C"/>
    <w:rsid w:val="0D314FE6"/>
    <w:rsid w:val="0D330BC5"/>
    <w:rsid w:val="0D540C02"/>
    <w:rsid w:val="0D571C0F"/>
    <w:rsid w:val="0D637F0E"/>
    <w:rsid w:val="0D645222"/>
    <w:rsid w:val="0D6A5410"/>
    <w:rsid w:val="0D794CB6"/>
    <w:rsid w:val="0D8324ED"/>
    <w:rsid w:val="0D8F059D"/>
    <w:rsid w:val="0D8F5855"/>
    <w:rsid w:val="0D936D15"/>
    <w:rsid w:val="0D9827E5"/>
    <w:rsid w:val="0DAF3D29"/>
    <w:rsid w:val="0DC466B9"/>
    <w:rsid w:val="0DC54945"/>
    <w:rsid w:val="0DF25BA4"/>
    <w:rsid w:val="0DFD573A"/>
    <w:rsid w:val="0DFE1012"/>
    <w:rsid w:val="0E0B029F"/>
    <w:rsid w:val="0E230373"/>
    <w:rsid w:val="0E2A41ED"/>
    <w:rsid w:val="0E30302E"/>
    <w:rsid w:val="0E351EED"/>
    <w:rsid w:val="0E397874"/>
    <w:rsid w:val="0E461B92"/>
    <w:rsid w:val="0E6059EA"/>
    <w:rsid w:val="0E632208"/>
    <w:rsid w:val="0E844468"/>
    <w:rsid w:val="0E9E135B"/>
    <w:rsid w:val="0EA44F43"/>
    <w:rsid w:val="0EA62844"/>
    <w:rsid w:val="0EA92195"/>
    <w:rsid w:val="0EC2669E"/>
    <w:rsid w:val="0ED75315"/>
    <w:rsid w:val="0ED756CF"/>
    <w:rsid w:val="0EE34A0A"/>
    <w:rsid w:val="0EEF23A4"/>
    <w:rsid w:val="0F2500FF"/>
    <w:rsid w:val="0F2A7DB7"/>
    <w:rsid w:val="0F2D61D9"/>
    <w:rsid w:val="0F43254D"/>
    <w:rsid w:val="0F45451E"/>
    <w:rsid w:val="0F5372FC"/>
    <w:rsid w:val="0F543C48"/>
    <w:rsid w:val="0F54568B"/>
    <w:rsid w:val="0F6801CF"/>
    <w:rsid w:val="0F7F71A8"/>
    <w:rsid w:val="0F851480"/>
    <w:rsid w:val="0F9B0554"/>
    <w:rsid w:val="0FAF5422"/>
    <w:rsid w:val="0FAF5990"/>
    <w:rsid w:val="0FB271E8"/>
    <w:rsid w:val="0FB3423F"/>
    <w:rsid w:val="0FB73D2F"/>
    <w:rsid w:val="0FBF1392"/>
    <w:rsid w:val="0FD84D52"/>
    <w:rsid w:val="0FD93801"/>
    <w:rsid w:val="0FDC41E3"/>
    <w:rsid w:val="0FE95EB3"/>
    <w:rsid w:val="100C40A0"/>
    <w:rsid w:val="10131FB5"/>
    <w:rsid w:val="10176676"/>
    <w:rsid w:val="1031732E"/>
    <w:rsid w:val="10327E3A"/>
    <w:rsid w:val="10374301"/>
    <w:rsid w:val="10394E9C"/>
    <w:rsid w:val="103A764D"/>
    <w:rsid w:val="103B6EC4"/>
    <w:rsid w:val="10457DEF"/>
    <w:rsid w:val="10482BD9"/>
    <w:rsid w:val="104A6951"/>
    <w:rsid w:val="105628E7"/>
    <w:rsid w:val="105A27E6"/>
    <w:rsid w:val="108120DC"/>
    <w:rsid w:val="108950E7"/>
    <w:rsid w:val="109135C4"/>
    <w:rsid w:val="10A4426E"/>
    <w:rsid w:val="10B656D8"/>
    <w:rsid w:val="10BB6F68"/>
    <w:rsid w:val="10C37A22"/>
    <w:rsid w:val="10C556C7"/>
    <w:rsid w:val="10C55FD8"/>
    <w:rsid w:val="10F772EF"/>
    <w:rsid w:val="11017A58"/>
    <w:rsid w:val="11023D17"/>
    <w:rsid w:val="110F34C8"/>
    <w:rsid w:val="11491151"/>
    <w:rsid w:val="1159543F"/>
    <w:rsid w:val="116230D1"/>
    <w:rsid w:val="116A7E05"/>
    <w:rsid w:val="11722460"/>
    <w:rsid w:val="117A4F14"/>
    <w:rsid w:val="119D6F55"/>
    <w:rsid w:val="11CB1987"/>
    <w:rsid w:val="11D529F0"/>
    <w:rsid w:val="11DC5FC8"/>
    <w:rsid w:val="11E71072"/>
    <w:rsid w:val="11F55D84"/>
    <w:rsid w:val="11F95233"/>
    <w:rsid w:val="11FE73E1"/>
    <w:rsid w:val="1206271C"/>
    <w:rsid w:val="120839F3"/>
    <w:rsid w:val="120E39AF"/>
    <w:rsid w:val="12114BE2"/>
    <w:rsid w:val="121911ED"/>
    <w:rsid w:val="122133DD"/>
    <w:rsid w:val="12261816"/>
    <w:rsid w:val="122816CA"/>
    <w:rsid w:val="1231523F"/>
    <w:rsid w:val="12392AE3"/>
    <w:rsid w:val="12421044"/>
    <w:rsid w:val="127A5380"/>
    <w:rsid w:val="12957C2C"/>
    <w:rsid w:val="1298079E"/>
    <w:rsid w:val="12AD5EBA"/>
    <w:rsid w:val="12B10442"/>
    <w:rsid w:val="12C319F0"/>
    <w:rsid w:val="12CB7F7B"/>
    <w:rsid w:val="12D57B5A"/>
    <w:rsid w:val="12D60970"/>
    <w:rsid w:val="12DA74FD"/>
    <w:rsid w:val="130354DD"/>
    <w:rsid w:val="13160E95"/>
    <w:rsid w:val="131D4A08"/>
    <w:rsid w:val="132A077A"/>
    <w:rsid w:val="132B4874"/>
    <w:rsid w:val="13365D96"/>
    <w:rsid w:val="133833D9"/>
    <w:rsid w:val="13401CF4"/>
    <w:rsid w:val="13474541"/>
    <w:rsid w:val="13597FDE"/>
    <w:rsid w:val="13610A7C"/>
    <w:rsid w:val="1370511E"/>
    <w:rsid w:val="138A2CF3"/>
    <w:rsid w:val="139600FA"/>
    <w:rsid w:val="139B1B3C"/>
    <w:rsid w:val="13AC7923"/>
    <w:rsid w:val="13BB36C2"/>
    <w:rsid w:val="13C163E4"/>
    <w:rsid w:val="13CF69C3"/>
    <w:rsid w:val="13E63AA6"/>
    <w:rsid w:val="13EB21F9"/>
    <w:rsid w:val="13F175F7"/>
    <w:rsid w:val="13F85DC5"/>
    <w:rsid w:val="13FC3073"/>
    <w:rsid w:val="14002DA6"/>
    <w:rsid w:val="141601C0"/>
    <w:rsid w:val="14183270"/>
    <w:rsid w:val="141D447E"/>
    <w:rsid w:val="141D6B0B"/>
    <w:rsid w:val="142D6F89"/>
    <w:rsid w:val="1435387E"/>
    <w:rsid w:val="144554E0"/>
    <w:rsid w:val="144C2ACB"/>
    <w:rsid w:val="145908CD"/>
    <w:rsid w:val="146975C2"/>
    <w:rsid w:val="148617D9"/>
    <w:rsid w:val="149258A7"/>
    <w:rsid w:val="149321EC"/>
    <w:rsid w:val="14A979BF"/>
    <w:rsid w:val="14AA6C47"/>
    <w:rsid w:val="14AD74AF"/>
    <w:rsid w:val="14B81325"/>
    <w:rsid w:val="14BB5770"/>
    <w:rsid w:val="14CA4494"/>
    <w:rsid w:val="14DD13B5"/>
    <w:rsid w:val="14DF1102"/>
    <w:rsid w:val="14E74E80"/>
    <w:rsid w:val="14FB05D3"/>
    <w:rsid w:val="14FB1DB1"/>
    <w:rsid w:val="1507775C"/>
    <w:rsid w:val="15082EFA"/>
    <w:rsid w:val="15107A3E"/>
    <w:rsid w:val="15214D63"/>
    <w:rsid w:val="1531629A"/>
    <w:rsid w:val="153E6FE7"/>
    <w:rsid w:val="15535F3F"/>
    <w:rsid w:val="155C3CBE"/>
    <w:rsid w:val="15697093"/>
    <w:rsid w:val="15760076"/>
    <w:rsid w:val="157E5DA4"/>
    <w:rsid w:val="159B3036"/>
    <w:rsid w:val="159F6FD6"/>
    <w:rsid w:val="15A5462A"/>
    <w:rsid w:val="15B01BBF"/>
    <w:rsid w:val="15EC3B3E"/>
    <w:rsid w:val="15F1786F"/>
    <w:rsid w:val="15F46C2A"/>
    <w:rsid w:val="16121567"/>
    <w:rsid w:val="16175528"/>
    <w:rsid w:val="162D4D4B"/>
    <w:rsid w:val="16343F81"/>
    <w:rsid w:val="163948ED"/>
    <w:rsid w:val="164275F4"/>
    <w:rsid w:val="164717FA"/>
    <w:rsid w:val="1654148B"/>
    <w:rsid w:val="165710DF"/>
    <w:rsid w:val="16573B76"/>
    <w:rsid w:val="165B71D5"/>
    <w:rsid w:val="166654C7"/>
    <w:rsid w:val="16673318"/>
    <w:rsid w:val="16700A7A"/>
    <w:rsid w:val="16734728"/>
    <w:rsid w:val="167D1103"/>
    <w:rsid w:val="1683572D"/>
    <w:rsid w:val="169E0BEA"/>
    <w:rsid w:val="16AF7EFC"/>
    <w:rsid w:val="16D74A36"/>
    <w:rsid w:val="16DD2BAC"/>
    <w:rsid w:val="16F70EB5"/>
    <w:rsid w:val="17197085"/>
    <w:rsid w:val="172460AC"/>
    <w:rsid w:val="172B1987"/>
    <w:rsid w:val="173054B2"/>
    <w:rsid w:val="17424EAD"/>
    <w:rsid w:val="174C1699"/>
    <w:rsid w:val="17544559"/>
    <w:rsid w:val="175E7E76"/>
    <w:rsid w:val="1763479D"/>
    <w:rsid w:val="178667F0"/>
    <w:rsid w:val="178A4C4F"/>
    <w:rsid w:val="17942AA9"/>
    <w:rsid w:val="17987255"/>
    <w:rsid w:val="179928AA"/>
    <w:rsid w:val="17A739C7"/>
    <w:rsid w:val="17BF3122"/>
    <w:rsid w:val="17C212EB"/>
    <w:rsid w:val="17C42121"/>
    <w:rsid w:val="17D82A95"/>
    <w:rsid w:val="17FB6C91"/>
    <w:rsid w:val="18053F1E"/>
    <w:rsid w:val="18085749"/>
    <w:rsid w:val="180B6D06"/>
    <w:rsid w:val="181A3262"/>
    <w:rsid w:val="181C3FF8"/>
    <w:rsid w:val="18365CFA"/>
    <w:rsid w:val="184114A1"/>
    <w:rsid w:val="18425C49"/>
    <w:rsid w:val="186969E3"/>
    <w:rsid w:val="188C7694"/>
    <w:rsid w:val="18BE3F0D"/>
    <w:rsid w:val="18C140E3"/>
    <w:rsid w:val="18CD6371"/>
    <w:rsid w:val="18DA0A8E"/>
    <w:rsid w:val="18DC03A2"/>
    <w:rsid w:val="18E11EA5"/>
    <w:rsid w:val="18FA4C8D"/>
    <w:rsid w:val="19054750"/>
    <w:rsid w:val="19083037"/>
    <w:rsid w:val="19092828"/>
    <w:rsid w:val="19103908"/>
    <w:rsid w:val="192F4936"/>
    <w:rsid w:val="1933462F"/>
    <w:rsid w:val="19390D64"/>
    <w:rsid w:val="19554C37"/>
    <w:rsid w:val="19566DB3"/>
    <w:rsid w:val="196279A1"/>
    <w:rsid w:val="198040A4"/>
    <w:rsid w:val="198C37FE"/>
    <w:rsid w:val="19A941C1"/>
    <w:rsid w:val="19AE5ACF"/>
    <w:rsid w:val="19AF5A77"/>
    <w:rsid w:val="19B3071D"/>
    <w:rsid w:val="19B675DA"/>
    <w:rsid w:val="19C57049"/>
    <w:rsid w:val="19C637E5"/>
    <w:rsid w:val="19C721FB"/>
    <w:rsid w:val="19CE5CD8"/>
    <w:rsid w:val="19F02EFF"/>
    <w:rsid w:val="1A052165"/>
    <w:rsid w:val="1A063EF5"/>
    <w:rsid w:val="1A0F3AD5"/>
    <w:rsid w:val="1A0F6516"/>
    <w:rsid w:val="1A0F7374"/>
    <w:rsid w:val="1A142D27"/>
    <w:rsid w:val="1A1816AF"/>
    <w:rsid w:val="1A302494"/>
    <w:rsid w:val="1A330E88"/>
    <w:rsid w:val="1A60672B"/>
    <w:rsid w:val="1A630F50"/>
    <w:rsid w:val="1A6732FB"/>
    <w:rsid w:val="1A7929A3"/>
    <w:rsid w:val="1A7B4669"/>
    <w:rsid w:val="1A870B38"/>
    <w:rsid w:val="1A8C5DB8"/>
    <w:rsid w:val="1A8C6CF6"/>
    <w:rsid w:val="1A9417D9"/>
    <w:rsid w:val="1AA572B8"/>
    <w:rsid w:val="1AA70EB7"/>
    <w:rsid w:val="1AAA4949"/>
    <w:rsid w:val="1AB31D2F"/>
    <w:rsid w:val="1AC00AAF"/>
    <w:rsid w:val="1ACE55DA"/>
    <w:rsid w:val="1ACE6054"/>
    <w:rsid w:val="1ACE6D27"/>
    <w:rsid w:val="1AE0038B"/>
    <w:rsid w:val="1B397563"/>
    <w:rsid w:val="1B403FA5"/>
    <w:rsid w:val="1B450A9E"/>
    <w:rsid w:val="1B481CDF"/>
    <w:rsid w:val="1B4B17D0"/>
    <w:rsid w:val="1B524326"/>
    <w:rsid w:val="1B55168B"/>
    <w:rsid w:val="1B63458F"/>
    <w:rsid w:val="1B645069"/>
    <w:rsid w:val="1B7D1BE7"/>
    <w:rsid w:val="1B7D1D15"/>
    <w:rsid w:val="1B8637EA"/>
    <w:rsid w:val="1B966EEF"/>
    <w:rsid w:val="1BDD1B28"/>
    <w:rsid w:val="1BE57F51"/>
    <w:rsid w:val="1C022610"/>
    <w:rsid w:val="1C037CCC"/>
    <w:rsid w:val="1C085913"/>
    <w:rsid w:val="1C0876C1"/>
    <w:rsid w:val="1C2F4A48"/>
    <w:rsid w:val="1C37598E"/>
    <w:rsid w:val="1C400DCC"/>
    <w:rsid w:val="1C4A3D51"/>
    <w:rsid w:val="1C550B58"/>
    <w:rsid w:val="1C6062B5"/>
    <w:rsid w:val="1C656B00"/>
    <w:rsid w:val="1C657709"/>
    <w:rsid w:val="1C6D522B"/>
    <w:rsid w:val="1C762201"/>
    <w:rsid w:val="1C87757C"/>
    <w:rsid w:val="1C911F05"/>
    <w:rsid w:val="1C9232F2"/>
    <w:rsid w:val="1C943E77"/>
    <w:rsid w:val="1C993860"/>
    <w:rsid w:val="1CB517E1"/>
    <w:rsid w:val="1CBF5FD1"/>
    <w:rsid w:val="1CC07FCD"/>
    <w:rsid w:val="1CCD060E"/>
    <w:rsid w:val="1CD4109A"/>
    <w:rsid w:val="1CDE3631"/>
    <w:rsid w:val="1CE814D1"/>
    <w:rsid w:val="1CFE11B3"/>
    <w:rsid w:val="1D00167E"/>
    <w:rsid w:val="1D01132A"/>
    <w:rsid w:val="1D022EEB"/>
    <w:rsid w:val="1D2C5B34"/>
    <w:rsid w:val="1D3444B7"/>
    <w:rsid w:val="1D3A1AFC"/>
    <w:rsid w:val="1D3F2887"/>
    <w:rsid w:val="1D413DD6"/>
    <w:rsid w:val="1D442082"/>
    <w:rsid w:val="1D494085"/>
    <w:rsid w:val="1D6104E9"/>
    <w:rsid w:val="1D6D5E73"/>
    <w:rsid w:val="1D6E2EA0"/>
    <w:rsid w:val="1D7C0366"/>
    <w:rsid w:val="1D90430C"/>
    <w:rsid w:val="1DA228F6"/>
    <w:rsid w:val="1DA26C67"/>
    <w:rsid w:val="1DB571C9"/>
    <w:rsid w:val="1DBF6F58"/>
    <w:rsid w:val="1DFC5003"/>
    <w:rsid w:val="1E2527AC"/>
    <w:rsid w:val="1E2A3F9F"/>
    <w:rsid w:val="1E371F29"/>
    <w:rsid w:val="1E65546D"/>
    <w:rsid w:val="1E7B6900"/>
    <w:rsid w:val="1E933E22"/>
    <w:rsid w:val="1EB60A31"/>
    <w:rsid w:val="1EC6457D"/>
    <w:rsid w:val="1EC7170B"/>
    <w:rsid w:val="1EC7534C"/>
    <w:rsid w:val="1ECD7160"/>
    <w:rsid w:val="1ED34F83"/>
    <w:rsid w:val="1ED641E3"/>
    <w:rsid w:val="1EED4935"/>
    <w:rsid w:val="1EF15FC6"/>
    <w:rsid w:val="1F196F16"/>
    <w:rsid w:val="1F1F544D"/>
    <w:rsid w:val="1F294330"/>
    <w:rsid w:val="1F2A3EE6"/>
    <w:rsid w:val="1F5164BE"/>
    <w:rsid w:val="1F530AFF"/>
    <w:rsid w:val="1F550636"/>
    <w:rsid w:val="1F6725BD"/>
    <w:rsid w:val="1F6F0182"/>
    <w:rsid w:val="1F751014"/>
    <w:rsid w:val="1F7A16FF"/>
    <w:rsid w:val="1F841E94"/>
    <w:rsid w:val="1F86410F"/>
    <w:rsid w:val="1F987D78"/>
    <w:rsid w:val="1FAD0B55"/>
    <w:rsid w:val="1FB57B5F"/>
    <w:rsid w:val="1FBA786C"/>
    <w:rsid w:val="1FC55FF4"/>
    <w:rsid w:val="1FDF7221"/>
    <w:rsid w:val="1FE07DD2"/>
    <w:rsid w:val="1FF72B1D"/>
    <w:rsid w:val="2000702C"/>
    <w:rsid w:val="201952D2"/>
    <w:rsid w:val="2020109E"/>
    <w:rsid w:val="20220096"/>
    <w:rsid w:val="202816B6"/>
    <w:rsid w:val="20352DB6"/>
    <w:rsid w:val="204E725A"/>
    <w:rsid w:val="205050F3"/>
    <w:rsid w:val="20665891"/>
    <w:rsid w:val="208241B4"/>
    <w:rsid w:val="208F5999"/>
    <w:rsid w:val="20B05494"/>
    <w:rsid w:val="20BD4F1E"/>
    <w:rsid w:val="20D109C9"/>
    <w:rsid w:val="20DE0127"/>
    <w:rsid w:val="20EE5770"/>
    <w:rsid w:val="2107261C"/>
    <w:rsid w:val="21147FEE"/>
    <w:rsid w:val="2132760F"/>
    <w:rsid w:val="213F7E47"/>
    <w:rsid w:val="21592FEC"/>
    <w:rsid w:val="215B2DFE"/>
    <w:rsid w:val="215C5CD9"/>
    <w:rsid w:val="215F2E6D"/>
    <w:rsid w:val="218B2E3C"/>
    <w:rsid w:val="219E13DD"/>
    <w:rsid w:val="21B5456C"/>
    <w:rsid w:val="21C0289A"/>
    <w:rsid w:val="21C314C7"/>
    <w:rsid w:val="21CB366A"/>
    <w:rsid w:val="21E53DD4"/>
    <w:rsid w:val="21FE67C3"/>
    <w:rsid w:val="21FF567A"/>
    <w:rsid w:val="220019CB"/>
    <w:rsid w:val="22080E1D"/>
    <w:rsid w:val="222E4A4B"/>
    <w:rsid w:val="224564ED"/>
    <w:rsid w:val="225B1C1A"/>
    <w:rsid w:val="22655D1C"/>
    <w:rsid w:val="227A5579"/>
    <w:rsid w:val="227B3EC3"/>
    <w:rsid w:val="22AC6E9D"/>
    <w:rsid w:val="22AF6B28"/>
    <w:rsid w:val="22BF1959"/>
    <w:rsid w:val="22FE3A70"/>
    <w:rsid w:val="23007343"/>
    <w:rsid w:val="230A1D1E"/>
    <w:rsid w:val="230F3D0A"/>
    <w:rsid w:val="232E3EB1"/>
    <w:rsid w:val="23341448"/>
    <w:rsid w:val="23385650"/>
    <w:rsid w:val="23425BAE"/>
    <w:rsid w:val="23517B9F"/>
    <w:rsid w:val="23531B69"/>
    <w:rsid w:val="235C6C70"/>
    <w:rsid w:val="237F04EF"/>
    <w:rsid w:val="23841437"/>
    <w:rsid w:val="238A3CA3"/>
    <w:rsid w:val="23AF4708"/>
    <w:rsid w:val="23C16A9A"/>
    <w:rsid w:val="23C465C3"/>
    <w:rsid w:val="23E66003"/>
    <w:rsid w:val="23F80076"/>
    <w:rsid w:val="23FE2FB7"/>
    <w:rsid w:val="23FE3AF7"/>
    <w:rsid w:val="241B7142"/>
    <w:rsid w:val="24452007"/>
    <w:rsid w:val="244802C7"/>
    <w:rsid w:val="244C0B39"/>
    <w:rsid w:val="245A32E7"/>
    <w:rsid w:val="24635935"/>
    <w:rsid w:val="24660E6A"/>
    <w:rsid w:val="24665559"/>
    <w:rsid w:val="24691825"/>
    <w:rsid w:val="248E0BEE"/>
    <w:rsid w:val="249222CA"/>
    <w:rsid w:val="24B056E4"/>
    <w:rsid w:val="24CC572F"/>
    <w:rsid w:val="24CF65FC"/>
    <w:rsid w:val="24D258A5"/>
    <w:rsid w:val="24DA6A74"/>
    <w:rsid w:val="24DB4BCD"/>
    <w:rsid w:val="24F602A0"/>
    <w:rsid w:val="250025A0"/>
    <w:rsid w:val="25296C9F"/>
    <w:rsid w:val="25401D76"/>
    <w:rsid w:val="2544236B"/>
    <w:rsid w:val="25453733"/>
    <w:rsid w:val="256C3562"/>
    <w:rsid w:val="257F6C45"/>
    <w:rsid w:val="258C736F"/>
    <w:rsid w:val="25977271"/>
    <w:rsid w:val="259B2D68"/>
    <w:rsid w:val="259E7D45"/>
    <w:rsid w:val="25A6077B"/>
    <w:rsid w:val="25A941CC"/>
    <w:rsid w:val="25A97E1E"/>
    <w:rsid w:val="25B40CD0"/>
    <w:rsid w:val="25BF4424"/>
    <w:rsid w:val="25C17AFA"/>
    <w:rsid w:val="25C251DB"/>
    <w:rsid w:val="25E00E0C"/>
    <w:rsid w:val="25EF379B"/>
    <w:rsid w:val="260C11C1"/>
    <w:rsid w:val="261049C1"/>
    <w:rsid w:val="261E645E"/>
    <w:rsid w:val="26383109"/>
    <w:rsid w:val="2641214D"/>
    <w:rsid w:val="26597FFC"/>
    <w:rsid w:val="26697AAB"/>
    <w:rsid w:val="266D2F42"/>
    <w:rsid w:val="2673065B"/>
    <w:rsid w:val="26746071"/>
    <w:rsid w:val="267839D3"/>
    <w:rsid w:val="26802C75"/>
    <w:rsid w:val="268423E1"/>
    <w:rsid w:val="26890627"/>
    <w:rsid w:val="26937CAB"/>
    <w:rsid w:val="26A43060"/>
    <w:rsid w:val="26BB1EFF"/>
    <w:rsid w:val="26BB2001"/>
    <w:rsid w:val="26C467F8"/>
    <w:rsid w:val="26E35358"/>
    <w:rsid w:val="270E00FE"/>
    <w:rsid w:val="270E298C"/>
    <w:rsid w:val="270E29F5"/>
    <w:rsid w:val="271512D2"/>
    <w:rsid w:val="272A0E33"/>
    <w:rsid w:val="272A2D2F"/>
    <w:rsid w:val="274020AE"/>
    <w:rsid w:val="27446B6F"/>
    <w:rsid w:val="274F752C"/>
    <w:rsid w:val="27520933"/>
    <w:rsid w:val="27584657"/>
    <w:rsid w:val="275E5A93"/>
    <w:rsid w:val="27736226"/>
    <w:rsid w:val="27755DA7"/>
    <w:rsid w:val="277C7F9A"/>
    <w:rsid w:val="279D2924"/>
    <w:rsid w:val="27A52E1A"/>
    <w:rsid w:val="27AC7A9A"/>
    <w:rsid w:val="27C53958"/>
    <w:rsid w:val="27D36D37"/>
    <w:rsid w:val="27DA4B73"/>
    <w:rsid w:val="27E61F25"/>
    <w:rsid w:val="27EC31BB"/>
    <w:rsid w:val="27ED2CBD"/>
    <w:rsid w:val="27F63DA6"/>
    <w:rsid w:val="27FA5CB6"/>
    <w:rsid w:val="280D34EA"/>
    <w:rsid w:val="281466B1"/>
    <w:rsid w:val="281713B7"/>
    <w:rsid w:val="281824A7"/>
    <w:rsid w:val="28312BBF"/>
    <w:rsid w:val="283B7736"/>
    <w:rsid w:val="285F673E"/>
    <w:rsid w:val="28644CCA"/>
    <w:rsid w:val="28687E65"/>
    <w:rsid w:val="28732D83"/>
    <w:rsid w:val="288F6949"/>
    <w:rsid w:val="28911AF2"/>
    <w:rsid w:val="289151CA"/>
    <w:rsid w:val="28A10C81"/>
    <w:rsid w:val="28A2680F"/>
    <w:rsid w:val="28DF17A9"/>
    <w:rsid w:val="28EB31BC"/>
    <w:rsid w:val="28EB583C"/>
    <w:rsid w:val="28EC2844"/>
    <w:rsid w:val="28F402DA"/>
    <w:rsid w:val="28FC78BE"/>
    <w:rsid w:val="29000A40"/>
    <w:rsid w:val="290F29AF"/>
    <w:rsid w:val="292D0766"/>
    <w:rsid w:val="293634F4"/>
    <w:rsid w:val="29600B3C"/>
    <w:rsid w:val="29606D8E"/>
    <w:rsid w:val="29671ECA"/>
    <w:rsid w:val="29770361"/>
    <w:rsid w:val="2985201E"/>
    <w:rsid w:val="29C55899"/>
    <w:rsid w:val="29D3130E"/>
    <w:rsid w:val="29F2147C"/>
    <w:rsid w:val="2A0C4A40"/>
    <w:rsid w:val="2A0D3DED"/>
    <w:rsid w:val="2A104310"/>
    <w:rsid w:val="2A134AF4"/>
    <w:rsid w:val="2A255C2B"/>
    <w:rsid w:val="2A2B7BC9"/>
    <w:rsid w:val="2A3A5DF9"/>
    <w:rsid w:val="2A4926C2"/>
    <w:rsid w:val="2A4B107A"/>
    <w:rsid w:val="2A4D2BFD"/>
    <w:rsid w:val="2A500B3B"/>
    <w:rsid w:val="2A530EDF"/>
    <w:rsid w:val="2A574428"/>
    <w:rsid w:val="2A5F6992"/>
    <w:rsid w:val="2A7949E3"/>
    <w:rsid w:val="2A80647C"/>
    <w:rsid w:val="2A8E62B6"/>
    <w:rsid w:val="2A9572CC"/>
    <w:rsid w:val="2AA9206F"/>
    <w:rsid w:val="2AD81233"/>
    <w:rsid w:val="2AE63EFE"/>
    <w:rsid w:val="2B053749"/>
    <w:rsid w:val="2B195446"/>
    <w:rsid w:val="2B2E227F"/>
    <w:rsid w:val="2B2F07C6"/>
    <w:rsid w:val="2B3404E2"/>
    <w:rsid w:val="2B363CF4"/>
    <w:rsid w:val="2B3A7305"/>
    <w:rsid w:val="2B425FD0"/>
    <w:rsid w:val="2B4268A6"/>
    <w:rsid w:val="2B536BAA"/>
    <w:rsid w:val="2B8C79C6"/>
    <w:rsid w:val="2B9B40AD"/>
    <w:rsid w:val="2B9B4F58"/>
    <w:rsid w:val="2BA3696C"/>
    <w:rsid w:val="2BAA0794"/>
    <w:rsid w:val="2BB67A51"/>
    <w:rsid w:val="2BB769EE"/>
    <w:rsid w:val="2BB8130D"/>
    <w:rsid w:val="2BC058C2"/>
    <w:rsid w:val="2BC1223D"/>
    <w:rsid w:val="2BC40014"/>
    <w:rsid w:val="2BC51B34"/>
    <w:rsid w:val="2BDE3F9A"/>
    <w:rsid w:val="2BE07D12"/>
    <w:rsid w:val="2BF95140"/>
    <w:rsid w:val="2C063C1D"/>
    <w:rsid w:val="2C0B194E"/>
    <w:rsid w:val="2C1A4F62"/>
    <w:rsid w:val="2C3447BE"/>
    <w:rsid w:val="2C3C07B5"/>
    <w:rsid w:val="2C3D3C75"/>
    <w:rsid w:val="2C4B420E"/>
    <w:rsid w:val="2C56006A"/>
    <w:rsid w:val="2C5F50DB"/>
    <w:rsid w:val="2C660165"/>
    <w:rsid w:val="2C6619D7"/>
    <w:rsid w:val="2C6A0BA3"/>
    <w:rsid w:val="2C6E17C2"/>
    <w:rsid w:val="2C8A76F4"/>
    <w:rsid w:val="2C931BC6"/>
    <w:rsid w:val="2CA45E14"/>
    <w:rsid w:val="2CB43679"/>
    <w:rsid w:val="2CB62CA6"/>
    <w:rsid w:val="2CD40261"/>
    <w:rsid w:val="2CEE34EF"/>
    <w:rsid w:val="2CF475EF"/>
    <w:rsid w:val="2CF605F7"/>
    <w:rsid w:val="2D016FE9"/>
    <w:rsid w:val="2D14362B"/>
    <w:rsid w:val="2D2E304F"/>
    <w:rsid w:val="2D3C07FE"/>
    <w:rsid w:val="2D5756FC"/>
    <w:rsid w:val="2D5D5591"/>
    <w:rsid w:val="2D74743A"/>
    <w:rsid w:val="2D7C11D4"/>
    <w:rsid w:val="2D7F4766"/>
    <w:rsid w:val="2D8D3A62"/>
    <w:rsid w:val="2DAF3E40"/>
    <w:rsid w:val="2DBE7F60"/>
    <w:rsid w:val="2DF6381D"/>
    <w:rsid w:val="2DF6788C"/>
    <w:rsid w:val="2E0D1588"/>
    <w:rsid w:val="2E3944B7"/>
    <w:rsid w:val="2E4749F8"/>
    <w:rsid w:val="2E4C1B78"/>
    <w:rsid w:val="2E73313B"/>
    <w:rsid w:val="2E866E5E"/>
    <w:rsid w:val="2E9077CD"/>
    <w:rsid w:val="2EA916B2"/>
    <w:rsid w:val="2EB46A04"/>
    <w:rsid w:val="2EB84F76"/>
    <w:rsid w:val="2EC62DA5"/>
    <w:rsid w:val="2ECB7077"/>
    <w:rsid w:val="2EED318E"/>
    <w:rsid w:val="2EFE3F3B"/>
    <w:rsid w:val="2F0F1794"/>
    <w:rsid w:val="2F176141"/>
    <w:rsid w:val="2F1A0856"/>
    <w:rsid w:val="2F2B5B05"/>
    <w:rsid w:val="2F475C7E"/>
    <w:rsid w:val="2F486024"/>
    <w:rsid w:val="2F523B34"/>
    <w:rsid w:val="2F5E78CC"/>
    <w:rsid w:val="2F681310"/>
    <w:rsid w:val="2F6C283B"/>
    <w:rsid w:val="2F743B89"/>
    <w:rsid w:val="2F7E2877"/>
    <w:rsid w:val="2F8567D8"/>
    <w:rsid w:val="2F8B5040"/>
    <w:rsid w:val="2F9107C4"/>
    <w:rsid w:val="2F961B57"/>
    <w:rsid w:val="2FDC6A42"/>
    <w:rsid w:val="2FE65B09"/>
    <w:rsid w:val="2FFF53A8"/>
    <w:rsid w:val="30047098"/>
    <w:rsid w:val="30077F63"/>
    <w:rsid w:val="30115CE5"/>
    <w:rsid w:val="30135C1F"/>
    <w:rsid w:val="30191760"/>
    <w:rsid w:val="3028092A"/>
    <w:rsid w:val="302F54E7"/>
    <w:rsid w:val="304863A9"/>
    <w:rsid w:val="30726790"/>
    <w:rsid w:val="30801AC4"/>
    <w:rsid w:val="30823D65"/>
    <w:rsid w:val="30831C53"/>
    <w:rsid w:val="308E438B"/>
    <w:rsid w:val="30A43A04"/>
    <w:rsid w:val="30C87FB8"/>
    <w:rsid w:val="30CB1DAF"/>
    <w:rsid w:val="30E90E2B"/>
    <w:rsid w:val="30ED02EA"/>
    <w:rsid w:val="30FF267A"/>
    <w:rsid w:val="310A2A14"/>
    <w:rsid w:val="310F59F0"/>
    <w:rsid w:val="31395BA8"/>
    <w:rsid w:val="3141666D"/>
    <w:rsid w:val="31480833"/>
    <w:rsid w:val="314B14BF"/>
    <w:rsid w:val="3158219E"/>
    <w:rsid w:val="316D537E"/>
    <w:rsid w:val="31716348"/>
    <w:rsid w:val="317355F2"/>
    <w:rsid w:val="3185517F"/>
    <w:rsid w:val="3185793C"/>
    <w:rsid w:val="319475D5"/>
    <w:rsid w:val="31975317"/>
    <w:rsid w:val="31A87524"/>
    <w:rsid w:val="31B06C89"/>
    <w:rsid w:val="31B91778"/>
    <w:rsid w:val="31C2569E"/>
    <w:rsid w:val="31C96BD0"/>
    <w:rsid w:val="31D04385"/>
    <w:rsid w:val="31D9377A"/>
    <w:rsid w:val="31E15891"/>
    <w:rsid w:val="31F043F4"/>
    <w:rsid w:val="32170EE1"/>
    <w:rsid w:val="325066A8"/>
    <w:rsid w:val="32563FE3"/>
    <w:rsid w:val="325D3410"/>
    <w:rsid w:val="3260226B"/>
    <w:rsid w:val="327652E9"/>
    <w:rsid w:val="327A5FF1"/>
    <w:rsid w:val="32A55CC0"/>
    <w:rsid w:val="32A937D2"/>
    <w:rsid w:val="32C95971"/>
    <w:rsid w:val="32CF5928"/>
    <w:rsid w:val="32E41009"/>
    <w:rsid w:val="32E9078F"/>
    <w:rsid w:val="32ED34FF"/>
    <w:rsid w:val="330856D0"/>
    <w:rsid w:val="33316646"/>
    <w:rsid w:val="333A06E2"/>
    <w:rsid w:val="33462B8C"/>
    <w:rsid w:val="33491C13"/>
    <w:rsid w:val="335E45B2"/>
    <w:rsid w:val="33680D19"/>
    <w:rsid w:val="33691E57"/>
    <w:rsid w:val="336E025D"/>
    <w:rsid w:val="33735D99"/>
    <w:rsid w:val="33736E76"/>
    <w:rsid w:val="337570A4"/>
    <w:rsid w:val="33833CFC"/>
    <w:rsid w:val="33A269EC"/>
    <w:rsid w:val="33A856B1"/>
    <w:rsid w:val="33A930DF"/>
    <w:rsid w:val="33AB2922"/>
    <w:rsid w:val="33B73314"/>
    <w:rsid w:val="33C50B9E"/>
    <w:rsid w:val="33D30EC6"/>
    <w:rsid w:val="33D867E1"/>
    <w:rsid w:val="33D976B3"/>
    <w:rsid w:val="33DB2EFB"/>
    <w:rsid w:val="33DC6CF8"/>
    <w:rsid w:val="33EE36D1"/>
    <w:rsid w:val="33F54490"/>
    <w:rsid w:val="33F85833"/>
    <w:rsid w:val="33F94458"/>
    <w:rsid w:val="340B1EAD"/>
    <w:rsid w:val="34111989"/>
    <w:rsid w:val="341266A4"/>
    <w:rsid w:val="3429350C"/>
    <w:rsid w:val="343C76C2"/>
    <w:rsid w:val="343D0166"/>
    <w:rsid w:val="343D6C24"/>
    <w:rsid w:val="345873A9"/>
    <w:rsid w:val="347C5D20"/>
    <w:rsid w:val="348C4EDB"/>
    <w:rsid w:val="34997F68"/>
    <w:rsid w:val="34AF7CC9"/>
    <w:rsid w:val="34B14942"/>
    <w:rsid w:val="34E526B4"/>
    <w:rsid w:val="34F03DC0"/>
    <w:rsid w:val="34FE7262"/>
    <w:rsid w:val="352407FC"/>
    <w:rsid w:val="352612DF"/>
    <w:rsid w:val="35284201"/>
    <w:rsid w:val="35322B1F"/>
    <w:rsid w:val="3535498A"/>
    <w:rsid w:val="35471E10"/>
    <w:rsid w:val="354F3660"/>
    <w:rsid w:val="355004C3"/>
    <w:rsid w:val="3556146D"/>
    <w:rsid w:val="355724F0"/>
    <w:rsid w:val="356B5D07"/>
    <w:rsid w:val="35810326"/>
    <w:rsid w:val="358C5E8C"/>
    <w:rsid w:val="358D7C9B"/>
    <w:rsid w:val="358E2186"/>
    <w:rsid w:val="35AA4C6A"/>
    <w:rsid w:val="35B90B5D"/>
    <w:rsid w:val="35C81F43"/>
    <w:rsid w:val="35CC1726"/>
    <w:rsid w:val="35DE239E"/>
    <w:rsid w:val="35E06512"/>
    <w:rsid w:val="35E33F92"/>
    <w:rsid w:val="36010FB1"/>
    <w:rsid w:val="360212D1"/>
    <w:rsid w:val="360C7B72"/>
    <w:rsid w:val="360E2480"/>
    <w:rsid w:val="361327DB"/>
    <w:rsid w:val="361F1CFE"/>
    <w:rsid w:val="36371201"/>
    <w:rsid w:val="363720E3"/>
    <w:rsid w:val="3639711B"/>
    <w:rsid w:val="363E765D"/>
    <w:rsid w:val="36592830"/>
    <w:rsid w:val="36632356"/>
    <w:rsid w:val="367409D2"/>
    <w:rsid w:val="367B56C5"/>
    <w:rsid w:val="367C5173"/>
    <w:rsid w:val="36915D46"/>
    <w:rsid w:val="36B81FB7"/>
    <w:rsid w:val="36CA31B0"/>
    <w:rsid w:val="36D20797"/>
    <w:rsid w:val="36E65B3A"/>
    <w:rsid w:val="36FF3742"/>
    <w:rsid w:val="370346A6"/>
    <w:rsid w:val="37113475"/>
    <w:rsid w:val="37252E94"/>
    <w:rsid w:val="37296474"/>
    <w:rsid w:val="373227C5"/>
    <w:rsid w:val="37405833"/>
    <w:rsid w:val="374101FF"/>
    <w:rsid w:val="375869AC"/>
    <w:rsid w:val="375B253A"/>
    <w:rsid w:val="37666B6B"/>
    <w:rsid w:val="37675674"/>
    <w:rsid w:val="376B1978"/>
    <w:rsid w:val="37940CA8"/>
    <w:rsid w:val="37D848CF"/>
    <w:rsid w:val="37DA41AF"/>
    <w:rsid w:val="37DB157C"/>
    <w:rsid w:val="37DB3C7D"/>
    <w:rsid w:val="37EE7D30"/>
    <w:rsid w:val="37F62976"/>
    <w:rsid w:val="37F77F19"/>
    <w:rsid w:val="38042FDA"/>
    <w:rsid w:val="381C3F20"/>
    <w:rsid w:val="3822692C"/>
    <w:rsid w:val="38343F2A"/>
    <w:rsid w:val="38490F9C"/>
    <w:rsid w:val="384C1631"/>
    <w:rsid w:val="38542754"/>
    <w:rsid w:val="386C03A0"/>
    <w:rsid w:val="386D6DD1"/>
    <w:rsid w:val="38850AD8"/>
    <w:rsid w:val="38B10FD7"/>
    <w:rsid w:val="38B2326B"/>
    <w:rsid w:val="38BD498D"/>
    <w:rsid w:val="38D81B11"/>
    <w:rsid w:val="38ED2653"/>
    <w:rsid w:val="38FC71A8"/>
    <w:rsid w:val="38FD1F03"/>
    <w:rsid w:val="39020983"/>
    <w:rsid w:val="39037F6C"/>
    <w:rsid w:val="39214610"/>
    <w:rsid w:val="39317DFF"/>
    <w:rsid w:val="39464964"/>
    <w:rsid w:val="395224D9"/>
    <w:rsid w:val="39535FC7"/>
    <w:rsid w:val="395601FC"/>
    <w:rsid w:val="397B4E62"/>
    <w:rsid w:val="39972B1A"/>
    <w:rsid w:val="399A1410"/>
    <w:rsid w:val="39C47D94"/>
    <w:rsid w:val="39CD1539"/>
    <w:rsid w:val="39CD5D32"/>
    <w:rsid w:val="39DA1DFA"/>
    <w:rsid w:val="39DC71EB"/>
    <w:rsid w:val="39DD5D2E"/>
    <w:rsid w:val="39E01A69"/>
    <w:rsid w:val="3A045F91"/>
    <w:rsid w:val="3A076679"/>
    <w:rsid w:val="3A0A0953"/>
    <w:rsid w:val="3A211C22"/>
    <w:rsid w:val="3A2C4127"/>
    <w:rsid w:val="3A4F0AA8"/>
    <w:rsid w:val="3A543DA5"/>
    <w:rsid w:val="3A5576B6"/>
    <w:rsid w:val="3A682780"/>
    <w:rsid w:val="3A697EB7"/>
    <w:rsid w:val="3A7F0311"/>
    <w:rsid w:val="3A8538B6"/>
    <w:rsid w:val="3A884EF1"/>
    <w:rsid w:val="3A8C5141"/>
    <w:rsid w:val="3AA52853"/>
    <w:rsid w:val="3AA648FE"/>
    <w:rsid w:val="3AAA7D3D"/>
    <w:rsid w:val="3AD117FB"/>
    <w:rsid w:val="3AD4138A"/>
    <w:rsid w:val="3AD72904"/>
    <w:rsid w:val="3AD75A09"/>
    <w:rsid w:val="3ADC5AFD"/>
    <w:rsid w:val="3AE17BBC"/>
    <w:rsid w:val="3B007A89"/>
    <w:rsid w:val="3B0F5ABD"/>
    <w:rsid w:val="3B2F4F75"/>
    <w:rsid w:val="3B31477D"/>
    <w:rsid w:val="3B315914"/>
    <w:rsid w:val="3B422101"/>
    <w:rsid w:val="3B4715CB"/>
    <w:rsid w:val="3B5008D7"/>
    <w:rsid w:val="3B7F15E2"/>
    <w:rsid w:val="3B8536A6"/>
    <w:rsid w:val="3B9F0C51"/>
    <w:rsid w:val="3BA00572"/>
    <w:rsid w:val="3BB1021B"/>
    <w:rsid w:val="3BE15B0C"/>
    <w:rsid w:val="3BE64EF0"/>
    <w:rsid w:val="3BF72A83"/>
    <w:rsid w:val="3C135790"/>
    <w:rsid w:val="3C1752F7"/>
    <w:rsid w:val="3C193171"/>
    <w:rsid w:val="3C1E3214"/>
    <w:rsid w:val="3C2528C6"/>
    <w:rsid w:val="3C371BD0"/>
    <w:rsid w:val="3C4F1FEA"/>
    <w:rsid w:val="3C5B6745"/>
    <w:rsid w:val="3C683B38"/>
    <w:rsid w:val="3C686571"/>
    <w:rsid w:val="3C6F5E3B"/>
    <w:rsid w:val="3C83525B"/>
    <w:rsid w:val="3C87375A"/>
    <w:rsid w:val="3C88531F"/>
    <w:rsid w:val="3C8D7A42"/>
    <w:rsid w:val="3C8E189D"/>
    <w:rsid w:val="3CA22EFE"/>
    <w:rsid w:val="3CB8043D"/>
    <w:rsid w:val="3CB94BCA"/>
    <w:rsid w:val="3CC35212"/>
    <w:rsid w:val="3CC50225"/>
    <w:rsid w:val="3CD967E3"/>
    <w:rsid w:val="3CDE231E"/>
    <w:rsid w:val="3D245A63"/>
    <w:rsid w:val="3D36346C"/>
    <w:rsid w:val="3D4269DA"/>
    <w:rsid w:val="3D430EA3"/>
    <w:rsid w:val="3D47560D"/>
    <w:rsid w:val="3D523BCD"/>
    <w:rsid w:val="3D645169"/>
    <w:rsid w:val="3D6933DE"/>
    <w:rsid w:val="3D7C3859"/>
    <w:rsid w:val="3D80607F"/>
    <w:rsid w:val="3D8F2120"/>
    <w:rsid w:val="3D8F30A0"/>
    <w:rsid w:val="3D990E61"/>
    <w:rsid w:val="3DA327E5"/>
    <w:rsid w:val="3DB01C7C"/>
    <w:rsid w:val="3DB334D8"/>
    <w:rsid w:val="3DBA1ADA"/>
    <w:rsid w:val="3DC355A6"/>
    <w:rsid w:val="3DC42D6E"/>
    <w:rsid w:val="3DD009EA"/>
    <w:rsid w:val="3DD122A2"/>
    <w:rsid w:val="3DD64752"/>
    <w:rsid w:val="3DD80DF7"/>
    <w:rsid w:val="3DE17E96"/>
    <w:rsid w:val="3DE26317"/>
    <w:rsid w:val="3DEB1B40"/>
    <w:rsid w:val="3DF65DCE"/>
    <w:rsid w:val="3DFC4E7F"/>
    <w:rsid w:val="3E2D1C0D"/>
    <w:rsid w:val="3E352B5B"/>
    <w:rsid w:val="3E3A2755"/>
    <w:rsid w:val="3E463101"/>
    <w:rsid w:val="3E5717D0"/>
    <w:rsid w:val="3E5E04B0"/>
    <w:rsid w:val="3E5F4189"/>
    <w:rsid w:val="3E6C1A3F"/>
    <w:rsid w:val="3E734A16"/>
    <w:rsid w:val="3E752133"/>
    <w:rsid w:val="3E7A5DA4"/>
    <w:rsid w:val="3E953235"/>
    <w:rsid w:val="3EAA3B18"/>
    <w:rsid w:val="3EAA555F"/>
    <w:rsid w:val="3EBD0BAE"/>
    <w:rsid w:val="3EC3774B"/>
    <w:rsid w:val="3ECC3927"/>
    <w:rsid w:val="3ECD2095"/>
    <w:rsid w:val="3EEF22EE"/>
    <w:rsid w:val="3EF02AD3"/>
    <w:rsid w:val="3F024C1A"/>
    <w:rsid w:val="3F0D0FA0"/>
    <w:rsid w:val="3F21052E"/>
    <w:rsid w:val="3F330C34"/>
    <w:rsid w:val="3F3917F4"/>
    <w:rsid w:val="3F397A0D"/>
    <w:rsid w:val="3F4A39C9"/>
    <w:rsid w:val="3F625E8E"/>
    <w:rsid w:val="3F6A673B"/>
    <w:rsid w:val="3F8668E9"/>
    <w:rsid w:val="3F8C2A74"/>
    <w:rsid w:val="3FA70307"/>
    <w:rsid w:val="3FA7458E"/>
    <w:rsid w:val="3FB22390"/>
    <w:rsid w:val="3FCF1529"/>
    <w:rsid w:val="3FDD2A57"/>
    <w:rsid w:val="3FE37E33"/>
    <w:rsid w:val="3FF027C2"/>
    <w:rsid w:val="3FF55C7D"/>
    <w:rsid w:val="3FF676AC"/>
    <w:rsid w:val="400E03CE"/>
    <w:rsid w:val="401171AD"/>
    <w:rsid w:val="40225AF1"/>
    <w:rsid w:val="403D5148"/>
    <w:rsid w:val="403D6B94"/>
    <w:rsid w:val="40507C98"/>
    <w:rsid w:val="40580367"/>
    <w:rsid w:val="4061657E"/>
    <w:rsid w:val="40767673"/>
    <w:rsid w:val="407707ED"/>
    <w:rsid w:val="40892318"/>
    <w:rsid w:val="408E0789"/>
    <w:rsid w:val="40A76FA9"/>
    <w:rsid w:val="40AC084A"/>
    <w:rsid w:val="40D05FDB"/>
    <w:rsid w:val="40DB515E"/>
    <w:rsid w:val="40E30197"/>
    <w:rsid w:val="40E63D94"/>
    <w:rsid w:val="40EA1367"/>
    <w:rsid w:val="40EB151F"/>
    <w:rsid w:val="40ED4F53"/>
    <w:rsid w:val="40F25A91"/>
    <w:rsid w:val="411C387B"/>
    <w:rsid w:val="41292B74"/>
    <w:rsid w:val="41406E31"/>
    <w:rsid w:val="414E3836"/>
    <w:rsid w:val="41592854"/>
    <w:rsid w:val="416E516B"/>
    <w:rsid w:val="418812BB"/>
    <w:rsid w:val="418D4040"/>
    <w:rsid w:val="419E7FFC"/>
    <w:rsid w:val="419F3079"/>
    <w:rsid w:val="41AE3A67"/>
    <w:rsid w:val="41C95125"/>
    <w:rsid w:val="41EA02ED"/>
    <w:rsid w:val="42075BA1"/>
    <w:rsid w:val="4215282E"/>
    <w:rsid w:val="42225E0B"/>
    <w:rsid w:val="42383FB6"/>
    <w:rsid w:val="423D7815"/>
    <w:rsid w:val="424F30C2"/>
    <w:rsid w:val="425E14DB"/>
    <w:rsid w:val="42621029"/>
    <w:rsid w:val="426B4382"/>
    <w:rsid w:val="42725710"/>
    <w:rsid w:val="427358D4"/>
    <w:rsid w:val="42736D87"/>
    <w:rsid w:val="427E086F"/>
    <w:rsid w:val="42826F4F"/>
    <w:rsid w:val="428B0580"/>
    <w:rsid w:val="429A4E70"/>
    <w:rsid w:val="429E14C4"/>
    <w:rsid w:val="42A26186"/>
    <w:rsid w:val="42A94EAA"/>
    <w:rsid w:val="42BA0E65"/>
    <w:rsid w:val="42C13D5C"/>
    <w:rsid w:val="42DD74CF"/>
    <w:rsid w:val="42DF3579"/>
    <w:rsid w:val="42E264C2"/>
    <w:rsid w:val="42E85CD3"/>
    <w:rsid w:val="42F54D63"/>
    <w:rsid w:val="43011E27"/>
    <w:rsid w:val="430D368B"/>
    <w:rsid w:val="430F20A0"/>
    <w:rsid w:val="43135F0F"/>
    <w:rsid w:val="431B6CC7"/>
    <w:rsid w:val="43225F65"/>
    <w:rsid w:val="435720D9"/>
    <w:rsid w:val="43615785"/>
    <w:rsid w:val="43732880"/>
    <w:rsid w:val="43865952"/>
    <w:rsid w:val="438F0BB0"/>
    <w:rsid w:val="43993170"/>
    <w:rsid w:val="43BF04EA"/>
    <w:rsid w:val="43C05A1E"/>
    <w:rsid w:val="43CF4932"/>
    <w:rsid w:val="43D22CDA"/>
    <w:rsid w:val="43D354DC"/>
    <w:rsid w:val="4405353A"/>
    <w:rsid w:val="44063CF3"/>
    <w:rsid w:val="44072973"/>
    <w:rsid w:val="44095C00"/>
    <w:rsid w:val="44117E2D"/>
    <w:rsid w:val="441822E7"/>
    <w:rsid w:val="442F13DF"/>
    <w:rsid w:val="44426345"/>
    <w:rsid w:val="444B2816"/>
    <w:rsid w:val="445279AA"/>
    <w:rsid w:val="4453331F"/>
    <w:rsid w:val="445F3A86"/>
    <w:rsid w:val="4478636B"/>
    <w:rsid w:val="447A0DB3"/>
    <w:rsid w:val="4481712B"/>
    <w:rsid w:val="44901E7E"/>
    <w:rsid w:val="449F54A7"/>
    <w:rsid w:val="44A1052F"/>
    <w:rsid w:val="44C93406"/>
    <w:rsid w:val="44D74994"/>
    <w:rsid w:val="44DD0E3B"/>
    <w:rsid w:val="44E67CEF"/>
    <w:rsid w:val="44F62875"/>
    <w:rsid w:val="451730A2"/>
    <w:rsid w:val="451955A3"/>
    <w:rsid w:val="45205199"/>
    <w:rsid w:val="45260B70"/>
    <w:rsid w:val="45357C2D"/>
    <w:rsid w:val="453A003B"/>
    <w:rsid w:val="45467C1A"/>
    <w:rsid w:val="45523E0A"/>
    <w:rsid w:val="45603F46"/>
    <w:rsid w:val="45784EE5"/>
    <w:rsid w:val="457C33A8"/>
    <w:rsid w:val="458804FE"/>
    <w:rsid w:val="458D57CB"/>
    <w:rsid w:val="4595726A"/>
    <w:rsid w:val="45C67177"/>
    <w:rsid w:val="45D048BE"/>
    <w:rsid w:val="45DE626C"/>
    <w:rsid w:val="45EB660D"/>
    <w:rsid w:val="45F13477"/>
    <w:rsid w:val="45FA688F"/>
    <w:rsid w:val="45FD7B3D"/>
    <w:rsid w:val="460A10C2"/>
    <w:rsid w:val="46220C85"/>
    <w:rsid w:val="46230254"/>
    <w:rsid w:val="46244F73"/>
    <w:rsid w:val="46287B26"/>
    <w:rsid w:val="462A00B0"/>
    <w:rsid w:val="462D24EF"/>
    <w:rsid w:val="46427F4E"/>
    <w:rsid w:val="46534E0B"/>
    <w:rsid w:val="4670640B"/>
    <w:rsid w:val="46753897"/>
    <w:rsid w:val="467A71EB"/>
    <w:rsid w:val="46867477"/>
    <w:rsid w:val="468A02AD"/>
    <w:rsid w:val="468B3DD1"/>
    <w:rsid w:val="469043B7"/>
    <w:rsid w:val="46BF4C9C"/>
    <w:rsid w:val="46C936C8"/>
    <w:rsid w:val="46CB1893"/>
    <w:rsid w:val="46D87DE5"/>
    <w:rsid w:val="46E556A4"/>
    <w:rsid w:val="46E97F6B"/>
    <w:rsid w:val="46EA25E1"/>
    <w:rsid w:val="46EB1077"/>
    <w:rsid w:val="470C2558"/>
    <w:rsid w:val="472127B7"/>
    <w:rsid w:val="472165B7"/>
    <w:rsid w:val="47277064"/>
    <w:rsid w:val="47323C17"/>
    <w:rsid w:val="4743767B"/>
    <w:rsid w:val="474E29C1"/>
    <w:rsid w:val="475569C5"/>
    <w:rsid w:val="475A49C5"/>
    <w:rsid w:val="475E44B5"/>
    <w:rsid w:val="476121D8"/>
    <w:rsid w:val="476A063C"/>
    <w:rsid w:val="477C748E"/>
    <w:rsid w:val="478A7058"/>
    <w:rsid w:val="47941208"/>
    <w:rsid w:val="47A101B2"/>
    <w:rsid w:val="47BF2852"/>
    <w:rsid w:val="47BF386C"/>
    <w:rsid w:val="47C3256A"/>
    <w:rsid w:val="47C95C6C"/>
    <w:rsid w:val="47EC7022"/>
    <w:rsid w:val="47FC7940"/>
    <w:rsid w:val="48030B33"/>
    <w:rsid w:val="48046015"/>
    <w:rsid w:val="4819316F"/>
    <w:rsid w:val="482F5E51"/>
    <w:rsid w:val="483F125D"/>
    <w:rsid w:val="48580B32"/>
    <w:rsid w:val="485B43A9"/>
    <w:rsid w:val="48635024"/>
    <w:rsid w:val="487B675C"/>
    <w:rsid w:val="48A95C04"/>
    <w:rsid w:val="48B22238"/>
    <w:rsid w:val="48B33076"/>
    <w:rsid w:val="48C4330A"/>
    <w:rsid w:val="48D55EB3"/>
    <w:rsid w:val="48DA0701"/>
    <w:rsid w:val="48DF324A"/>
    <w:rsid w:val="48E052EC"/>
    <w:rsid w:val="48E65AEE"/>
    <w:rsid w:val="48F80CE7"/>
    <w:rsid w:val="49096FCD"/>
    <w:rsid w:val="491D7C08"/>
    <w:rsid w:val="494625B6"/>
    <w:rsid w:val="49507E2D"/>
    <w:rsid w:val="49512BB1"/>
    <w:rsid w:val="495E0009"/>
    <w:rsid w:val="49641F5D"/>
    <w:rsid w:val="49666B6B"/>
    <w:rsid w:val="496F2CCC"/>
    <w:rsid w:val="4976540D"/>
    <w:rsid w:val="498F64FC"/>
    <w:rsid w:val="49AD1724"/>
    <w:rsid w:val="49BE7E39"/>
    <w:rsid w:val="49C40005"/>
    <w:rsid w:val="49C65419"/>
    <w:rsid w:val="49D04BAB"/>
    <w:rsid w:val="49EA0282"/>
    <w:rsid w:val="49EA17C4"/>
    <w:rsid w:val="49EF440A"/>
    <w:rsid w:val="4A1A2F12"/>
    <w:rsid w:val="4A2C7C77"/>
    <w:rsid w:val="4A321C6F"/>
    <w:rsid w:val="4A366D8C"/>
    <w:rsid w:val="4A375709"/>
    <w:rsid w:val="4A475BFC"/>
    <w:rsid w:val="4A4E1094"/>
    <w:rsid w:val="4A561717"/>
    <w:rsid w:val="4A606796"/>
    <w:rsid w:val="4A717D8F"/>
    <w:rsid w:val="4A7D0F83"/>
    <w:rsid w:val="4A834A22"/>
    <w:rsid w:val="4A8815D3"/>
    <w:rsid w:val="4A9454F9"/>
    <w:rsid w:val="4A972DF7"/>
    <w:rsid w:val="4A992274"/>
    <w:rsid w:val="4AA77F21"/>
    <w:rsid w:val="4AAA2276"/>
    <w:rsid w:val="4AB64534"/>
    <w:rsid w:val="4ABD14F2"/>
    <w:rsid w:val="4AC66642"/>
    <w:rsid w:val="4AC87549"/>
    <w:rsid w:val="4AD37353"/>
    <w:rsid w:val="4ADC6651"/>
    <w:rsid w:val="4AE2340C"/>
    <w:rsid w:val="4AE72A13"/>
    <w:rsid w:val="4AFF6999"/>
    <w:rsid w:val="4B0E61F2"/>
    <w:rsid w:val="4B21257E"/>
    <w:rsid w:val="4B290FE3"/>
    <w:rsid w:val="4B322207"/>
    <w:rsid w:val="4B3B5793"/>
    <w:rsid w:val="4B58050B"/>
    <w:rsid w:val="4B5A25F7"/>
    <w:rsid w:val="4B6A0768"/>
    <w:rsid w:val="4B6B0CBD"/>
    <w:rsid w:val="4B705719"/>
    <w:rsid w:val="4B7B47F9"/>
    <w:rsid w:val="4BA563FE"/>
    <w:rsid w:val="4BB77663"/>
    <w:rsid w:val="4BC54DE5"/>
    <w:rsid w:val="4BCB7306"/>
    <w:rsid w:val="4BD52968"/>
    <w:rsid w:val="4BD91D02"/>
    <w:rsid w:val="4BE2600E"/>
    <w:rsid w:val="4BE57820"/>
    <w:rsid w:val="4BF657A1"/>
    <w:rsid w:val="4BFB7B74"/>
    <w:rsid w:val="4C0457A1"/>
    <w:rsid w:val="4C3F2C78"/>
    <w:rsid w:val="4C42244E"/>
    <w:rsid w:val="4C437DCE"/>
    <w:rsid w:val="4C6B64B3"/>
    <w:rsid w:val="4C6D3DA8"/>
    <w:rsid w:val="4C727CFA"/>
    <w:rsid w:val="4C88081B"/>
    <w:rsid w:val="4C8872A2"/>
    <w:rsid w:val="4C9C19F3"/>
    <w:rsid w:val="4CA47183"/>
    <w:rsid w:val="4CB7606E"/>
    <w:rsid w:val="4CB91CB1"/>
    <w:rsid w:val="4CF745DE"/>
    <w:rsid w:val="4CFC57E0"/>
    <w:rsid w:val="4D087B01"/>
    <w:rsid w:val="4D0B58BC"/>
    <w:rsid w:val="4D0C050F"/>
    <w:rsid w:val="4D0C2AD5"/>
    <w:rsid w:val="4D2059FA"/>
    <w:rsid w:val="4D2E3574"/>
    <w:rsid w:val="4D451B18"/>
    <w:rsid w:val="4D4D5AFE"/>
    <w:rsid w:val="4D502AF2"/>
    <w:rsid w:val="4D5C07F9"/>
    <w:rsid w:val="4D755736"/>
    <w:rsid w:val="4DAC0A3B"/>
    <w:rsid w:val="4DB92102"/>
    <w:rsid w:val="4DBA3E20"/>
    <w:rsid w:val="4DBC5B64"/>
    <w:rsid w:val="4DC679DB"/>
    <w:rsid w:val="4DE61D12"/>
    <w:rsid w:val="4DF1146E"/>
    <w:rsid w:val="4DF82017"/>
    <w:rsid w:val="4E0E661C"/>
    <w:rsid w:val="4E1E3790"/>
    <w:rsid w:val="4E2E44B5"/>
    <w:rsid w:val="4E4C57ED"/>
    <w:rsid w:val="4E5505A6"/>
    <w:rsid w:val="4E820BD8"/>
    <w:rsid w:val="4E8D729C"/>
    <w:rsid w:val="4E8E1C0C"/>
    <w:rsid w:val="4E9609D8"/>
    <w:rsid w:val="4E98004C"/>
    <w:rsid w:val="4EA5208F"/>
    <w:rsid w:val="4EAE617F"/>
    <w:rsid w:val="4EBD702F"/>
    <w:rsid w:val="4EC310A1"/>
    <w:rsid w:val="4EC818B0"/>
    <w:rsid w:val="4ECB59F9"/>
    <w:rsid w:val="4ECE1CAC"/>
    <w:rsid w:val="4EE414BB"/>
    <w:rsid w:val="4EE87B84"/>
    <w:rsid w:val="4EFF65C5"/>
    <w:rsid w:val="4F0052D1"/>
    <w:rsid w:val="4F014784"/>
    <w:rsid w:val="4F0431E6"/>
    <w:rsid w:val="4F1B712F"/>
    <w:rsid w:val="4F1C605F"/>
    <w:rsid w:val="4F254824"/>
    <w:rsid w:val="4F2658BE"/>
    <w:rsid w:val="4F4736A7"/>
    <w:rsid w:val="4F7914EF"/>
    <w:rsid w:val="4F9174FD"/>
    <w:rsid w:val="4F9402D2"/>
    <w:rsid w:val="4F9A6D4E"/>
    <w:rsid w:val="4FB10142"/>
    <w:rsid w:val="4FB82BD0"/>
    <w:rsid w:val="4FC643B6"/>
    <w:rsid w:val="4FD1578E"/>
    <w:rsid w:val="4FE10E76"/>
    <w:rsid w:val="4FEE2189"/>
    <w:rsid w:val="4FF71C3D"/>
    <w:rsid w:val="50016856"/>
    <w:rsid w:val="5008518B"/>
    <w:rsid w:val="500B32A2"/>
    <w:rsid w:val="502B6647"/>
    <w:rsid w:val="502B6EFE"/>
    <w:rsid w:val="50324E90"/>
    <w:rsid w:val="504C1B11"/>
    <w:rsid w:val="505F48A5"/>
    <w:rsid w:val="506472D4"/>
    <w:rsid w:val="50666C7A"/>
    <w:rsid w:val="507460A4"/>
    <w:rsid w:val="5094445D"/>
    <w:rsid w:val="509C0D4E"/>
    <w:rsid w:val="50A23A1E"/>
    <w:rsid w:val="50AC44E3"/>
    <w:rsid w:val="50B57EA9"/>
    <w:rsid w:val="50BC2B26"/>
    <w:rsid w:val="50BE1984"/>
    <w:rsid w:val="50D141C6"/>
    <w:rsid w:val="50D94FDD"/>
    <w:rsid w:val="50F115EA"/>
    <w:rsid w:val="50F72C9C"/>
    <w:rsid w:val="50FC0DB6"/>
    <w:rsid w:val="511107EA"/>
    <w:rsid w:val="511F2007"/>
    <w:rsid w:val="51271E2F"/>
    <w:rsid w:val="51342CAA"/>
    <w:rsid w:val="51366F32"/>
    <w:rsid w:val="51406A38"/>
    <w:rsid w:val="514B4E4E"/>
    <w:rsid w:val="516578E1"/>
    <w:rsid w:val="517174DB"/>
    <w:rsid w:val="518049FF"/>
    <w:rsid w:val="51932FAD"/>
    <w:rsid w:val="51A06E66"/>
    <w:rsid w:val="51AF590D"/>
    <w:rsid w:val="51B475E9"/>
    <w:rsid w:val="51C05FF6"/>
    <w:rsid w:val="51D135DE"/>
    <w:rsid w:val="51DF4444"/>
    <w:rsid w:val="51F65295"/>
    <w:rsid w:val="51F872B4"/>
    <w:rsid w:val="51FD3DB6"/>
    <w:rsid w:val="52097713"/>
    <w:rsid w:val="520C3BB6"/>
    <w:rsid w:val="52252174"/>
    <w:rsid w:val="52295AE6"/>
    <w:rsid w:val="522D0E7F"/>
    <w:rsid w:val="523E4D62"/>
    <w:rsid w:val="5243507E"/>
    <w:rsid w:val="525402A0"/>
    <w:rsid w:val="52554706"/>
    <w:rsid w:val="525F5585"/>
    <w:rsid w:val="528D41E4"/>
    <w:rsid w:val="52BF5C92"/>
    <w:rsid w:val="52C2167A"/>
    <w:rsid w:val="52C7794C"/>
    <w:rsid w:val="52D279CD"/>
    <w:rsid w:val="52D32ADF"/>
    <w:rsid w:val="52E45ACB"/>
    <w:rsid w:val="52E71802"/>
    <w:rsid w:val="52F47AFB"/>
    <w:rsid w:val="53071B37"/>
    <w:rsid w:val="530A5973"/>
    <w:rsid w:val="531169F3"/>
    <w:rsid w:val="531348FB"/>
    <w:rsid w:val="53275D3D"/>
    <w:rsid w:val="533354CF"/>
    <w:rsid w:val="533407C0"/>
    <w:rsid w:val="53346B96"/>
    <w:rsid w:val="535D5DC8"/>
    <w:rsid w:val="537A3167"/>
    <w:rsid w:val="537D2360"/>
    <w:rsid w:val="53811E50"/>
    <w:rsid w:val="53B22465"/>
    <w:rsid w:val="53B72F65"/>
    <w:rsid w:val="53BE3989"/>
    <w:rsid w:val="53D83751"/>
    <w:rsid w:val="53D85151"/>
    <w:rsid w:val="53E844A9"/>
    <w:rsid w:val="53FD2AC2"/>
    <w:rsid w:val="5409404E"/>
    <w:rsid w:val="54134B75"/>
    <w:rsid w:val="54164746"/>
    <w:rsid w:val="541F238F"/>
    <w:rsid w:val="542E2ADC"/>
    <w:rsid w:val="543341B9"/>
    <w:rsid w:val="543415ED"/>
    <w:rsid w:val="5438608E"/>
    <w:rsid w:val="544B7F7E"/>
    <w:rsid w:val="54501D22"/>
    <w:rsid w:val="546146EB"/>
    <w:rsid w:val="54680D66"/>
    <w:rsid w:val="54685AA1"/>
    <w:rsid w:val="547D06FB"/>
    <w:rsid w:val="547D14B1"/>
    <w:rsid w:val="54857DDB"/>
    <w:rsid w:val="548C678B"/>
    <w:rsid w:val="54905199"/>
    <w:rsid w:val="54914216"/>
    <w:rsid w:val="549273A9"/>
    <w:rsid w:val="549405C7"/>
    <w:rsid w:val="549D6C55"/>
    <w:rsid w:val="54CA07F6"/>
    <w:rsid w:val="54E979F3"/>
    <w:rsid w:val="54EF0774"/>
    <w:rsid w:val="54F2448F"/>
    <w:rsid w:val="54FE2E33"/>
    <w:rsid w:val="550B2DC8"/>
    <w:rsid w:val="5540169E"/>
    <w:rsid w:val="55466588"/>
    <w:rsid w:val="5547793A"/>
    <w:rsid w:val="554C32B2"/>
    <w:rsid w:val="55501E76"/>
    <w:rsid w:val="55701D69"/>
    <w:rsid w:val="55731E3E"/>
    <w:rsid w:val="557A0272"/>
    <w:rsid w:val="557E29D7"/>
    <w:rsid w:val="558F2195"/>
    <w:rsid w:val="55900035"/>
    <w:rsid w:val="55AF798B"/>
    <w:rsid w:val="55CA70E8"/>
    <w:rsid w:val="55ED4967"/>
    <w:rsid w:val="55F350C4"/>
    <w:rsid w:val="561019A5"/>
    <w:rsid w:val="561B14C6"/>
    <w:rsid w:val="561B7A15"/>
    <w:rsid w:val="56247722"/>
    <w:rsid w:val="56342FDD"/>
    <w:rsid w:val="56467B64"/>
    <w:rsid w:val="565626F9"/>
    <w:rsid w:val="565671A2"/>
    <w:rsid w:val="56685CA8"/>
    <w:rsid w:val="56740DC7"/>
    <w:rsid w:val="56753961"/>
    <w:rsid w:val="5677558B"/>
    <w:rsid w:val="569C2904"/>
    <w:rsid w:val="56AA3219"/>
    <w:rsid w:val="56CF2574"/>
    <w:rsid w:val="56CF424D"/>
    <w:rsid w:val="56DE4C00"/>
    <w:rsid w:val="5707525A"/>
    <w:rsid w:val="570847EE"/>
    <w:rsid w:val="573270B5"/>
    <w:rsid w:val="57331689"/>
    <w:rsid w:val="57443B56"/>
    <w:rsid w:val="57614844"/>
    <w:rsid w:val="57664CC0"/>
    <w:rsid w:val="576A00D2"/>
    <w:rsid w:val="576A530D"/>
    <w:rsid w:val="57971A40"/>
    <w:rsid w:val="579E4D2D"/>
    <w:rsid w:val="57A24175"/>
    <w:rsid w:val="57B75717"/>
    <w:rsid w:val="57C470D2"/>
    <w:rsid w:val="57C77E19"/>
    <w:rsid w:val="57CA488B"/>
    <w:rsid w:val="57DB3900"/>
    <w:rsid w:val="57DB47FB"/>
    <w:rsid w:val="580846BB"/>
    <w:rsid w:val="5816050F"/>
    <w:rsid w:val="581D5CC6"/>
    <w:rsid w:val="58205F1A"/>
    <w:rsid w:val="582468CD"/>
    <w:rsid w:val="582840C5"/>
    <w:rsid w:val="583074F9"/>
    <w:rsid w:val="583515AC"/>
    <w:rsid w:val="584B45E2"/>
    <w:rsid w:val="584C2587"/>
    <w:rsid w:val="585127AA"/>
    <w:rsid w:val="585D5314"/>
    <w:rsid w:val="58603D47"/>
    <w:rsid w:val="58743A0C"/>
    <w:rsid w:val="58BB3CCE"/>
    <w:rsid w:val="58CD3249"/>
    <w:rsid w:val="58DE0E81"/>
    <w:rsid w:val="59125866"/>
    <w:rsid w:val="5915352F"/>
    <w:rsid w:val="591B0458"/>
    <w:rsid w:val="59232E69"/>
    <w:rsid w:val="59304651"/>
    <w:rsid w:val="593E2965"/>
    <w:rsid w:val="594856C1"/>
    <w:rsid w:val="59486EBB"/>
    <w:rsid w:val="59493AFE"/>
    <w:rsid w:val="594C38F9"/>
    <w:rsid w:val="594C4A1E"/>
    <w:rsid w:val="59567838"/>
    <w:rsid w:val="59700D18"/>
    <w:rsid w:val="5970491E"/>
    <w:rsid w:val="597304CA"/>
    <w:rsid w:val="59794C92"/>
    <w:rsid w:val="597A0373"/>
    <w:rsid w:val="598803B1"/>
    <w:rsid w:val="59A5117A"/>
    <w:rsid w:val="59A937D5"/>
    <w:rsid w:val="59BA6CB3"/>
    <w:rsid w:val="59BA6CC4"/>
    <w:rsid w:val="59DB746A"/>
    <w:rsid w:val="59F2154E"/>
    <w:rsid w:val="59F9691A"/>
    <w:rsid w:val="5A012975"/>
    <w:rsid w:val="5A0233C6"/>
    <w:rsid w:val="5A097A39"/>
    <w:rsid w:val="5A112448"/>
    <w:rsid w:val="5A1E417A"/>
    <w:rsid w:val="5A266C4C"/>
    <w:rsid w:val="5A2D3B53"/>
    <w:rsid w:val="5A3B2434"/>
    <w:rsid w:val="5A6457FD"/>
    <w:rsid w:val="5A645A7F"/>
    <w:rsid w:val="5A653116"/>
    <w:rsid w:val="5A7035CD"/>
    <w:rsid w:val="5A873ECB"/>
    <w:rsid w:val="5A934A0F"/>
    <w:rsid w:val="5A957C98"/>
    <w:rsid w:val="5A9E6D6F"/>
    <w:rsid w:val="5AAC50E0"/>
    <w:rsid w:val="5AAD60EA"/>
    <w:rsid w:val="5AB61DE0"/>
    <w:rsid w:val="5ACB527F"/>
    <w:rsid w:val="5AD7761B"/>
    <w:rsid w:val="5B072DB6"/>
    <w:rsid w:val="5B19492B"/>
    <w:rsid w:val="5B233465"/>
    <w:rsid w:val="5B506B61"/>
    <w:rsid w:val="5B5F0F2E"/>
    <w:rsid w:val="5B667984"/>
    <w:rsid w:val="5B6B796C"/>
    <w:rsid w:val="5B7C0F56"/>
    <w:rsid w:val="5B9808C1"/>
    <w:rsid w:val="5BB10CB2"/>
    <w:rsid w:val="5BC16A09"/>
    <w:rsid w:val="5C012CC6"/>
    <w:rsid w:val="5C3B496D"/>
    <w:rsid w:val="5C503DE0"/>
    <w:rsid w:val="5C5435D1"/>
    <w:rsid w:val="5C5C5BA5"/>
    <w:rsid w:val="5C8005D2"/>
    <w:rsid w:val="5C8C4702"/>
    <w:rsid w:val="5C936557"/>
    <w:rsid w:val="5C943DBC"/>
    <w:rsid w:val="5C997625"/>
    <w:rsid w:val="5CA57080"/>
    <w:rsid w:val="5CA77E21"/>
    <w:rsid w:val="5CAF0BE0"/>
    <w:rsid w:val="5CB458BA"/>
    <w:rsid w:val="5CDC782C"/>
    <w:rsid w:val="5CE23DAC"/>
    <w:rsid w:val="5CE73917"/>
    <w:rsid w:val="5D0A73AF"/>
    <w:rsid w:val="5D120F26"/>
    <w:rsid w:val="5D1F603D"/>
    <w:rsid w:val="5D376039"/>
    <w:rsid w:val="5D3E31E9"/>
    <w:rsid w:val="5D436E42"/>
    <w:rsid w:val="5D63667B"/>
    <w:rsid w:val="5D696565"/>
    <w:rsid w:val="5D6F2EDA"/>
    <w:rsid w:val="5D783847"/>
    <w:rsid w:val="5D83037A"/>
    <w:rsid w:val="5D885121"/>
    <w:rsid w:val="5D9941C1"/>
    <w:rsid w:val="5DA92832"/>
    <w:rsid w:val="5DAE502B"/>
    <w:rsid w:val="5DB466F3"/>
    <w:rsid w:val="5DB915F2"/>
    <w:rsid w:val="5DBC60F3"/>
    <w:rsid w:val="5DCB1D21"/>
    <w:rsid w:val="5DCD5A99"/>
    <w:rsid w:val="5DDA5440"/>
    <w:rsid w:val="5DDD5947"/>
    <w:rsid w:val="5DDF393D"/>
    <w:rsid w:val="5DDF6E4E"/>
    <w:rsid w:val="5DFA49E0"/>
    <w:rsid w:val="5E1D0F80"/>
    <w:rsid w:val="5E1F3B6D"/>
    <w:rsid w:val="5E224037"/>
    <w:rsid w:val="5E352C38"/>
    <w:rsid w:val="5E3E40FF"/>
    <w:rsid w:val="5E40706E"/>
    <w:rsid w:val="5E4C1080"/>
    <w:rsid w:val="5E4E1C8A"/>
    <w:rsid w:val="5E5D7A78"/>
    <w:rsid w:val="5E7833A1"/>
    <w:rsid w:val="5E8274BA"/>
    <w:rsid w:val="5EA06D09"/>
    <w:rsid w:val="5EA53C9A"/>
    <w:rsid w:val="5EB822A5"/>
    <w:rsid w:val="5EBC7F37"/>
    <w:rsid w:val="5ECE7D1A"/>
    <w:rsid w:val="5ED36C86"/>
    <w:rsid w:val="5EDA60B0"/>
    <w:rsid w:val="5EE35A57"/>
    <w:rsid w:val="5F1645A7"/>
    <w:rsid w:val="5F6A54DD"/>
    <w:rsid w:val="5F815969"/>
    <w:rsid w:val="5F8B4FA7"/>
    <w:rsid w:val="5F9B72D1"/>
    <w:rsid w:val="5FAB0A44"/>
    <w:rsid w:val="5FB17C29"/>
    <w:rsid w:val="5FB34738"/>
    <w:rsid w:val="5FB95E1C"/>
    <w:rsid w:val="5FC85F82"/>
    <w:rsid w:val="5FCB3FE5"/>
    <w:rsid w:val="5FDC5EDE"/>
    <w:rsid w:val="5FEB2206"/>
    <w:rsid w:val="5FED772C"/>
    <w:rsid w:val="5FF97EAE"/>
    <w:rsid w:val="60155C27"/>
    <w:rsid w:val="60162D11"/>
    <w:rsid w:val="601A6070"/>
    <w:rsid w:val="60226F8B"/>
    <w:rsid w:val="603B4F3C"/>
    <w:rsid w:val="60477ABF"/>
    <w:rsid w:val="604B06AE"/>
    <w:rsid w:val="60526566"/>
    <w:rsid w:val="607F756F"/>
    <w:rsid w:val="60917251"/>
    <w:rsid w:val="60982996"/>
    <w:rsid w:val="60C53D01"/>
    <w:rsid w:val="60C9018D"/>
    <w:rsid w:val="61012C93"/>
    <w:rsid w:val="61053FC5"/>
    <w:rsid w:val="610C088E"/>
    <w:rsid w:val="614A03E6"/>
    <w:rsid w:val="61531A50"/>
    <w:rsid w:val="61532201"/>
    <w:rsid w:val="61651210"/>
    <w:rsid w:val="61666018"/>
    <w:rsid w:val="616B46BB"/>
    <w:rsid w:val="616E5EB6"/>
    <w:rsid w:val="617526CF"/>
    <w:rsid w:val="618560EB"/>
    <w:rsid w:val="618E3791"/>
    <w:rsid w:val="619B5D77"/>
    <w:rsid w:val="61B10243"/>
    <w:rsid w:val="61BB2DD9"/>
    <w:rsid w:val="61C00B2F"/>
    <w:rsid w:val="61C3411F"/>
    <w:rsid w:val="61DD1B9A"/>
    <w:rsid w:val="61E136F6"/>
    <w:rsid w:val="61F4426B"/>
    <w:rsid w:val="61F83805"/>
    <w:rsid w:val="62022776"/>
    <w:rsid w:val="6205764C"/>
    <w:rsid w:val="62256C85"/>
    <w:rsid w:val="623600B0"/>
    <w:rsid w:val="62562501"/>
    <w:rsid w:val="6256299E"/>
    <w:rsid w:val="62574D95"/>
    <w:rsid w:val="62586747"/>
    <w:rsid w:val="626C60B7"/>
    <w:rsid w:val="62746498"/>
    <w:rsid w:val="62922E0D"/>
    <w:rsid w:val="62982A5C"/>
    <w:rsid w:val="62C924F0"/>
    <w:rsid w:val="62CB6D60"/>
    <w:rsid w:val="62E358B2"/>
    <w:rsid w:val="62EA49F7"/>
    <w:rsid w:val="62F154C5"/>
    <w:rsid w:val="62FD0A5D"/>
    <w:rsid w:val="63162338"/>
    <w:rsid w:val="632036E4"/>
    <w:rsid w:val="63232EB3"/>
    <w:rsid w:val="63267478"/>
    <w:rsid w:val="633D315E"/>
    <w:rsid w:val="63504ABF"/>
    <w:rsid w:val="63517786"/>
    <w:rsid w:val="637052D7"/>
    <w:rsid w:val="6388739F"/>
    <w:rsid w:val="6389099E"/>
    <w:rsid w:val="63954DAA"/>
    <w:rsid w:val="63C74AA3"/>
    <w:rsid w:val="63D87748"/>
    <w:rsid w:val="63DE2EEF"/>
    <w:rsid w:val="63E8362C"/>
    <w:rsid w:val="63F16145"/>
    <w:rsid w:val="64024CFF"/>
    <w:rsid w:val="641D22DD"/>
    <w:rsid w:val="64426DE8"/>
    <w:rsid w:val="645B3151"/>
    <w:rsid w:val="646A170C"/>
    <w:rsid w:val="64701038"/>
    <w:rsid w:val="64722EF6"/>
    <w:rsid w:val="64797A3F"/>
    <w:rsid w:val="647B4B09"/>
    <w:rsid w:val="647B6F79"/>
    <w:rsid w:val="64815AEE"/>
    <w:rsid w:val="648937A8"/>
    <w:rsid w:val="648B1BA9"/>
    <w:rsid w:val="648D0F64"/>
    <w:rsid w:val="649449E8"/>
    <w:rsid w:val="649D5D6D"/>
    <w:rsid w:val="64A9391A"/>
    <w:rsid w:val="64AF7CA6"/>
    <w:rsid w:val="64D77B16"/>
    <w:rsid w:val="64F953C5"/>
    <w:rsid w:val="651B533C"/>
    <w:rsid w:val="651E27DC"/>
    <w:rsid w:val="65206DF6"/>
    <w:rsid w:val="65291D8F"/>
    <w:rsid w:val="65570D94"/>
    <w:rsid w:val="655774EE"/>
    <w:rsid w:val="65795592"/>
    <w:rsid w:val="65A10F4D"/>
    <w:rsid w:val="65A93335"/>
    <w:rsid w:val="65BC5BDE"/>
    <w:rsid w:val="65D3678B"/>
    <w:rsid w:val="65DB69B9"/>
    <w:rsid w:val="65E142CF"/>
    <w:rsid w:val="65F16DEF"/>
    <w:rsid w:val="65FF5B93"/>
    <w:rsid w:val="660540EE"/>
    <w:rsid w:val="66081715"/>
    <w:rsid w:val="661673E0"/>
    <w:rsid w:val="661A1A97"/>
    <w:rsid w:val="661A3845"/>
    <w:rsid w:val="661B00EA"/>
    <w:rsid w:val="661D360B"/>
    <w:rsid w:val="66523C3F"/>
    <w:rsid w:val="66541F53"/>
    <w:rsid w:val="665C126F"/>
    <w:rsid w:val="6660647F"/>
    <w:rsid w:val="66613222"/>
    <w:rsid w:val="66820F47"/>
    <w:rsid w:val="668A782A"/>
    <w:rsid w:val="66AF1795"/>
    <w:rsid w:val="66B07CC1"/>
    <w:rsid w:val="66B14B24"/>
    <w:rsid w:val="66B27D18"/>
    <w:rsid w:val="66D1442C"/>
    <w:rsid w:val="66D47E7F"/>
    <w:rsid w:val="66D64E5B"/>
    <w:rsid w:val="66DD089D"/>
    <w:rsid w:val="66F0016C"/>
    <w:rsid w:val="66FA0812"/>
    <w:rsid w:val="66FB2BD0"/>
    <w:rsid w:val="66FC2971"/>
    <w:rsid w:val="670008EB"/>
    <w:rsid w:val="67103ED9"/>
    <w:rsid w:val="67262B05"/>
    <w:rsid w:val="672C7CD4"/>
    <w:rsid w:val="674E513F"/>
    <w:rsid w:val="674E6BDA"/>
    <w:rsid w:val="67610E75"/>
    <w:rsid w:val="676F0F89"/>
    <w:rsid w:val="677178CC"/>
    <w:rsid w:val="677977BA"/>
    <w:rsid w:val="67797A29"/>
    <w:rsid w:val="679D31F9"/>
    <w:rsid w:val="679D3BF4"/>
    <w:rsid w:val="679D472E"/>
    <w:rsid w:val="67A41618"/>
    <w:rsid w:val="67AE4749"/>
    <w:rsid w:val="67C56A11"/>
    <w:rsid w:val="67DC3A63"/>
    <w:rsid w:val="67E071EA"/>
    <w:rsid w:val="67FC4971"/>
    <w:rsid w:val="68221BAF"/>
    <w:rsid w:val="682D62D9"/>
    <w:rsid w:val="685143BC"/>
    <w:rsid w:val="68542A0A"/>
    <w:rsid w:val="68555296"/>
    <w:rsid w:val="686C1E80"/>
    <w:rsid w:val="689079C3"/>
    <w:rsid w:val="689A2A1B"/>
    <w:rsid w:val="68D46A71"/>
    <w:rsid w:val="68D56910"/>
    <w:rsid w:val="68EF70C5"/>
    <w:rsid w:val="68F22D9F"/>
    <w:rsid w:val="69162C86"/>
    <w:rsid w:val="69180AD7"/>
    <w:rsid w:val="69214083"/>
    <w:rsid w:val="69456B9A"/>
    <w:rsid w:val="69481344"/>
    <w:rsid w:val="695700E3"/>
    <w:rsid w:val="6980516E"/>
    <w:rsid w:val="698B51FD"/>
    <w:rsid w:val="69960468"/>
    <w:rsid w:val="69A109AD"/>
    <w:rsid w:val="69B875FD"/>
    <w:rsid w:val="69D5796F"/>
    <w:rsid w:val="69E00AE8"/>
    <w:rsid w:val="69E2467A"/>
    <w:rsid w:val="69F101EA"/>
    <w:rsid w:val="69F448E4"/>
    <w:rsid w:val="6A0606AA"/>
    <w:rsid w:val="6A090874"/>
    <w:rsid w:val="6A0F6D29"/>
    <w:rsid w:val="6A1231B1"/>
    <w:rsid w:val="6A1B780C"/>
    <w:rsid w:val="6A206086"/>
    <w:rsid w:val="6A3F0B90"/>
    <w:rsid w:val="6A3F71AB"/>
    <w:rsid w:val="6A407F9F"/>
    <w:rsid w:val="6A4620BF"/>
    <w:rsid w:val="6A4D5F32"/>
    <w:rsid w:val="6A5D65D9"/>
    <w:rsid w:val="6A6908F7"/>
    <w:rsid w:val="6A722F0B"/>
    <w:rsid w:val="6A7A4D5B"/>
    <w:rsid w:val="6A7E7518"/>
    <w:rsid w:val="6A825953"/>
    <w:rsid w:val="6A881C38"/>
    <w:rsid w:val="6A8A11E6"/>
    <w:rsid w:val="6A8B2F63"/>
    <w:rsid w:val="6A9C6F1F"/>
    <w:rsid w:val="6AC034F3"/>
    <w:rsid w:val="6AC96987"/>
    <w:rsid w:val="6AD24017"/>
    <w:rsid w:val="6AD42C61"/>
    <w:rsid w:val="6AE14092"/>
    <w:rsid w:val="6AEA323D"/>
    <w:rsid w:val="6AF07997"/>
    <w:rsid w:val="6AF5032D"/>
    <w:rsid w:val="6AFB2812"/>
    <w:rsid w:val="6AFF182D"/>
    <w:rsid w:val="6B032C8C"/>
    <w:rsid w:val="6B243303"/>
    <w:rsid w:val="6B3569BE"/>
    <w:rsid w:val="6B3A1CE8"/>
    <w:rsid w:val="6B3E4E41"/>
    <w:rsid w:val="6B4D49EF"/>
    <w:rsid w:val="6B556078"/>
    <w:rsid w:val="6B565CD0"/>
    <w:rsid w:val="6B68013D"/>
    <w:rsid w:val="6B7022D0"/>
    <w:rsid w:val="6B7B5422"/>
    <w:rsid w:val="6B852192"/>
    <w:rsid w:val="6B925A32"/>
    <w:rsid w:val="6B9C4F5E"/>
    <w:rsid w:val="6BA92B5A"/>
    <w:rsid w:val="6BB42760"/>
    <w:rsid w:val="6BD37065"/>
    <w:rsid w:val="6BE13B5E"/>
    <w:rsid w:val="6BE31674"/>
    <w:rsid w:val="6BE95EA9"/>
    <w:rsid w:val="6BEA6094"/>
    <w:rsid w:val="6C114575"/>
    <w:rsid w:val="6C3E2214"/>
    <w:rsid w:val="6C427652"/>
    <w:rsid w:val="6C4D48CD"/>
    <w:rsid w:val="6C8202CD"/>
    <w:rsid w:val="6C8639E2"/>
    <w:rsid w:val="6C961621"/>
    <w:rsid w:val="6C9D5038"/>
    <w:rsid w:val="6CBB7DE1"/>
    <w:rsid w:val="6CC445CB"/>
    <w:rsid w:val="6CD042ED"/>
    <w:rsid w:val="6CDA2357"/>
    <w:rsid w:val="6CE8212C"/>
    <w:rsid w:val="6CF01775"/>
    <w:rsid w:val="6CFB62C0"/>
    <w:rsid w:val="6CFD7CAA"/>
    <w:rsid w:val="6D026DE8"/>
    <w:rsid w:val="6D0316B2"/>
    <w:rsid w:val="6D087337"/>
    <w:rsid w:val="6D0E1321"/>
    <w:rsid w:val="6D104BE0"/>
    <w:rsid w:val="6D132371"/>
    <w:rsid w:val="6D1338DD"/>
    <w:rsid w:val="6D153789"/>
    <w:rsid w:val="6D3B4D97"/>
    <w:rsid w:val="6D487B73"/>
    <w:rsid w:val="6D4A2408"/>
    <w:rsid w:val="6D4B1E5A"/>
    <w:rsid w:val="6D5E70E9"/>
    <w:rsid w:val="6D6729D8"/>
    <w:rsid w:val="6D6E09F2"/>
    <w:rsid w:val="6D852386"/>
    <w:rsid w:val="6DBD67AE"/>
    <w:rsid w:val="6DCF3167"/>
    <w:rsid w:val="6DD54C21"/>
    <w:rsid w:val="6DF453C2"/>
    <w:rsid w:val="6DFC1EB9"/>
    <w:rsid w:val="6E25722B"/>
    <w:rsid w:val="6E3363CE"/>
    <w:rsid w:val="6E3C316F"/>
    <w:rsid w:val="6E453429"/>
    <w:rsid w:val="6E456275"/>
    <w:rsid w:val="6E4E36BD"/>
    <w:rsid w:val="6E6127F4"/>
    <w:rsid w:val="6E631ECC"/>
    <w:rsid w:val="6E860D5E"/>
    <w:rsid w:val="6E880670"/>
    <w:rsid w:val="6E9028F6"/>
    <w:rsid w:val="6EB7522E"/>
    <w:rsid w:val="6EC002E5"/>
    <w:rsid w:val="6EC64ECD"/>
    <w:rsid w:val="6EC71F62"/>
    <w:rsid w:val="6ECD2CED"/>
    <w:rsid w:val="6EE1422E"/>
    <w:rsid w:val="6EE449F0"/>
    <w:rsid w:val="6EF14DB2"/>
    <w:rsid w:val="6EFA06B8"/>
    <w:rsid w:val="6F046E40"/>
    <w:rsid w:val="6F1743AC"/>
    <w:rsid w:val="6F3E2352"/>
    <w:rsid w:val="6F4656AB"/>
    <w:rsid w:val="6F5C1867"/>
    <w:rsid w:val="6F5C3F48"/>
    <w:rsid w:val="6F61462B"/>
    <w:rsid w:val="6F6D6714"/>
    <w:rsid w:val="6F8561D3"/>
    <w:rsid w:val="6F926B42"/>
    <w:rsid w:val="6F9C2017"/>
    <w:rsid w:val="6FB37BE5"/>
    <w:rsid w:val="6FC2450B"/>
    <w:rsid w:val="6FC7059A"/>
    <w:rsid w:val="6FCA64CD"/>
    <w:rsid w:val="6FE112C4"/>
    <w:rsid w:val="6FF069FB"/>
    <w:rsid w:val="6FF36A80"/>
    <w:rsid w:val="6FFB0619"/>
    <w:rsid w:val="6FFD7D02"/>
    <w:rsid w:val="70020E6A"/>
    <w:rsid w:val="701A60AC"/>
    <w:rsid w:val="702149D3"/>
    <w:rsid w:val="7021684B"/>
    <w:rsid w:val="70217D0F"/>
    <w:rsid w:val="7045295A"/>
    <w:rsid w:val="7047527A"/>
    <w:rsid w:val="704E0CBB"/>
    <w:rsid w:val="7056241A"/>
    <w:rsid w:val="707B2CB1"/>
    <w:rsid w:val="70924B19"/>
    <w:rsid w:val="70952588"/>
    <w:rsid w:val="70A34833"/>
    <w:rsid w:val="70B75478"/>
    <w:rsid w:val="70BA7DE6"/>
    <w:rsid w:val="70BF74C3"/>
    <w:rsid w:val="70D56048"/>
    <w:rsid w:val="70DA3248"/>
    <w:rsid w:val="71027F8C"/>
    <w:rsid w:val="712A4901"/>
    <w:rsid w:val="71391F94"/>
    <w:rsid w:val="7148395C"/>
    <w:rsid w:val="715D7335"/>
    <w:rsid w:val="717159EA"/>
    <w:rsid w:val="71777F8A"/>
    <w:rsid w:val="719340CC"/>
    <w:rsid w:val="71946BA2"/>
    <w:rsid w:val="71A412EF"/>
    <w:rsid w:val="71B106B0"/>
    <w:rsid w:val="71B61A42"/>
    <w:rsid w:val="71BB267E"/>
    <w:rsid w:val="71BE59CD"/>
    <w:rsid w:val="71C32243"/>
    <w:rsid w:val="71D94178"/>
    <w:rsid w:val="71E258E0"/>
    <w:rsid w:val="71E450CA"/>
    <w:rsid w:val="71EA7F5E"/>
    <w:rsid w:val="71EE0EE5"/>
    <w:rsid w:val="71F773F9"/>
    <w:rsid w:val="71FB452B"/>
    <w:rsid w:val="72025ED5"/>
    <w:rsid w:val="720A7322"/>
    <w:rsid w:val="72137E38"/>
    <w:rsid w:val="721E571E"/>
    <w:rsid w:val="721F7D69"/>
    <w:rsid w:val="7225336C"/>
    <w:rsid w:val="722E3E35"/>
    <w:rsid w:val="724A7260"/>
    <w:rsid w:val="724B68D9"/>
    <w:rsid w:val="72541E8D"/>
    <w:rsid w:val="725E62FA"/>
    <w:rsid w:val="72860473"/>
    <w:rsid w:val="7299364D"/>
    <w:rsid w:val="72C16C93"/>
    <w:rsid w:val="72D66A82"/>
    <w:rsid w:val="72D67597"/>
    <w:rsid w:val="72E40B09"/>
    <w:rsid w:val="72E43D31"/>
    <w:rsid w:val="72FF6E9B"/>
    <w:rsid w:val="73027148"/>
    <w:rsid w:val="7305147C"/>
    <w:rsid w:val="731A30F8"/>
    <w:rsid w:val="733A7EE8"/>
    <w:rsid w:val="734D11ED"/>
    <w:rsid w:val="735A55D3"/>
    <w:rsid w:val="73621B80"/>
    <w:rsid w:val="7375174D"/>
    <w:rsid w:val="73795D83"/>
    <w:rsid w:val="737B6EF7"/>
    <w:rsid w:val="73850D73"/>
    <w:rsid w:val="738B56FD"/>
    <w:rsid w:val="738B5D82"/>
    <w:rsid w:val="73993FFB"/>
    <w:rsid w:val="739F2E93"/>
    <w:rsid w:val="73A60FE9"/>
    <w:rsid w:val="73B8143C"/>
    <w:rsid w:val="73C06788"/>
    <w:rsid w:val="73D813D5"/>
    <w:rsid w:val="73DB1F8F"/>
    <w:rsid w:val="73DE1B70"/>
    <w:rsid w:val="73E6120B"/>
    <w:rsid w:val="741378E4"/>
    <w:rsid w:val="74213FF1"/>
    <w:rsid w:val="743138C9"/>
    <w:rsid w:val="74497E8D"/>
    <w:rsid w:val="744F70D5"/>
    <w:rsid w:val="74542618"/>
    <w:rsid w:val="746B1062"/>
    <w:rsid w:val="74836A59"/>
    <w:rsid w:val="74890514"/>
    <w:rsid w:val="74957A1D"/>
    <w:rsid w:val="74976F8C"/>
    <w:rsid w:val="749C28D6"/>
    <w:rsid w:val="74AC2DBE"/>
    <w:rsid w:val="74B03CF2"/>
    <w:rsid w:val="74B4279D"/>
    <w:rsid w:val="74C959EF"/>
    <w:rsid w:val="74D13C69"/>
    <w:rsid w:val="74D226D8"/>
    <w:rsid w:val="74D951DD"/>
    <w:rsid w:val="74E36253"/>
    <w:rsid w:val="74F273DA"/>
    <w:rsid w:val="74F600B5"/>
    <w:rsid w:val="750C6A4F"/>
    <w:rsid w:val="75102AF5"/>
    <w:rsid w:val="751C1B98"/>
    <w:rsid w:val="752E2E69"/>
    <w:rsid w:val="753F1C14"/>
    <w:rsid w:val="75404D65"/>
    <w:rsid w:val="75410DEE"/>
    <w:rsid w:val="754B45FC"/>
    <w:rsid w:val="754C4FE3"/>
    <w:rsid w:val="75780005"/>
    <w:rsid w:val="75846F2D"/>
    <w:rsid w:val="758E56B6"/>
    <w:rsid w:val="759D26FD"/>
    <w:rsid w:val="75BA7DC9"/>
    <w:rsid w:val="75C158E1"/>
    <w:rsid w:val="75D75BBF"/>
    <w:rsid w:val="75F25C45"/>
    <w:rsid w:val="75F8173D"/>
    <w:rsid w:val="75FE15A4"/>
    <w:rsid w:val="76087EFE"/>
    <w:rsid w:val="762F3987"/>
    <w:rsid w:val="763146BA"/>
    <w:rsid w:val="76373F9F"/>
    <w:rsid w:val="763C17CD"/>
    <w:rsid w:val="7651209F"/>
    <w:rsid w:val="765A396A"/>
    <w:rsid w:val="765B5EE0"/>
    <w:rsid w:val="76625186"/>
    <w:rsid w:val="76694515"/>
    <w:rsid w:val="7671183A"/>
    <w:rsid w:val="76795A9A"/>
    <w:rsid w:val="76850BE3"/>
    <w:rsid w:val="768E7AAD"/>
    <w:rsid w:val="769D37DC"/>
    <w:rsid w:val="76AD1FDF"/>
    <w:rsid w:val="76AF483A"/>
    <w:rsid w:val="76C37C6F"/>
    <w:rsid w:val="76C61386"/>
    <w:rsid w:val="76CF1D13"/>
    <w:rsid w:val="76D56664"/>
    <w:rsid w:val="76E81AE6"/>
    <w:rsid w:val="76FD0D45"/>
    <w:rsid w:val="77000835"/>
    <w:rsid w:val="770802F0"/>
    <w:rsid w:val="771025D4"/>
    <w:rsid w:val="77115FC5"/>
    <w:rsid w:val="77196438"/>
    <w:rsid w:val="77326AF1"/>
    <w:rsid w:val="77342D6F"/>
    <w:rsid w:val="77383B2B"/>
    <w:rsid w:val="773B467C"/>
    <w:rsid w:val="775B5775"/>
    <w:rsid w:val="775E0D1F"/>
    <w:rsid w:val="776655B0"/>
    <w:rsid w:val="77685B26"/>
    <w:rsid w:val="777B5097"/>
    <w:rsid w:val="777E55F4"/>
    <w:rsid w:val="777F79AC"/>
    <w:rsid w:val="77820DEB"/>
    <w:rsid w:val="7792671F"/>
    <w:rsid w:val="7797445D"/>
    <w:rsid w:val="77986D62"/>
    <w:rsid w:val="77A015C8"/>
    <w:rsid w:val="77A92E90"/>
    <w:rsid w:val="77B650A0"/>
    <w:rsid w:val="77CE0481"/>
    <w:rsid w:val="77E43CB3"/>
    <w:rsid w:val="77EC7456"/>
    <w:rsid w:val="77EE7D89"/>
    <w:rsid w:val="77EF0483"/>
    <w:rsid w:val="78131205"/>
    <w:rsid w:val="781911C5"/>
    <w:rsid w:val="781A279F"/>
    <w:rsid w:val="782500E0"/>
    <w:rsid w:val="782F5811"/>
    <w:rsid w:val="78384A59"/>
    <w:rsid w:val="783B343E"/>
    <w:rsid w:val="78491B75"/>
    <w:rsid w:val="784A2663"/>
    <w:rsid w:val="784A43B3"/>
    <w:rsid w:val="78511348"/>
    <w:rsid w:val="785250C1"/>
    <w:rsid w:val="78564BB1"/>
    <w:rsid w:val="78581051"/>
    <w:rsid w:val="786228CD"/>
    <w:rsid w:val="786F0FB8"/>
    <w:rsid w:val="78714DF4"/>
    <w:rsid w:val="78721CEF"/>
    <w:rsid w:val="787234C6"/>
    <w:rsid w:val="78756296"/>
    <w:rsid w:val="788334CC"/>
    <w:rsid w:val="78B20233"/>
    <w:rsid w:val="78D12FAA"/>
    <w:rsid w:val="78D855C6"/>
    <w:rsid w:val="78FC0536"/>
    <w:rsid w:val="78FE7954"/>
    <w:rsid w:val="79315979"/>
    <w:rsid w:val="79424F4F"/>
    <w:rsid w:val="795831E5"/>
    <w:rsid w:val="796E7E54"/>
    <w:rsid w:val="79756315"/>
    <w:rsid w:val="79765CDA"/>
    <w:rsid w:val="798B6ADC"/>
    <w:rsid w:val="79A47621"/>
    <w:rsid w:val="79AA18D2"/>
    <w:rsid w:val="79AB6836"/>
    <w:rsid w:val="79C56A19"/>
    <w:rsid w:val="79D957CA"/>
    <w:rsid w:val="79DA621C"/>
    <w:rsid w:val="79ED729C"/>
    <w:rsid w:val="7A0A78E3"/>
    <w:rsid w:val="7A2465E9"/>
    <w:rsid w:val="7A364577"/>
    <w:rsid w:val="7A54735F"/>
    <w:rsid w:val="7A5A319C"/>
    <w:rsid w:val="7A5B64AE"/>
    <w:rsid w:val="7A5C5D83"/>
    <w:rsid w:val="7A681FA7"/>
    <w:rsid w:val="7A6963D8"/>
    <w:rsid w:val="7A8D6E37"/>
    <w:rsid w:val="7AA21823"/>
    <w:rsid w:val="7AA7070E"/>
    <w:rsid w:val="7AA900DE"/>
    <w:rsid w:val="7AA936C9"/>
    <w:rsid w:val="7AB12D4C"/>
    <w:rsid w:val="7AD37F76"/>
    <w:rsid w:val="7AF32BF3"/>
    <w:rsid w:val="7AF771AA"/>
    <w:rsid w:val="7B063D79"/>
    <w:rsid w:val="7B095F0A"/>
    <w:rsid w:val="7B116B6D"/>
    <w:rsid w:val="7B190BA4"/>
    <w:rsid w:val="7B334D35"/>
    <w:rsid w:val="7B36137C"/>
    <w:rsid w:val="7B3A2568"/>
    <w:rsid w:val="7B51165F"/>
    <w:rsid w:val="7B6F5B5B"/>
    <w:rsid w:val="7B7415FA"/>
    <w:rsid w:val="7B765886"/>
    <w:rsid w:val="7B7C4D25"/>
    <w:rsid w:val="7B893C25"/>
    <w:rsid w:val="7B8B5C40"/>
    <w:rsid w:val="7B90640C"/>
    <w:rsid w:val="7B922E29"/>
    <w:rsid w:val="7BAB0D70"/>
    <w:rsid w:val="7BBC11CF"/>
    <w:rsid w:val="7BBF79A8"/>
    <w:rsid w:val="7BC24F1F"/>
    <w:rsid w:val="7BE129E3"/>
    <w:rsid w:val="7BE23EB3"/>
    <w:rsid w:val="7BE91898"/>
    <w:rsid w:val="7BF72207"/>
    <w:rsid w:val="7C161B08"/>
    <w:rsid w:val="7C3A2FA7"/>
    <w:rsid w:val="7C541407"/>
    <w:rsid w:val="7C5840BF"/>
    <w:rsid w:val="7C6D071B"/>
    <w:rsid w:val="7C84107F"/>
    <w:rsid w:val="7C9909ED"/>
    <w:rsid w:val="7C9C2291"/>
    <w:rsid w:val="7CA46921"/>
    <w:rsid w:val="7CA56991"/>
    <w:rsid w:val="7CA71E0B"/>
    <w:rsid w:val="7CB85E09"/>
    <w:rsid w:val="7CFE3A42"/>
    <w:rsid w:val="7CFF1519"/>
    <w:rsid w:val="7D013878"/>
    <w:rsid w:val="7D0F508E"/>
    <w:rsid w:val="7D17450A"/>
    <w:rsid w:val="7D1943FF"/>
    <w:rsid w:val="7D2557AC"/>
    <w:rsid w:val="7D3F099E"/>
    <w:rsid w:val="7D4B01E2"/>
    <w:rsid w:val="7D533A52"/>
    <w:rsid w:val="7D5B43D0"/>
    <w:rsid w:val="7D6243C6"/>
    <w:rsid w:val="7D76523E"/>
    <w:rsid w:val="7D781E69"/>
    <w:rsid w:val="7D7B5075"/>
    <w:rsid w:val="7D832173"/>
    <w:rsid w:val="7D8A3C14"/>
    <w:rsid w:val="7D8C5B06"/>
    <w:rsid w:val="7D934401"/>
    <w:rsid w:val="7D953960"/>
    <w:rsid w:val="7D961406"/>
    <w:rsid w:val="7DA56991"/>
    <w:rsid w:val="7DA623C2"/>
    <w:rsid w:val="7DA737B9"/>
    <w:rsid w:val="7DB639FC"/>
    <w:rsid w:val="7DFF0E02"/>
    <w:rsid w:val="7E070C8C"/>
    <w:rsid w:val="7E0800A0"/>
    <w:rsid w:val="7E0C521E"/>
    <w:rsid w:val="7E0E7E19"/>
    <w:rsid w:val="7E1840CC"/>
    <w:rsid w:val="7E1964D0"/>
    <w:rsid w:val="7E303249"/>
    <w:rsid w:val="7E525E1A"/>
    <w:rsid w:val="7E555123"/>
    <w:rsid w:val="7E557656"/>
    <w:rsid w:val="7E7538B7"/>
    <w:rsid w:val="7E841CD2"/>
    <w:rsid w:val="7E844BCE"/>
    <w:rsid w:val="7E8D660B"/>
    <w:rsid w:val="7E9433D2"/>
    <w:rsid w:val="7E992085"/>
    <w:rsid w:val="7EB47F46"/>
    <w:rsid w:val="7EB94600"/>
    <w:rsid w:val="7ECF7C45"/>
    <w:rsid w:val="7ED82860"/>
    <w:rsid w:val="7EF45DB1"/>
    <w:rsid w:val="7EFD2358"/>
    <w:rsid w:val="7EFF5324"/>
    <w:rsid w:val="7F03165A"/>
    <w:rsid w:val="7F077A20"/>
    <w:rsid w:val="7F077BC2"/>
    <w:rsid w:val="7F09267A"/>
    <w:rsid w:val="7F2B23E6"/>
    <w:rsid w:val="7F2B4123"/>
    <w:rsid w:val="7F3426C9"/>
    <w:rsid w:val="7F3E0944"/>
    <w:rsid w:val="7F3E5DC7"/>
    <w:rsid w:val="7F5C2ED4"/>
    <w:rsid w:val="7F5E061E"/>
    <w:rsid w:val="7F643B5C"/>
    <w:rsid w:val="7F8A3D01"/>
    <w:rsid w:val="7F8B6823"/>
    <w:rsid w:val="7F9B25D3"/>
    <w:rsid w:val="7F9C4EBD"/>
    <w:rsid w:val="7FAD310E"/>
    <w:rsid w:val="7FCD6742"/>
    <w:rsid w:val="7FE44850"/>
    <w:rsid w:val="7FE546A7"/>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0"/>
    <w:qFormat/>
    <w:uiPriority w:val="0"/>
    <w:pPr>
      <w:keepNext/>
      <w:keepLines/>
      <w:spacing w:line="440" w:lineRule="exact"/>
      <w:jc w:val="center"/>
      <w:outlineLvl w:val="0"/>
    </w:pPr>
    <w:rPr>
      <w:b/>
      <w:bCs/>
      <w:kern w:val="44"/>
      <w:sz w:val="44"/>
      <w:szCs w:val="44"/>
    </w:rPr>
  </w:style>
  <w:style w:type="paragraph" w:styleId="3">
    <w:name w:val="heading 2"/>
    <w:basedOn w:val="1"/>
    <w:next w:val="1"/>
    <w:link w:val="197"/>
    <w:qFormat/>
    <w:uiPriority w:val="0"/>
    <w:pPr>
      <w:keepNext/>
      <w:keepLines/>
      <w:spacing w:line="440" w:lineRule="exact"/>
      <w:jc w:val="left"/>
      <w:outlineLvl w:val="1"/>
    </w:pPr>
    <w:rPr>
      <w:rFonts w:ascii="Arial" w:hAnsi="Arial" w:eastAsia="黑体"/>
      <w:b/>
      <w:bCs/>
      <w:szCs w:val="32"/>
    </w:rPr>
  </w:style>
  <w:style w:type="paragraph" w:styleId="4">
    <w:name w:val="heading 3"/>
    <w:basedOn w:val="1"/>
    <w:next w:val="1"/>
    <w:link w:val="153"/>
    <w:qFormat/>
    <w:uiPriority w:val="0"/>
    <w:pPr>
      <w:keepNext/>
      <w:keepLines/>
      <w:spacing w:line="415" w:lineRule="auto"/>
      <w:outlineLvl w:val="2"/>
    </w:pPr>
    <w:rPr>
      <w:b/>
      <w:bCs/>
      <w:kern w:val="0"/>
      <w:sz w:val="32"/>
      <w:szCs w:val="32"/>
    </w:rPr>
  </w:style>
  <w:style w:type="paragraph" w:styleId="5">
    <w:name w:val="heading 4"/>
    <w:basedOn w:val="1"/>
    <w:next w:val="1"/>
    <w:qFormat/>
    <w:uiPriority w:val="0"/>
    <w:pPr>
      <w:keepNext/>
      <w:keepLines/>
      <w:spacing w:line="374" w:lineRule="auto"/>
      <w:outlineLvl w:val="3"/>
    </w:pPr>
    <w:rPr>
      <w:rFonts w:ascii="Arial" w:hAnsi="Arial" w:eastAsia="黑体"/>
      <w:b/>
      <w:bCs/>
      <w:sz w:val="28"/>
      <w:szCs w:val="28"/>
    </w:rPr>
  </w:style>
  <w:style w:type="paragraph" w:styleId="6">
    <w:name w:val="heading 5"/>
    <w:basedOn w:val="1"/>
    <w:next w:val="1"/>
    <w:link w:val="129"/>
    <w:qFormat/>
    <w:uiPriority w:val="0"/>
    <w:pPr>
      <w:keepNext/>
      <w:keepLines/>
      <w:spacing w:line="376" w:lineRule="auto"/>
      <w:outlineLvl w:val="4"/>
    </w:pPr>
    <w:rPr>
      <w:b/>
      <w:bCs/>
      <w:sz w:val="28"/>
      <w:szCs w:val="28"/>
    </w:rPr>
  </w:style>
  <w:style w:type="paragraph" w:styleId="7">
    <w:name w:val="heading 6"/>
    <w:basedOn w:val="1"/>
    <w:next w:val="1"/>
    <w:qFormat/>
    <w:uiPriority w:val="0"/>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tabs>
        <w:tab w:val="left" w:pos="2520"/>
      </w:tabs>
      <w:spacing w:line="319" w:lineRule="auto"/>
      <w:ind w:left="1296" w:hanging="1296"/>
      <w:jc w:val="left"/>
      <w:outlineLvl w:val="6"/>
    </w:pPr>
    <w:rPr>
      <w:b/>
      <w:bCs/>
      <w:kern w:val="0"/>
      <w:sz w:val="24"/>
    </w:rPr>
  </w:style>
  <w:style w:type="paragraph" w:styleId="9">
    <w:name w:val="heading 8"/>
    <w:basedOn w:val="1"/>
    <w:next w:val="1"/>
    <w:qFormat/>
    <w:uiPriority w:val="0"/>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0">
    <w:name w:val="heading 9"/>
    <w:basedOn w:val="1"/>
    <w:next w:val="1"/>
    <w:qFormat/>
    <w:uiPriority w:val="0"/>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 w:val="18"/>
      <w:szCs w:val="18"/>
    </w:rPr>
  </w:style>
  <w:style w:type="paragraph" w:styleId="12">
    <w:name w:val="table of authorities"/>
    <w:basedOn w:val="1"/>
    <w:next w:val="1"/>
    <w:unhideWhenUsed/>
    <w:qFormat/>
    <w:uiPriority w:val="0"/>
    <w:pPr>
      <w:ind w:left="420" w:leftChars="200"/>
    </w:pPr>
  </w:style>
  <w:style w:type="paragraph" w:styleId="13">
    <w:name w:val="Normal Indent"/>
    <w:basedOn w:val="1"/>
    <w:next w:val="14"/>
    <w:qFormat/>
    <w:uiPriority w:val="0"/>
    <w:pPr>
      <w:ind w:firstLine="420" w:firstLineChars="200"/>
    </w:pPr>
  </w:style>
  <w:style w:type="paragraph" w:styleId="14">
    <w:name w:val="Body Text First Indent 2"/>
    <w:basedOn w:val="15"/>
    <w:next w:val="1"/>
    <w:qFormat/>
    <w:uiPriority w:val="0"/>
    <w:pPr>
      <w:spacing w:line="360" w:lineRule="auto"/>
      <w:ind w:firstLine="200" w:firstLineChars="200"/>
    </w:pPr>
    <w:rPr>
      <w:rFonts w:ascii="宋体"/>
      <w:szCs w:val="20"/>
    </w:rPr>
  </w:style>
  <w:style w:type="paragraph" w:styleId="15">
    <w:name w:val="Body Text Indent"/>
    <w:basedOn w:val="1"/>
    <w:next w:val="16"/>
    <w:qFormat/>
    <w:uiPriority w:val="0"/>
    <w:pPr>
      <w:ind w:left="420" w:leftChars="200"/>
    </w:pPr>
  </w:style>
  <w:style w:type="paragraph" w:styleId="16">
    <w:name w:val="envelope return"/>
    <w:basedOn w:val="1"/>
    <w:next w:val="11"/>
    <w:qFormat/>
    <w:uiPriority w:val="0"/>
    <w:pPr>
      <w:snapToGrid w:val="0"/>
    </w:pPr>
    <w:rPr>
      <w:rFonts w:ascii="Arial" w:hAnsi="Arial"/>
    </w:rPr>
  </w:style>
  <w:style w:type="paragraph" w:styleId="17">
    <w:name w:val="Document Map"/>
    <w:basedOn w:val="1"/>
    <w:qFormat/>
    <w:uiPriority w:val="0"/>
    <w:pPr>
      <w:shd w:val="clear" w:color="auto" w:fill="000080"/>
    </w:pPr>
  </w:style>
  <w:style w:type="paragraph" w:styleId="18">
    <w:name w:val="annotation text"/>
    <w:basedOn w:val="1"/>
    <w:link w:val="112"/>
    <w:qFormat/>
    <w:uiPriority w:val="0"/>
    <w:pPr>
      <w:jc w:val="left"/>
    </w:pPr>
  </w:style>
  <w:style w:type="paragraph" w:styleId="19">
    <w:name w:val="Body Text 3"/>
    <w:basedOn w:val="1"/>
    <w:qFormat/>
    <w:uiPriority w:val="0"/>
    <w:rPr>
      <w:rFonts w:ascii="宋体"/>
      <w:sz w:val="24"/>
      <w:szCs w:val="20"/>
    </w:rPr>
  </w:style>
  <w:style w:type="paragraph" w:styleId="20">
    <w:name w:val="Body Text"/>
    <w:basedOn w:val="1"/>
    <w:link w:val="142"/>
    <w:qFormat/>
    <w:uiPriority w:val="0"/>
  </w:style>
  <w:style w:type="paragraph" w:styleId="21">
    <w:name w:val="Block Text"/>
    <w:basedOn w:val="1"/>
    <w:qFormat/>
    <w:uiPriority w:val="0"/>
    <w:pPr>
      <w:spacing w:line="400" w:lineRule="exact"/>
      <w:ind w:left="-359" w:leftChars="-171" w:right="31" w:rightChars="15" w:firstLine="980" w:firstLineChars="350"/>
    </w:pPr>
    <w:rPr>
      <w:rFonts w:ascii="宋体" w:hAnsi="宋体"/>
      <w:sz w:val="28"/>
      <w:szCs w:val="32"/>
    </w:rPr>
  </w:style>
  <w:style w:type="paragraph" w:styleId="22">
    <w:name w:val="toc 5"/>
    <w:basedOn w:val="1"/>
    <w:next w:val="1"/>
    <w:qFormat/>
    <w:uiPriority w:val="39"/>
    <w:pPr>
      <w:ind w:left="840"/>
      <w:jc w:val="left"/>
    </w:pPr>
    <w:rPr>
      <w:sz w:val="18"/>
      <w:szCs w:val="18"/>
    </w:rPr>
  </w:style>
  <w:style w:type="paragraph" w:styleId="23">
    <w:name w:val="toc 3"/>
    <w:basedOn w:val="1"/>
    <w:next w:val="1"/>
    <w:qFormat/>
    <w:uiPriority w:val="39"/>
    <w:pPr>
      <w:ind w:left="420"/>
      <w:jc w:val="left"/>
    </w:pPr>
    <w:rPr>
      <w:i/>
      <w:iCs/>
      <w:sz w:val="20"/>
      <w:szCs w:val="20"/>
    </w:rPr>
  </w:style>
  <w:style w:type="paragraph" w:styleId="24">
    <w:name w:val="Plain Text"/>
    <w:basedOn w:val="1"/>
    <w:next w:val="1"/>
    <w:link w:val="136"/>
    <w:qFormat/>
    <w:uiPriority w:val="0"/>
    <w:rPr>
      <w:rFonts w:ascii="Courier New" w:hAnsi="Courier New"/>
      <w:szCs w:val="20"/>
    </w:rPr>
  </w:style>
  <w:style w:type="paragraph" w:styleId="25">
    <w:name w:val="toc 8"/>
    <w:basedOn w:val="1"/>
    <w:next w:val="1"/>
    <w:qFormat/>
    <w:uiPriority w:val="39"/>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line="360" w:lineRule="exact"/>
      <w:ind w:firstLine="600" w:firstLineChars="250"/>
      <w:jc w:val="left"/>
    </w:pPr>
    <w:rPr>
      <w:sz w:val="24"/>
    </w:rPr>
  </w:style>
  <w:style w:type="paragraph" w:styleId="28">
    <w:name w:val="Balloon Text"/>
    <w:basedOn w:val="1"/>
    <w:qFormat/>
    <w:uiPriority w:val="0"/>
    <w:rPr>
      <w:sz w:val="18"/>
      <w:szCs w:val="18"/>
    </w:rPr>
  </w:style>
  <w:style w:type="paragraph" w:styleId="29">
    <w:name w:val="footer"/>
    <w:basedOn w:val="1"/>
    <w:next w:val="1"/>
    <w:qFormat/>
    <w:uiPriority w:val="0"/>
    <w:pPr>
      <w:tabs>
        <w:tab w:val="center" w:pos="4153"/>
        <w:tab w:val="right" w:pos="8306"/>
      </w:tabs>
      <w:snapToGrid w:val="0"/>
      <w:jc w:val="left"/>
    </w:pPr>
    <w:rPr>
      <w:sz w:val="18"/>
      <w:szCs w:val="18"/>
    </w:rPr>
  </w:style>
  <w:style w:type="paragraph" w:styleId="3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jc w:val="left"/>
    </w:pPr>
    <w:rPr>
      <w:b/>
      <w:bCs/>
      <w:caps/>
      <w:sz w:val="20"/>
      <w:szCs w:val="20"/>
    </w:rPr>
  </w:style>
  <w:style w:type="paragraph" w:styleId="32">
    <w:name w:val="toc 4"/>
    <w:basedOn w:val="1"/>
    <w:next w:val="1"/>
    <w:qFormat/>
    <w:uiPriority w:val="39"/>
    <w:pPr>
      <w:ind w:left="630"/>
      <w:jc w:val="left"/>
    </w:pPr>
    <w:rPr>
      <w:sz w:val="18"/>
      <w:szCs w:val="18"/>
    </w:rPr>
  </w:style>
  <w:style w:type="paragraph" w:styleId="33">
    <w:name w:val="List"/>
    <w:basedOn w:val="1"/>
    <w:qFormat/>
    <w:uiPriority w:val="0"/>
    <w:pPr>
      <w:ind w:left="420" w:hanging="420"/>
    </w:pPr>
  </w:style>
  <w:style w:type="paragraph" w:styleId="34">
    <w:name w:val="footnote text"/>
    <w:basedOn w:val="1"/>
    <w:qFormat/>
    <w:uiPriority w:val="0"/>
    <w:rPr>
      <w:sz w:val="20"/>
      <w:szCs w:val="20"/>
    </w:rPr>
  </w:style>
  <w:style w:type="paragraph" w:styleId="35">
    <w:name w:val="toc 6"/>
    <w:basedOn w:val="1"/>
    <w:next w:val="1"/>
    <w:qFormat/>
    <w:uiPriority w:val="39"/>
    <w:pPr>
      <w:ind w:left="1050"/>
      <w:jc w:val="left"/>
    </w:pPr>
    <w:rPr>
      <w:sz w:val="18"/>
      <w:szCs w:val="18"/>
    </w:rPr>
  </w:style>
  <w:style w:type="paragraph" w:styleId="36">
    <w:name w:val="Body Text Indent 3"/>
    <w:basedOn w:val="1"/>
    <w:qFormat/>
    <w:uiPriority w:val="0"/>
    <w:pPr>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39"/>
    <w:pPr>
      <w:ind w:left="210"/>
      <w:jc w:val="left"/>
    </w:pPr>
    <w:rPr>
      <w:smallCaps/>
      <w:sz w:val="20"/>
      <w:szCs w:val="20"/>
    </w:rPr>
  </w:style>
  <w:style w:type="paragraph" w:styleId="39">
    <w:name w:val="toc 9"/>
    <w:basedOn w:val="1"/>
    <w:next w:val="1"/>
    <w:qFormat/>
    <w:uiPriority w:val="39"/>
    <w:pPr>
      <w:ind w:left="1680"/>
      <w:jc w:val="left"/>
    </w:pPr>
    <w:rPr>
      <w:sz w:val="18"/>
      <w:szCs w:val="18"/>
    </w:rPr>
  </w:style>
  <w:style w:type="paragraph" w:styleId="40">
    <w:name w:val="Body Text 2"/>
    <w:basedOn w:val="1"/>
    <w:qFormat/>
    <w:uiPriority w:val="0"/>
    <w:pPr>
      <w:spacing w:line="440" w:lineRule="exact"/>
    </w:pPr>
    <w:rPr>
      <w:sz w:val="28"/>
    </w:rPr>
  </w:style>
  <w:style w:type="paragraph" w:styleId="41">
    <w:name w:val="HTML Preformatted"/>
    <w:basedOn w:val="1"/>
    <w:link w:val="11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2">
    <w:name w:val="Normal (Web)"/>
    <w:basedOn w:val="1"/>
    <w:next w:val="43"/>
    <w:qFormat/>
    <w:uiPriority w:val="99"/>
    <w:pPr>
      <w:widowControl/>
      <w:spacing w:beforeAutospacing="1" w:afterAutospacing="1"/>
      <w:jc w:val="left"/>
    </w:pPr>
    <w:rPr>
      <w:rFonts w:ascii="宋体" w:hAnsi="宋体" w:cs="宋体"/>
      <w:kern w:val="0"/>
      <w:sz w:val="24"/>
    </w:rPr>
  </w:style>
  <w:style w:type="paragraph" w:customStyle="1" w:styleId="43">
    <w:name w:val="正文文字 8"/>
    <w:basedOn w:val="1"/>
    <w:next w:val="1"/>
    <w:qFormat/>
    <w:uiPriority w:val="0"/>
    <w:pPr>
      <w:ind w:left="240"/>
    </w:pPr>
    <w:rPr>
      <w:sz w:val="16"/>
    </w:rPr>
  </w:style>
  <w:style w:type="paragraph" w:styleId="44">
    <w:name w:val="Title"/>
    <w:basedOn w:val="1"/>
    <w:qFormat/>
    <w:uiPriority w:val="0"/>
    <w:pPr>
      <w:adjustRightInd w:val="0"/>
      <w:spacing w:line="420" w:lineRule="atLeast"/>
      <w:jc w:val="center"/>
      <w:textAlignment w:val="baseline"/>
      <w:outlineLvl w:val="0"/>
    </w:pPr>
    <w:rPr>
      <w:rFonts w:ascii="Arial" w:hAnsi="Arial"/>
      <w:b/>
      <w:kern w:val="0"/>
      <w:sz w:val="32"/>
      <w:szCs w:val="20"/>
    </w:rPr>
  </w:style>
  <w:style w:type="paragraph" w:styleId="45">
    <w:name w:val="annotation subject"/>
    <w:basedOn w:val="18"/>
    <w:next w:val="18"/>
    <w:qFormat/>
    <w:uiPriority w:val="0"/>
    <w:rPr>
      <w:b/>
      <w:bCs/>
    </w:rPr>
  </w:style>
  <w:style w:type="paragraph" w:styleId="46">
    <w:name w:val="Body Text First Indent"/>
    <w:basedOn w:val="20"/>
    <w:qFormat/>
    <w:uiPriority w:val="0"/>
    <w:pPr>
      <w:ind w:firstLine="420" w:firstLineChars="100"/>
    </w:p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qFormat/>
    <w:uiPriority w:val="0"/>
    <w:rPr>
      <w:color w:val="333333"/>
      <w:u w:val="none"/>
    </w:rPr>
  </w:style>
  <w:style w:type="character" w:styleId="53">
    <w:name w:val="Emphasis"/>
    <w:qFormat/>
    <w:uiPriority w:val="0"/>
    <w:rPr>
      <w:color w:val="CC0033"/>
    </w:rPr>
  </w:style>
  <w:style w:type="character" w:styleId="54">
    <w:name w:val="HTML Definition"/>
    <w:qFormat/>
    <w:uiPriority w:val="0"/>
  </w:style>
  <w:style w:type="character" w:styleId="55">
    <w:name w:val="HTML Typewriter"/>
    <w:qFormat/>
    <w:uiPriority w:val="0"/>
    <w:rPr>
      <w:rFonts w:hint="default" w:ascii="monospace" w:hAnsi="monospace" w:eastAsia="monospace" w:cs="monospace"/>
      <w:sz w:val="20"/>
    </w:rPr>
  </w:style>
  <w:style w:type="character" w:styleId="56">
    <w:name w:val="HTML Acronym"/>
    <w:basedOn w:val="49"/>
    <w:qFormat/>
    <w:uiPriority w:val="0"/>
  </w:style>
  <w:style w:type="character" w:styleId="57">
    <w:name w:val="HTML Variable"/>
    <w:qFormat/>
    <w:uiPriority w:val="0"/>
  </w:style>
  <w:style w:type="character" w:styleId="58">
    <w:name w:val="Hyperlink"/>
    <w:basedOn w:val="49"/>
    <w:qFormat/>
    <w:uiPriority w:val="99"/>
    <w:rPr>
      <w:color w:val="333333"/>
      <w:u w:val="none"/>
    </w:rPr>
  </w:style>
  <w:style w:type="character" w:styleId="59">
    <w:name w:val="HTML Code"/>
    <w:qFormat/>
    <w:uiPriority w:val="0"/>
    <w:rPr>
      <w:rFonts w:hint="default" w:ascii="monospace" w:hAnsi="monospace" w:eastAsia="monospace" w:cs="monospace"/>
      <w:sz w:val="20"/>
    </w:rPr>
  </w:style>
  <w:style w:type="character" w:styleId="60">
    <w:name w:val="annotation reference"/>
    <w:qFormat/>
    <w:uiPriority w:val="0"/>
    <w:rPr>
      <w:sz w:val="21"/>
      <w:szCs w:val="21"/>
    </w:rPr>
  </w:style>
  <w:style w:type="character" w:styleId="61">
    <w:name w:val="HTML Cite"/>
    <w:qFormat/>
    <w:uiPriority w:val="0"/>
  </w:style>
  <w:style w:type="character" w:styleId="62">
    <w:name w:val="footnote reference"/>
    <w:qFormat/>
    <w:uiPriority w:val="0"/>
    <w:rPr>
      <w:vertAlign w:val="superscript"/>
    </w:rPr>
  </w:style>
  <w:style w:type="character" w:styleId="63">
    <w:name w:val="HTML Keyboard"/>
    <w:qFormat/>
    <w:uiPriority w:val="0"/>
    <w:rPr>
      <w:rFonts w:ascii="monospace" w:hAnsi="monospace" w:eastAsia="monospace" w:cs="monospace"/>
      <w:sz w:val="20"/>
    </w:rPr>
  </w:style>
  <w:style w:type="character" w:styleId="64">
    <w:name w:val="HTML Sample"/>
    <w:qFormat/>
    <w:uiPriority w:val="0"/>
    <w:rPr>
      <w:rFonts w:hint="default" w:ascii="monospace" w:hAnsi="monospace" w:eastAsia="monospace" w:cs="monospace"/>
    </w:rPr>
  </w:style>
  <w:style w:type="paragraph" w:styleId="65">
    <w:name w:val="List Paragraph"/>
    <w:basedOn w:val="1"/>
    <w:qFormat/>
    <w:uiPriority w:val="34"/>
    <w:pPr>
      <w:ind w:firstLine="420" w:firstLineChars="200"/>
    </w:pPr>
  </w:style>
  <w:style w:type="paragraph" w:customStyle="1" w:styleId="66">
    <w:name w:val="_Style 62"/>
    <w:basedOn w:val="1"/>
    <w:next w:val="1"/>
    <w:qFormat/>
    <w:uiPriority w:val="0"/>
    <w:pPr>
      <w:pBdr>
        <w:top w:val="single" w:color="auto" w:sz="6" w:space="1"/>
      </w:pBdr>
      <w:jc w:val="center"/>
    </w:pPr>
    <w:rPr>
      <w:rFonts w:ascii="Arial"/>
      <w:vanish/>
      <w:sz w:val="16"/>
    </w:rPr>
  </w:style>
  <w:style w:type="paragraph" w:customStyle="1" w:styleId="67">
    <w:name w:val="Blockquote"/>
    <w:basedOn w:val="1"/>
    <w:qFormat/>
    <w:uiPriority w:val="0"/>
    <w:pPr>
      <w:autoSpaceDE w:val="0"/>
      <w:autoSpaceDN w:val="0"/>
      <w:adjustRightInd w:val="0"/>
      <w:ind w:left="360" w:right="360"/>
      <w:jc w:val="left"/>
    </w:pPr>
    <w:rPr>
      <w:kern w:val="0"/>
      <w:sz w:val="24"/>
      <w:szCs w:val="20"/>
    </w:rPr>
  </w:style>
  <w:style w:type="paragraph" w:customStyle="1" w:styleId="68">
    <w:name w:val="表格"/>
    <w:basedOn w:val="1"/>
    <w:qFormat/>
    <w:uiPriority w:val="0"/>
    <w:pPr>
      <w:jc w:val="center"/>
      <w:textAlignment w:val="center"/>
    </w:pPr>
    <w:rPr>
      <w:rFonts w:ascii="华文细黑" w:hAnsi="华文细黑"/>
      <w:kern w:val="0"/>
      <w:szCs w:val="20"/>
    </w:rPr>
  </w:style>
  <w:style w:type="paragraph" w:customStyle="1" w:styleId="69">
    <w:name w:val="表格文字"/>
    <w:basedOn w:val="1"/>
    <w:qFormat/>
    <w:uiPriority w:val="0"/>
    <w:pPr>
      <w:adjustRightInd w:val="0"/>
      <w:spacing w:line="420" w:lineRule="atLeast"/>
      <w:jc w:val="left"/>
      <w:textAlignment w:val="baseline"/>
    </w:pPr>
    <w:rPr>
      <w:kern w:val="0"/>
      <w:szCs w:val="20"/>
    </w:rPr>
  </w:style>
  <w:style w:type="paragraph" w:customStyle="1" w:styleId="70">
    <w:name w:val="Char"/>
    <w:basedOn w:val="1"/>
    <w:next w:val="1"/>
    <w:qFormat/>
    <w:uiPriority w:val="0"/>
    <w:pPr>
      <w:widowControl/>
      <w:spacing w:line="360" w:lineRule="auto"/>
      <w:jc w:val="left"/>
    </w:pPr>
    <w:rPr>
      <w:kern w:val="0"/>
      <w:szCs w:val="20"/>
      <w:lang w:eastAsia="en-US"/>
    </w:rPr>
  </w:style>
  <w:style w:type="paragraph" w:customStyle="1" w:styleId="71">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72">
    <w:name w:val="样式2"/>
    <w:basedOn w:val="4"/>
    <w:qFormat/>
    <w:uiPriority w:val="0"/>
  </w:style>
  <w:style w:type="paragraph" w:customStyle="1" w:styleId="73">
    <w:name w:val="Default Paragraph Char Char Char Char"/>
    <w:basedOn w:val="1"/>
    <w:next w:val="1"/>
    <w:qFormat/>
    <w:uiPriority w:val="0"/>
    <w:pPr>
      <w:spacing w:line="360" w:lineRule="auto"/>
    </w:pPr>
    <w:rPr>
      <w:szCs w:val="20"/>
    </w:rPr>
  </w:style>
  <w:style w:type="paragraph" w:customStyle="1" w:styleId="74">
    <w:name w:val="节标题"/>
    <w:basedOn w:val="1"/>
    <w:next w:val="1"/>
    <w:qFormat/>
    <w:uiPriority w:val="0"/>
    <w:pPr>
      <w:widowControl/>
      <w:spacing w:line="289" w:lineRule="atLeast"/>
      <w:jc w:val="center"/>
      <w:textAlignment w:val="baseline"/>
    </w:pPr>
    <w:rPr>
      <w:color w:val="000000"/>
      <w:kern w:val="0"/>
      <w:sz w:val="28"/>
      <w:szCs w:val="20"/>
      <w:u w:color="000000"/>
    </w:rPr>
  </w:style>
  <w:style w:type="paragraph" w:customStyle="1" w:styleId="75">
    <w:name w:val="默认段落字体 Para Char Char Char Char"/>
    <w:basedOn w:val="1"/>
    <w:qFormat/>
    <w:uiPriority w:val="0"/>
  </w:style>
  <w:style w:type="paragraph" w:customStyle="1" w:styleId="76">
    <w:name w:val="样式 标题 1 + 黑体 五号"/>
    <w:basedOn w:val="2"/>
    <w:qFormat/>
    <w:uiPriority w:val="0"/>
    <w:pPr>
      <w:jc w:val="left"/>
    </w:pPr>
    <w:rPr>
      <w:rFonts w:ascii="黑体" w:hAnsi="黑体" w:eastAsia="黑体"/>
      <w:sz w:val="21"/>
    </w:rPr>
  </w:style>
  <w:style w:type="paragraph" w:customStyle="1" w:styleId="77">
    <w:name w:val="样式4"/>
    <w:basedOn w:val="4"/>
    <w:qFormat/>
    <w:uiPriority w:val="0"/>
    <w:rPr>
      <w:rFonts w:eastAsia="Arial"/>
    </w:rPr>
  </w:style>
  <w:style w:type="paragraph" w:customStyle="1" w:styleId="78">
    <w:name w:val="正文1"/>
    <w:qFormat/>
    <w:uiPriority w:val="0"/>
    <w:pPr>
      <w:widowControl w:val="0"/>
      <w:adjustRightInd w:val="0"/>
      <w:spacing w:line="312" w:lineRule="atLeast"/>
      <w:jc w:val="both"/>
      <w:textAlignment w:val="baseline"/>
    </w:pPr>
    <w:rPr>
      <w:rFonts w:ascii="宋体" w:hAnsi="Times New Roman" w:eastAsia="宋体" w:cs="宋体"/>
      <w:sz w:val="24"/>
      <w:szCs w:val="24"/>
      <w:lang w:val="en-US" w:eastAsia="zh-CN" w:bidi="ar-SA"/>
    </w:rPr>
  </w:style>
  <w:style w:type="paragraph" w:customStyle="1" w:styleId="79">
    <w:name w:val="列出段落1"/>
    <w:basedOn w:val="1"/>
    <w:qFormat/>
    <w:uiPriority w:val="0"/>
    <w:pPr>
      <w:ind w:firstLine="200" w:firstLineChars="200"/>
    </w:pPr>
  </w:style>
  <w:style w:type="paragraph" w:customStyle="1" w:styleId="80">
    <w:name w:val="p0 New"/>
    <w:basedOn w:val="1"/>
    <w:qFormat/>
    <w:uiPriority w:val="0"/>
    <w:pPr>
      <w:widowControl/>
      <w:jc w:val="left"/>
    </w:pPr>
    <w:rPr>
      <w:rFonts w:ascii="宋体" w:hAnsi="宋体" w:cs="宋体"/>
      <w:kern w:val="0"/>
      <w:sz w:val="18"/>
      <w:szCs w:val="18"/>
    </w:rPr>
  </w:style>
  <w:style w:type="paragraph" w:customStyle="1" w:styleId="81">
    <w:name w:val="样式 标题 1 + 黑体 三号 非加粗 居中 段前: 6 磅 段后: 6 磅 行距: 固定值 20 磅"/>
    <w:basedOn w:val="2"/>
    <w:qFormat/>
    <w:uiPriority w:val="0"/>
    <w:pPr>
      <w:spacing w:line="400" w:lineRule="exact"/>
    </w:pPr>
    <w:rPr>
      <w:rFonts w:ascii="黑体" w:hAnsi="黑体" w:eastAsia="黑体" w:cs="宋体"/>
      <w:b w:val="0"/>
      <w:bCs w:val="0"/>
      <w:sz w:val="32"/>
      <w:szCs w:val="20"/>
    </w:rPr>
  </w:style>
  <w:style w:type="paragraph" w:customStyle="1" w:styleId="82">
    <w:name w:val="_Style 78"/>
    <w:basedOn w:val="2"/>
    <w:next w:val="1"/>
    <w:qFormat/>
    <w:uiPriority w:val="39"/>
    <w:pPr>
      <w:widowControl/>
      <w:spacing w:before="480" w:line="276" w:lineRule="auto"/>
      <w:jc w:val="left"/>
      <w:outlineLvl w:val="9"/>
    </w:pPr>
    <w:rPr>
      <w:rFonts w:ascii="Cambria" w:hAnsi="Cambria"/>
      <w:color w:val="365F91"/>
      <w:kern w:val="0"/>
      <w:sz w:val="28"/>
      <w:szCs w:val="28"/>
    </w:rPr>
  </w:style>
  <w:style w:type="paragraph" w:customStyle="1" w:styleId="83">
    <w:name w:val="Char1"/>
    <w:basedOn w:val="1"/>
    <w:qFormat/>
    <w:uiPriority w:val="0"/>
    <w:pPr>
      <w:tabs>
        <w:tab w:val="left" w:pos="360"/>
      </w:tabs>
    </w:pPr>
    <w:rPr>
      <w:sz w:val="24"/>
    </w:rPr>
  </w:style>
  <w:style w:type="paragraph" w:customStyle="1" w:styleId="84">
    <w:name w:val="样式1"/>
    <w:basedOn w:val="4"/>
    <w:qFormat/>
    <w:uiPriority w:val="0"/>
    <w:rPr>
      <w:rFonts w:eastAsia="Arial"/>
    </w:rPr>
  </w:style>
  <w:style w:type="paragraph" w:customStyle="1" w:styleId="85">
    <w:name w:val="Char Char Char Char Char Char Char Char Char Char Char Char Char"/>
    <w:basedOn w:val="1"/>
    <w:qFormat/>
    <w:uiPriority w:val="0"/>
  </w:style>
  <w:style w:type="paragraph" w:customStyle="1" w:styleId="86">
    <w:name w:val="p"/>
    <w:basedOn w:val="1"/>
    <w:qFormat/>
    <w:uiPriority w:val="0"/>
    <w:rPr>
      <w:rFonts w:ascii="宋体"/>
      <w:sz w:val="24"/>
    </w:rPr>
  </w:style>
  <w:style w:type="paragraph" w:customStyle="1" w:styleId="87">
    <w:name w:val="Char Char Char Char"/>
    <w:basedOn w:val="1"/>
    <w:qFormat/>
    <w:uiPriority w:val="0"/>
  </w:style>
  <w:style w:type="paragraph" w:customStyle="1" w:styleId="88">
    <w:name w:val="_Style 84"/>
    <w:basedOn w:val="1"/>
    <w:next w:val="1"/>
    <w:qFormat/>
    <w:uiPriority w:val="0"/>
    <w:pPr>
      <w:pBdr>
        <w:bottom w:val="single" w:color="auto" w:sz="6" w:space="1"/>
      </w:pBdr>
      <w:jc w:val="center"/>
    </w:pPr>
    <w:rPr>
      <w:rFonts w:ascii="Arial"/>
      <w:vanish/>
      <w:sz w:val="16"/>
    </w:rPr>
  </w:style>
  <w:style w:type="paragraph" w:customStyle="1" w:styleId="89">
    <w:name w:val="1"/>
    <w:basedOn w:val="1"/>
    <w:next w:val="1"/>
    <w:qFormat/>
    <w:uiPriority w:val="0"/>
  </w:style>
  <w:style w:type="paragraph" w:customStyle="1" w:styleId="90">
    <w:name w:val="p15"/>
    <w:qFormat/>
    <w:uiPriority w:val="0"/>
    <w:pPr>
      <w:jc w:val="both"/>
    </w:pPr>
    <w:rPr>
      <w:rFonts w:ascii="宋体" w:hAnsi="Times New Roman" w:eastAsia="宋体" w:cs="宋体"/>
      <w:sz w:val="21"/>
      <w:szCs w:val="21"/>
      <w:lang w:val="en-US" w:eastAsia="zh-CN" w:bidi="ar-SA"/>
    </w:rPr>
  </w:style>
  <w:style w:type="paragraph" w:customStyle="1" w:styleId="91">
    <w:name w:val="样式 标题 2 + Times New Roman 四号 非加粗 段前: 5 磅 段后: 0 磅 行距: 固定值 20..."/>
    <w:basedOn w:val="3"/>
    <w:qFormat/>
    <w:uiPriority w:val="0"/>
    <w:pPr>
      <w:spacing w:line="400" w:lineRule="exact"/>
    </w:pPr>
    <w:rPr>
      <w:rFonts w:ascii="Times New Roman" w:hAnsi="Times New Roman" w:cs="宋体"/>
      <w:b w:val="0"/>
      <w:bCs w:val="0"/>
      <w:sz w:val="28"/>
      <w:szCs w:val="20"/>
    </w:rPr>
  </w:style>
  <w:style w:type="paragraph" w:customStyle="1" w:styleId="92">
    <w:name w:val="Table Paragraph"/>
    <w:basedOn w:val="1"/>
    <w:qFormat/>
    <w:uiPriority w:val="0"/>
    <w:pPr>
      <w:autoSpaceDE w:val="0"/>
      <w:autoSpaceDN w:val="0"/>
      <w:jc w:val="left"/>
    </w:pPr>
    <w:rPr>
      <w:rFonts w:ascii="宋体" w:hAnsi="宋体" w:cs="宋体"/>
      <w:kern w:val="0"/>
      <w:sz w:val="22"/>
      <w:szCs w:val="22"/>
      <w:lang w:val="zh-CN"/>
    </w:rPr>
  </w:style>
  <w:style w:type="paragraph" w:customStyle="1" w:styleId="93">
    <w:name w:val="p0"/>
    <w:basedOn w:val="1"/>
    <w:qFormat/>
    <w:uiPriority w:val="99"/>
    <w:pPr>
      <w:widowControl/>
    </w:pPr>
    <w:rPr>
      <w:kern w:val="0"/>
      <w:szCs w:val="21"/>
    </w:rPr>
  </w:style>
  <w:style w:type="paragraph" w:customStyle="1" w:styleId="94">
    <w:name w:val="样式3"/>
    <w:basedOn w:val="4"/>
    <w:qFormat/>
    <w:uiPriority w:val="0"/>
    <w:rPr>
      <w:rFonts w:eastAsia="Arial"/>
    </w:rPr>
  </w:style>
  <w:style w:type="paragraph" w:customStyle="1" w:styleId="95">
    <w:name w:val="样式 标题 3 + (中文) 黑体 小四 非加粗 段前: 7.8 磅 段后: 0 磅 行距: 固定值 20 磅"/>
    <w:basedOn w:val="4"/>
    <w:qFormat/>
    <w:uiPriority w:val="0"/>
    <w:pPr>
      <w:spacing w:line="400" w:lineRule="exact"/>
    </w:pPr>
    <w:rPr>
      <w:rFonts w:eastAsia="黑体" w:cs="宋体"/>
      <w:b w:val="0"/>
      <w:bCs w:val="0"/>
      <w:sz w:val="24"/>
      <w:szCs w:val="20"/>
    </w:rPr>
  </w:style>
  <w:style w:type="paragraph" w:customStyle="1" w:styleId="96">
    <w:name w:val="Char Char Char Char Char Char Char Char Char Char Char Char Char1"/>
    <w:basedOn w:val="1"/>
    <w:qFormat/>
    <w:uiPriority w:val="0"/>
  </w:style>
  <w:style w:type="paragraph" w:customStyle="1" w:styleId="97">
    <w:name w:val="Char4"/>
    <w:basedOn w:val="1"/>
    <w:qFormat/>
    <w:uiPriority w:val="0"/>
    <w:pPr>
      <w:widowControl/>
      <w:spacing w:line="360" w:lineRule="auto"/>
      <w:ind w:firstLine="200" w:firstLineChars="200"/>
      <w:textAlignment w:val="baseline"/>
    </w:pPr>
    <w:rPr>
      <w:color w:val="000000"/>
      <w:kern w:val="0"/>
      <w:szCs w:val="20"/>
      <w:u w:color="000000"/>
    </w:rPr>
  </w:style>
  <w:style w:type="paragraph" w:customStyle="1" w:styleId="98">
    <w:name w:val="正文2"/>
    <w:qFormat/>
    <w:uiPriority w:val="0"/>
    <w:pPr>
      <w:widowControl w:val="0"/>
      <w:jc w:val="both"/>
    </w:pPr>
    <w:rPr>
      <w:rFonts w:ascii="Times New Roman" w:hAnsi="Times New Roman" w:eastAsia="宋体" w:cs="Times New Roman"/>
      <w:lang w:val="en-US" w:eastAsia="zh-CN" w:bidi="ar-SA"/>
    </w:rPr>
  </w:style>
  <w:style w:type="character" w:customStyle="1" w:styleId="99">
    <w:name w:val="first-child"/>
    <w:basedOn w:val="49"/>
    <w:qFormat/>
    <w:uiPriority w:val="0"/>
  </w:style>
  <w:style w:type="character" w:customStyle="1" w:styleId="100">
    <w:name w:val="Char Char Char Char Char Char"/>
    <w:qFormat/>
    <w:uiPriority w:val="0"/>
    <w:rPr>
      <w:rFonts w:ascii="Arial" w:hAnsi="Arial" w:eastAsia="黑体"/>
      <w:b/>
      <w:bCs/>
      <w:kern w:val="2"/>
      <w:sz w:val="32"/>
      <w:szCs w:val="32"/>
      <w:lang w:val="en-US" w:eastAsia="zh-CN" w:bidi="ar-SA"/>
    </w:rPr>
  </w:style>
  <w:style w:type="character" w:customStyle="1" w:styleId="101">
    <w:name w:val="l11"/>
    <w:qFormat/>
    <w:uiPriority w:val="0"/>
    <w:rPr>
      <w:color w:val="999999"/>
    </w:rPr>
  </w:style>
  <w:style w:type="character" w:customStyle="1" w:styleId="102">
    <w:name w:val="Char Char"/>
    <w:qFormat/>
    <w:uiPriority w:val="0"/>
    <w:rPr>
      <w:rFonts w:ascii="Arial" w:hAnsi="Arial" w:eastAsia="黑体"/>
      <w:b/>
      <w:bCs/>
      <w:kern w:val="2"/>
      <w:sz w:val="32"/>
      <w:szCs w:val="32"/>
      <w:lang w:val="en-US" w:eastAsia="zh-CN" w:bidi="ar-SA"/>
    </w:rPr>
  </w:style>
  <w:style w:type="character" w:customStyle="1" w:styleId="103">
    <w:name w:val="Char Char5"/>
    <w:qFormat/>
    <w:uiPriority w:val="0"/>
    <w:rPr>
      <w:rFonts w:ascii="Arial" w:hAnsi="Arial" w:eastAsia="黑体"/>
      <w:b/>
      <w:bCs/>
      <w:kern w:val="2"/>
      <w:sz w:val="32"/>
      <w:szCs w:val="32"/>
    </w:rPr>
  </w:style>
  <w:style w:type="character" w:customStyle="1" w:styleId="104">
    <w:name w:val="msg-box28"/>
    <w:basedOn w:val="49"/>
    <w:qFormat/>
    <w:uiPriority w:val="0"/>
  </w:style>
  <w:style w:type="character" w:customStyle="1" w:styleId="105">
    <w:name w:val="img_title6"/>
    <w:qFormat/>
    <w:uiPriority w:val="0"/>
    <w:rPr>
      <w:vanish/>
    </w:rPr>
  </w:style>
  <w:style w:type="character" w:customStyle="1" w:styleId="106">
    <w:name w:val="tit12"/>
    <w:qFormat/>
    <w:uiPriority w:val="0"/>
    <w:rPr>
      <w:color w:val="04A06C"/>
    </w:rPr>
  </w:style>
  <w:style w:type="character" w:customStyle="1" w:styleId="107">
    <w:name w:val="Char Char2"/>
    <w:qFormat/>
    <w:uiPriority w:val="0"/>
    <w:rPr>
      <w:rFonts w:eastAsia="宋体"/>
      <w:kern w:val="2"/>
      <w:sz w:val="21"/>
      <w:szCs w:val="24"/>
      <w:lang w:val="en-US" w:eastAsia="zh-CN" w:bidi="ar-SA"/>
    </w:rPr>
  </w:style>
  <w:style w:type="character" w:customStyle="1" w:styleId="108">
    <w:name w:val="nostart"/>
    <w:qFormat/>
    <w:uiPriority w:val="0"/>
    <w:rPr>
      <w:color w:val="FF0000"/>
    </w:rPr>
  </w:style>
  <w:style w:type="character" w:customStyle="1" w:styleId="109">
    <w:name w:val="nostart3"/>
    <w:basedOn w:val="49"/>
    <w:qFormat/>
    <w:uiPriority w:val="0"/>
  </w:style>
  <w:style w:type="character" w:customStyle="1" w:styleId="110">
    <w:name w:val="img4"/>
    <w:basedOn w:val="49"/>
    <w:qFormat/>
    <w:uiPriority w:val="0"/>
  </w:style>
  <w:style w:type="character" w:customStyle="1" w:styleId="111">
    <w:name w:val="tit11"/>
    <w:qFormat/>
    <w:uiPriority w:val="0"/>
    <w:rPr>
      <w:color w:val="B60000"/>
    </w:rPr>
  </w:style>
  <w:style w:type="character" w:customStyle="1" w:styleId="112">
    <w:name w:val="批注文字 Char"/>
    <w:link w:val="18"/>
    <w:qFormat/>
    <w:uiPriority w:val="0"/>
    <w:rPr>
      <w:rFonts w:eastAsia="宋体"/>
      <w:kern w:val="2"/>
      <w:sz w:val="21"/>
      <w:szCs w:val="24"/>
      <w:lang w:val="en-US" w:eastAsia="zh-CN" w:bidi="ar-SA"/>
    </w:rPr>
  </w:style>
  <w:style w:type="character" w:customStyle="1" w:styleId="113">
    <w:name w:val="over"/>
    <w:qFormat/>
    <w:uiPriority w:val="0"/>
    <w:rPr>
      <w:color w:val="B60000"/>
    </w:rPr>
  </w:style>
  <w:style w:type="character" w:customStyle="1" w:styleId="114">
    <w:name w:val="HTML 预设格式 Char"/>
    <w:link w:val="41"/>
    <w:qFormat/>
    <w:uiPriority w:val="0"/>
    <w:rPr>
      <w:rFonts w:ascii="宋体" w:hAnsi="宋体" w:cs="宋体"/>
      <w:sz w:val="24"/>
      <w:szCs w:val="24"/>
    </w:rPr>
  </w:style>
  <w:style w:type="character" w:customStyle="1" w:styleId="115">
    <w:name w:val="l6"/>
    <w:qFormat/>
    <w:uiPriority w:val="0"/>
    <w:rPr>
      <w:color w:val="999999"/>
    </w:rPr>
  </w:style>
  <w:style w:type="character" w:customStyle="1" w:styleId="116">
    <w:name w:val="datetime"/>
    <w:qFormat/>
    <w:uiPriority w:val="0"/>
    <w:rPr>
      <w:rFonts w:hint="default" w:ascii="Arial" w:hAnsi="Arial" w:cs="Arial"/>
      <w:color w:val="999999"/>
      <w:sz w:val="21"/>
      <w:szCs w:val="21"/>
    </w:rPr>
  </w:style>
  <w:style w:type="character" w:customStyle="1" w:styleId="117">
    <w:name w:val="txt1"/>
    <w:basedOn w:val="49"/>
    <w:qFormat/>
    <w:uiPriority w:val="0"/>
  </w:style>
  <w:style w:type="character" w:customStyle="1" w:styleId="118">
    <w:name w:val="starting1"/>
    <w:qFormat/>
    <w:uiPriority w:val="0"/>
    <w:rPr>
      <w:color w:val="339900"/>
    </w:rPr>
  </w:style>
  <w:style w:type="character" w:customStyle="1" w:styleId="119">
    <w:name w:val="starting2"/>
    <w:qFormat/>
    <w:uiPriority w:val="0"/>
    <w:rPr>
      <w:color w:val="B60000"/>
    </w:rPr>
  </w:style>
  <w:style w:type="character" w:customStyle="1" w:styleId="120">
    <w:name w:val="标题 1 Char"/>
    <w:link w:val="2"/>
    <w:qFormat/>
    <w:uiPriority w:val="0"/>
    <w:rPr>
      <w:rFonts w:eastAsia="宋体"/>
      <w:b/>
      <w:bCs/>
      <w:kern w:val="44"/>
      <w:sz w:val="44"/>
      <w:szCs w:val="44"/>
      <w:lang w:val="en-US" w:eastAsia="zh-CN" w:bidi="ar-SA"/>
    </w:rPr>
  </w:style>
  <w:style w:type="character" w:customStyle="1" w:styleId="121">
    <w:name w:val="red"/>
    <w:qFormat/>
    <w:uiPriority w:val="0"/>
    <w:rPr>
      <w:rFonts w:hint="default" w:ascii="Arial" w:hAnsi="Arial" w:cs="Arial"/>
      <w:color w:val="E50000"/>
    </w:rPr>
  </w:style>
  <w:style w:type="character" w:customStyle="1" w:styleId="122">
    <w:name w:val="Char Char4"/>
    <w:qFormat/>
    <w:uiPriority w:val="0"/>
    <w:rPr>
      <w:rFonts w:eastAsia="宋体"/>
      <w:b/>
      <w:bCs/>
      <w:kern w:val="44"/>
      <w:sz w:val="44"/>
      <w:szCs w:val="44"/>
      <w:lang w:val="en-US" w:eastAsia="zh-CN" w:bidi="ar-SA"/>
    </w:rPr>
  </w:style>
  <w:style w:type="character" w:customStyle="1" w:styleId="123">
    <w:name w:val="font161"/>
    <w:qFormat/>
    <w:uiPriority w:val="0"/>
    <w:rPr>
      <w:b/>
      <w:bCs/>
      <w:sz w:val="32"/>
      <w:szCs w:val="32"/>
    </w:rPr>
  </w:style>
  <w:style w:type="character" w:customStyle="1" w:styleId="124">
    <w:name w:val="Char Char8"/>
    <w:qFormat/>
    <w:uiPriority w:val="0"/>
    <w:rPr>
      <w:rFonts w:ascii="Arial" w:hAnsi="Arial" w:eastAsia="黑体"/>
      <w:b/>
      <w:bCs/>
      <w:kern w:val="2"/>
      <w:sz w:val="32"/>
      <w:szCs w:val="32"/>
      <w:lang w:val="en-US" w:eastAsia="zh-CN" w:bidi="ar-SA"/>
    </w:rPr>
  </w:style>
  <w:style w:type="character" w:customStyle="1" w:styleId="125">
    <w:name w:val="msg-box29"/>
    <w:basedOn w:val="49"/>
    <w:qFormat/>
    <w:uiPriority w:val="0"/>
  </w:style>
  <w:style w:type="character" w:customStyle="1" w:styleId="126">
    <w:name w:val="over2"/>
    <w:qFormat/>
    <w:uiPriority w:val="0"/>
    <w:rPr>
      <w:color w:val="999999"/>
    </w:rPr>
  </w:style>
  <w:style w:type="character" w:customStyle="1" w:styleId="127">
    <w:name w:val="img_title7"/>
    <w:qFormat/>
    <w:uiPriority w:val="0"/>
    <w:rPr>
      <w:vanish/>
    </w:rPr>
  </w:style>
  <w:style w:type="character" w:customStyle="1" w:styleId="128">
    <w:name w:val="l7"/>
    <w:qFormat/>
    <w:uiPriority w:val="0"/>
    <w:rPr>
      <w:color w:val="999999"/>
    </w:rPr>
  </w:style>
  <w:style w:type="character" w:customStyle="1" w:styleId="129">
    <w:name w:val="标题 5 Char"/>
    <w:link w:val="6"/>
    <w:qFormat/>
    <w:uiPriority w:val="0"/>
    <w:rPr>
      <w:b/>
      <w:bCs/>
      <w:kern w:val="2"/>
      <w:sz w:val="28"/>
      <w:szCs w:val="28"/>
    </w:rPr>
  </w:style>
  <w:style w:type="character" w:customStyle="1" w:styleId="130">
    <w:name w:val="l51"/>
    <w:qFormat/>
    <w:uiPriority w:val="0"/>
    <w:rPr>
      <w:color w:val="999999"/>
    </w:rPr>
  </w:style>
  <w:style w:type="character" w:customStyle="1" w:styleId="131">
    <w:name w:val="num81"/>
    <w:basedOn w:val="49"/>
    <w:qFormat/>
    <w:uiPriority w:val="0"/>
  </w:style>
  <w:style w:type="character" w:customStyle="1" w:styleId="132">
    <w:name w:val="Char Char1"/>
    <w:qFormat/>
    <w:uiPriority w:val="0"/>
    <w:rPr>
      <w:rFonts w:eastAsia="宋体"/>
      <w:kern w:val="2"/>
      <w:sz w:val="21"/>
      <w:szCs w:val="24"/>
      <w:lang w:val="en-US" w:eastAsia="zh-CN" w:bidi="ar-SA"/>
    </w:rPr>
  </w:style>
  <w:style w:type="character" w:customStyle="1" w:styleId="133">
    <w:name w:val="zs"/>
    <w:qFormat/>
    <w:uiPriority w:val="0"/>
    <w:rPr>
      <w:color w:val="8D744B"/>
      <w:sz w:val="18"/>
      <w:szCs w:val="18"/>
    </w:rPr>
  </w:style>
  <w:style w:type="character" w:customStyle="1" w:styleId="134">
    <w:name w:val="bigfont"/>
    <w:basedOn w:val="49"/>
    <w:qFormat/>
    <w:uiPriority w:val="0"/>
  </w:style>
  <w:style w:type="character" w:customStyle="1" w:styleId="135">
    <w:name w:val="txt"/>
    <w:qFormat/>
    <w:uiPriority w:val="0"/>
    <w:rPr>
      <w:color w:val="C0C0C0"/>
    </w:rPr>
  </w:style>
  <w:style w:type="character" w:customStyle="1" w:styleId="136">
    <w:name w:val="纯文本 Char2"/>
    <w:link w:val="24"/>
    <w:qFormat/>
    <w:uiPriority w:val="0"/>
    <w:rPr>
      <w:rFonts w:ascii="Courier New" w:hAnsi="Courier New" w:eastAsia="宋体"/>
      <w:kern w:val="2"/>
      <w:sz w:val="21"/>
      <w:lang w:val="en-US" w:eastAsia="zh-CN" w:bidi="ar-SA"/>
    </w:rPr>
  </w:style>
  <w:style w:type="character" w:customStyle="1" w:styleId="137">
    <w:name w:val="jg"/>
    <w:basedOn w:val="49"/>
    <w:qFormat/>
    <w:uiPriority w:val="0"/>
  </w:style>
  <w:style w:type="character" w:customStyle="1" w:styleId="138">
    <w:name w:val="17"/>
    <w:qFormat/>
    <w:uiPriority w:val="0"/>
    <w:rPr>
      <w:rFonts w:ascii="仿宋_GB2312" w:eastAsia="仿宋_GB2312"/>
      <w:color w:val="auto"/>
      <w:sz w:val="28"/>
      <w:szCs w:val="28"/>
      <w:u w:val="single"/>
    </w:rPr>
  </w:style>
  <w:style w:type="character" w:customStyle="1" w:styleId="139">
    <w:name w:val="job"/>
    <w:basedOn w:val="49"/>
    <w:qFormat/>
    <w:uiPriority w:val="0"/>
  </w:style>
  <w:style w:type="character" w:customStyle="1" w:styleId="140">
    <w:name w:val="job1"/>
    <w:basedOn w:val="49"/>
    <w:qFormat/>
    <w:uiPriority w:val="0"/>
  </w:style>
  <w:style w:type="character" w:customStyle="1" w:styleId="141">
    <w:name w:val="标题 2 Char"/>
    <w:qFormat/>
    <w:uiPriority w:val="0"/>
    <w:rPr>
      <w:rFonts w:ascii="Arial" w:hAnsi="Arial" w:eastAsia="黑体"/>
      <w:b/>
      <w:bCs/>
      <w:kern w:val="2"/>
      <w:sz w:val="21"/>
      <w:szCs w:val="32"/>
      <w:lang w:val="en-US" w:eastAsia="zh-CN" w:bidi="ar-SA"/>
    </w:rPr>
  </w:style>
  <w:style w:type="character" w:customStyle="1" w:styleId="142">
    <w:name w:val="正文文本 Char"/>
    <w:link w:val="20"/>
    <w:qFormat/>
    <w:uiPriority w:val="0"/>
    <w:rPr>
      <w:rFonts w:eastAsia="宋体"/>
      <w:kern w:val="2"/>
      <w:sz w:val="21"/>
      <w:szCs w:val="24"/>
      <w:lang w:val="en-US" w:eastAsia="zh-CN" w:bidi="ar-SA"/>
    </w:rPr>
  </w:style>
  <w:style w:type="character" w:customStyle="1" w:styleId="143">
    <w:name w:val="p05"/>
    <w:basedOn w:val="49"/>
    <w:qFormat/>
    <w:uiPriority w:val="0"/>
  </w:style>
  <w:style w:type="character" w:customStyle="1" w:styleId="144">
    <w:name w:val="Char Char7"/>
    <w:qFormat/>
    <w:uiPriority w:val="0"/>
    <w:rPr>
      <w:rFonts w:ascii="Arial" w:hAnsi="Arial" w:eastAsia="黑体"/>
      <w:b/>
      <w:bCs/>
      <w:kern w:val="2"/>
      <w:sz w:val="32"/>
      <w:szCs w:val="32"/>
      <w:lang w:val="en-US" w:eastAsia="zh-CN" w:bidi="ar-SA"/>
    </w:rPr>
  </w:style>
  <w:style w:type="character" w:customStyle="1" w:styleId="145">
    <w:name w:val="over3"/>
    <w:basedOn w:val="49"/>
    <w:qFormat/>
    <w:uiPriority w:val="0"/>
  </w:style>
  <w:style w:type="character" w:customStyle="1" w:styleId="146">
    <w:name w:val="Char Char3"/>
    <w:qFormat/>
    <w:uiPriority w:val="0"/>
    <w:rPr>
      <w:rFonts w:ascii="Arial" w:hAnsi="Arial" w:eastAsia="黑体"/>
      <w:b/>
      <w:bCs/>
      <w:kern w:val="2"/>
      <w:sz w:val="32"/>
      <w:szCs w:val="32"/>
      <w:lang w:val="en-US" w:eastAsia="zh-CN" w:bidi="ar-SA"/>
    </w:rPr>
  </w:style>
  <w:style w:type="character" w:customStyle="1" w:styleId="147">
    <w:name w:val="Char Char71"/>
    <w:qFormat/>
    <w:uiPriority w:val="0"/>
    <w:rPr>
      <w:rFonts w:ascii="Arial" w:hAnsi="Arial" w:eastAsia="黑体"/>
      <w:b/>
      <w:bCs/>
      <w:kern w:val="2"/>
      <w:sz w:val="32"/>
      <w:szCs w:val="32"/>
      <w:lang w:val="en-US" w:eastAsia="zh-CN" w:bidi="ar-SA"/>
    </w:rPr>
  </w:style>
  <w:style w:type="character" w:customStyle="1" w:styleId="148">
    <w:name w:val="num51"/>
    <w:basedOn w:val="49"/>
    <w:qFormat/>
    <w:uiPriority w:val="0"/>
  </w:style>
  <w:style w:type="character" w:customStyle="1" w:styleId="149">
    <w:name w:val="Char Char Char"/>
    <w:qFormat/>
    <w:uiPriority w:val="0"/>
    <w:rPr>
      <w:rFonts w:eastAsia="宋体"/>
      <w:b/>
      <w:bCs/>
      <w:kern w:val="44"/>
      <w:sz w:val="44"/>
      <w:szCs w:val="44"/>
      <w:lang w:val="en-US" w:eastAsia="zh-CN" w:bidi="ar-SA"/>
    </w:rPr>
  </w:style>
  <w:style w:type="character" w:customStyle="1" w:styleId="150">
    <w:name w:val="msg-box31"/>
    <w:basedOn w:val="49"/>
    <w:qFormat/>
    <w:uiPriority w:val="0"/>
  </w:style>
  <w:style w:type="character" w:customStyle="1" w:styleId="151">
    <w:name w:val="msg-box30"/>
    <w:basedOn w:val="49"/>
    <w:qFormat/>
    <w:uiPriority w:val="0"/>
  </w:style>
  <w:style w:type="character" w:customStyle="1" w:styleId="152">
    <w:name w:val="标题 1 Char Char"/>
    <w:qFormat/>
    <w:uiPriority w:val="0"/>
    <w:rPr>
      <w:rFonts w:eastAsia="宋体"/>
      <w:b/>
      <w:bCs/>
      <w:kern w:val="44"/>
      <w:sz w:val="44"/>
      <w:szCs w:val="44"/>
      <w:lang w:val="en-US" w:eastAsia="zh-CN" w:bidi="ar-SA"/>
    </w:rPr>
  </w:style>
  <w:style w:type="character" w:customStyle="1" w:styleId="153">
    <w:name w:val="标题 3 Char"/>
    <w:link w:val="4"/>
    <w:qFormat/>
    <w:uiPriority w:val="0"/>
    <w:rPr>
      <w:b/>
      <w:bCs/>
      <w:sz w:val="32"/>
      <w:szCs w:val="32"/>
    </w:rPr>
  </w:style>
  <w:style w:type="character" w:customStyle="1" w:styleId="154">
    <w:name w:val="c1"/>
    <w:basedOn w:val="49"/>
    <w:qFormat/>
    <w:uiPriority w:val="0"/>
  </w:style>
  <w:style w:type="character" w:customStyle="1" w:styleId="155">
    <w:name w:val="纯文本 Char1"/>
    <w:qFormat/>
    <w:uiPriority w:val="0"/>
    <w:rPr>
      <w:rFonts w:ascii="Courier New" w:hAnsi="Courier New" w:eastAsia="宋体"/>
      <w:kern w:val="2"/>
      <w:sz w:val="21"/>
      <w:lang w:val="en-US" w:eastAsia="zh-CN" w:bidi="ar-SA"/>
    </w:rPr>
  </w:style>
  <w:style w:type="character" w:customStyle="1" w:styleId="156">
    <w:name w:val="Char Char Char1"/>
    <w:qFormat/>
    <w:uiPriority w:val="0"/>
    <w:rPr>
      <w:rFonts w:ascii="Arial" w:hAnsi="Arial" w:eastAsia="黑体"/>
      <w:b/>
      <w:bCs/>
      <w:kern w:val="2"/>
      <w:sz w:val="32"/>
      <w:szCs w:val="32"/>
      <w:lang w:val="en-US" w:eastAsia="zh-CN" w:bidi="ar-SA"/>
    </w:rPr>
  </w:style>
  <w:style w:type="character" w:customStyle="1" w:styleId="157">
    <w:name w:val="l3"/>
    <w:qFormat/>
    <w:uiPriority w:val="0"/>
    <w:rPr>
      <w:color w:val="999999"/>
    </w:rPr>
  </w:style>
  <w:style w:type="character" w:customStyle="1" w:styleId="158">
    <w:name w:val="tit14"/>
    <w:qFormat/>
    <w:uiPriority w:val="0"/>
    <w:rPr>
      <w:color w:val="B60000"/>
    </w:rPr>
  </w:style>
  <w:style w:type="character" w:customStyle="1" w:styleId="159">
    <w:name w:val="tit10"/>
    <w:qFormat/>
    <w:uiPriority w:val="0"/>
    <w:rPr>
      <w:color w:val="B60000"/>
    </w:rPr>
  </w:style>
  <w:style w:type="character" w:customStyle="1" w:styleId="160">
    <w:name w:val="l21"/>
    <w:qFormat/>
    <w:uiPriority w:val="0"/>
    <w:rPr>
      <w:color w:val="999999"/>
    </w:rPr>
  </w:style>
  <w:style w:type="character" w:customStyle="1" w:styleId="161">
    <w:name w:val="num71"/>
    <w:basedOn w:val="49"/>
    <w:qFormat/>
    <w:uiPriority w:val="0"/>
  </w:style>
  <w:style w:type="character" w:customStyle="1" w:styleId="162">
    <w:name w:val="标题 2 Char Char"/>
    <w:qFormat/>
    <w:uiPriority w:val="0"/>
    <w:rPr>
      <w:rFonts w:ascii="Arial" w:hAnsi="Arial" w:eastAsia="黑体"/>
      <w:b/>
      <w:bCs/>
      <w:kern w:val="2"/>
      <w:sz w:val="32"/>
      <w:szCs w:val="32"/>
      <w:lang w:val="en-US" w:eastAsia="zh-CN" w:bidi="ar-SA"/>
    </w:rPr>
  </w:style>
  <w:style w:type="character" w:customStyle="1" w:styleId="163">
    <w:name w:val="buvis"/>
    <w:qFormat/>
    <w:uiPriority w:val="0"/>
    <w:rPr>
      <w:color w:val="999999"/>
    </w:rPr>
  </w:style>
  <w:style w:type="character" w:customStyle="1" w:styleId="164">
    <w:name w:val="name"/>
    <w:qFormat/>
    <w:uiPriority w:val="0"/>
    <w:rPr>
      <w:color w:val="444444"/>
      <w:sz w:val="21"/>
      <w:szCs w:val="21"/>
    </w:rPr>
  </w:style>
  <w:style w:type="character" w:customStyle="1" w:styleId="165">
    <w:name w:val="layui-this"/>
    <w:qFormat/>
    <w:uiPriority w:val="0"/>
    <w:rPr>
      <w:bdr w:val="single" w:color="EEEEEE" w:sz="6" w:space="0"/>
      <w:shd w:val="clear" w:color="auto" w:fill="FFFFFF"/>
    </w:rPr>
  </w:style>
  <w:style w:type="character" w:customStyle="1" w:styleId="166">
    <w:name w:val="标题 2 Char1"/>
    <w:qFormat/>
    <w:uiPriority w:val="0"/>
    <w:rPr>
      <w:rFonts w:ascii="Arial" w:hAnsi="Arial" w:eastAsia="黑体"/>
      <w:b/>
      <w:bCs/>
      <w:kern w:val="2"/>
      <w:sz w:val="32"/>
      <w:szCs w:val="32"/>
      <w:lang w:val="en-US" w:eastAsia="zh-CN" w:bidi="ar-SA"/>
    </w:rPr>
  </w:style>
  <w:style w:type="character" w:customStyle="1" w:styleId="167">
    <w:name w:val="zw"/>
    <w:qFormat/>
    <w:uiPriority w:val="0"/>
    <w:rPr>
      <w:color w:val="BD1E22"/>
      <w:sz w:val="22"/>
      <w:szCs w:val="22"/>
    </w:rPr>
  </w:style>
  <w:style w:type="character" w:customStyle="1" w:styleId="168">
    <w:name w:val="name1"/>
    <w:qFormat/>
    <w:uiPriority w:val="0"/>
    <w:rPr>
      <w:color w:val="695435"/>
      <w:sz w:val="24"/>
      <w:szCs w:val="24"/>
    </w:rPr>
  </w:style>
  <w:style w:type="character" w:customStyle="1" w:styleId="169">
    <w:name w:val="num61"/>
    <w:basedOn w:val="49"/>
    <w:qFormat/>
    <w:uiPriority w:val="0"/>
  </w:style>
  <w:style w:type="character" w:customStyle="1" w:styleId="170">
    <w:name w:val="mesg-myd"/>
    <w:qFormat/>
    <w:uiPriority w:val="0"/>
    <w:rPr>
      <w:color w:val="EE0000"/>
    </w:rPr>
  </w:style>
  <w:style w:type="character" w:customStyle="1" w:styleId="171">
    <w:name w:val="c2"/>
    <w:basedOn w:val="49"/>
    <w:qFormat/>
    <w:uiPriority w:val="0"/>
  </w:style>
  <w:style w:type="character" w:customStyle="1" w:styleId="172">
    <w:name w:val="c3"/>
    <w:basedOn w:val="49"/>
    <w:qFormat/>
    <w:uiPriority w:val="0"/>
  </w:style>
  <w:style w:type="character" w:customStyle="1" w:styleId="173">
    <w:name w:val="over1"/>
    <w:qFormat/>
    <w:uiPriority w:val="0"/>
    <w:rPr>
      <w:color w:val="B60000"/>
    </w:rPr>
  </w:style>
  <w:style w:type="character" w:customStyle="1" w:styleId="174">
    <w:name w:val="tit13"/>
    <w:qFormat/>
    <w:uiPriority w:val="0"/>
    <w:rPr>
      <w:color w:val="FFFFFF"/>
    </w:rPr>
  </w:style>
  <w:style w:type="character" w:customStyle="1" w:styleId="175">
    <w:name w:val="Char Char21"/>
    <w:qFormat/>
    <w:uiPriority w:val="0"/>
    <w:rPr>
      <w:rFonts w:eastAsia="宋体"/>
      <w:kern w:val="2"/>
      <w:sz w:val="21"/>
      <w:szCs w:val="24"/>
      <w:lang w:val="en-US" w:eastAsia="zh-CN" w:bidi="ar-SA"/>
    </w:rPr>
  </w:style>
  <w:style w:type="character" w:customStyle="1" w:styleId="176">
    <w:name w:val="l41"/>
    <w:qFormat/>
    <w:uiPriority w:val="0"/>
    <w:rPr>
      <w:color w:val="999999"/>
    </w:rPr>
  </w:style>
  <w:style w:type="character" w:customStyle="1" w:styleId="177">
    <w:name w:val="16"/>
    <w:qFormat/>
    <w:uiPriority w:val="0"/>
    <w:rPr>
      <w:rFonts w:ascii="仿宋_GB2312" w:eastAsia="仿宋_GB2312"/>
      <w:color w:val="auto"/>
      <w:sz w:val="28"/>
      <w:szCs w:val="28"/>
    </w:rPr>
  </w:style>
  <w:style w:type="character" w:customStyle="1" w:styleId="178">
    <w:name w:val="num31"/>
    <w:basedOn w:val="49"/>
    <w:qFormat/>
    <w:uiPriority w:val="0"/>
  </w:style>
  <w:style w:type="character" w:customStyle="1" w:styleId="179">
    <w:name w:val="starting4"/>
    <w:basedOn w:val="49"/>
    <w:qFormat/>
    <w:uiPriority w:val="0"/>
  </w:style>
  <w:style w:type="character" w:customStyle="1" w:styleId="180">
    <w:name w:val="bsharetext"/>
    <w:basedOn w:val="49"/>
    <w:qFormat/>
    <w:uiPriority w:val="0"/>
  </w:style>
  <w:style w:type="character" w:customStyle="1" w:styleId="181">
    <w:name w:val="unit"/>
    <w:qFormat/>
    <w:uiPriority w:val="0"/>
    <w:rPr>
      <w:color w:val="999999"/>
    </w:rPr>
  </w:style>
  <w:style w:type="character" w:customStyle="1" w:styleId="182">
    <w:name w:val="nostart2"/>
    <w:qFormat/>
    <w:uiPriority w:val="0"/>
    <w:rPr>
      <w:color w:val="B60000"/>
    </w:rPr>
  </w:style>
  <w:style w:type="character" w:customStyle="1" w:styleId="183">
    <w:name w:val="纯文本 Char"/>
    <w:qFormat/>
    <w:uiPriority w:val="99"/>
    <w:rPr>
      <w:rFonts w:ascii="Courier New" w:hAnsi="Courier New" w:eastAsia="宋体"/>
      <w:kern w:val="2"/>
      <w:sz w:val="21"/>
      <w:lang w:val="en-US" w:eastAsia="zh-CN" w:bidi="ar-SA"/>
    </w:rPr>
  </w:style>
  <w:style w:type="character" w:customStyle="1" w:styleId="184">
    <w:name w:val="Char Char81"/>
    <w:qFormat/>
    <w:uiPriority w:val="0"/>
    <w:rPr>
      <w:rFonts w:ascii="Arial" w:hAnsi="Arial" w:eastAsia="黑体"/>
      <w:b/>
      <w:bCs/>
      <w:kern w:val="2"/>
      <w:sz w:val="32"/>
      <w:szCs w:val="32"/>
      <w:lang w:val="en-US" w:eastAsia="zh-CN" w:bidi="ar-SA"/>
    </w:rPr>
  </w:style>
  <w:style w:type="character" w:customStyle="1" w:styleId="185">
    <w:name w:val="starting"/>
    <w:qFormat/>
    <w:uiPriority w:val="0"/>
    <w:rPr>
      <w:color w:val="339900"/>
    </w:rPr>
  </w:style>
  <w:style w:type="character" w:customStyle="1" w:styleId="186">
    <w:name w:val="nostart1"/>
    <w:qFormat/>
    <w:uiPriority w:val="0"/>
    <w:rPr>
      <w:color w:val="FF0000"/>
    </w:rPr>
  </w:style>
  <w:style w:type="character" w:customStyle="1" w:styleId="187">
    <w:name w:val="num210"/>
    <w:basedOn w:val="49"/>
    <w:qFormat/>
    <w:uiPriority w:val="0"/>
  </w:style>
  <w:style w:type="character" w:customStyle="1" w:styleId="188">
    <w:name w:val="buvis1"/>
    <w:qFormat/>
    <w:uiPriority w:val="0"/>
    <w:rPr>
      <w:color w:val="CC0000"/>
    </w:rPr>
  </w:style>
  <w:style w:type="character" w:customStyle="1" w:styleId="189">
    <w:name w:val="starting3"/>
    <w:basedOn w:val="49"/>
    <w:qFormat/>
    <w:uiPriority w:val="0"/>
  </w:style>
  <w:style w:type="character" w:customStyle="1" w:styleId="190">
    <w:name w:val="textcontents"/>
    <w:basedOn w:val="49"/>
    <w:qFormat/>
    <w:uiPriority w:val="0"/>
  </w:style>
  <w:style w:type="character" w:customStyle="1" w:styleId="191">
    <w:name w:val="num41"/>
    <w:basedOn w:val="49"/>
    <w:qFormat/>
    <w:uiPriority w:val="0"/>
  </w:style>
  <w:style w:type="character" w:customStyle="1" w:styleId="192">
    <w:name w:val="tit9"/>
    <w:qFormat/>
    <w:uiPriority w:val="0"/>
    <w:rPr>
      <w:color w:val="B60000"/>
      <w:sz w:val="27"/>
      <w:szCs w:val="27"/>
      <w:bdr w:val="single" w:color="DFCEB8" w:sz="6" w:space="0"/>
      <w:shd w:val="clear" w:color="auto" w:fill="FFFFFF"/>
    </w:rPr>
  </w:style>
  <w:style w:type="character" w:customStyle="1" w:styleId="193">
    <w:name w:val="name2"/>
    <w:qFormat/>
    <w:uiPriority w:val="0"/>
    <w:rPr>
      <w:color w:val="000000"/>
      <w:sz w:val="39"/>
      <w:szCs w:val="39"/>
    </w:rPr>
  </w:style>
  <w:style w:type="character" w:customStyle="1" w:styleId="194">
    <w:name w:val="img_title8"/>
    <w:qFormat/>
    <w:uiPriority w:val="0"/>
    <w:rPr>
      <w:vanish/>
    </w:rPr>
  </w:style>
  <w:style w:type="character" w:customStyle="1" w:styleId="195">
    <w:name w:val="tit15"/>
    <w:qFormat/>
    <w:uiPriority w:val="0"/>
    <w:rPr>
      <w:b/>
      <w:color w:val="B60000"/>
    </w:rPr>
  </w:style>
  <w:style w:type="character" w:customStyle="1" w:styleId="196">
    <w:name w:val="img_title9"/>
    <w:qFormat/>
    <w:uiPriority w:val="0"/>
    <w:rPr>
      <w:vanish/>
    </w:rPr>
  </w:style>
  <w:style w:type="character" w:customStyle="1" w:styleId="197">
    <w:name w:val="标题 2 Char2"/>
    <w:link w:val="3"/>
    <w:qFormat/>
    <w:uiPriority w:val="0"/>
    <w:rPr>
      <w:rFonts w:ascii="Arial" w:hAnsi="Arial" w:eastAsia="黑体"/>
      <w:b/>
      <w:bCs/>
      <w:kern w:val="2"/>
      <w:sz w:val="21"/>
      <w:szCs w:val="32"/>
      <w:lang w:val="en-US" w:eastAsia="zh-CN" w:bidi="ar-SA"/>
    </w:rPr>
  </w:style>
  <w:style w:type="paragraph" w:customStyle="1" w:styleId="198">
    <w:name w:val="正文 New"/>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character" w:customStyle="1" w:styleId="199">
    <w:name w:val="font12"/>
    <w:basedOn w:val="49"/>
    <w:qFormat/>
    <w:uiPriority w:val="0"/>
    <w:rPr>
      <w:rFonts w:hint="eastAsia" w:ascii="仿宋" w:hAnsi="仿宋" w:eastAsia="仿宋" w:cs="仿宋"/>
      <w:b/>
      <w:color w:val="000000"/>
      <w:sz w:val="32"/>
      <w:szCs w:val="32"/>
      <w:u w:val="none"/>
    </w:rPr>
  </w:style>
  <w:style w:type="character" w:customStyle="1" w:styleId="200">
    <w:name w:val="font101"/>
    <w:basedOn w:val="49"/>
    <w:qFormat/>
    <w:uiPriority w:val="0"/>
    <w:rPr>
      <w:rFonts w:hint="default" w:ascii="Times New Roman" w:hAnsi="Times New Roman" w:cs="Times New Roman"/>
      <w:color w:val="000000"/>
      <w:sz w:val="24"/>
      <w:szCs w:val="24"/>
      <w:u w:val="none"/>
    </w:rPr>
  </w:style>
  <w:style w:type="character" w:customStyle="1" w:styleId="201">
    <w:name w:val="font111"/>
    <w:basedOn w:val="49"/>
    <w:qFormat/>
    <w:uiPriority w:val="0"/>
    <w:rPr>
      <w:rFonts w:ascii="仿宋_GB2312" w:eastAsia="仿宋_GB2312" w:cs="仿宋_GB2312"/>
      <w:color w:val="000000"/>
      <w:sz w:val="24"/>
      <w:szCs w:val="24"/>
      <w:u w:val="none"/>
    </w:rPr>
  </w:style>
  <w:style w:type="character" w:customStyle="1" w:styleId="202">
    <w:name w:val="font91"/>
    <w:basedOn w:val="49"/>
    <w:qFormat/>
    <w:uiPriority w:val="0"/>
    <w:rPr>
      <w:rFonts w:hint="eastAsia" w:ascii="仿宋" w:hAnsi="仿宋" w:eastAsia="仿宋" w:cs="仿宋"/>
      <w:color w:val="000000"/>
      <w:sz w:val="24"/>
      <w:szCs w:val="24"/>
      <w:u w:val="single"/>
    </w:rPr>
  </w:style>
  <w:style w:type="character" w:customStyle="1" w:styleId="203">
    <w:name w:val="font81"/>
    <w:basedOn w:val="49"/>
    <w:qFormat/>
    <w:uiPriority w:val="0"/>
    <w:rPr>
      <w:rFonts w:hint="default" w:ascii="Times New Roman" w:hAnsi="Times New Roman" w:cs="Times New Roman"/>
      <w:color w:val="000000"/>
      <w:sz w:val="24"/>
      <w:szCs w:val="24"/>
      <w:u w:val="none"/>
    </w:rPr>
  </w:style>
  <w:style w:type="character" w:customStyle="1" w:styleId="204">
    <w:name w:val="font61"/>
    <w:basedOn w:val="49"/>
    <w:qFormat/>
    <w:uiPriority w:val="0"/>
    <w:rPr>
      <w:rFonts w:hint="eastAsia" w:ascii="仿宋_GB2312" w:eastAsia="仿宋_GB2312" w:cs="仿宋_GB2312"/>
      <w:color w:val="000000"/>
      <w:sz w:val="24"/>
      <w:szCs w:val="24"/>
      <w:u w:val="none"/>
    </w:rPr>
  </w:style>
  <w:style w:type="character" w:customStyle="1" w:styleId="205">
    <w:name w:val="font21"/>
    <w:basedOn w:val="49"/>
    <w:qFormat/>
    <w:uiPriority w:val="0"/>
    <w:rPr>
      <w:rFonts w:hint="default" w:ascii="Times New Roman" w:hAnsi="Times New Roman" w:cs="Times New Roman"/>
      <w:color w:val="000000"/>
      <w:sz w:val="24"/>
      <w:szCs w:val="24"/>
      <w:u w:val="none"/>
    </w:rPr>
  </w:style>
  <w:style w:type="character" w:customStyle="1" w:styleId="206">
    <w:name w:val="NormalCharacter"/>
    <w:semiHidden/>
    <w:qFormat/>
    <w:uiPriority w:val="0"/>
    <w:rPr>
      <w:snapToGrid w:val="0"/>
      <w:kern w:val="0"/>
      <w:sz w:val="32"/>
      <w:szCs w:val="32"/>
      <w:lang w:val="en-US" w:eastAsia="zh-CN" w:bidi="ar-SA"/>
    </w:rPr>
  </w:style>
  <w:style w:type="character" w:customStyle="1" w:styleId="207">
    <w:name w:val="first-child1"/>
    <w:basedOn w:val="49"/>
    <w:qFormat/>
    <w:uiPriority w:val="0"/>
  </w:style>
  <w:style w:type="character" w:customStyle="1" w:styleId="208">
    <w:name w:val="hover1"/>
    <w:basedOn w:val="49"/>
    <w:qFormat/>
    <w:uiPriority w:val="0"/>
    <w:rPr>
      <w:color w:val="2590EB"/>
    </w:rPr>
  </w:style>
  <w:style w:type="character" w:customStyle="1" w:styleId="209">
    <w:name w:val="hover2"/>
    <w:basedOn w:val="49"/>
    <w:qFormat/>
    <w:uiPriority w:val="0"/>
  </w:style>
  <w:style w:type="character" w:customStyle="1" w:styleId="210">
    <w:name w:val="hover3"/>
    <w:basedOn w:val="49"/>
    <w:qFormat/>
    <w:uiPriority w:val="0"/>
    <w:rPr>
      <w:color w:val="2590EB"/>
    </w:rPr>
  </w:style>
  <w:style w:type="character" w:customStyle="1" w:styleId="211">
    <w:name w:val="hover4"/>
    <w:basedOn w:val="49"/>
    <w:qFormat/>
    <w:uiPriority w:val="0"/>
    <w:rPr>
      <w:color w:val="2590EB"/>
      <w:shd w:val="clear" w:fill="E9F4FD"/>
    </w:rPr>
  </w:style>
  <w:style w:type="character" w:customStyle="1" w:styleId="212">
    <w:name w:val="mini-outputtext1"/>
    <w:basedOn w:val="49"/>
    <w:qFormat/>
    <w:uiPriority w:val="0"/>
  </w:style>
  <w:style w:type="character" w:customStyle="1" w:styleId="213">
    <w:name w:val="hover"/>
    <w:basedOn w:val="49"/>
    <w:qFormat/>
    <w:uiPriority w:val="0"/>
    <w:rPr>
      <w:color w:val="2590EB"/>
    </w:rPr>
  </w:style>
  <w:style w:type="paragraph" w:customStyle="1" w:styleId="214">
    <w:name w:val="Table Text"/>
    <w:basedOn w:val="1"/>
    <w:semiHidden/>
    <w:qFormat/>
    <w:uiPriority w:val="0"/>
    <w:rPr>
      <w:rFonts w:ascii="Times New Roman" w:hAnsi="Times New Roman" w:eastAsia="Times New Roman" w:cs="Times New Roman"/>
      <w:sz w:val="19"/>
      <w:szCs w:val="19"/>
      <w:lang w:val="en-US" w:eastAsia="en-US" w:bidi="ar-SA"/>
    </w:rPr>
  </w:style>
  <w:style w:type="table" w:customStyle="1" w:styleId="21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78</Pages>
  <Words>74</Words>
  <Characters>100</Characters>
  <Lines>411</Lines>
  <Paragraphs>115</Paragraphs>
  <TotalTime>85</TotalTime>
  <ScaleCrop>false</ScaleCrop>
  <LinksUpToDate>false</LinksUpToDate>
  <CharactersWithSpaces>113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傻傻一辈子</cp:lastModifiedBy>
  <cp:lastPrinted>2023-06-08T00:43:00Z</cp:lastPrinted>
  <dcterms:modified xsi:type="dcterms:W3CDTF">2026-10-26T12:26:33Z</dcterms:modified>
  <dc:title>标准交易文件</dc:title>
  <cp:revision>328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D2186EE9833748149B7E04A9074983C5_13</vt:lpwstr>
  </property>
  <property fmtid="{D5CDD505-2E9C-101B-9397-08002B2CF9AE}" pid="4" name="KSOTemplateDocerSaveRecord">
    <vt:lpwstr>eyJoZGlkIjoiMTljMDcwYWJmYjExZWQzNTVmZDAzZTYwM2JlMzJmZDYiLCJ1c2VySWQiOiIzODU2Mzk2OTQifQ==</vt:lpwstr>
  </property>
</Properties>
</file>