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B287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bookmarkStart w:id="298" w:name="_GoBack"/>
      <w:bookmarkEnd w:id="298"/>
    </w:p>
    <w:p w14:paraId="20538FC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7288107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61512CC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bookmarkStart w:id="0" w:name="_Hlk9544796"/>
      <w:r>
        <w:rPr>
          <w:rFonts w:hint="eastAsia" w:ascii="宋体" w:hAnsi="宋体" w:eastAsia="宋体" w:cs="宋体"/>
          <w:b/>
          <w:bCs/>
          <w:sz w:val="52"/>
          <w:szCs w:val="52"/>
          <w:highlight w:val="none"/>
        </w:rPr>
        <w:t>安徽省政府采购项目</w:t>
      </w:r>
    </w:p>
    <w:p w14:paraId="239A2FF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公开招标文件示范文本</w:t>
      </w:r>
      <w:bookmarkEnd w:id="0"/>
      <w:r>
        <w:rPr>
          <w:rFonts w:hint="eastAsia" w:ascii="宋体" w:hAnsi="宋体" w:eastAsia="宋体" w:cs="宋体"/>
          <w:b/>
          <w:bCs/>
          <w:sz w:val="52"/>
          <w:szCs w:val="52"/>
          <w:highlight w:val="none"/>
        </w:rPr>
        <w:t>（服务类）</w:t>
      </w:r>
    </w:p>
    <w:p w14:paraId="7AD7C926">
      <w:pPr>
        <w:widowControl/>
        <w:jc w:val="center"/>
        <w:rPr>
          <w:rFonts w:hint="eastAsia" w:ascii="宋体" w:hAnsi="宋体" w:eastAsia="宋体" w:cs="宋体"/>
          <w:highlight w:val="none"/>
        </w:rPr>
      </w:pPr>
      <w:r>
        <w:rPr>
          <w:rFonts w:hint="eastAsia" w:ascii="宋体" w:hAnsi="宋体" w:eastAsia="宋体" w:cs="宋体"/>
          <w:b/>
          <w:bCs/>
          <w:color w:val="000000"/>
          <w:kern w:val="0"/>
          <w:sz w:val="52"/>
          <w:szCs w:val="52"/>
          <w:highlight w:val="none"/>
          <w:lang w:bidi="ar"/>
        </w:rPr>
        <w:t>（2024年版）</w:t>
      </w:r>
    </w:p>
    <w:p w14:paraId="1978A29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4BA85AF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35B90EA4">
      <w:pPr>
        <w:tabs>
          <w:tab w:val="left" w:pos="315"/>
          <w:tab w:val="left" w:pos="8820"/>
        </w:tabs>
        <w:spacing w:before="312" w:beforeLines="100" w:after="156" w:afterLines="50" w:line="500" w:lineRule="exact"/>
        <w:ind w:right="267" w:rightChars="127"/>
        <w:jc w:val="both"/>
        <w:rPr>
          <w:rFonts w:hint="eastAsia" w:ascii="宋体" w:hAnsi="宋体" w:eastAsia="宋体" w:cs="宋体"/>
          <w:b/>
          <w:bCs/>
          <w:sz w:val="44"/>
          <w:szCs w:val="44"/>
          <w:highlight w:val="none"/>
        </w:rPr>
      </w:pPr>
    </w:p>
    <w:p w14:paraId="10D5AC0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4FC822C1">
      <w:pPr>
        <w:tabs>
          <w:tab w:val="left" w:pos="2410"/>
        </w:tabs>
        <w:autoSpaceDE w:val="0"/>
        <w:autoSpaceDN w:val="0"/>
        <w:adjustRightInd w:val="0"/>
        <w:snapToGrid w:val="0"/>
        <w:spacing w:line="360" w:lineRule="auto"/>
        <w:ind w:firstLine="723" w:firstLineChars="200"/>
        <w:jc w:val="center"/>
        <w:rPr>
          <w:rFonts w:hint="eastAsia" w:ascii="宋体" w:hAnsi="宋体" w:eastAsia="宋体" w:cs="宋体"/>
          <w:b/>
          <w:spacing w:val="20"/>
          <w:kern w:val="0"/>
          <w:sz w:val="32"/>
          <w:szCs w:val="32"/>
          <w:highlight w:val="none"/>
          <w:lang w:eastAsia="zh-CN"/>
        </w:rPr>
      </w:pPr>
      <w:r>
        <w:rPr>
          <w:rFonts w:hint="eastAsia" w:ascii="宋体" w:hAnsi="宋体" w:eastAsia="宋体" w:cs="宋体"/>
          <w:b/>
          <w:spacing w:val="20"/>
          <w:kern w:val="0"/>
          <w:sz w:val="32"/>
          <w:szCs w:val="32"/>
          <w:highlight w:val="none"/>
        </w:rPr>
        <w:t>项目名称：</w:t>
      </w:r>
      <w:r>
        <w:rPr>
          <w:rFonts w:hint="eastAsia" w:ascii="宋体" w:hAnsi="宋体" w:eastAsia="宋体" w:cs="宋体"/>
          <w:b/>
          <w:spacing w:val="20"/>
          <w:kern w:val="0"/>
          <w:sz w:val="32"/>
          <w:szCs w:val="32"/>
          <w:highlight w:val="none"/>
          <w:u w:val="single"/>
          <w:lang w:eastAsia="zh-CN"/>
        </w:rPr>
        <w:t>滁州市2025年普通国省干线公路技术状况评定项目（二次）</w:t>
      </w:r>
    </w:p>
    <w:p w14:paraId="3196A576">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u w:val="single"/>
          <w:lang w:eastAsia="zh-CN"/>
        </w:rPr>
      </w:pPr>
      <w:r>
        <w:rPr>
          <w:rFonts w:hint="eastAsia" w:ascii="宋体" w:hAnsi="宋体" w:eastAsia="宋体" w:cs="宋体"/>
          <w:b/>
          <w:spacing w:val="20"/>
          <w:kern w:val="0"/>
          <w:sz w:val="32"/>
          <w:szCs w:val="32"/>
          <w:highlight w:val="none"/>
        </w:rPr>
        <w:t>项目编号：</w:t>
      </w:r>
      <w:r>
        <w:rPr>
          <w:rFonts w:hint="eastAsia" w:ascii="宋体" w:hAnsi="宋体" w:eastAsia="宋体" w:cs="宋体"/>
          <w:b/>
          <w:spacing w:val="20"/>
          <w:kern w:val="0"/>
          <w:sz w:val="32"/>
          <w:szCs w:val="32"/>
          <w:highlight w:val="none"/>
          <w:u w:val="single"/>
          <w:lang w:eastAsia="zh-CN"/>
        </w:rPr>
        <w:t>czsjcg202508-025</w:t>
      </w:r>
    </w:p>
    <w:p w14:paraId="3F30DF67">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lang w:eastAsia="zh-CN"/>
        </w:rPr>
      </w:pPr>
      <w:r>
        <w:rPr>
          <w:rFonts w:hint="eastAsia" w:ascii="宋体" w:hAnsi="宋体" w:eastAsia="宋体" w:cs="宋体"/>
          <w:b/>
          <w:spacing w:val="20"/>
          <w:kern w:val="0"/>
          <w:sz w:val="32"/>
          <w:szCs w:val="32"/>
          <w:highlight w:val="none"/>
        </w:rPr>
        <w:t>采 购 人：</w:t>
      </w:r>
      <w:r>
        <w:rPr>
          <w:rFonts w:hint="eastAsia" w:ascii="宋体" w:hAnsi="宋体" w:eastAsia="宋体" w:cs="宋体"/>
          <w:b/>
          <w:spacing w:val="20"/>
          <w:kern w:val="0"/>
          <w:sz w:val="32"/>
          <w:szCs w:val="32"/>
          <w:highlight w:val="none"/>
          <w:u w:val="single"/>
          <w:lang w:eastAsia="zh-CN"/>
        </w:rPr>
        <w:t>滁州市公路管理服务中心</w:t>
      </w:r>
    </w:p>
    <w:p w14:paraId="65A8C86D">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u w:val="single"/>
        </w:rPr>
      </w:pPr>
      <w:r>
        <w:rPr>
          <w:rFonts w:hint="eastAsia" w:ascii="宋体" w:hAnsi="宋体" w:eastAsia="宋体" w:cs="宋体"/>
          <w:b/>
          <w:spacing w:val="20"/>
          <w:kern w:val="0"/>
          <w:sz w:val="32"/>
          <w:szCs w:val="32"/>
          <w:highlight w:val="none"/>
        </w:rPr>
        <w:t>采购代理机构：</w:t>
      </w:r>
      <w:r>
        <w:rPr>
          <w:rFonts w:hint="eastAsia" w:ascii="宋体" w:hAnsi="宋体" w:eastAsia="宋体" w:cs="宋体"/>
          <w:b/>
          <w:spacing w:val="20"/>
          <w:kern w:val="0"/>
          <w:sz w:val="32"/>
          <w:szCs w:val="32"/>
          <w:highlight w:val="none"/>
          <w:u w:val="single"/>
        </w:rPr>
        <w:t>滁州市城投工程咨询管理有限公司</w:t>
      </w:r>
    </w:p>
    <w:p w14:paraId="000D61A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211BF104">
      <w:pPr>
        <w:tabs>
          <w:tab w:val="left" w:pos="2410"/>
        </w:tabs>
        <w:autoSpaceDE w:val="0"/>
        <w:autoSpaceDN w:val="0"/>
        <w:adjustRightInd w:val="0"/>
        <w:snapToGrid w:val="0"/>
        <w:spacing w:line="360" w:lineRule="auto"/>
        <w:jc w:val="center"/>
        <w:rPr>
          <w:rFonts w:hint="eastAsia" w:ascii="宋体" w:hAnsi="宋体" w:eastAsia="宋体" w:cs="宋体"/>
          <w:b/>
          <w:sz w:val="36"/>
          <w:highlight w:val="none"/>
        </w:rPr>
      </w:pPr>
      <w:r>
        <w:rPr>
          <w:rFonts w:hint="eastAsia" w:ascii="宋体" w:hAnsi="宋体" w:eastAsia="宋体" w:cs="宋体"/>
          <w:b/>
          <w:sz w:val="36"/>
          <w:highlight w:val="none"/>
          <w:u w:val="single"/>
        </w:rPr>
        <w:t>202</w:t>
      </w:r>
      <w:r>
        <w:rPr>
          <w:rFonts w:hint="eastAsia" w:ascii="宋体" w:hAnsi="宋体" w:eastAsia="宋体" w:cs="宋体"/>
          <w:b/>
          <w:sz w:val="36"/>
          <w:highlight w:val="none"/>
          <w:u w:val="single"/>
          <w:lang w:val="en-US" w:eastAsia="zh-CN"/>
        </w:rPr>
        <w:t>5</w:t>
      </w:r>
      <w:r>
        <w:rPr>
          <w:rFonts w:hint="eastAsia" w:ascii="宋体" w:hAnsi="宋体" w:eastAsia="宋体" w:cs="宋体"/>
          <w:b/>
          <w:sz w:val="36"/>
          <w:highlight w:val="none"/>
        </w:rPr>
        <w:t>年</w:t>
      </w:r>
      <w:r>
        <w:rPr>
          <w:rFonts w:hint="eastAsia" w:ascii="宋体" w:hAnsi="宋体" w:eastAsia="宋体" w:cs="宋体"/>
          <w:b/>
          <w:sz w:val="36"/>
          <w:highlight w:val="none"/>
          <w:u w:val="single"/>
          <w:lang w:val="en-US" w:eastAsia="zh-CN"/>
        </w:rPr>
        <w:t>8</w:t>
      </w:r>
      <w:r>
        <w:rPr>
          <w:rFonts w:hint="eastAsia" w:ascii="宋体" w:hAnsi="宋体" w:eastAsia="宋体" w:cs="宋体"/>
          <w:b/>
          <w:sz w:val="36"/>
          <w:highlight w:val="none"/>
        </w:rPr>
        <w:t>月</w:t>
      </w:r>
      <w:r>
        <w:rPr>
          <w:rFonts w:hint="eastAsia" w:ascii="宋体" w:hAnsi="宋体" w:eastAsia="宋体" w:cs="宋体"/>
          <w:b/>
          <w:sz w:val="36"/>
          <w:highlight w:val="none"/>
        </w:rPr>
        <w:br w:type="page"/>
      </w:r>
    </w:p>
    <w:p w14:paraId="7DA2030E">
      <w:pPr>
        <w:tabs>
          <w:tab w:val="left" w:pos="2410"/>
        </w:tabs>
        <w:autoSpaceDE w:val="0"/>
        <w:autoSpaceDN w:val="0"/>
        <w:adjustRightInd w:val="0"/>
        <w:snapToGrid w:val="0"/>
        <w:spacing w:line="360" w:lineRule="auto"/>
        <w:jc w:val="center"/>
        <w:rPr>
          <w:rFonts w:hint="eastAsia" w:ascii="宋体" w:hAnsi="宋体" w:eastAsia="宋体" w:cs="宋体"/>
          <w:b/>
          <w:sz w:val="28"/>
          <w:highlight w:val="none"/>
        </w:rPr>
      </w:pPr>
    </w:p>
    <w:p w14:paraId="69A8DAD6">
      <w:pPr>
        <w:tabs>
          <w:tab w:val="left" w:pos="2410"/>
        </w:tabs>
        <w:autoSpaceDE w:val="0"/>
        <w:autoSpaceDN w:val="0"/>
        <w:adjustRightInd w:val="0"/>
        <w:snapToGrid w:val="0"/>
        <w:spacing w:line="600" w:lineRule="exact"/>
        <w:jc w:val="center"/>
        <w:rPr>
          <w:rFonts w:hint="eastAsia" w:ascii="宋体" w:hAnsi="宋体" w:eastAsia="宋体" w:cs="宋体"/>
          <w:b/>
          <w:sz w:val="28"/>
          <w:highlight w:val="none"/>
        </w:rPr>
      </w:pPr>
      <w:r>
        <w:rPr>
          <w:rFonts w:hint="eastAsia" w:ascii="宋体" w:hAnsi="宋体" w:eastAsia="宋体" w:cs="宋体"/>
          <w:b/>
          <w:sz w:val="28"/>
          <w:highlight w:val="none"/>
        </w:rPr>
        <w:t>目  录</w:t>
      </w:r>
    </w:p>
    <w:p w14:paraId="2A4BDD4F">
      <w:pPr>
        <w:pStyle w:val="22"/>
        <w:tabs>
          <w:tab w:val="right" w:leader="dot" w:pos="9638"/>
        </w:tabs>
        <w:rPr>
          <w:rFonts w:hint="eastAsia" w:ascii="宋体" w:hAnsi="宋体" w:eastAsia="宋体" w:cs="宋体"/>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TOC \o "1-2" \h \z \u </w:instrText>
      </w:r>
      <w:r>
        <w:rPr>
          <w:rFonts w:hint="eastAsia" w:ascii="宋体" w:hAnsi="宋体" w:eastAsia="宋体" w:cs="宋体"/>
          <w:b/>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_Toc31491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_Toc31491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40B677B7">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_Toc13994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_Toc13994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432FCE1B">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_Toc28615 </w:instrText>
      </w:r>
      <w:r>
        <w:rPr>
          <w:rFonts w:hint="eastAsia" w:ascii="宋体" w:hAnsi="宋体" w:eastAsia="宋体" w:cs="宋体"/>
          <w:szCs w:val="24"/>
          <w:highlight w:val="none"/>
        </w:rPr>
        <w:fldChar w:fldCharType="separate"/>
      </w:r>
      <w:r>
        <w:rPr>
          <w:rFonts w:hint="eastAsia" w:ascii="宋体" w:hAnsi="宋体" w:eastAsia="宋体" w:cs="宋体"/>
        </w:rPr>
        <w:t xml:space="preserve">第三章 </w:t>
      </w:r>
      <w:r>
        <w:rPr>
          <w:rFonts w:hint="eastAsia" w:ascii="宋体" w:hAnsi="宋体" w:eastAsia="宋体" w:cs="宋体"/>
          <w:highlight w:val="none"/>
        </w:rPr>
        <w:t>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_Toc28615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29A7AD04">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_Toc25399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评标方法和标准（</w:t>
      </w:r>
      <w:r>
        <w:rPr>
          <w:rFonts w:hint="eastAsia" w:ascii="宋体" w:hAnsi="宋体" w:eastAsia="宋体" w:cs="宋体"/>
          <w:highlight w:val="none"/>
          <w:lang w:val="en-US" w:eastAsia="zh-CN"/>
        </w:rPr>
        <w:t>综合评分法</w:t>
      </w:r>
      <w:r>
        <w:rPr>
          <w:rFonts w:hint="eastAsia" w:ascii="宋体" w:hAnsi="宋体" w:eastAsia="宋体" w:cs="宋体"/>
          <w:highlight w:val="none"/>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_Toc25399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213B6655">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_Toc13856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_Toc13856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2BE52AE6">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_Toc21522 </w:instrText>
      </w:r>
      <w:r>
        <w:rPr>
          <w:rFonts w:hint="eastAsia" w:ascii="宋体" w:hAnsi="宋体" w:eastAsia="宋体" w:cs="宋体"/>
          <w:szCs w:val="24"/>
          <w:highlight w:val="none"/>
        </w:rPr>
        <w:fldChar w:fldCharType="separate"/>
      </w:r>
      <w:r>
        <w:rPr>
          <w:rFonts w:hint="eastAsia" w:ascii="宋体" w:hAnsi="宋体" w:eastAsia="宋体" w:cs="宋体"/>
        </w:rPr>
        <w:t xml:space="preserve">第六章 </w:t>
      </w:r>
      <w:r>
        <w:rPr>
          <w:rFonts w:hint="eastAsia" w:ascii="宋体" w:hAnsi="宋体" w:eastAsia="宋体" w:cs="宋体"/>
          <w:highlight w:val="none"/>
        </w:rPr>
        <w:t>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_Toc21522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0E4643E0">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_Toc16620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第七章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_Toc16620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07316038">
      <w:pPr>
        <w:pStyle w:val="22"/>
        <w:tabs>
          <w:tab w:val="right" w:leader="dot" w:pos="8306"/>
        </w:tabs>
        <w:rPr>
          <w:rFonts w:hint="eastAsia" w:ascii="宋体" w:hAnsi="宋体" w:eastAsia="宋体" w:cs="宋体"/>
          <w:b/>
          <w:sz w:val="32"/>
          <w:highlight w:val="none"/>
        </w:rPr>
      </w:pPr>
      <w:r>
        <w:rPr>
          <w:rFonts w:hint="eastAsia" w:ascii="宋体" w:hAnsi="宋体" w:eastAsia="宋体" w:cs="宋体"/>
          <w:szCs w:val="24"/>
          <w:highlight w:val="none"/>
        </w:rPr>
        <w:fldChar w:fldCharType="end"/>
      </w:r>
    </w:p>
    <w:p w14:paraId="262FA9F0">
      <w:pPr>
        <w:spacing w:line="360" w:lineRule="auto"/>
        <w:rPr>
          <w:rFonts w:hint="eastAsia" w:ascii="宋体" w:hAnsi="宋体" w:eastAsia="宋体" w:cs="宋体"/>
          <w:b/>
          <w:sz w:val="32"/>
          <w:highlight w:val="none"/>
        </w:rPr>
      </w:pPr>
    </w:p>
    <w:p w14:paraId="2C2B00AA">
      <w:pPr>
        <w:spacing w:line="360" w:lineRule="auto"/>
        <w:jc w:val="center"/>
        <w:outlineLvl w:val="1"/>
        <w:rPr>
          <w:rFonts w:hint="eastAsia" w:ascii="宋体" w:hAnsi="宋体" w:eastAsia="宋体" w:cs="宋体"/>
          <w:b/>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553F22DC">
      <w:pPr>
        <w:pStyle w:val="5"/>
        <w:pageBreakBefore w:val="0"/>
        <w:tabs>
          <w:tab w:val="left" w:pos="0"/>
          <w:tab w:val="left" w:pos="3165"/>
          <w:tab w:val="center" w:pos="4153"/>
        </w:tabs>
        <w:kinsoku/>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sz w:val="28"/>
          <w:highlight w:val="none"/>
        </w:rPr>
      </w:pPr>
      <w:bookmarkStart w:id="1" w:name="_Toc31491"/>
      <w:r>
        <w:rPr>
          <w:rFonts w:hint="eastAsia" w:ascii="宋体" w:hAnsi="宋体" w:eastAsia="宋体" w:cs="宋体"/>
          <w:sz w:val="28"/>
          <w:highlight w:val="none"/>
        </w:rPr>
        <w:t xml:space="preserve">第一章  </w:t>
      </w:r>
      <w:bookmarkStart w:id="2" w:name="_Toc28359002"/>
      <w:bookmarkStart w:id="3" w:name="_Toc35393790"/>
      <w:bookmarkStart w:id="4" w:name="_Toc28359079"/>
      <w:bookmarkStart w:id="5" w:name="_Toc35393621"/>
      <w:bookmarkStart w:id="6" w:name="_Hlk24379207"/>
      <w:r>
        <w:rPr>
          <w:rFonts w:hint="eastAsia" w:ascii="宋体" w:hAnsi="宋体" w:eastAsia="宋体" w:cs="宋体"/>
          <w:sz w:val="28"/>
          <w:highlight w:val="none"/>
        </w:rPr>
        <w:t>投标邀请</w:t>
      </w:r>
      <w:bookmarkEnd w:id="1"/>
    </w:p>
    <w:p w14:paraId="77AD9E8F">
      <w:pPr>
        <w:keepNext/>
        <w:keepLines/>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400832C6">
      <w:pPr>
        <w:keepNext/>
        <w:keepLines/>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滁州市2025年普通国省干线公路技术状况评定项目（二次）</w:t>
      </w:r>
      <w:r>
        <w:rPr>
          <w:rFonts w:hint="eastAsia" w:ascii="宋体" w:hAnsi="宋体" w:eastAsia="宋体" w:cs="宋体"/>
          <w:sz w:val="24"/>
          <w:szCs w:val="24"/>
          <w:highlight w:val="none"/>
        </w:rPr>
        <w:t>的潜在供应商应在滁州市公共资源交易中心网（http：//ggzy.chuzhou.gov.cn/）获取招标文件，并于</w:t>
      </w:r>
      <w:r>
        <w:rPr>
          <w:rFonts w:hint="eastAsia" w:ascii="宋体" w:hAnsi="宋体" w:eastAsia="宋体" w:cs="宋体"/>
          <w:sz w:val="24"/>
          <w:szCs w:val="24"/>
          <w:highlight w:val="none"/>
          <w:lang w:eastAsia="zh-CN"/>
        </w:rPr>
        <w:t>2025年9月</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8点00分（北京时间）前递交投标文件。</w:t>
      </w:r>
    </w:p>
    <w:p w14:paraId="460D8BEC">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7" w:name="_Toc24990"/>
      <w:r>
        <w:rPr>
          <w:rFonts w:hint="eastAsia" w:ascii="宋体" w:hAnsi="宋体" w:eastAsia="宋体" w:cs="宋体"/>
          <w:b/>
          <w:bCs/>
          <w:sz w:val="24"/>
          <w:szCs w:val="24"/>
          <w:highlight w:val="none"/>
        </w:rPr>
        <w:t>一、项目基本情况</w:t>
      </w:r>
      <w:bookmarkEnd w:id="2"/>
      <w:bookmarkEnd w:id="3"/>
      <w:bookmarkEnd w:id="4"/>
      <w:bookmarkEnd w:id="5"/>
      <w:bookmarkEnd w:id="7"/>
    </w:p>
    <w:p w14:paraId="32E816C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czsjcg202508-025</w:t>
      </w:r>
    </w:p>
    <w:p w14:paraId="511827FA">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bookmarkEnd w:id="6"/>
      <w:r>
        <w:rPr>
          <w:rFonts w:hint="eastAsia" w:ascii="宋体" w:hAnsi="宋体" w:eastAsia="宋体" w:cs="宋体"/>
          <w:sz w:val="24"/>
          <w:szCs w:val="24"/>
          <w:highlight w:val="none"/>
          <w:lang w:eastAsia="zh-CN"/>
        </w:rPr>
        <w:t>滁州市2025年普通国省干线公路技术状况评定项目（二次）</w:t>
      </w:r>
    </w:p>
    <w:p w14:paraId="0F0184C8">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400000.00元</w:t>
      </w:r>
    </w:p>
    <w:p w14:paraId="10B0E00C">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eastAsia="zh-CN"/>
        </w:rPr>
        <w:t>400000.00元</w:t>
      </w:r>
      <w:r>
        <w:rPr>
          <w:rFonts w:hint="eastAsia" w:ascii="宋体" w:hAnsi="宋体" w:eastAsia="宋体" w:cs="宋体"/>
          <w:sz w:val="24"/>
          <w:szCs w:val="24"/>
          <w:highlight w:val="none"/>
        </w:rPr>
        <w:t>，投标报价高于最高限价的，其投标文件按无效投标处理。</w:t>
      </w:r>
    </w:p>
    <w:p w14:paraId="7C3E12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公路技术状况检测评定；</w:t>
      </w:r>
    </w:p>
    <w:p w14:paraId="13A4F2D2">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val="en-US" w:eastAsia="zh-CN"/>
        </w:rPr>
        <w:t>自合同签订之日起一年</w:t>
      </w:r>
      <w:r>
        <w:rPr>
          <w:rFonts w:hint="eastAsia" w:ascii="宋体" w:hAnsi="宋体" w:eastAsia="宋体" w:cs="宋体"/>
          <w:sz w:val="24"/>
          <w:szCs w:val="24"/>
          <w:highlight w:val="none"/>
        </w:rPr>
        <w:t>。</w:t>
      </w:r>
    </w:p>
    <w:p w14:paraId="35AE6458">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p w14:paraId="1B3FF56E">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8" w:name="_Toc28359080"/>
      <w:bookmarkStart w:id="9" w:name="_Toc35393791"/>
      <w:bookmarkStart w:id="10" w:name="_Toc28039"/>
      <w:bookmarkStart w:id="11" w:name="_Toc28359003"/>
      <w:bookmarkStart w:id="12" w:name="_Toc35393622"/>
      <w:r>
        <w:rPr>
          <w:rFonts w:hint="eastAsia" w:ascii="宋体" w:hAnsi="宋体" w:eastAsia="宋体" w:cs="宋体"/>
          <w:b/>
          <w:bCs/>
          <w:sz w:val="24"/>
          <w:szCs w:val="24"/>
          <w:highlight w:val="none"/>
        </w:rPr>
        <w:t>二、申请人的资格要求：</w:t>
      </w:r>
      <w:bookmarkEnd w:id="8"/>
      <w:bookmarkEnd w:id="9"/>
      <w:bookmarkEnd w:id="10"/>
      <w:bookmarkEnd w:id="11"/>
      <w:bookmarkEnd w:id="12"/>
    </w:p>
    <w:p w14:paraId="42B9F0B4">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305400FF">
      <w:pPr>
        <w:pStyle w:val="25"/>
        <w:pageBreakBefore w:val="0"/>
        <w:kinsoku/>
        <w:overflowPunct/>
        <w:topLinePunct w:val="0"/>
        <w:bidi w:val="0"/>
        <w:snapToGrid/>
        <w:spacing w:before="0" w:beforeAutospacing="0" w:after="0" w:afterAutospacing="0" w:line="360" w:lineRule="auto"/>
        <w:ind w:firstLine="480" w:firstLineChars="200"/>
        <w:textAlignment w:val="auto"/>
        <w:rPr>
          <w:rFonts w:hint="eastAsia" w:ascii="宋体" w:hAnsi="宋体" w:eastAsia="宋体" w:cs="宋体"/>
          <w:kern w:val="2"/>
          <w:szCs w:val="24"/>
          <w:highlight w:val="none"/>
          <w:lang w:eastAsia="zh-CN"/>
        </w:rPr>
      </w:pPr>
      <w:bookmarkStart w:id="13" w:name="_Toc28359081"/>
      <w:bookmarkStart w:id="14" w:name="_Toc28359004"/>
      <w:r>
        <w:rPr>
          <w:rFonts w:hint="eastAsia" w:ascii="宋体" w:hAnsi="宋体" w:eastAsia="宋体" w:cs="宋体"/>
          <w:szCs w:val="24"/>
          <w:highlight w:val="none"/>
        </w:rPr>
        <w:t>2.落实政府采购政策需满足的资格要求：</w:t>
      </w:r>
      <w:r>
        <w:rPr>
          <w:rFonts w:hint="eastAsia" w:ascii="宋体" w:hAnsi="宋体" w:eastAsia="宋体" w:cs="宋体"/>
          <w:kern w:val="2"/>
          <w:szCs w:val="24"/>
          <w:highlight w:val="none"/>
          <w:lang w:eastAsia="zh-CN"/>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067E2BC7">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3.本项目的特定资格要求：投标人具有公路工程（综合）甲级检测资格证书。拟派的项目负责人具备公路相关专业试验检测师或检测工程师证书。</w:t>
      </w:r>
    </w:p>
    <w:p w14:paraId="168353DC">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4.信誉要求：投标人不得存在以下情形：</w:t>
      </w:r>
    </w:p>
    <w:p w14:paraId="3C53A37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bookmarkStart w:id="15" w:name="_Toc35393792"/>
      <w:bookmarkStart w:id="16" w:name="_Toc35393623"/>
      <w:r>
        <w:rPr>
          <w:rFonts w:hint="eastAsia" w:ascii="宋体" w:hAnsi="宋体" w:eastAsia="宋体" w:cs="宋体"/>
          <w:sz w:val="24"/>
          <w:szCs w:val="24"/>
          <w:highlight w:val="none"/>
        </w:rPr>
        <w:t>①被列入“信用中国”网站“失信被执行人”的；</w:t>
      </w:r>
    </w:p>
    <w:p w14:paraId="0A8C1766">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②被列入“信用中国”网站“重大税收违法失信主体”的；</w:t>
      </w:r>
    </w:p>
    <w:p w14:paraId="1F0068A8">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③被列入“信用中国”网站 “严重失信主体名单”的；</w:t>
      </w:r>
    </w:p>
    <w:p w14:paraId="4D2964CF">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④在“信用中国”网站上披露的仍在公示期的严重失信行为(具体行为类别及判定依据见“信用中国”查询的严重失信行为类别及判定依据)的；</w:t>
      </w:r>
    </w:p>
    <w:p w14:paraId="30A2E274">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⑤被列入国家企业信用信息公示系统网站“经营异常名录”或者“严重违法失信名单”的。</w:t>
      </w:r>
    </w:p>
    <w:p w14:paraId="091037A6">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⑥被列入中国政府采购网站“政府采购严重违法失信行为信息记录”的；</w:t>
      </w:r>
    </w:p>
    <w:p w14:paraId="525C4F2E">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⑦前三年有行贿犯罪行为的单位和个人。</w:t>
      </w:r>
    </w:p>
    <w:p w14:paraId="3B96244B">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5.投标人所属分公司、办事处等分支机构存在第4款信誉要求①-⑦项情形之一的，接受投标人参加本项目。</w:t>
      </w:r>
    </w:p>
    <w:p w14:paraId="2DBA257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备注：第4、5条按照“关于联合惩戒失信行为加强信用查询管理的通知”查询或承诺。</w:t>
      </w:r>
    </w:p>
    <w:p w14:paraId="197328E7">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17" w:name="_Toc1934"/>
      <w:r>
        <w:rPr>
          <w:rFonts w:hint="eastAsia" w:ascii="宋体" w:hAnsi="宋体" w:eastAsia="宋体" w:cs="宋体"/>
          <w:b/>
          <w:bCs/>
          <w:sz w:val="24"/>
          <w:szCs w:val="24"/>
          <w:highlight w:val="none"/>
        </w:rPr>
        <w:t>三、获取招标文件</w:t>
      </w:r>
      <w:bookmarkEnd w:id="13"/>
      <w:bookmarkEnd w:id="14"/>
      <w:bookmarkEnd w:id="15"/>
      <w:bookmarkEnd w:id="16"/>
      <w:bookmarkEnd w:id="17"/>
    </w:p>
    <w:p w14:paraId="0F90724D">
      <w:pPr>
        <w:pageBreakBefore w:val="0"/>
        <w:kinsoku/>
        <w:overflowPunct/>
        <w:topLinePunct w:val="0"/>
        <w:bidi w:val="0"/>
        <w:snapToGrid/>
        <w:spacing w:line="360" w:lineRule="auto"/>
        <w:ind w:firstLine="480" w:firstLineChars="20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eastAsia="zh-CN"/>
        </w:rPr>
        <w:t>2025年</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single"/>
          <w:lang w:eastAsia="zh-CN"/>
        </w:rPr>
        <w:t>月</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single"/>
          <w:lang w:eastAsia="zh-CN"/>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eastAsia="zh-CN"/>
        </w:rPr>
        <w:t>2025年9月</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lang w:eastAsia="zh-CN"/>
        </w:rPr>
        <w:t>日</w:t>
      </w:r>
      <w:r>
        <w:rPr>
          <w:rFonts w:hint="eastAsia" w:ascii="宋体" w:hAnsi="宋体" w:eastAsia="宋体" w:cs="宋体"/>
          <w:iCs/>
          <w:sz w:val="24"/>
          <w:szCs w:val="24"/>
          <w:highlight w:val="none"/>
          <w:u w:val="single"/>
        </w:rPr>
        <w:t>（提供期限自本公告发布之日起不得少于5个工作日）</w:t>
      </w:r>
    </w:p>
    <w:p w14:paraId="6854BAF7">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地点：滁州市公共资源交易中心网</w:t>
      </w:r>
    </w:p>
    <w:p w14:paraId="125EF3D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方式：网上下载</w:t>
      </w:r>
    </w:p>
    <w:p w14:paraId="5B037AF6">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5BB2F990">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18" w:name="_Toc28359005"/>
      <w:bookmarkStart w:id="19" w:name="_Toc28359082"/>
      <w:bookmarkStart w:id="20" w:name="_Toc35393793"/>
      <w:bookmarkStart w:id="21" w:name="_Toc18791"/>
      <w:bookmarkStart w:id="22" w:name="_Toc35393624"/>
      <w:r>
        <w:rPr>
          <w:rFonts w:hint="eastAsia" w:ascii="宋体" w:hAnsi="宋体" w:eastAsia="宋体" w:cs="宋体"/>
          <w:b/>
          <w:bCs/>
          <w:sz w:val="24"/>
          <w:szCs w:val="24"/>
          <w:highlight w:val="none"/>
        </w:rPr>
        <w:t>四、提交投标文件</w:t>
      </w:r>
      <w:bookmarkEnd w:id="18"/>
      <w:bookmarkEnd w:id="19"/>
      <w:r>
        <w:rPr>
          <w:rFonts w:hint="eastAsia" w:ascii="宋体" w:hAnsi="宋体" w:eastAsia="宋体" w:cs="宋体"/>
          <w:b/>
          <w:bCs/>
          <w:sz w:val="24"/>
          <w:szCs w:val="24"/>
          <w:highlight w:val="none"/>
        </w:rPr>
        <w:t>截止时间、开标时间和地点</w:t>
      </w:r>
      <w:bookmarkEnd w:id="20"/>
      <w:bookmarkEnd w:id="21"/>
      <w:bookmarkEnd w:id="22"/>
    </w:p>
    <w:p w14:paraId="06C60789">
      <w:pPr>
        <w:pageBreakBefore w:val="0"/>
        <w:kinsoku/>
        <w:overflowPunct/>
        <w:topLinePunct w:val="0"/>
        <w:bidi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u w:val="single"/>
          <w:lang w:eastAsia="zh-CN"/>
        </w:rPr>
        <w:t>2025年9月</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lang w:eastAsia="zh-CN"/>
        </w:rPr>
        <w:t>日</w:t>
      </w:r>
      <w:r>
        <w:rPr>
          <w:rFonts w:hint="eastAsia" w:ascii="宋体" w:hAnsi="宋体" w:eastAsia="宋体" w:cs="宋体"/>
          <w:bCs/>
          <w:sz w:val="24"/>
          <w:szCs w:val="24"/>
          <w:highlight w:val="none"/>
          <w:u w:val="single"/>
        </w:rPr>
        <w:t>08点00分</w:t>
      </w:r>
      <w:r>
        <w:rPr>
          <w:rFonts w:hint="eastAsia" w:ascii="宋体" w:hAnsi="宋体" w:eastAsia="宋体" w:cs="宋体"/>
          <w:bCs/>
          <w:sz w:val="24"/>
          <w:szCs w:val="24"/>
          <w:highlight w:val="none"/>
        </w:rPr>
        <w:t>（北京时间）</w:t>
      </w:r>
      <w:r>
        <w:rPr>
          <w:rFonts w:hint="eastAsia" w:ascii="宋体" w:hAnsi="宋体" w:eastAsia="宋体" w:cs="宋体"/>
          <w:iCs/>
          <w:sz w:val="24"/>
          <w:szCs w:val="24"/>
          <w:highlight w:val="none"/>
          <w:u w:val="single"/>
        </w:rPr>
        <w:t>（自招标文件开始发出之日起至供应商提交投标文件截止之日止，不得少于20日）</w:t>
      </w:r>
    </w:p>
    <w:p w14:paraId="6D49C86F">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rPr>
        <w:t>滁州市公共资源交易中心网</w:t>
      </w:r>
    </w:p>
    <w:p w14:paraId="0E97FCB7">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23" w:name="_Toc14464"/>
      <w:bookmarkStart w:id="24" w:name="_Toc28359084"/>
      <w:bookmarkStart w:id="25" w:name="_Toc35393625"/>
      <w:bookmarkStart w:id="26" w:name="_Toc28359007"/>
      <w:bookmarkStart w:id="27" w:name="_Toc35393794"/>
      <w:r>
        <w:rPr>
          <w:rFonts w:hint="eastAsia" w:ascii="宋体" w:hAnsi="宋体" w:eastAsia="宋体" w:cs="宋体"/>
          <w:b/>
          <w:bCs/>
          <w:sz w:val="24"/>
          <w:szCs w:val="24"/>
          <w:highlight w:val="none"/>
        </w:rPr>
        <w:t>五、公告期限</w:t>
      </w:r>
      <w:bookmarkEnd w:id="23"/>
      <w:bookmarkEnd w:id="24"/>
      <w:bookmarkEnd w:id="25"/>
      <w:bookmarkEnd w:id="26"/>
      <w:bookmarkEnd w:id="27"/>
    </w:p>
    <w:p w14:paraId="08E66F8F">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自本公告发布之日起5个工作日。</w:t>
      </w:r>
    </w:p>
    <w:p w14:paraId="69A40173">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28" w:name="_Toc24565"/>
      <w:r>
        <w:rPr>
          <w:rFonts w:hint="eastAsia" w:ascii="宋体" w:hAnsi="宋体" w:eastAsia="宋体" w:cs="宋体"/>
          <w:b/>
          <w:bCs/>
          <w:sz w:val="24"/>
          <w:szCs w:val="24"/>
          <w:highlight w:val="none"/>
        </w:rPr>
        <w:t>六、投标保证金金额及缴纳账户</w:t>
      </w:r>
      <w:bookmarkEnd w:id="28"/>
    </w:p>
    <w:p w14:paraId="27C1E764">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bookmarkStart w:id="29" w:name="_Toc35393795"/>
      <w:bookmarkStart w:id="30" w:name="_Toc35393626"/>
      <w:r>
        <w:rPr>
          <w:rFonts w:hint="eastAsia" w:ascii="宋体" w:hAnsi="宋体" w:eastAsia="宋体" w:cs="宋体"/>
          <w:sz w:val="24"/>
          <w:szCs w:val="24"/>
          <w:highlight w:val="none"/>
        </w:rPr>
        <w:t>是否要求投标人提交投标保证金：不要求。</w:t>
      </w:r>
    </w:p>
    <w:p w14:paraId="2E6F842E">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31" w:name="_Toc4931"/>
      <w:r>
        <w:rPr>
          <w:rFonts w:hint="eastAsia" w:ascii="宋体" w:hAnsi="宋体" w:eastAsia="宋体" w:cs="宋体"/>
          <w:b/>
          <w:bCs/>
          <w:sz w:val="24"/>
          <w:szCs w:val="24"/>
          <w:highlight w:val="none"/>
        </w:rPr>
        <w:t>七、其他补充事宜</w:t>
      </w:r>
      <w:bookmarkEnd w:id="29"/>
      <w:bookmarkEnd w:id="30"/>
      <w:bookmarkEnd w:id="31"/>
    </w:p>
    <w:p w14:paraId="25D4D1E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w:t>
      </w:r>
    </w:p>
    <w:p w14:paraId="5967F04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关服务电话：①安徽省公共资源交易市场主体库使用相关问题（系统登录、信息登记、录入及提交、数字证书关联等）：010-86483801转5-2；②CA数字证书有关问题：安徽CA客服400-880-4959、0550-3019013（工作日），CFCA客服025-66085508 、0550-3801669（工作日）；③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C365DD2">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2.请投标人登录滁州市公共资源交易中心网站查看参加本项目的程序（具体操作步骤和程序请参见服务指南&lt;交易须知&gt;投标人填写投标信息、下载文件及网上提问操作手册）。</w:t>
      </w:r>
    </w:p>
    <w:p w14:paraId="0D079F12">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5F4F282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7F400EB3">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32" w:name="_Toc9350"/>
      <w:r>
        <w:rPr>
          <w:rFonts w:hint="eastAsia" w:ascii="宋体" w:hAnsi="宋体" w:eastAsia="宋体" w:cs="宋体"/>
          <w:b/>
          <w:bCs/>
          <w:sz w:val="24"/>
          <w:szCs w:val="24"/>
          <w:highlight w:val="none"/>
        </w:rPr>
        <w:t>八、对本次招标提出询问，请按以下方式联系</w:t>
      </w:r>
      <w:bookmarkEnd w:id="32"/>
    </w:p>
    <w:p w14:paraId="1BC9FD5C">
      <w:pPr>
        <w:pageBreakBefore w:val="0"/>
        <w:widowControl/>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629FCD6D">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eastAsia="zh-CN"/>
        </w:rPr>
        <w:t>滁州市公路管理服务中心</w:t>
      </w:r>
    </w:p>
    <w:p w14:paraId="5447D659">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eastAsia="zh-CN"/>
        </w:rPr>
        <w:t>滁州市龙蟠大道200号</w:t>
      </w:r>
    </w:p>
    <w:p w14:paraId="063FF7C0">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eastAsia="zh-CN"/>
        </w:rPr>
        <w:t>陆艳</w:t>
      </w:r>
    </w:p>
    <w:p w14:paraId="41BD72AF">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eastAsia="zh-CN"/>
        </w:rPr>
        <w:t xml:space="preserve">0550-3218735 </w:t>
      </w:r>
    </w:p>
    <w:p w14:paraId="5A37347A">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F2F02CD">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滁州市城投工程咨询管理有限公司</w:t>
      </w:r>
    </w:p>
    <w:p w14:paraId="60E9D7E2">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滁州市龙蟠大道109号房产大厦6楼</w:t>
      </w:r>
    </w:p>
    <w:p w14:paraId="01A8FAC9">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eastAsia="zh-CN"/>
        </w:rPr>
        <w:t>曹思敏</w:t>
      </w:r>
    </w:p>
    <w:p w14:paraId="2376F7CD">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eastAsia="zh-CN"/>
        </w:rPr>
        <w:t>0550-3519516、18712012204</w:t>
      </w:r>
    </w:p>
    <w:p w14:paraId="42AA9DFF">
      <w:pPr>
        <w:pageBreakBefore w:val="0"/>
        <w:widowControl/>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3.政府采购监督管理部门信息</w:t>
      </w:r>
    </w:p>
    <w:p w14:paraId="60639403">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滁州市公共资源交易监督管理局</w:t>
      </w:r>
    </w:p>
    <w:p w14:paraId="5718632B">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滁州市龙蟠大道109号房产大厦三楼</w:t>
      </w:r>
    </w:p>
    <w:p w14:paraId="4396A1AA">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0550-3801656</w:t>
      </w:r>
    </w:p>
    <w:p w14:paraId="055BBD7C">
      <w:pPr>
        <w:ind w:firstLine="480" w:firstLineChars="200"/>
        <w:jc w:val="left"/>
        <w:rPr>
          <w:rFonts w:hint="eastAsia" w:ascii="宋体" w:hAnsi="宋体" w:eastAsia="宋体" w:cs="宋体"/>
          <w:color w:val="0000FF"/>
          <w:sz w:val="24"/>
          <w:szCs w:val="18"/>
          <w:highlight w:val="none"/>
          <w:u w:val="single"/>
        </w:rPr>
      </w:pPr>
    </w:p>
    <w:p w14:paraId="193E16EE">
      <w:pPr>
        <w:ind w:firstLine="480" w:firstLineChars="200"/>
        <w:jc w:val="left"/>
        <w:rPr>
          <w:rFonts w:hint="eastAsia" w:ascii="宋体" w:hAnsi="宋体" w:eastAsia="宋体" w:cs="宋体"/>
          <w:sz w:val="24"/>
          <w:szCs w:val="18"/>
          <w:highlight w:val="none"/>
        </w:rPr>
      </w:pPr>
      <w:r>
        <w:rPr>
          <w:rFonts w:hint="eastAsia" w:ascii="宋体" w:hAnsi="宋体" w:eastAsia="宋体" w:cs="宋体"/>
          <w:sz w:val="24"/>
          <w:szCs w:val="18"/>
          <w:highlight w:val="none"/>
        </w:rPr>
        <w:br w:type="page"/>
      </w:r>
    </w:p>
    <w:p w14:paraId="520A13A1">
      <w:pPr>
        <w:spacing w:line="360" w:lineRule="auto"/>
        <w:jc w:val="center"/>
        <w:outlineLvl w:val="0"/>
        <w:rPr>
          <w:rFonts w:hint="eastAsia" w:ascii="宋体" w:hAnsi="宋体" w:eastAsia="宋体" w:cs="宋体"/>
          <w:b/>
          <w:sz w:val="28"/>
          <w:highlight w:val="none"/>
        </w:rPr>
      </w:pPr>
      <w:bookmarkStart w:id="33" w:name="_Toc13994"/>
      <w:r>
        <w:rPr>
          <w:rFonts w:hint="eastAsia" w:ascii="宋体" w:hAnsi="宋体" w:eastAsia="宋体" w:cs="宋体"/>
          <w:b/>
          <w:sz w:val="28"/>
          <w:highlight w:val="none"/>
        </w:rPr>
        <w:t>第二章  投标人须知</w:t>
      </w:r>
      <w:bookmarkEnd w:id="33"/>
    </w:p>
    <w:p w14:paraId="3DF411CE">
      <w:pPr>
        <w:spacing w:line="360" w:lineRule="auto"/>
        <w:jc w:val="center"/>
        <w:outlineLvl w:val="1"/>
        <w:rPr>
          <w:rFonts w:hint="eastAsia" w:ascii="宋体" w:hAnsi="宋体" w:eastAsia="宋体" w:cs="宋体"/>
          <w:b/>
          <w:sz w:val="24"/>
          <w:highlight w:val="none"/>
        </w:rPr>
      </w:pPr>
      <w:bookmarkStart w:id="34" w:name="_Toc13589"/>
      <w:bookmarkStart w:id="35" w:name="_Toc7178"/>
      <w:bookmarkStart w:id="36" w:name="_Toc6177"/>
      <w:r>
        <w:rPr>
          <w:rFonts w:hint="eastAsia" w:ascii="宋体" w:hAnsi="宋体" w:eastAsia="宋体" w:cs="宋体"/>
          <w:b/>
          <w:sz w:val="24"/>
          <w:highlight w:val="none"/>
        </w:rPr>
        <w:t>一、投标人须知前附表</w:t>
      </w:r>
      <w:bookmarkEnd w:id="34"/>
      <w:bookmarkEnd w:id="35"/>
      <w:bookmarkEnd w:id="36"/>
    </w:p>
    <w:p w14:paraId="0AE9F5B2">
      <w:pPr>
        <w:spacing w:line="360" w:lineRule="auto"/>
        <w:ind w:firstLine="435"/>
        <w:rPr>
          <w:rFonts w:hint="eastAsia" w:ascii="宋体" w:hAnsi="宋体" w:eastAsia="宋体" w:cs="宋体"/>
          <w:sz w:val="24"/>
          <w:szCs w:val="18"/>
          <w:highlight w:val="none"/>
        </w:rPr>
      </w:pPr>
      <w:r>
        <w:rPr>
          <w:rFonts w:hint="eastAsia" w:ascii="宋体" w:hAnsi="宋体" w:eastAsia="宋体" w:cs="宋体"/>
          <w:b/>
          <w:bCs/>
          <w:sz w:val="24"/>
          <w:szCs w:val="18"/>
          <w:highlight w:val="none"/>
        </w:rPr>
        <w:t>注：</w:t>
      </w:r>
      <w:r>
        <w:rPr>
          <w:rFonts w:hint="eastAsia" w:ascii="宋体" w:hAnsi="宋体" w:eastAsia="宋体" w:cs="宋体"/>
          <w:sz w:val="24"/>
          <w:szCs w:val="18"/>
          <w:highlight w:val="none"/>
        </w:rPr>
        <w:t>本表是本项目的具体要求，是对投标人须知的具体补充和修改，如有不一致，以本表为准。</w:t>
      </w:r>
    </w:p>
    <w:tbl>
      <w:tblPr>
        <w:tblStyle w:val="2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3"/>
        <w:gridCol w:w="5621"/>
      </w:tblGrid>
      <w:tr w14:paraId="5ABA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057A7B6">
            <w:pPr>
              <w:pStyle w:val="47"/>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条款号</w:t>
            </w:r>
          </w:p>
        </w:tc>
        <w:tc>
          <w:tcPr>
            <w:tcW w:w="1174" w:type="pct"/>
            <w:vAlign w:val="center"/>
          </w:tcPr>
          <w:p w14:paraId="3A2CD178">
            <w:pPr>
              <w:pStyle w:val="47"/>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条款名称</w:t>
            </w:r>
          </w:p>
        </w:tc>
        <w:tc>
          <w:tcPr>
            <w:tcW w:w="3246" w:type="pct"/>
            <w:vAlign w:val="center"/>
          </w:tcPr>
          <w:p w14:paraId="276CCF90">
            <w:pPr>
              <w:pStyle w:val="47"/>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内容、说明与要求</w:t>
            </w:r>
          </w:p>
        </w:tc>
      </w:tr>
      <w:tr w14:paraId="052D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0E2EA97">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5.2</w:t>
            </w:r>
          </w:p>
        </w:tc>
        <w:tc>
          <w:tcPr>
            <w:tcW w:w="1174" w:type="pct"/>
            <w:vAlign w:val="center"/>
          </w:tcPr>
          <w:p w14:paraId="6AF4AF25">
            <w:pPr>
              <w:pStyle w:val="47"/>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kern w:val="2"/>
                <w:sz w:val="24"/>
                <w:szCs w:val="22"/>
                <w:highlight w:val="none"/>
              </w:rPr>
              <w:t>现场考察或标前答疑会</w:t>
            </w:r>
          </w:p>
        </w:tc>
        <w:tc>
          <w:tcPr>
            <w:tcW w:w="3246" w:type="pct"/>
            <w:vAlign w:val="center"/>
          </w:tcPr>
          <w:p w14:paraId="1ACC0E7D">
            <w:pPr>
              <w:spacing w:line="440" w:lineRule="exact"/>
              <w:rPr>
                <w:rFonts w:hint="eastAsia" w:ascii="宋体" w:hAnsi="宋体" w:eastAsia="宋体" w:cs="宋体"/>
                <w:bCs/>
                <w:sz w:val="24"/>
                <w:highlight w:val="none"/>
              </w:rPr>
            </w:pPr>
            <w:r>
              <w:rPr>
                <w:rFonts w:hint="eastAsia" w:ascii="宋体" w:hAnsi="宋体" w:eastAsia="宋体" w:cs="宋体"/>
                <w:bCs/>
                <w:sz w:val="24"/>
                <w:szCs w:val="24"/>
                <w:highlight w:val="none"/>
              </w:rPr>
              <w:t>☑</w:t>
            </w:r>
            <w:r>
              <w:rPr>
                <w:rFonts w:hint="eastAsia" w:ascii="宋体" w:hAnsi="宋体" w:eastAsia="宋体" w:cs="宋体"/>
                <w:sz w:val="24"/>
                <w:highlight w:val="none"/>
              </w:rPr>
              <w:t>不组织或不召开</w:t>
            </w:r>
          </w:p>
          <w:p w14:paraId="36DD95A2">
            <w:pPr>
              <w:spacing w:line="440" w:lineRule="exact"/>
              <w:rPr>
                <w:rFonts w:hint="eastAsia" w:ascii="宋体" w:hAnsi="宋体" w:eastAsia="宋体" w:cs="宋体"/>
                <w:bCs/>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统一组织或统一召开</w:t>
            </w:r>
          </w:p>
          <w:p w14:paraId="51DC761D">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时间：</w:t>
            </w:r>
            <w:r>
              <w:rPr>
                <w:rFonts w:hint="eastAsia" w:ascii="宋体" w:hAnsi="宋体" w:eastAsia="宋体" w:cs="宋体"/>
                <w:bCs/>
                <w:sz w:val="24"/>
                <w:highlight w:val="none"/>
                <w:u w:val="single"/>
              </w:rPr>
              <w:t>/</w:t>
            </w:r>
            <w:r>
              <w:rPr>
                <w:rFonts w:hint="eastAsia" w:ascii="宋体" w:hAnsi="宋体" w:eastAsia="宋体" w:cs="宋体"/>
                <w:bCs/>
                <w:sz w:val="24"/>
                <w:highlight w:val="none"/>
              </w:rPr>
              <w:t>年</w:t>
            </w:r>
            <w:r>
              <w:rPr>
                <w:rFonts w:hint="eastAsia" w:ascii="宋体" w:hAnsi="宋体" w:eastAsia="宋体" w:cs="宋体"/>
                <w:bCs/>
                <w:sz w:val="24"/>
                <w:highlight w:val="none"/>
                <w:u w:val="single"/>
              </w:rPr>
              <w:t>/</w:t>
            </w:r>
            <w:r>
              <w:rPr>
                <w:rFonts w:hint="eastAsia" w:ascii="宋体" w:hAnsi="宋体" w:eastAsia="宋体" w:cs="宋体"/>
                <w:bCs/>
                <w:sz w:val="24"/>
                <w:highlight w:val="none"/>
              </w:rPr>
              <w:t>月</w:t>
            </w:r>
            <w:r>
              <w:rPr>
                <w:rFonts w:hint="eastAsia" w:ascii="宋体" w:hAnsi="宋体" w:eastAsia="宋体" w:cs="宋体"/>
                <w:bCs/>
                <w:sz w:val="24"/>
                <w:highlight w:val="none"/>
                <w:u w:val="single"/>
              </w:rPr>
              <w:t>/</w:t>
            </w:r>
            <w:r>
              <w:rPr>
                <w:rFonts w:hint="eastAsia" w:ascii="宋体" w:hAnsi="宋体" w:eastAsia="宋体" w:cs="宋体"/>
                <w:bCs/>
                <w:sz w:val="24"/>
                <w:highlight w:val="none"/>
              </w:rPr>
              <w:t>日</w:t>
            </w:r>
            <w:r>
              <w:rPr>
                <w:rFonts w:hint="eastAsia" w:ascii="宋体" w:hAnsi="宋体" w:eastAsia="宋体" w:cs="宋体"/>
                <w:bCs/>
                <w:sz w:val="24"/>
                <w:highlight w:val="none"/>
                <w:u w:val="single"/>
              </w:rPr>
              <w:t>/</w:t>
            </w:r>
            <w:r>
              <w:rPr>
                <w:rFonts w:hint="eastAsia" w:ascii="宋体" w:hAnsi="宋体" w:eastAsia="宋体" w:cs="宋体"/>
                <w:bCs/>
                <w:sz w:val="24"/>
                <w:highlight w:val="none"/>
              </w:rPr>
              <w:t>时</w:t>
            </w:r>
            <w:r>
              <w:rPr>
                <w:rFonts w:hint="eastAsia" w:ascii="宋体" w:hAnsi="宋体" w:eastAsia="宋体" w:cs="宋体"/>
                <w:bCs/>
                <w:sz w:val="24"/>
                <w:highlight w:val="none"/>
                <w:u w:val="single"/>
              </w:rPr>
              <w:t>/</w:t>
            </w:r>
            <w:r>
              <w:rPr>
                <w:rFonts w:hint="eastAsia" w:ascii="宋体" w:hAnsi="宋体" w:eastAsia="宋体" w:cs="宋体"/>
                <w:bCs/>
                <w:sz w:val="24"/>
                <w:highlight w:val="none"/>
              </w:rPr>
              <w:t>分</w:t>
            </w:r>
          </w:p>
          <w:p w14:paraId="0B3239F6">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地点：</w:t>
            </w:r>
            <w:r>
              <w:rPr>
                <w:rFonts w:hint="eastAsia" w:ascii="宋体" w:hAnsi="宋体" w:eastAsia="宋体" w:cs="宋体"/>
                <w:bCs/>
                <w:sz w:val="24"/>
                <w:highlight w:val="none"/>
                <w:u w:val="single"/>
              </w:rPr>
              <w:t>/</w:t>
            </w:r>
          </w:p>
          <w:p w14:paraId="7DB66211">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联系人及联系电话：</w:t>
            </w:r>
            <w:r>
              <w:rPr>
                <w:rFonts w:hint="eastAsia" w:ascii="宋体" w:hAnsi="宋体" w:eastAsia="宋体" w:cs="宋体"/>
                <w:bCs/>
                <w:sz w:val="24"/>
                <w:highlight w:val="none"/>
                <w:u w:val="single"/>
              </w:rPr>
              <w:t xml:space="preserve">/ </w:t>
            </w:r>
          </w:p>
          <w:p w14:paraId="2CE8EB7D">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Cs w:val="0"/>
                <w:sz w:val="24"/>
                <w:highlight w:val="none"/>
              </w:rPr>
              <w:t>注：如投标人未参加采购人统一组织的现场考察或采购人统一召开的标前答疑会，视同放弃现场考察或标前答疑会，由此引起的一切责任由投标人自行承担。</w:t>
            </w:r>
          </w:p>
        </w:tc>
      </w:tr>
      <w:tr w14:paraId="3354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76ECC46">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6.1</w:t>
            </w:r>
          </w:p>
        </w:tc>
        <w:tc>
          <w:tcPr>
            <w:tcW w:w="1174" w:type="pct"/>
            <w:vAlign w:val="center"/>
          </w:tcPr>
          <w:p w14:paraId="10031B52">
            <w:pPr>
              <w:pStyle w:val="47"/>
              <w:widowControl w:val="0"/>
              <w:spacing w:before="0" w:beforeAutospacing="0" w:after="0" w:afterAutospacing="0" w:line="440" w:lineRule="exact"/>
              <w:jc w:val="left"/>
              <w:rPr>
                <w:rFonts w:hint="eastAsia" w:ascii="宋体" w:hAnsi="宋体" w:eastAsia="宋体" w:cs="宋体"/>
                <w:b w:val="0"/>
                <w:color w:val="0000FF"/>
                <w:sz w:val="24"/>
                <w:highlight w:val="none"/>
              </w:rPr>
            </w:pPr>
            <w:r>
              <w:rPr>
                <w:rFonts w:hint="eastAsia" w:ascii="宋体" w:hAnsi="宋体" w:eastAsia="宋体" w:cs="宋体"/>
                <w:b w:val="0"/>
                <w:bCs w:val="0"/>
                <w:color w:val="000000"/>
                <w:sz w:val="24"/>
                <w:szCs w:val="24"/>
                <w:highlight w:val="none"/>
                <w:lang w:bidi="ar"/>
              </w:rPr>
              <w:t>网上询问截止时间</w:t>
            </w:r>
          </w:p>
        </w:tc>
        <w:tc>
          <w:tcPr>
            <w:tcW w:w="3246" w:type="pct"/>
            <w:vAlign w:val="center"/>
          </w:tcPr>
          <w:p w14:paraId="2EDAE4E4">
            <w:pPr>
              <w:widowControl/>
              <w:spacing w:line="440" w:lineRule="exact"/>
              <w:jc w:val="left"/>
              <w:rPr>
                <w:rFonts w:hint="eastAsia" w:ascii="宋体" w:hAnsi="宋体" w:eastAsia="宋体" w:cs="宋体"/>
                <w:color w:val="0000FF"/>
                <w:sz w:val="24"/>
                <w:highlight w:val="none"/>
              </w:rPr>
            </w:pPr>
            <w:r>
              <w:rPr>
                <w:rFonts w:hint="eastAsia" w:ascii="宋体" w:hAnsi="宋体" w:eastAsia="宋体" w:cs="宋体"/>
                <w:sz w:val="24"/>
                <w:highlight w:val="none"/>
                <w:u w:val="single"/>
                <w:lang w:eastAsia="zh-CN"/>
              </w:rPr>
              <w:t>2025年</w:t>
            </w:r>
            <w:r>
              <w:rPr>
                <w:rFonts w:hint="eastAsia" w:ascii="宋体" w:hAnsi="宋体" w:eastAsia="宋体" w:cs="宋体"/>
                <w:sz w:val="24"/>
                <w:highlight w:val="none"/>
                <w:u w:val="single"/>
                <w:lang w:val="en-US" w:eastAsia="zh-CN"/>
              </w:rPr>
              <w:t>8</w:t>
            </w:r>
            <w:r>
              <w:rPr>
                <w:rFonts w:hint="eastAsia" w:ascii="宋体" w:hAnsi="宋体" w:eastAsia="宋体" w:cs="宋体"/>
                <w:sz w:val="24"/>
                <w:highlight w:val="none"/>
                <w:u w:val="single"/>
                <w:lang w:eastAsia="zh-CN"/>
              </w:rPr>
              <w:t>月</w:t>
            </w:r>
            <w:r>
              <w:rPr>
                <w:rFonts w:hint="eastAsia" w:ascii="宋体" w:hAnsi="宋体" w:eastAsia="宋体" w:cs="宋体"/>
                <w:sz w:val="24"/>
                <w:highlight w:val="none"/>
                <w:u w:val="single"/>
                <w:lang w:val="en-US" w:eastAsia="zh-CN"/>
              </w:rPr>
              <w:t>19</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u w:val="single"/>
              </w:rPr>
              <w:t>17</w:t>
            </w:r>
            <w:r>
              <w:rPr>
                <w:rFonts w:hint="eastAsia" w:ascii="宋体" w:hAnsi="宋体" w:eastAsia="宋体" w:cs="宋体"/>
                <w:sz w:val="24"/>
                <w:highlight w:val="none"/>
              </w:rPr>
              <w:t>时</w:t>
            </w:r>
            <w:r>
              <w:rPr>
                <w:rFonts w:hint="eastAsia" w:ascii="宋体" w:hAnsi="宋体" w:eastAsia="宋体" w:cs="宋体"/>
                <w:sz w:val="24"/>
                <w:highlight w:val="none"/>
                <w:u w:val="single"/>
              </w:rPr>
              <w:t>30</w:t>
            </w:r>
            <w:r>
              <w:rPr>
                <w:rFonts w:hint="eastAsia" w:ascii="宋体" w:hAnsi="宋体" w:eastAsia="宋体" w:cs="宋体"/>
                <w:sz w:val="24"/>
                <w:highlight w:val="none"/>
              </w:rPr>
              <w:t>分</w:t>
            </w:r>
          </w:p>
        </w:tc>
      </w:tr>
      <w:tr w14:paraId="32B6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701A626">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7.1</w:t>
            </w:r>
          </w:p>
        </w:tc>
        <w:tc>
          <w:tcPr>
            <w:tcW w:w="1174" w:type="pct"/>
            <w:vAlign w:val="center"/>
          </w:tcPr>
          <w:p w14:paraId="63E50A7C">
            <w:pPr>
              <w:pStyle w:val="47"/>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sz w:val="24"/>
                <w:highlight w:val="none"/>
              </w:rPr>
              <w:t>包别划分</w:t>
            </w:r>
          </w:p>
        </w:tc>
        <w:tc>
          <w:tcPr>
            <w:tcW w:w="3246" w:type="pct"/>
            <w:vAlign w:val="center"/>
          </w:tcPr>
          <w:p w14:paraId="246AFC21">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rPr>
              <w:t xml:space="preserve">不分包     </w:t>
            </w:r>
            <w:r>
              <w:rPr>
                <w:rFonts w:hint="eastAsia" w:ascii="宋体" w:hAnsi="宋体" w:eastAsia="宋体" w:cs="宋体"/>
                <w:b w:val="0"/>
                <w:sz w:val="24"/>
                <w:highlight w:val="none"/>
                <w:lang w:eastAsia="zh-CN"/>
              </w:rPr>
              <w:t>□</w:t>
            </w:r>
            <w:r>
              <w:rPr>
                <w:rFonts w:hint="eastAsia" w:ascii="宋体" w:hAnsi="宋体" w:eastAsia="宋体" w:cs="宋体"/>
                <w:b w:val="0"/>
                <w:sz w:val="24"/>
                <w:highlight w:val="none"/>
              </w:rPr>
              <w:t>分为</w:t>
            </w:r>
            <w:r>
              <w:rPr>
                <w:rFonts w:hint="eastAsia" w:ascii="宋体" w:hAnsi="宋体" w:eastAsia="宋体" w:cs="宋体"/>
                <w:b w:val="0"/>
                <w:sz w:val="24"/>
                <w:highlight w:val="none"/>
                <w:lang w:val="en-US" w:eastAsia="zh-CN"/>
              </w:rPr>
              <w:t xml:space="preserve"> </w:t>
            </w:r>
            <w:r>
              <w:rPr>
                <w:rFonts w:hint="eastAsia" w:ascii="宋体" w:hAnsi="宋体" w:eastAsia="宋体" w:cs="宋体"/>
                <w:b w:val="0"/>
                <w:sz w:val="24"/>
                <w:highlight w:val="none"/>
              </w:rPr>
              <w:t>个包</w:t>
            </w:r>
          </w:p>
          <w:p w14:paraId="1E2E476D">
            <w:pPr>
              <w:pStyle w:val="47"/>
              <w:widowControl w:val="0"/>
              <w:spacing w:before="0" w:beforeAutospacing="0" w:after="0" w:afterAutospacing="0" w:line="440" w:lineRule="exact"/>
              <w:jc w:val="both"/>
              <w:rPr>
                <w:rFonts w:hint="eastAsia" w:ascii="宋体" w:hAnsi="宋体" w:eastAsia="宋体" w:cs="宋体"/>
                <w:b w:val="0"/>
                <w:kern w:val="2"/>
                <w:sz w:val="24"/>
                <w:szCs w:val="20"/>
                <w:highlight w:val="none"/>
                <w:u w:val="single"/>
              </w:rPr>
            </w:pPr>
            <w:r>
              <w:rPr>
                <w:rFonts w:hint="eastAsia" w:ascii="宋体" w:hAnsi="宋体" w:eastAsia="宋体" w:cs="宋体"/>
                <w:b w:val="0"/>
                <w:sz w:val="24"/>
                <w:highlight w:val="none"/>
              </w:rPr>
              <w:t>投标人对多个包进行投标的中标包数规定：</w:t>
            </w:r>
            <w:r>
              <w:rPr>
                <w:rFonts w:hint="eastAsia" w:ascii="宋体" w:hAnsi="宋体" w:eastAsia="宋体" w:cs="宋体"/>
                <w:b w:val="0"/>
                <w:kern w:val="2"/>
                <w:sz w:val="24"/>
                <w:szCs w:val="20"/>
                <w:highlight w:val="none"/>
                <w:u w:val="single"/>
                <w:lang w:val="en-US" w:eastAsia="zh-CN"/>
              </w:rPr>
              <w:t>/。</w:t>
            </w:r>
          </w:p>
        </w:tc>
      </w:tr>
      <w:tr w14:paraId="252B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79" w:type="pct"/>
            <w:vAlign w:val="center"/>
          </w:tcPr>
          <w:p w14:paraId="03A6BCFF">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10.1</w:t>
            </w:r>
          </w:p>
        </w:tc>
        <w:tc>
          <w:tcPr>
            <w:tcW w:w="1174" w:type="pct"/>
            <w:vAlign w:val="center"/>
          </w:tcPr>
          <w:p w14:paraId="1EB7DCEC">
            <w:pPr>
              <w:pStyle w:val="47"/>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sz w:val="24"/>
                <w:highlight w:val="none"/>
              </w:rPr>
              <w:t>投标保证金</w:t>
            </w:r>
          </w:p>
        </w:tc>
        <w:tc>
          <w:tcPr>
            <w:tcW w:w="3246" w:type="pct"/>
            <w:vAlign w:val="center"/>
          </w:tcPr>
          <w:p w14:paraId="7BF8D206">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不收取</w:t>
            </w:r>
          </w:p>
        </w:tc>
      </w:tr>
      <w:tr w14:paraId="415C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60535464">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11.1</w:t>
            </w:r>
          </w:p>
        </w:tc>
        <w:tc>
          <w:tcPr>
            <w:tcW w:w="1174" w:type="pct"/>
            <w:vAlign w:val="center"/>
          </w:tcPr>
          <w:p w14:paraId="2C0C40B9">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投标有效期</w:t>
            </w:r>
          </w:p>
        </w:tc>
        <w:tc>
          <w:tcPr>
            <w:tcW w:w="3246" w:type="pct"/>
            <w:vAlign w:val="center"/>
          </w:tcPr>
          <w:p w14:paraId="16224FB0">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u w:val="single"/>
              </w:rPr>
              <w:t>90</w:t>
            </w:r>
            <w:r>
              <w:rPr>
                <w:rFonts w:hint="eastAsia" w:ascii="宋体" w:hAnsi="宋体" w:eastAsia="宋体" w:cs="宋体"/>
                <w:b w:val="0"/>
                <w:sz w:val="24"/>
                <w:highlight w:val="none"/>
              </w:rPr>
              <w:t>日历日</w:t>
            </w:r>
          </w:p>
        </w:tc>
      </w:tr>
      <w:tr w14:paraId="7C26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5537551">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13.1</w:t>
            </w:r>
          </w:p>
        </w:tc>
        <w:tc>
          <w:tcPr>
            <w:tcW w:w="1174" w:type="pct"/>
            <w:vAlign w:val="center"/>
          </w:tcPr>
          <w:p w14:paraId="207A1E42">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投标文件解密时间</w:t>
            </w:r>
          </w:p>
        </w:tc>
        <w:tc>
          <w:tcPr>
            <w:tcW w:w="3246" w:type="pct"/>
            <w:vAlign w:val="center"/>
          </w:tcPr>
          <w:p w14:paraId="2141DF19">
            <w:pPr>
              <w:spacing w:line="440" w:lineRule="exact"/>
              <w:rPr>
                <w:rFonts w:hint="eastAsia" w:ascii="宋体" w:hAnsi="宋体" w:eastAsia="宋体" w:cs="宋体"/>
                <w:bCs/>
                <w:kern w:val="0"/>
                <w:sz w:val="24"/>
                <w:szCs w:val="28"/>
                <w:highlight w:val="none"/>
              </w:rPr>
            </w:pPr>
            <w:r>
              <w:rPr>
                <w:rFonts w:hint="eastAsia" w:ascii="宋体" w:hAnsi="宋体" w:eastAsia="宋体" w:cs="宋体"/>
                <w:sz w:val="24"/>
                <w:highlight w:val="none"/>
              </w:rPr>
              <w:t>投标截止时间后</w:t>
            </w:r>
            <w:r>
              <w:rPr>
                <w:rFonts w:hint="eastAsia" w:ascii="宋体" w:hAnsi="宋体" w:eastAsia="宋体" w:cs="宋体"/>
                <w:bCs/>
                <w:kern w:val="0"/>
                <w:sz w:val="24"/>
                <w:szCs w:val="28"/>
                <w:highlight w:val="none"/>
              </w:rPr>
              <w:t>60分钟内（以本项目网上招投标系统解密倒计时为准）</w:t>
            </w:r>
          </w:p>
        </w:tc>
      </w:tr>
      <w:tr w14:paraId="0661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2EF373A">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14.1</w:t>
            </w:r>
          </w:p>
        </w:tc>
        <w:tc>
          <w:tcPr>
            <w:tcW w:w="1174" w:type="pct"/>
            <w:vAlign w:val="center"/>
          </w:tcPr>
          <w:p w14:paraId="678CDF0F">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资格审查</w:t>
            </w:r>
          </w:p>
        </w:tc>
        <w:tc>
          <w:tcPr>
            <w:tcW w:w="3246" w:type="pct"/>
            <w:vAlign w:val="center"/>
          </w:tcPr>
          <w:p w14:paraId="64B78A1E">
            <w:pPr>
              <w:pStyle w:val="47"/>
              <w:widowControl w:val="0"/>
              <w:spacing w:before="0" w:beforeAutospacing="0" w:after="0" w:afterAutospacing="0" w:line="440" w:lineRule="exact"/>
              <w:jc w:val="both"/>
              <w:rPr>
                <w:rFonts w:hint="eastAsia" w:ascii="宋体" w:hAnsi="宋体" w:eastAsia="宋体" w:cs="宋体"/>
                <w:b w:val="0"/>
                <w:bCs w:val="0"/>
                <w:sz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highlight w:val="none"/>
              </w:rPr>
              <w:t>采购人审查</w:t>
            </w:r>
          </w:p>
          <w:p w14:paraId="30C09D4C">
            <w:pPr>
              <w:pStyle w:val="47"/>
              <w:widowControl w:val="0"/>
              <w:spacing w:before="0" w:beforeAutospacing="0" w:after="0" w:afterAutospacing="0" w:line="440" w:lineRule="exact"/>
              <w:jc w:val="both"/>
              <w:rPr>
                <w:rFonts w:hint="eastAsia" w:ascii="宋体" w:hAnsi="宋体" w:eastAsia="宋体" w:cs="宋体"/>
                <w:b w:val="0"/>
                <w:sz w:val="24"/>
                <w:highlight w:val="none"/>
                <w:u w:val="singl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highlight w:val="none"/>
              </w:rPr>
              <w:t>采购人出具委托函委托采购代理机构进行审查</w:t>
            </w:r>
          </w:p>
        </w:tc>
      </w:tr>
      <w:tr w14:paraId="24FD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E46A517">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17.2</w:t>
            </w:r>
          </w:p>
        </w:tc>
        <w:tc>
          <w:tcPr>
            <w:tcW w:w="1174" w:type="pct"/>
            <w:vAlign w:val="center"/>
          </w:tcPr>
          <w:p w14:paraId="2B08501E">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评标方法</w:t>
            </w:r>
          </w:p>
        </w:tc>
        <w:tc>
          <w:tcPr>
            <w:tcW w:w="3246" w:type="pct"/>
            <w:vAlign w:val="center"/>
          </w:tcPr>
          <w:p w14:paraId="5EBD7F88">
            <w:pPr>
              <w:pStyle w:val="47"/>
              <w:widowControl w:val="0"/>
              <w:spacing w:before="0" w:beforeAutospacing="0" w:after="0" w:afterAutospacing="0" w:line="440" w:lineRule="exact"/>
              <w:jc w:val="both"/>
              <w:rPr>
                <w:rFonts w:hint="eastAsia" w:ascii="宋体" w:hAnsi="宋体" w:eastAsia="宋体" w:cs="宋体"/>
                <w:b w:val="0"/>
                <w:sz w:val="24"/>
                <w:highlight w:val="none"/>
                <w:u w:val="singl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rPr>
              <w:t>最低评标价法</w:t>
            </w:r>
          </w:p>
          <w:p w14:paraId="5D52F9DD">
            <w:pPr>
              <w:pStyle w:val="47"/>
              <w:widowControl w:val="0"/>
              <w:spacing w:before="0" w:beforeAutospacing="0" w:after="0" w:afterAutospacing="0" w:line="440" w:lineRule="exact"/>
              <w:jc w:val="both"/>
              <w:rPr>
                <w:rFonts w:hint="eastAsia" w:ascii="宋体" w:hAnsi="宋体" w:eastAsia="宋体" w:cs="宋体"/>
                <w:b w:val="0"/>
                <w:sz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lang w:val="en-US" w:eastAsia="zh-CN"/>
              </w:rPr>
              <w:t>综合评分法</w:t>
            </w:r>
          </w:p>
        </w:tc>
      </w:tr>
      <w:tr w14:paraId="4441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CEC49DE">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17.3</w:t>
            </w:r>
          </w:p>
        </w:tc>
        <w:tc>
          <w:tcPr>
            <w:tcW w:w="1174" w:type="pct"/>
            <w:vAlign w:val="center"/>
          </w:tcPr>
          <w:p w14:paraId="74CFA714">
            <w:pPr>
              <w:pStyle w:val="47"/>
              <w:widowControl w:val="0"/>
              <w:spacing w:before="0" w:beforeAutospacing="0" w:after="0" w:afterAutospacing="0" w:line="440" w:lineRule="exact"/>
              <w:jc w:val="both"/>
              <w:rPr>
                <w:rFonts w:hint="eastAsia" w:ascii="宋体" w:hAnsi="宋体" w:eastAsia="宋体" w:cs="宋体"/>
                <w:b w:val="0"/>
                <w:i/>
                <w:sz w:val="24"/>
                <w:highlight w:val="none"/>
              </w:rPr>
            </w:pPr>
            <w:r>
              <w:rPr>
                <w:rFonts w:hint="eastAsia" w:ascii="宋体" w:hAnsi="宋体" w:eastAsia="宋体" w:cs="宋体"/>
                <w:b w:val="0"/>
                <w:sz w:val="24"/>
                <w:highlight w:val="none"/>
              </w:rPr>
              <w:t>报价扣除</w:t>
            </w:r>
            <w:r>
              <w:rPr>
                <w:rFonts w:hint="eastAsia" w:ascii="宋体" w:hAnsi="宋体" w:eastAsia="宋体" w:cs="宋体"/>
                <w:b w:val="0"/>
                <w:i/>
                <w:sz w:val="24"/>
                <w:highlight w:val="none"/>
              </w:rPr>
              <w:t>（非专门面向中小企业采购项目适用）</w:t>
            </w:r>
          </w:p>
        </w:tc>
        <w:tc>
          <w:tcPr>
            <w:tcW w:w="3246" w:type="pct"/>
            <w:vAlign w:val="center"/>
          </w:tcPr>
          <w:p w14:paraId="51978359">
            <w:pPr>
              <w:pStyle w:val="47"/>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 w:val="0"/>
                <w:color w:val="auto"/>
                <w:sz w:val="24"/>
                <w:highlight w:val="none"/>
                <w:u w:val="single"/>
              </w:rPr>
              <w:t>对小型和微型企业的价格给予10%的扣除后参与评审；其评审价=最后投标报价*90%。</w:t>
            </w:r>
          </w:p>
          <w:p w14:paraId="7899898E">
            <w:pPr>
              <w:pStyle w:val="47"/>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3C98F71C">
            <w:pPr>
              <w:pStyle w:val="47"/>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2A52730E">
            <w:pPr>
              <w:pStyle w:val="47"/>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p>
          <w:p w14:paraId="1AA4B6F1">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r>
              <w:rPr>
                <w:rFonts w:hint="eastAsia" w:ascii="宋体" w:hAnsi="宋体" w:eastAsia="宋体" w:cs="宋体"/>
                <w:b w:val="0"/>
                <w:i/>
                <w:color w:val="auto"/>
                <w:sz w:val="24"/>
                <w:highlight w:val="none"/>
              </w:rPr>
              <w:t>（允许大中型企业向小微企业分包的项目适用）</w:t>
            </w:r>
          </w:p>
        </w:tc>
      </w:tr>
      <w:tr w14:paraId="0020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1E76F9F">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21.1</w:t>
            </w:r>
          </w:p>
        </w:tc>
        <w:tc>
          <w:tcPr>
            <w:tcW w:w="1174" w:type="pct"/>
            <w:vAlign w:val="center"/>
          </w:tcPr>
          <w:p w14:paraId="639A38D4">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评标委员会推荐中标候选人的数量</w:t>
            </w:r>
          </w:p>
        </w:tc>
        <w:tc>
          <w:tcPr>
            <w:tcW w:w="3246" w:type="pct"/>
            <w:vAlign w:val="center"/>
          </w:tcPr>
          <w:p w14:paraId="29339DB3">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评标委员会推荐3名中标候选人。</w:t>
            </w:r>
          </w:p>
        </w:tc>
      </w:tr>
      <w:tr w14:paraId="6712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63E9B57">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21.2</w:t>
            </w:r>
          </w:p>
        </w:tc>
        <w:tc>
          <w:tcPr>
            <w:tcW w:w="1174" w:type="pct"/>
            <w:vAlign w:val="center"/>
          </w:tcPr>
          <w:p w14:paraId="57905A76">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确定中标人</w:t>
            </w:r>
          </w:p>
        </w:tc>
        <w:tc>
          <w:tcPr>
            <w:tcW w:w="3246" w:type="pct"/>
            <w:vAlign w:val="center"/>
          </w:tcPr>
          <w:p w14:paraId="38219AB8">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采购人委托评标委员会确定</w:t>
            </w:r>
          </w:p>
          <w:p w14:paraId="35EAA381">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kern w:val="2"/>
                <w:sz w:val="24"/>
                <w:szCs w:val="24"/>
                <w:highlight w:val="none"/>
              </w:rPr>
              <w:t>☑采购人确定</w:t>
            </w:r>
          </w:p>
        </w:tc>
      </w:tr>
      <w:tr w14:paraId="184C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3D24096">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23.3</w:t>
            </w:r>
          </w:p>
        </w:tc>
        <w:tc>
          <w:tcPr>
            <w:tcW w:w="1174" w:type="pct"/>
            <w:vAlign w:val="center"/>
          </w:tcPr>
          <w:p w14:paraId="277B0BEB">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随中标结果公告同时公告的内容</w:t>
            </w:r>
          </w:p>
        </w:tc>
        <w:tc>
          <w:tcPr>
            <w:tcW w:w="3246" w:type="pct"/>
            <w:vAlign w:val="center"/>
          </w:tcPr>
          <w:p w14:paraId="43A357B0">
            <w:pPr>
              <w:pStyle w:val="47"/>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1</w:t>
            </w:r>
            <w:r>
              <w:rPr>
                <w:rFonts w:hint="eastAsia" w:ascii="宋体" w:hAnsi="宋体" w:eastAsia="宋体" w:cs="宋体"/>
                <w:b w:val="0"/>
                <w:color w:val="auto"/>
                <w:sz w:val="24"/>
                <w:highlight w:val="none"/>
                <w:u w:val="none"/>
              </w:rPr>
              <w:t>）中小企业声明函；</w:t>
            </w:r>
            <w:r>
              <w:rPr>
                <w:rFonts w:hint="eastAsia" w:ascii="宋体" w:hAnsi="宋体" w:eastAsia="宋体" w:cs="宋体"/>
                <w:b w:val="0"/>
                <w:i/>
                <w:iCs/>
                <w:color w:val="auto"/>
                <w:sz w:val="24"/>
                <w:highlight w:val="none"/>
                <w:u w:val="none"/>
              </w:rPr>
              <w:t>（如有）</w:t>
            </w:r>
          </w:p>
          <w:p w14:paraId="38513D5C">
            <w:pPr>
              <w:pStyle w:val="47"/>
              <w:widowControl w:val="0"/>
              <w:spacing w:before="0" w:beforeAutospacing="0" w:after="0" w:afterAutospacing="0" w:line="360" w:lineRule="auto"/>
              <w:jc w:val="both"/>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57AB533F">
            <w:pPr>
              <w:pStyle w:val="47"/>
              <w:widowControl w:val="0"/>
              <w:spacing w:before="0" w:beforeAutospacing="0" w:after="0" w:afterAutospacing="0" w:line="360" w:lineRule="auto"/>
              <w:jc w:val="both"/>
              <w:rPr>
                <w:rFonts w:hint="eastAsia" w:ascii="宋体" w:hAnsi="宋体" w:eastAsia="宋体" w:cs="宋体"/>
                <w:b w:val="0"/>
                <w:bCs w:val="0"/>
                <w:sz w:val="24"/>
                <w:szCs w:val="24"/>
                <w:highlight w:val="none"/>
                <w:lang w:eastAsia="zh-CN"/>
              </w:rPr>
            </w:pP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lang w:eastAsia="zh-CN"/>
              </w:rPr>
              <w:t>）中标（成交）供应商的评审总得分。</w:t>
            </w:r>
          </w:p>
        </w:tc>
      </w:tr>
      <w:tr w14:paraId="5295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CEE18CD">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24.1</w:t>
            </w:r>
          </w:p>
        </w:tc>
        <w:tc>
          <w:tcPr>
            <w:tcW w:w="1174" w:type="pct"/>
            <w:vAlign w:val="center"/>
          </w:tcPr>
          <w:p w14:paraId="2022995E">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中标通知书发出的形式</w:t>
            </w:r>
          </w:p>
        </w:tc>
        <w:tc>
          <w:tcPr>
            <w:tcW w:w="3246" w:type="pct"/>
            <w:vAlign w:val="center"/>
          </w:tcPr>
          <w:p w14:paraId="222E2B52">
            <w:pPr>
              <w:pStyle w:val="47"/>
              <w:widowControl w:val="0"/>
              <w:spacing w:before="0" w:beforeAutospacing="0" w:after="0" w:afterAutospacing="0" w:line="44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□书面     </w:t>
            </w:r>
            <w:r>
              <w:rPr>
                <w:rFonts w:hint="eastAsia" w:ascii="宋体" w:hAnsi="宋体" w:eastAsia="宋体" w:cs="宋体"/>
                <w:b w:val="0"/>
                <w:bCs w:val="0"/>
                <w:sz w:val="24"/>
                <w:szCs w:val="24"/>
                <w:highlight w:val="none"/>
              </w:rPr>
              <w:sym w:font="Wingdings" w:char="00FE"/>
            </w:r>
            <w:r>
              <w:rPr>
                <w:rFonts w:hint="eastAsia" w:ascii="宋体" w:hAnsi="宋体" w:eastAsia="宋体" w:cs="宋体"/>
                <w:b w:val="0"/>
                <w:bCs w:val="0"/>
                <w:sz w:val="24"/>
                <w:szCs w:val="24"/>
                <w:highlight w:val="none"/>
              </w:rPr>
              <w:t>数据电文</w:t>
            </w:r>
          </w:p>
        </w:tc>
      </w:tr>
      <w:tr w14:paraId="010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698FE8D">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25.1</w:t>
            </w:r>
          </w:p>
        </w:tc>
        <w:tc>
          <w:tcPr>
            <w:tcW w:w="1174" w:type="pct"/>
            <w:vAlign w:val="center"/>
          </w:tcPr>
          <w:p w14:paraId="6CD0FE12">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告知招标结果的形式</w:t>
            </w:r>
          </w:p>
        </w:tc>
        <w:tc>
          <w:tcPr>
            <w:tcW w:w="3246" w:type="pct"/>
            <w:vAlign w:val="center"/>
          </w:tcPr>
          <w:p w14:paraId="54AF9CCD">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投标人自行登录电子</w:t>
            </w:r>
            <w:r>
              <w:rPr>
                <w:rFonts w:hint="eastAsia" w:ascii="宋体" w:hAnsi="宋体" w:eastAsia="宋体" w:cs="宋体"/>
                <w:sz w:val="24"/>
                <w:szCs w:val="24"/>
                <w:highlight w:val="none"/>
              </w:rPr>
              <w:t>交易</w:t>
            </w:r>
            <w:r>
              <w:rPr>
                <w:rFonts w:hint="eastAsia" w:ascii="宋体" w:hAnsi="宋体" w:eastAsia="宋体" w:cs="宋体"/>
                <w:kern w:val="0"/>
                <w:sz w:val="24"/>
                <w:szCs w:val="24"/>
                <w:highlight w:val="none"/>
              </w:rPr>
              <w:t>系统查看</w:t>
            </w:r>
          </w:p>
          <w:p w14:paraId="43466603">
            <w:pPr>
              <w:pStyle w:val="47"/>
              <w:widowControl w:val="0"/>
              <w:spacing w:before="0" w:beforeAutospacing="0" w:after="0" w:afterAutospacing="0" w:line="440" w:lineRule="exact"/>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□评标现场告知</w:t>
            </w:r>
          </w:p>
        </w:tc>
      </w:tr>
      <w:tr w14:paraId="07FA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579" w:type="pct"/>
            <w:vAlign w:val="center"/>
          </w:tcPr>
          <w:p w14:paraId="28EECB14">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26.1</w:t>
            </w:r>
          </w:p>
        </w:tc>
        <w:tc>
          <w:tcPr>
            <w:tcW w:w="1174" w:type="pct"/>
            <w:vAlign w:val="center"/>
          </w:tcPr>
          <w:p w14:paraId="1ED2363A">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履约保证金</w:t>
            </w:r>
          </w:p>
        </w:tc>
        <w:tc>
          <w:tcPr>
            <w:tcW w:w="3246" w:type="pct"/>
          </w:tcPr>
          <w:p w14:paraId="76C99903">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（1）金额：</w:t>
            </w:r>
          </w:p>
          <w:p w14:paraId="23DCF075">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☑免收</w:t>
            </w:r>
          </w:p>
          <w:p w14:paraId="6CB66F95">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□合同价的</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w:t>
            </w:r>
          </w:p>
          <w:p w14:paraId="5D043369">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□定额收取：人民币</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元</w:t>
            </w:r>
          </w:p>
          <w:p w14:paraId="04D741C2">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（2）支付方式：</w:t>
            </w:r>
          </w:p>
          <w:p w14:paraId="67AC6A66">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转账/电汇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支票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汇票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本票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保险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保函</w:t>
            </w:r>
          </w:p>
          <w:p w14:paraId="029A0366">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（3）收取单位：</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 xml:space="preserve">              </w:t>
            </w:r>
          </w:p>
          <w:p w14:paraId="3924B5F2">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（4）收取账号：</w:t>
            </w:r>
            <w:r>
              <w:rPr>
                <w:rFonts w:hint="eastAsia" w:ascii="宋体" w:hAnsi="宋体" w:eastAsia="宋体" w:cs="宋体"/>
                <w:bCs/>
                <w:sz w:val="24"/>
                <w:highlight w:val="none"/>
                <w:u w:val="single"/>
              </w:rPr>
              <w:t>/</w:t>
            </w:r>
          </w:p>
          <w:p w14:paraId="78F48A46">
            <w:pPr>
              <w:spacing w:line="440" w:lineRule="exact"/>
              <w:rPr>
                <w:rFonts w:hint="eastAsia" w:ascii="宋体" w:hAnsi="宋体" w:eastAsia="宋体" w:cs="宋体"/>
                <w:sz w:val="24"/>
                <w:highlight w:val="none"/>
              </w:rPr>
            </w:pPr>
            <w:r>
              <w:rPr>
                <w:rFonts w:hint="eastAsia" w:ascii="宋体" w:hAnsi="宋体" w:eastAsia="宋体" w:cs="宋体"/>
                <w:bCs/>
                <w:kern w:val="0"/>
                <w:sz w:val="24"/>
                <w:szCs w:val="28"/>
                <w:highlight w:val="none"/>
              </w:rPr>
              <w:t>（5）</w:t>
            </w:r>
            <w:r>
              <w:rPr>
                <w:rFonts w:hint="eastAsia" w:ascii="宋体" w:hAnsi="宋体" w:eastAsia="宋体" w:cs="宋体"/>
                <w:sz w:val="24"/>
                <w:highlight w:val="none"/>
              </w:rPr>
              <w:t>退还时间：</w:t>
            </w:r>
            <w:r>
              <w:rPr>
                <w:rFonts w:hint="eastAsia" w:ascii="宋体" w:hAnsi="宋体" w:eastAsia="宋体" w:cs="宋体"/>
                <w:bCs/>
                <w:sz w:val="24"/>
                <w:highlight w:val="none"/>
                <w:u w:val="single"/>
              </w:rPr>
              <w:t>/</w:t>
            </w:r>
          </w:p>
          <w:p w14:paraId="59E57514">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注意事项：</w:t>
            </w:r>
          </w:p>
          <w:p w14:paraId="71A93B17">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（1）以上各类机构出具的以担保函、保证保险承担责任的方式均须满足无条件见索即付条件。</w:t>
            </w:r>
          </w:p>
          <w:p w14:paraId="70037CF0">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（2）以担保函、保证保险形式缴纳履约保证金的，受益人和收取单位须为采购人。</w:t>
            </w:r>
          </w:p>
        </w:tc>
      </w:tr>
      <w:tr w14:paraId="3EC0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9" w:type="pct"/>
            <w:vAlign w:val="center"/>
          </w:tcPr>
          <w:p w14:paraId="19AF8508">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27.1</w:t>
            </w:r>
          </w:p>
        </w:tc>
        <w:tc>
          <w:tcPr>
            <w:tcW w:w="1174" w:type="pct"/>
            <w:vAlign w:val="center"/>
          </w:tcPr>
          <w:p w14:paraId="53D06908">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签订合同和合同公告时间</w:t>
            </w:r>
          </w:p>
        </w:tc>
        <w:tc>
          <w:tcPr>
            <w:tcW w:w="3246" w:type="pct"/>
          </w:tcPr>
          <w:p w14:paraId="4B64F011">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（1）采购人与中标人应当自发出中标通知书之日起7个工作日内签订合同，采购合同签订之日起2个工作日内完成政府采购合同公开。</w:t>
            </w:r>
          </w:p>
          <w:p w14:paraId="3ABF6CC7">
            <w:pPr>
              <w:adjustRightInd w:val="0"/>
              <w:snapToGrid w:val="0"/>
              <w:spacing w:line="440" w:lineRule="exact"/>
              <w:rPr>
                <w:rFonts w:hint="eastAsia" w:ascii="宋体" w:hAnsi="宋体" w:eastAsia="宋体" w:cs="宋体"/>
                <w:b/>
                <w:bCs/>
                <w:kern w:val="0"/>
                <w:sz w:val="24"/>
                <w:szCs w:val="24"/>
                <w:highlight w:val="none"/>
              </w:rPr>
            </w:pPr>
            <w:r>
              <w:rPr>
                <w:rFonts w:hint="eastAsia" w:ascii="宋体" w:hAnsi="宋体" w:eastAsia="宋体" w:cs="宋体"/>
                <w:sz w:val="24"/>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33BD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C9F8F45">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28.1</w:t>
            </w:r>
          </w:p>
        </w:tc>
        <w:tc>
          <w:tcPr>
            <w:tcW w:w="1174" w:type="pct"/>
            <w:vAlign w:val="center"/>
          </w:tcPr>
          <w:p w14:paraId="6B3BE956">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代理费用</w:t>
            </w:r>
          </w:p>
        </w:tc>
        <w:tc>
          <w:tcPr>
            <w:tcW w:w="3246" w:type="pct"/>
            <w:vAlign w:val="center"/>
          </w:tcPr>
          <w:p w14:paraId="39BFDE08">
            <w:pPr>
              <w:spacing w:before="39" w:line="440" w:lineRule="exact"/>
              <w:rPr>
                <w:rFonts w:hint="eastAsia" w:ascii="宋体" w:hAnsi="宋体" w:eastAsia="宋体" w:cs="宋体"/>
                <w:sz w:val="24"/>
                <w:szCs w:val="24"/>
                <w:highlight w:val="none"/>
              </w:rPr>
            </w:pPr>
            <w:r>
              <w:rPr>
                <w:rFonts w:hint="eastAsia" w:ascii="宋体" w:hAnsi="宋体" w:eastAsia="宋体" w:cs="宋体"/>
                <w:bCs/>
                <w:kern w:val="0"/>
                <w:sz w:val="24"/>
                <w:szCs w:val="28"/>
                <w:highlight w:val="none"/>
              </w:rPr>
              <w:t>（1）收费对象</w:t>
            </w:r>
            <w:r>
              <w:rPr>
                <w:rFonts w:hint="eastAsia" w:ascii="宋体" w:hAnsi="宋体" w:eastAsia="宋体" w:cs="宋体"/>
                <w:spacing w:val="-12"/>
                <w:sz w:val="24"/>
                <w:szCs w:val="24"/>
                <w:highlight w:val="none"/>
              </w:rPr>
              <w:t>：</w:t>
            </w:r>
            <w:r>
              <w:rPr>
                <w:rFonts w:hint="eastAsia" w:ascii="宋体" w:hAnsi="宋体" w:eastAsia="宋体" w:cs="宋体"/>
                <w:bCs/>
                <w:kern w:val="0"/>
                <w:sz w:val="24"/>
                <w:szCs w:val="28"/>
                <w:highlight w:val="none"/>
              </w:rPr>
              <w:sym w:font="Wingdings" w:char="00A8"/>
            </w:r>
            <w:r>
              <w:rPr>
                <w:rFonts w:hint="eastAsia" w:ascii="宋体" w:hAnsi="宋体" w:eastAsia="宋体" w:cs="宋体"/>
                <w:spacing w:val="14"/>
                <w:sz w:val="24"/>
                <w:szCs w:val="24"/>
                <w:highlight w:val="none"/>
              </w:rPr>
              <w:t xml:space="preserve">采购人   </w:t>
            </w:r>
            <w:r>
              <w:rPr>
                <w:rFonts w:hint="eastAsia" w:ascii="宋体" w:hAnsi="宋体" w:eastAsia="宋体" w:cs="宋体"/>
                <w:bCs/>
                <w:kern w:val="0"/>
                <w:sz w:val="24"/>
                <w:szCs w:val="28"/>
                <w:highlight w:val="none"/>
              </w:rPr>
              <w:sym w:font="Wingdings" w:char="00FE"/>
            </w:r>
            <w:r>
              <w:rPr>
                <w:rFonts w:hint="eastAsia" w:ascii="宋体" w:hAnsi="宋体" w:eastAsia="宋体" w:cs="宋体"/>
                <w:spacing w:val="14"/>
                <w:sz w:val="24"/>
                <w:szCs w:val="24"/>
                <w:highlight w:val="none"/>
              </w:rPr>
              <w:t>中标人</w:t>
            </w:r>
          </w:p>
          <w:p w14:paraId="673B08C4">
            <w:pPr>
              <w:spacing w:before="24"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（2）收取方式</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领取中标通知书时一次性支付给代理机构。</w:t>
            </w:r>
          </w:p>
          <w:p w14:paraId="0D1A2E7A">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sz w:val="24"/>
                <w:highlight w:val="none"/>
              </w:rPr>
              <w:t>（3）</w:t>
            </w:r>
            <w:r>
              <w:rPr>
                <w:rFonts w:hint="eastAsia" w:ascii="宋体" w:hAnsi="宋体" w:eastAsia="宋体" w:cs="宋体"/>
                <w:b w:val="0"/>
                <w:sz w:val="24"/>
                <w:highlight w:val="none"/>
              </w:rPr>
              <w:t>收费标准：</w:t>
            </w:r>
            <w:r>
              <w:rPr>
                <w:rFonts w:hint="eastAsia" w:ascii="宋体" w:hAnsi="宋体" w:eastAsia="宋体" w:cs="宋体"/>
                <w:b w:val="0"/>
                <w:bCs w:val="0"/>
                <w:kern w:val="2"/>
                <w:sz w:val="24"/>
                <w:szCs w:val="24"/>
                <w:highlight w:val="none"/>
                <w:u w:val="single"/>
                <w:lang w:val="en-US" w:eastAsia="zh-CN"/>
              </w:rPr>
              <w:t>3000</w:t>
            </w:r>
            <w:r>
              <w:rPr>
                <w:rFonts w:hint="eastAsia" w:ascii="宋体" w:hAnsi="宋体" w:eastAsia="宋体" w:cs="宋体"/>
                <w:b w:val="0"/>
                <w:bCs w:val="0"/>
                <w:kern w:val="2"/>
                <w:sz w:val="24"/>
                <w:szCs w:val="24"/>
                <w:highlight w:val="none"/>
                <w:u w:val="single"/>
              </w:rPr>
              <w:t>元。参考《滁州市公共资源交易代理机构及从业人员管理暂行办法》滁公管〔2022〕5号，以及补充文件滁公管综〔2023〕19号《关于进一步明确代理费计取标准的通知》标准，以最高限价（控制价）计算。</w:t>
            </w:r>
          </w:p>
        </w:tc>
      </w:tr>
      <w:tr w14:paraId="799E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A28318E">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31.3</w:t>
            </w:r>
          </w:p>
        </w:tc>
        <w:tc>
          <w:tcPr>
            <w:tcW w:w="1174" w:type="pct"/>
            <w:vAlign w:val="center"/>
          </w:tcPr>
          <w:p w14:paraId="5BCD1D04">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质疑函递交方式、接收部门、联系电话和通讯地址</w:t>
            </w:r>
          </w:p>
        </w:tc>
        <w:tc>
          <w:tcPr>
            <w:tcW w:w="3246" w:type="pct"/>
            <w:vAlign w:val="center"/>
          </w:tcPr>
          <w:p w14:paraId="691CB68E">
            <w:pPr>
              <w:widowControl/>
              <w:spacing w:line="440" w:lineRule="exact"/>
              <w:jc w:val="left"/>
              <w:rPr>
                <w:rFonts w:hint="eastAsia" w:ascii="宋体" w:hAnsi="宋体" w:eastAsia="宋体" w:cs="宋体"/>
                <w:bCs/>
                <w:kern w:val="0"/>
                <w:sz w:val="24"/>
                <w:szCs w:val="28"/>
                <w:highlight w:val="none"/>
                <w:u w:val="single"/>
              </w:rPr>
            </w:pPr>
            <w:r>
              <w:rPr>
                <w:rFonts w:hint="eastAsia" w:ascii="宋体" w:hAnsi="宋体" w:eastAsia="宋体" w:cs="宋体"/>
                <w:sz w:val="24"/>
                <w:highlight w:val="none"/>
              </w:rPr>
              <w:t>递交</w:t>
            </w:r>
            <w:r>
              <w:rPr>
                <w:rFonts w:hint="eastAsia" w:ascii="宋体" w:hAnsi="宋体" w:eastAsia="宋体" w:cs="宋体"/>
                <w:bCs/>
                <w:sz w:val="24"/>
                <w:highlight w:val="none"/>
              </w:rPr>
              <w:t>方式：</w:t>
            </w:r>
            <w:r>
              <w:rPr>
                <w:rFonts w:hint="eastAsia" w:ascii="宋体" w:hAnsi="宋体" w:eastAsia="宋体" w:cs="宋体"/>
                <w:bCs/>
                <w:kern w:val="0"/>
                <w:sz w:val="24"/>
                <w:szCs w:val="28"/>
                <w:highlight w:val="none"/>
                <w:u w:val="single"/>
              </w:rPr>
              <w:t>如投标人对招标文件有质疑，依据中华人民共和国财政部令第94号《政府采购质疑和投诉办法》规定提出质疑；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7DBC719A">
            <w:pPr>
              <w:pStyle w:val="47"/>
              <w:widowControl w:val="0"/>
              <w:spacing w:before="0" w:beforeAutospacing="0" w:after="0" w:afterAutospacing="0" w:line="440" w:lineRule="exact"/>
              <w:jc w:val="both"/>
              <w:rPr>
                <w:rFonts w:hint="eastAsia" w:ascii="宋体" w:hAnsi="宋体" w:eastAsia="宋体" w:cs="宋体"/>
                <w:b w:val="0"/>
                <w:sz w:val="24"/>
                <w:szCs w:val="18"/>
                <w:highlight w:val="none"/>
              </w:rPr>
            </w:pPr>
            <w:r>
              <w:rPr>
                <w:rFonts w:hint="eastAsia" w:ascii="宋体" w:hAnsi="宋体" w:eastAsia="宋体" w:cs="宋体"/>
                <w:b w:val="0"/>
                <w:sz w:val="24"/>
                <w:highlight w:val="none"/>
              </w:rPr>
              <w:t>接收部门：</w:t>
            </w:r>
            <w:r>
              <w:rPr>
                <w:rFonts w:hint="eastAsia" w:ascii="宋体" w:hAnsi="宋体" w:eastAsia="宋体" w:cs="宋体"/>
                <w:b w:val="0"/>
                <w:sz w:val="24"/>
                <w:highlight w:val="none"/>
                <w:u w:val="single"/>
                <w:lang w:eastAsia="zh-CN"/>
              </w:rPr>
              <w:t>滁州市公路管理服务中心</w:t>
            </w:r>
            <w:r>
              <w:rPr>
                <w:rFonts w:hint="eastAsia" w:ascii="宋体" w:hAnsi="宋体" w:eastAsia="宋体" w:cs="宋体"/>
                <w:b w:val="0"/>
                <w:sz w:val="24"/>
                <w:highlight w:val="none"/>
                <w:u w:val="single"/>
              </w:rPr>
              <w:t>、滁州市城投工程咨询管理有限公司</w:t>
            </w:r>
          </w:p>
          <w:p w14:paraId="3F902BA5">
            <w:pPr>
              <w:pStyle w:val="47"/>
              <w:widowControl w:val="0"/>
              <w:spacing w:before="0" w:beforeAutospacing="0" w:after="0" w:afterAutospacing="0" w:line="440" w:lineRule="exact"/>
              <w:jc w:val="both"/>
              <w:rPr>
                <w:rFonts w:hint="eastAsia" w:ascii="宋体" w:hAnsi="宋体" w:eastAsia="宋体" w:cs="宋体"/>
                <w:b w:val="0"/>
                <w:sz w:val="24"/>
                <w:szCs w:val="18"/>
                <w:highlight w:val="none"/>
                <w:lang w:eastAsia="zh-CN"/>
              </w:rPr>
            </w:pPr>
            <w:r>
              <w:rPr>
                <w:rFonts w:hint="eastAsia" w:ascii="宋体" w:hAnsi="宋体" w:eastAsia="宋体" w:cs="宋体"/>
                <w:b w:val="0"/>
                <w:sz w:val="24"/>
                <w:highlight w:val="none"/>
              </w:rPr>
              <w:t>联系电话：</w:t>
            </w:r>
            <w:r>
              <w:rPr>
                <w:rFonts w:hint="eastAsia" w:ascii="宋体" w:hAnsi="宋体" w:eastAsia="宋体" w:cs="宋体"/>
                <w:b w:val="0"/>
                <w:sz w:val="24"/>
                <w:highlight w:val="none"/>
                <w:u w:val="single"/>
                <w:lang w:eastAsia="zh-CN"/>
              </w:rPr>
              <w:t>0550-3218735</w:t>
            </w:r>
            <w:r>
              <w:rPr>
                <w:rFonts w:hint="eastAsia" w:ascii="宋体" w:hAnsi="宋体" w:eastAsia="宋体" w:cs="宋体"/>
                <w:b w:val="0"/>
                <w:sz w:val="24"/>
                <w:highlight w:val="none"/>
                <w:u w:val="single"/>
              </w:rPr>
              <w:t>、</w:t>
            </w:r>
            <w:r>
              <w:rPr>
                <w:rFonts w:hint="eastAsia" w:ascii="宋体" w:hAnsi="宋体" w:eastAsia="宋体" w:cs="宋体"/>
                <w:b w:val="0"/>
                <w:sz w:val="24"/>
                <w:highlight w:val="none"/>
                <w:u w:val="single"/>
                <w:lang w:eastAsia="zh-CN"/>
              </w:rPr>
              <w:t>0550-3519516、18712012204</w:t>
            </w:r>
          </w:p>
          <w:p w14:paraId="04F6BD23">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通讯地址：</w:t>
            </w:r>
            <w:r>
              <w:rPr>
                <w:rFonts w:hint="eastAsia" w:ascii="宋体" w:hAnsi="宋体" w:eastAsia="宋体" w:cs="宋体"/>
                <w:b w:val="0"/>
                <w:bCs w:val="0"/>
                <w:sz w:val="24"/>
                <w:szCs w:val="18"/>
                <w:highlight w:val="none"/>
                <w:u w:val="single"/>
                <w:lang w:eastAsia="zh-CN"/>
              </w:rPr>
              <w:t>滁州市龙蟠大道200号</w:t>
            </w:r>
            <w:r>
              <w:rPr>
                <w:rFonts w:hint="eastAsia" w:ascii="宋体" w:hAnsi="宋体" w:eastAsia="宋体" w:cs="宋体"/>
                <w:b w:val="0"/>
                <w:bCs w:val="0"/>
                <w:sz w:val="24"/>
                <w:szCs w:val="18"/>
                <w:highlight w:val="none"/>
                <w:u w:val="single"/>
              </w:rPr>
              <w:t>、滁州市龙蟠大道109号房产大厦6楼</w:t>
            </w:r>
          </w:p>
        </w:tc>
      </w:tr>
      <w:tr w14:paraId="7C77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0D1F8EE">
            <w:pPr>
              <w:pStyle w:val="48"/>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32</w:t>
            </w:r>
          </w:p>
        </w:tc>
        <w:tc>
          <w:tcPr>
            <w:tcW w:w="1174" w:type="pct"/>
            <w:vAlign w:val="center"/>
          </w:tcPr>
          <w:p w14:paraId="14F963DD">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其他内容</w:t>
            </w:r>
          </w:p>
        </w:tc>
        <w:tc>
          <w:tcPr>
            <w:tcW w:w="3246" w:type="pct"/>
            <w:vAlign w:val="center"/>
          </w:tcPr>
          <w:p w14:paraId="03C941FC">
            <w:pPr>
              <w:pStyle w:val="47"/>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1.解释权：</w:t>
            </w:r>
          </w:p>
          <w:p w14:paraId="7AEA1DAE">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（1）构成本招标文件的各个组成文件应互为解释，互为说明；</w:t>
            </w:r>
          </w:p>
          <w:p w14:paraId="25E4912E">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（2）同一组成文件中就同一事项的规定或约定不一致的，以编排顺序在后者为准；</w:t>
            </w:r>
          </w:p>
          <w:p w14:paraId="35A4F46F">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（3）如有不明确或不一致，构成合同文件组成内容的，以合同文件约定内容为准，且以专用合同条款约定的合同文件优先顺序解释；</w:t>
            </w:r>
          </w:p>
          <w:p w14:paraId="5C769CCD">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（4）除招标文件中有特别规定外，仅适用于招标投标阶段的规定，按招标公告、投标邀请、投标人须知、评标方法和标准、投标文件格式的先后顺序解释；</w:t>
            </w:r>
          </w:p>
          <w:p w14:paraId="2C360166">
            <w:pPr>
              <w:pStyle w:val="47"/>
              <w:widowControl w:val="0"/>
              <w:spacing w:before="0" w:beforeAutospacing="0" w:after="0" w:afterAutospacing="0" w:line="440" w:lineRule="exact"/>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（5）按本款前述规定仍不能形成结论的，由采购人负责解释。</w:t>
            </w:r>
          </w:p>
          <w:p w14:paraId="02600191">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2.“政采贷”融资指引：有融资需求的</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融资申请信息推送第三方平台、意向金融机构。</w:t>
            </w:r>
          </w:p>
          <w:p w14:paraId="4265E053">
            <w:pPr>
              <w:pStyle w:val="47"/>
              <w:widowControl w:val="0"/>
              <w:spacing w:before="0" w:beforeAutospacing="0" w:after="0" w:afterAutospacing="0" w:line="440" w:lineRule="exact"/>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3.电子保函指引：中标人可访问安徽省政府采购网“融资/保函”栏目，申请办理电子保函（包括：履约保函、预付款保函）。</w:t>
            </w:r>
          </w:p>
          <w:p w14:paraId="6185B08A">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rPr>
              <w:t>4.</w:t>
            </w:r>
            <w:r>
              <w:rPr>
                <w:rFonts w:hint="eastAsia" w:ascii="宋体" w:hAnsi="宋体" w:eastAsia="宋体" w:cs="宋体"/>
                <w:bCs/>
                <w:kern w:val="2"/>
                <w:szCs w:val="24"/>
                <w:highlight w:val="none"/>
                <w:lang w:bidi="ar"/>
              </w:rPr>
              <w:t>部分可提供线下政采贷的金融机构：</w:t>
            </w:r>
          </w:p>
          <w:p w14:paraId="5086D059">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市本级</w:t>
            </w:r>
          </w:p>
          <w:p w14:paraId="5762DFD4">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金融机构名称：兴业银行滁州分行</w:t>
            </w:r>
          </w:p>
          <w:p w14:paraId="5D3752F2">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安徽省滁州市琅琊区丰乐大道1090号</w:t>
            </w:r>
          </w:p>
          <w:p w14:paraId="5D1C16E3">
            <w:pPr>
              <w:pStyle w:val="25"/>
              <w:spacing w:before="0" w:beforeAutospacing="0" w:after="0" w:afterAutospacing="0" w:line="440" w:lineRule="exact"/>
              <w:jc w:val="both"/>
              <w:rPr>
                <w:rFonts w:hint="eastAsia" w:ascii="宋体" w:hAnsi="宋体" w:eastAsia="宋体" w:cs="宋体"/>
                <w:bCs/>
                <w:kern w:val="2"/>
                <w:szCs w:val="24"/>
                <w:highlight w:val="none"/>
                <w:lang w:bidi="ar"/>
              </w:rPr>
            </w:pPr>
            <w:r>
              <w:rPr>
                <w:rFonts w:hint="eastAsia" w:ascii="宋体" w:hAnsi="宋体" w:eastAsia="宋体" w:cs="宋体"/>
                <w:bCs/>
                <w:kern w:val="2"/>
                <w:szCs w:val="24"/>
                <w:highlight w:val="none"/>
                <w:lang w:bidi="ar"/>
              </w:rPr>
              <w:t>伏庚：17755080811</w:t>
            </w:r>
          </w:p>
          <w:p w14:paraId="3D2F1142">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5.特别提示：</w:t>
            </w:r>
          </w:p>
          <w:p w14:paraId="17645DFA">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（1）投标人应填写投标信息并下载招标文件，否则无法上传投标文件。</w:t>
            </w:r>
          </w:p>
          <w:p w14:paraId="648ED881">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注：投标人如为联合体的，牵头人必须完善投标人信息，并在上传投标文件环节添加联合体投标信息。</w:t>
            </w:r>
          </w:p>
          <w:p w14:paraId="543DCF1D">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0A7A1DA0">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（3）如果过程中出现招标文件更改，应以最后发布的招标答疑澄清文件中的模板制作本项目最新投标文件。</w:t>
            </w:r>
          </w:p>
          <w:p w14:paraId="13ED0EF1">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 xml:space="preserve">（4）投标人应当用本单位CA数字证书制作投标文件，制作成功后进行投标文件上传。 </w:t>
            </w:r>
          </w:p>
          <w:p w14:paraId="0B15E6DE">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444B29ED">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（6）请投标人注意加密投标文件CA数字证书的有效期，不在有效期的CA数字证书无法解密投标文件。</w:t>
            </w:r>
          </w:p>
          <w:p w14:paraId="7F890139">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（7）投标人投标MAC地址或投标人联系人或联系电话相同的，由评标委员会否决其投标，并报告监管部门作不良行为处理和进一步调查。</w:t>
            </w:r>
          </w:p>
          <w:p w14:paraId="348371E3">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（8）投标人单方面出现其他投标人材料的，由评标委员会否决其投标。</w:t>
            </w:r>
          </w:p>
          <w:p w14:paraId="605E717E">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4E821E7">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7752D84B">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6.评标过程中的澄清、说明或补正：</w:t>
            </w:r>
          </w:p>
          <w:p w14:paraId="0E68738C">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（1）评标委员会通过网上招投标系统将需要澄清、说明或补正的内容以询标函的形式发送给投标人，投标人应安排专人登录网上招投标系统并保持在线状态，以便及时接收评标委员会可能发出的询标函。</w:t>
            </w:r>
          </w:p>
          <w:p w14:paraId="132B7486">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A78AFF2">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7.同义词语：</w:t>
            </w:r>
          </w:p>
          <w:p w14:paraId="1EC5780F">
            <w:pPr>
              <w:pStyle w:val="25"/>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招标文件第六章  投标文件格式、附件1“关于联合惩戒失信行为 加强信用查询管理的通知”等章节中 “招标人”、“供应商”，等同于“采购人”、“投标人”。</w:t>
            </w:r>
          </w:p>
          <w:p w14:paraId="18C755F4">
            <w:pPr>
              <w:pStyle w:val="47"/>
              <w:widowControl w:val="0"/>
              <w:numPr>
                <w:ilvl w:val="0"/>
                <w:numId w:val="1"/>
              </w:numPr>
              <w:spacing w:before="0" w:beforeAutospacing="0" w:after="0" w:afterAutospacing="0" w:line="440" w:lineRule="exact"/>
              <w:jc w:val="both"/>
              <w:rPr>
                <w:rFonts w:hint="eastAsia" w:ascii="宋体" w:hAnsi="宋体" w:eastAsia="宋体" w:cs="宋体"/>
                <w:b w:val="0"/>
                <w:kern w:val="2"/>
                <w:sz w:val="24"/>
                <w:szCs w:val="24"/>
                <w:highlight w:val="none"/>
                <w:lang w:bidi="ar"/>
              </w:rPr>
            </w:pPr>
            <w:r>
              <w:rPr>
                <w:rFonts w:hint="eastAsia" w:ascii="宋体" w:hAnsi="宋体" w:eastAsia="宋体" w:cs="宋体"/>
                <w:b w:val="0"/>
                <w:kern w:val="2"/>
                <w:sz w:val="24"/>
                <w:szCs w:val="24"/>
                <w:highlight w:val="none"/>
                <w:lang w:bidi="ar"/>
              </w:rPr>
              <w:t>落实政府采购支持节能产品、环境标志产品政策。</w:t>
            </w:r>
          </w:p>
          <w:p w14:paraId="681EF64E">
            <w:pPr>
              <w:pStyle w:val="47"/>
              <w:widowControl w:val="0"/>
              <w:numPr>
                <w:ilvl w:val="0"/>
                <w:numId w:val="1"/>
              </w:numPr>
              <w:spacing w:before="0" w:beforeAutospacing="0" w:after="0" w:afterAutospacing="0" w:line="440" w:lineRule="exact"/>
              <w:jc w:val="both"/>
              <w:rPr>
                <w:rFonts w:hint="eastAsia" w:ascii="宋体" w:hAnsi="宋体" w:eastAsia="宋体" w:cs="宋体"/>
                <w:b w:val="0"/>
                <w:kern w:val="2"/>
                <w:sz w:val="24"/>
                <w:szCs w:val="24"/>
                <w:highlight w:val="none"/>
                <w:lang w:bidi="ar"/>
              </w:rPr>
            </w:pPr>
            <w:r>
              <w:rPr>
                <w:rFonts w:hint="eastAsia" w:ascii="宋体" w:hAnsi="宋体" w:eastAsia="宋体" w:cs="宋体"/>
                <w:b w:val="0"/>
                <w:kern w:val="2"/>
                <w:sz w:val="24"/>
                <w:szCs w:val="24"/>
                <w:highlight w:val="none"/>
              </w:rPr>
              <w:t>系统中提供的表格与采购文件中不一致时，以采购文件中提供的表格格式为准。</w:t>
            </w:r>
          </w:p>
        </w:tc>
      </w:tr>
    </w:tbl>
    <w:p w14:paraId="408EDE9C">
      <w:pPr>
        <w:spacing w:line="440" w:lineRule="exact"/>
        <w:jc w:val="center"/>
        <w:outlineLvl w:val="1"/>
        <w:rPr>
          <w:rFonts w:hint="eastAsia" w:ascii="宋体" w:hAnsi="宋体" w:eastAsia="宋体" w:cs="宋体"/>
          <w:b/>
          <w:sz w:val="24"/>
          <w:highlight w:val="none"/>
        </w:rPr>
      </w:pPr>
      <w:r>
        <w:rPr>
          <w:rFonts w:hint="eastAsia" w:ascii="宋体" w:hAnsi="宋体" w:eastAsia="宋体" w:cs="宋体"/>
          <w:b/>
          <w:sz w:val="28"/>
          <w:highlight w:val="none"/>
        </w:rPr>
        <w:br w:type="page"/>
      </w:r>
      <w:bookmarkStart w:id="37" w:name="_Toc12032"/>
      <w:bookmarkStart w:id="38" w:name="_Toc9427"/>
      <w:bookmarkStart w:id="39" w:name="_Toc24882"/>
      <w:r>
        <w:rPr>
          <w:rFonts w:hint="eastAsia" w:ascii="宋体" w:hAnsi="宋体" w:eastAsia="宋体" w:cs="宋体"/>
          <w:b/>
          <w:sz w:val="24"/>
          <w:highlight w:val="none"/>
        </w:rPr>
        <w:t>二、投标人须知正文</w:t>
      </w:r>
      <w:bookmarkEnd w:id="37"/>
      <w:bookmarkEnd w:id="38"/>
      <w:bookmarkEnd w:id="39"/>
    </w:p>
    <w:p w14:paraId="71E08AB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21702B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1.1采购人：是指依法开展政府采购活动的国家机关、事业单位、团体组织。</w:t>
      </w:r>
    </w:p>
    <w:p w14:paraId="7420A16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37D5E2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1.3政府采购监督管理部门：各级人民政府指定的有关部门依法履行与政府采购活动有关的监督管理职责。</w:t>
      </w:r>
    </w:p>
    <w:p w14:paraId="232F71A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0225826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1.4.1具备《中华人民共和国政府采购法》第二十二条关于供应商条件的规定，遵守本项目采购人本级和上级财政部门政府采购的有关规定。</w:t>
      </w:r>
    </w:p>
    <w:p w14:paraId="71007C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41ED34C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04EFA7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4032AD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p>
    <w:p w14:paraId="544D075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1.5.1两个以上供应商可以组成一个投标联合体，以一个投标人的身份投标。联合体投标的，招标文件获取手续由联合体中任一成员单位办理均可。</w:t>
      </w:r>
    </w:p>
    <w:p w14:paraId="0819F8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6A5FF8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1.5.3采购人根据采购项目对投标人的特殊要求，联合体中至少应当有一方符合相关规定。</w:t>
      </w:r>
    </w:p>
    <w:p w14:paraId="4413A03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1.5.4联合体各方应签订联合协议，明确约定联合体各方承担的工作和相应的责任，并将联合协议作为投标文件的一部分提交。</w:t>
      </w:r>
    </w:p>
    <w:p w14:paraId="1CE6E9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1.5.5大中型企业、其他自然人、法人或者非法人组织与小型、微型企业组成联合体共同参加投标，联合协议中应写明小型、微型企业的协议合同金额占到联合协议投标总金额的比例。</w:t>
      </w:r>
    </w:p>
    <w:p w14:paraId="1B648F7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631D30E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78C46E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1.5.8对联合体投标的其他资格要求见申请人的资格要求。</w:t>
      </w:r>
    </w:p>
    <w:p w14:paraId="25D3656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2B85D3D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5EED430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08BD8B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5CD45A0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5321888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华人民共和国政府采购法实施条例》及本项目本级和上级财政部门、政府采购监督管理部门的政府采购有关规定的约束，其权利受到上述法律法规的保护。</w:t>
      </w:r>
    </w:p>
    <w:p w14:paraId="33E3AD6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780F5D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1DD129F2">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711911A1">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7059A940">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1E41597">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2C56AB8C">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56EE10EF">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3BF2FD80">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政府采购询问函和质疑函范本</w:t>
      </w:r>
    </w:p>
    <w:p w14:paraId="1B95702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70837D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2F5ECB1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404C38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0084028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4E1A8D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588858A">
      <w:pPr>
        <w:spacing w:line="440" w:lineRule="exact"/>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7EB0ACB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57AE55B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7EC7581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EC18C7D">
      <w:pPr>
        <w:spacing w:line="440" w:lineRule="exact"/>
        <w:ind w:firstLine="435"/>
        <w:rPr>
          <w:rFonts w:hint="eastAsia" w:ascii="宋体" w:hAnsi="宋体" w:eastAsia="宋体" w:cs="宋体"/>
          <w:color w:val="auto"/>
          <w:sz w:val="24"/>
          <w:highlight w:val="none"/>
        </w:rPr>
      </w:pPr>
      <w:bookmarkStart w:id="40"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40"/>
    <w:p w14:paraId="3840E3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4B063D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1555DED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085ACA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0F3B387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41" w:name="_Hlk11703583"/>
      <w:r>
        <w:rPr>
          <w:rFonts w:hint="eastAsia" w:ascii="宋体" w:hAnsi="宋体" w:eastAsia="宋体" w:cs="宋体"/>
          <w:color w:val="auto"/>
          <w:sz w:val="24"/>
          <w:highlight w:val="none"/>
        </w:rPr>
        <w:t>等。</w:t>
      </w:r>
    </w:p>
    <w:bookmarkEnd w:id="41"/>
    <w:p w14:paraId="379466F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1D154AC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41EFB27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12.1投标人的报价应当包括满足本次招标全部采购需求。除招标文件另有规定外，所有投标均应以人民币报价。投标人的投标报价应遵守《中华人民共和国价格法》。</w:t>
      </w:r>
    </w:p>
    <w:p w14:paraId="3967C8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7C3C9C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371107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93526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749CEA5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707933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341FF59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13E9F4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96E84E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9E193E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CF1906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449922D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12.1投标人应当在招标公告规定的投标截止时间前，将加密的投标文件在电子交易系统上传。</w:t>
      </w:r>
    </w:p>
    <w:p w14:paraId="29A86E5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32716CA">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2925805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rPr>
        <w:t>其</w:t>
      </w:r>
      <w:r>
        <w:rPr>
          <w:rFonts w:hint="eastAsia" w:ascii="宋体" w:hAnsi="宋体" w:eastAsia="宋体" w:cs="宋体"/>
          <w:color w:val="auto"/>
          <w:sz w:val="24"/>
          <w:highlight w:val="none"/>
        </w:rPr>
        <w:t>投标文件进行解密。</w:t>
      </w:r>
    </w:p>
    <w:p w14:paraId="0C1A06E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13.2开标时，采购代理机构将通过网上开标系统公布开标结果，公布内容包括投标人名称、投标价格及招标文件规定的内容。</w:t>
      </w:r>
    </w:p>
    <w:p w14:paraId="17E00E6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39A268E5">
      <w:pPr>
        <w:spacing w:line="440" w:lineRule="exact"/>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6E6A74E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3CCFCFE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14.1采购人或采购代理机构依据法律法规和招标文件中规定的内容，对投标人资格进行审查，未通过资格审查的投标人不进入评标。</w:t>
      </w:r>
    </w:p>
    <w:p w14:paraId="2ECA59A2">
      <w:pPr>
        <w:spacing w:line="440" w:lineRule="exact"/>
        <w:ind w:firstLine="435"/>
        <w:rPr>
          <w:rFonts w:hint="eastAsia" w:ascii="宋体" w:hAnsi="宋体" w:eastAsia="宋体" w:cs="宋体"/>
          <w:color w:val="auto"/>
          <w:sz w:val="24"/>
          <w:szCs w:val="24"/>
          <w:highlight w:val="none"/>
        </w:rPr>
      </w:pPr>
      <w:bookmarkStart w:id="42"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国家企业信用信息公示系统网站（www.gsxt.gov.cn）查询相关投标人信用记录，并对投标人信用记录进行甄别，对列入“信用中国”网站(www.creditchina.gov.cn)失信被执行人名单、重大税收违法案件当事人名单，“国家企业信用信息公示系统”网站（www.gsxt.gov.cn）被市场监督管理部门列入经营异常名录或者严重违法企业名单，且未被移除的，中国政府采购网(www.ccgp.gov.cn)政府采购严重违法失信行为记录名单及其他不符合《中华人民共和国政府采购法》第二十二条规定条件的供应商，其投标将被认定为投标无效。</w:t>
      </w:r>
    </w:p>
    <w:p w14:paraId="4206507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A12C5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2"/>
    <w:p w14:paraId="7EB64DD1">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09394D5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621C966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1C55B2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281255F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322CCBD1">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766021D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104CC75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7AF6A8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14E5B9C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427F68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FA2B88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45C4880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36B797B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136082E">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32FEC7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76A786B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7D2356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0E10A3E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139B28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9E4D7E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7E6E1B5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7D47930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6958E5B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70D033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62FFC5F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710F88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336A72B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644A9F7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75AE3E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2B627E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3E4FF9A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13D0508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581CA06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4441131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2316F5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2F1C17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79CB84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06F30D1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58AFEE9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114262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043867C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highlight w:val="none"/>
        </w:rPr>
        <w:t>批准。</w:t>
      </w:r>
    </w:p>
    <w:p w14:paraId="6009585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78FC7B8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41A1B40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7EAE5A2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3F03705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13C7148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36CCD53B">
      <w:pPr>
        <w:spacing w:line="440" w:lineRule="exact"/>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3D97BB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5E12B00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063FBB5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23DAC3E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0C11D7D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2C5F3E2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E5AAAD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4781C657">
      <w:pPr>
        <w:spacing w:line="44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8D33F65">
      <w:pPr>
        <w:wordWrap w:val="0"/>
        <w:spacing w:line="44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23.2自中标人确定之日起2个工作日内，采购代理机构将在滁州市公共资源交易网（http://ggzy.chuzhou.gov.cn/）、安徽省政府采购网（www.ccgp-anhui.gov.cn）上发布中标结果公告。</w:t>
      </w:r>
    </w:p>
    <w:p w14:paraId="392C60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2227F30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1F9EFF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236D570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22E574C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63B755B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6E2B55B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1B825F9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0C6D441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49AE72B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66CD992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4E29301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448CCDB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716F7DD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27.3中标人拒绝与采购人签订合同的，采购人可以按照评审报告推荐的中标候选人名单排序，确定下一中标候选人为中标人，也可以重新开展政府采购活动。</w:t>
      </w:r>
    </w:p>
    <w:p w14:paraId="2740CA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p>
    <w:p w14:paraId="5182F06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27A430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18DD8A75">
      <w:pPr>
        <w:spacing w:line="440" w:lineRule="exact"/>
        <w:ind w:firstLine="437"/>
        <w:outlineLvl w:val="2"/>
        <w:rPr>
          <w:rFonts w:hint="eastAsia" w:ascii="宋体" w:hAnsi="宋体" w:eastAsia="宋体" w:cs="宋体"/>
          <w:b/>
          <w:color w:val="auto"/>
          <w:sz w:val="24"/>
          <w:highlight w:val="none"/>
        </w:rPr>
      </w:pPr>
      <w:bookmarkStart w:id="43" w:name="_Toc518923100"/>
      <w:bookmarkStart w:id="44" w:name="_Toc2583661"/>
      <w:r>
        <w:rPr>
          <w:rFonts w:hint="eastAsia" w:ascii="宋体" w:hAnsi="宋体" w:eastAsia="宋体" w:cs="宋体"/>
          <w:b/>
          <w:color w:val="auto"/>
          <w:sz w:val="24"/>
          <w:highlight w:val="none"/>
        </w:rPr>
        <w:t>29.廉洁自律规定</w:t>
      </w:r>
      <w:bookmarkEnd w:id="43"/>
      <w:bookmarkEnd w:id="44"/>
    </w:p>
    <w:p w14:paraId="7BC736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29.1采购代理机构工作人员不得以不正当手段获取政府采购代理业务，不得与采购人、供应商恶意串通。</w:t>
      </w:r>
    </w:p>
    <w:p w14:paraId="59A209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46E4DA95">
      <w:pPr>
        <w:spacing w:line="440" w:lineRule="exact"/>
        <w:ind w:firstLine="437"/>
        <w:outlineLvl w:val="2"/>
        <w:rPr>
          <w:rFonts w:hint="eastAsia" w:ascii="宋体" w:hAnsi="宋体" w:eastAsia="宋体" w:cs="宋体"/>
          <w:b/>
          <w:color w:val="auto"/>
          <w:sz w:val="24"/>
          <w:highlight w:val="none"/>
        </w:rPr>
      </w:pPr>
      <w:bookmarkStart w:id="45" w:name="_Toc2583662"/>
      <w:bookmarkStart w:id="46" w:name="_Toc518923101"/>
      <w:r>
        <w:rPr>
          <w:rFonts w:hint="eastAsia" w:ascii="宋体" w:hAnsi="宋体" w:eastAsia="宋体" w:cs="宋体"/>
          <w:b/>
          <w:color w:val="auto"/>
          <w:sz w:val="24"/>
          <w:highlight w:val="none"/>
        </w:rPr>
        <w:t>30.人员回避</w:t>
      </w:r>
      <w:bookmarkEnd w:id="45"/>
      <w:bookmarkEnd w:id="46"/>
    </w:p>
    <w:p w14:paraId="19D7852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300D69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405E313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2DBE8D4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597D30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3443A1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0F836F0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注：上述条款中所要求的书面形式包含通过电子交易系统递交方式。</w:t>
      </w:r>
    </w:p>
    <w:p w14:paraId="0312B36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7C557B95">
      <w:pPr>
        <w:wordWrap w:val="0"/>
        <w:spacing w:line="44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72EFF8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31051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32.3政府采购监督管理部门在处理投诉事项期间，可以视具体情况书面通知采购人暂停采购活动，但暂停时间最长不得超过30日。</w:t>
      </w:r>
    </w:p>
    <w:p w14:paraId="77DEF6D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33.需要补充的其他内容</w:t>
      </w:r>
    </w:p>
    <w:p w14:paraId="5A3CB5F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2B942FC">
      <w:pPr>
        <w:widowControl/>
        <w:jc w:val="left"/>
        <w:rPr>
          <w:rFonts w:hint="eastAsia" w:ascii="宋体" w:hAnsi="宋体" w:eastAsia="宋体" w:cs="宋体"/>
          <w:b/>
          <w:sz w:val="28"/>
          <w:highlight w:val="none"/>
        </w:rPr>
      </w:pPr>
      <w:r>
        <w:rPr>
          <w:rFonts w:hint="eastAsia" w:ascii="宋体" w:hAnsi="宋体" w:eastAsia="宋体" w:cs="宋体"/>
          <w:sz w:val="24"/>
          <w:highlight w:val="none"/>
        </w:rPr>
        <w:br w:type="page"/>
      </w:r>
    </w:p>
    <w:p w14:paraId="6FBDF7EC">
      <w:pPr>
        <w:numPr>
          <w:ilvl w:val="0"/>
          <w:numId w:val="2"/>
        </w:numPr>
        <w:spacing w:line="360" w:lineRule="auto"/>
        <w:jc w:val="center"/>
        <w:outlineLvl w:val="0"/>
        <w:rPr>
          <w:rFonts w:hint="eastAsia" w:ascii="宋体" w:hAnsi="宋体" w:eastAsia="宋体" w:cs="宋体"/>
          <w:b/>
          <w:sz w:val="28"/>
          <w:highlight w:val="none"/>
        </w:rPr>
      </w:pPr>
      <w:r>
        <w:rPr>
          <w:rFonts w:hint="eastAsia" w:ascii="宋体" w:hAnsi="宋体" w:eastAsia="宋体" w:cs="宋体"/>
          <w:b/>
          <w:sz w:val="28"/>
          <w:highlight w:val="none"/>
        </w:rPr>
        <w:t xml:space="preserve"> </w:t>
      </w:r>
      <w:bookmarkStart w:id="47" w:name="_Toc28615"/>
      <w:r>
        <w:rPr>
          <w:rFonts w:hint="eastAsia" w:ascii="宋体" w:hAnsi="宋体" w:eastAsia="宋体" w:cs="宋体"/>
          <w:b/>
          <w:sz w:val="28"/>
          <w:highlight w:val="none"/>
        </w:rPr>
        <w:t>采购需求</w:t>
      </w:r>
      <w:bookmarkEnd w:id="47"/>
    </w:p>
    <w:p w14:paraId="3408E59F">
      <w:pPr>
        <w:spacing w:line="480" w:lineRule="exact"/>
        <w:rPr>
          <w:rFonts w:hint="eastAsia" w:ascii="宋体" w:hAnsi="宋体" w:eastAsia="宋体" w:cs="宋体"/>
          <w:b/>
          <w:sz w:val="24"/>
          <w:highlight w:val="none"/>
        </w:rPr>
      </w:pPr>
      <w:r>
        <w:rPr>
          <w:rFonts w:hint="eastAsia" w:ascii="宋体" w:hAnsi="宋体" w:eastAsia="宋体" w:cs="宋体"/>
          <w:b/>
          <w:sz w:val="24"/>
          <w:highlight w:val="none"/>
        </w:rPr>
        <w:t>前注：</w:t>
      </w:r>
    </w:p>
    <w:p w14:paraId="64A72579">
      <w:pPr>
        <w:spacing w:line="48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1696DD3B">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2.政府采购政策（包括但不限于下列具体政策要求）：</w:t>
      </w:r>
    </w:p>
    <w:p w14:paraId="4108E6B2">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1AC002EF">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833B5A4">
      <w:pPr>
        <w:spacing w:line="480" w:lineRule="exact"/>
        <w:ind w:firstLine="480" w:firstLineChars="200"/>
        <w:rPr>
          <w:rFonts w:hint="eastAsia" w:ascii="宋体" w:hAnsi="宋体" w:eastAsia="宋体" w:cs="宋体"/>
          <w:bCs/>
          <w:sz w:val="24"/>
          <w:szCs w:val="18"/>
          <w:highlight w:val="none"/>
        </w:rPr>
      </w:pPr>
      <w:r>
        <w:rPr>
          <w:rFonts w:hint="eastAsia" w:ascii="宋体" w:hAnsi="宋体" w:eastAsia="宋体" w:cs="宋体"/>
          <w:sz w:val="24"/>
          <w:szCs w:val="24"/>
          <w:highlight w:val="none"/>
        </w:rPr>
        <w:t>3.如采购人允许采用分包方式履行合同的，应当明确可以分包履行的相关内容。</w:t>
      </w:r>
    </w:p>
    <w:p w14:paraId="5D0DF70F">
      <w:pPr>
        <w:spacing w:line="480" w:lineRule="exact"/>
        <w:ind w:firstLine="437"/>
        <w:outlineLvl w:val="1"/>
        <w:rPr>
          <w:rFonts w:hint="eastAsia" w:ascii="宋体" w:hAnsi="宋体" w:eastAsia="宋体" w:cs="宋体"/>
          <w:b/>
          <w:sz w:val="24"/>
          <w:szCs w:val="18"/>
          <w:highlight w:val="none"/>
        </w:rPr>
      </w:pPr>
      <w:bookmarkStart w:id="48" w:name="_Toc14263"/>
      <w:bookmarkStart w:id="49" w:name="_Toc4148"/>
      <w:bookmarkStart w:id="50" w:name="_Toc21798"/>
      <w:bookmarkStart w:id="51" w:name="_Hlk23621890"/>
      <w:r>
        <w:rPr>
          <w:rFonts w:hint="eastAsia" w:ascii="宋体" w:hAnsi="宋体" w:eastAsia="宋体" w:cs="宋体"/>
          <w:b/>
          <w:sz w:val="24"/>
          <w:szCs w:val="18"/>
          <w:highlight w:val="none"/>
        </w:rPr>
        <w:t>一、采购需求前附表</w:t>
      </w:r>
      <w:bookmarkEnd w:id="48"/>
      <w:bookmarkEnd w:id="49"/>
      <w:bookmarkEnd w:id="50"/>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818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4BC57AB">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
                <w:kern w:val="2"/>
                <w:highlight w:val="none"/>
              </w:rPr>
            </w:pPr>
            <w:r>
              <w:rPr>
                <w:rFonts w:hint="eastAsia" w:ascii="宋体" w:hAnsi="宋体" w:eastAsia="宋体" w:cs="宋体"/>
                <w:b/>
                <w:kern w:val="2"/>
                <w:highlight w:val="none"/>
              </w:rPr>
              <w:t>序号</w:t>
            </w:r>
          </w:p>
        </w:tc>
        <w:tc>
          <w:tcPr>
            <w:tcW w:w="1192" w:type="pct"/>
            <w:vAlign w:val="center"/>
          </w:tcPr>
          <w:p w14:paraId="77B119FB">
            <w:pPr>
              <w:pStyle w:val="47"/>
              <w:widowControl w:val="0"/>
              <w:spacing w:before="0" w:beforeAutospacing="0" w:after="0" w:afterAutospacing="0" w:line="480" w:lineRule="exact"/>
              <w:rPr>
                <w:rFonts w:hint="eastAsia" w:ascii="宋体" w:hAnsi="宋体" w:eastAsia="宋体" w:cs="宋体"/>
                <w:bCs w:val="0"/>
                <w:sz w:val="24"/>
                <w:highlight w:val="none"/>
              </w:rPr>
            </w:pPr>
            <w:r>
              <w:rPr>
                <w:rFonts w:hint="eastAsia" w:ascii="宋体" w:hAnsi="宋体" w:eastAsia="宋体" w:cs="宋体"/>
                <w:bCs w:val="0"/>
                <w:sz w:val="24"/>
                <w:highlight w:val="none"/>
              </w:rPr>
              <w:t>条款名称</w:t>
            </w:r>
          </w:p>
        </w:tc>
        <w:tc>
          <w:tcPr>
            <w:tcW w:w="3217" w:type="pct"/>
            <w:vAlign w:val="center"/>
          </w:tcPr>
          <w:p w14:paraId="0B53DB6C">
            <w:pPr>
              <w:pStyle w:val="47"/>
              <w:widowControl w:val="0"/>
              <w:spacing w:before="0" w:beforeAutospacing="0" w:after="0" w:afterAutospacing="0" w:line="480" w:lineRule="exact"/>
              <w:rPr>
                <w:rFonts w:hint="eastAsia" w:ascii="宋体" w:hAnsi="宋体" w:eastAsia="宋体" w:cs="宋体"/>
                <w:bCs w:val="0"/>
                <w:sz w:val="24"/>
                <w:highlight w:val="none"/>
              </w:rPr>
            </w:pPr>
            <w:r>
              <w:rPr>
                <w:rFonts w:hint="eastAsia" w:ascii="宋体" w:hAnsi="宋体" w:eastAsia="宋体" w:cs="宋体"/>
                <w:bCs w:val="0"/>
                <w:sz w:val="24"/>
                <w:highlight w:val="none"/>
              </w:rPr>
              <w:t>内容、说明与要求</w:t>
            </w:r>
          </w:p>
        </w:tc>
      </w:tr>
      <w:tr w14:paraId="6A25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9E64CB">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w:t>
            </w:r>
          </w:p>
        </w:tc>
        <w:tc>
          <w:tcPr>
            <w:tcW w:w="1192" w:type="pct"/>
            <w:vAlign w:val="center"/>
          </w:tcPr>
          <w:p w14:paraId="0E35CB19">
            <w:pPr>
              <w:pStyle w:val="47"/>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付款方式</w:t>
            </w:r>
          </w:p>
        </w:tc>
        <w:tc>
          <w:tcPr>
            <w:tcW w:w="3217" w:type="pct"/>
            <w:vAlign w:val="center"/>
          </w:tcPr>
          <w:p w14:paraId="2E19AAC8">
            <w:pPr>
              <w:spacing w:line="480" w:lineRule="exact"/>
              <w:rPr>
                <w:rFonts w:hint="eastAsia" w:ascii="宋体" w:hAnsi="宋体" w:eastAsia="宋体" w:cs="宋体"/>
                <w:sz w:val="24"/>
                <w:highlight w:val="none"/>
                <w:u w:val="single"/>
              </w:rPr>
            </w:pPr>
            <w:r>
              <w:rPr>
                <w:rFonts w:hint="eastAsia" w:ascii="宋体" w:hAnsi="宋体" w:eastAsia="宋体" w:cs="宋体"/>
                <w:sz w:val="24"/>
                <w:highlight w:val="none"/>
                <w:u w:val="single"/>
                <w:lang w:val="en-US" w:eastAsia="zh-CN"/>
              </w:rPr>
              <w:t>合同签订生效并具备实施条件后支付合同价款的40%为预付款（预付款支付前，供应商须提供同等金额的见索即付保函），9月底前完成业主要求的全部迎国检任务提交正式检测报告经业主审查合格后付至合同价款的80%，10月底前完成所有工作任务，经业主审查合格后一次性付清余款</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p>
        </w:tc>
      </w:tr>
      <w:tr w14:paraId="5A5A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E4640C">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w:t>
            </w:r>
          </w:p>
        </w:tc>
        <w:tc>
          <w:tcPr>
            <w:tcW w:w="1192" w:type="pct"/>
            <w:vAlign w:val="center"/>
          </w:tcPr>
          <w:p w14:paraId="5644ED81">
            <w:pPr>
              <w:pStyle w:val="47"/>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服务地点</w:t>
            </w:r>
          </w:p>
        </w:tc>
        <w:tc>
          <w:tcPr>
            <w:tcW w:w="3217" w:type="pct"/>
            <w:vAlign w:val="center"/>
          </w:tcPr>
          <w:p w14:paraId="34C1E45A">
            <w:pPr>
              <w:pStyle w:val="47"/>
              <w:widowControl w:val="0"/>
              <w:spacing w:before="0" w:beforeAutospacing="0" w:after="0" w:afterAutospacing="0" w:line="480" w:lineRule="exact"/>
              <w:jc w:val="both"/>
              <w:rPr>
                <w:rFonts w:hint="eastAsia" w:ascii="宋体" w:hAnsi="宋体" w:eastAsia="宋体" w:cs="宋体"/>
                <w:b w:val="0"/>
                <w:bCs w:val="0"/>
                <w:sz w:val="24"/>
                <w:szCs w:val="20"/>
                <w:highlight w:val="none"/>
              </w:rPr>
            </w:pPr>
            <w:r>
              <w:rPr>
                <w:rFonts w:hint="eastAsia" w:ascii="宋体" w:hAnsi="宋体" w:eastAsia="宋体" w:cs="宋体"/>
                <w:b w:val="0"/>
                <w:bCs w:val="0"/>
                <w:sz w:val="24"/>
                <w:szCs w:val="20"/>
                <w:highlight w:val="none"/>
              </w:rPr>
              <w:t>采购人指定地点</w:t>
            </w:r>
          </w:p>
        </w:tc>
      </w:tr>
      <w:tr w14:paraId="64B3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500D33B">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w:t>
            </w:r>
          </w:p>
        </w:tc>
        <w:tc>
          <w:tcPr>
            <w:tcW w:w="1192" w:type="pct"/>
            <w:vAlign w:val="center"/>
          </w:tcPr>
          <w:p w14:paraId="06B91BA4">
            <w:pPr>
              <w:pStyle w:val="47"/>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服务期限</w:t>
            </w:r>
          </w:p>
        </w:tc>
        <w:tc>
          <w:tcPr>
            <w:tcW w:w="3217" w:type="pct"/>
            <w:vAlign w:val="center"/>
          </w:tcPr>
          <w:p w14:paraId="3759E141">
            <w:pPr>
              <w:spacing w:line="480" w:lineRule="exac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一</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 xml:space="preserve"> </w:t>
            </w:r>
          </w:p>
        </w:tc>
      </w:tr>
      <w:tr w14:paraId="5B56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B8BB900">
            <w:pPr>
              <w:pStyle w:val="48"/>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4</w:t>
            </w:r>
          </w:p>
        </w:tc>
        <w:tc>
          <w:tcPr>
            <w:tcW w:w="1192" w:type="pct"/>
            <w:vAlign w:val="center"/>
          </w:tcPr>
          <w:p w14:paraId="430DB00D">
            <w:pPr>
              <w:pStyle w:val="47"/>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本项目采购标的名称及所属行业</w:t>
            </w:r>
          </w:p>
        </w:tc>
        <w:tc>
          <w:tcPr>
            <w:tcW w:w="3217" w:type="pct"/>
            <w:vAlign w:val="center"/>
          </w:tcPr>
          <w:p w14:paraId="36F87FC0">
            <w:pPr>
              <w:spacing w:line="480" w:lineRule="exact"/>
              <w:jc w:val="left"/>
              <w:rPr>
                <w:rFonts w:hint="eastAsia" w:ascii="宋体" w:hAnsi="宋体" w:eastAsia="宋体" w:cs="宋体"/>
                <w:sz w:val="24"/>
                <w:highlight w:val="none"/>
                <w:lang w:eastAsia="zh-CN"/>
              </w:rPr>
            </w:pPr>
            <w:r>
              <w:rPr>
                <w:rFonts w:hint="eastAsia" w:ascii="宋体" w:hAnsi="宋体" w:eastAsia="宋体" w:cs="宋体"/>
                <w:sz w:val="24"/>
                <w:highlight w:val="none"/>
              </w:rPr>
              <w:t>标的名称</w:t>
            </w:r>
            <w:r>
              <w:rPr>
                <w:rFonts w:hint="eastAsia" w:ascii="宋体" w:hAnsi="宋体" w:eastAsia="宋体" w:cs="宋体"/>
                <w:sz w:val="24"/>
                <w:highlight w:val="none"/>
                <w:lang w:eastAsia="zh-CN"/>
              </w:rPr>
              <w:t>：滁州市2025年普通国省干线公路技术状况评定项目（二次）</w:t>
            </w:r>
          </w:p>
          <w:p w14:paraId="77A7D200">
            <w:pPr>
              <w:spacing w:line="480" w:lineRule="exact"/>
              <w:jc w:val="left"/>
              <w:rPr>
                <w:rFonts w:hint="eastAsia" w:ascii="宋体" w:hAnsi="宋体" w:eastAsia="宋体" w:cs="宋体"/>
                <w:sz w:val="24"/>
                <w:highlight w:val="none"/>
              </w:rPr>
            </w:pPr>
            <w:r>
              <w:rPr>
                <w:rFonts w:hint="eastAsia" w:ascii="宋体" w:hAnsi="宋体" w:eastAsia="宋体" w:cs="宋体"/>
                <w:sz w:val="24"/>
                <w:highlight w:val="none"/>
                <w:lang w:eastAsia="zh-CN"/>
              </w:rPr>
              <w:t>所属行业：其他未列明行业。</w:t>
            </w:r>
          </w:p>
        </w:tc>
      </w:tr>
      <w:bookmarkEnd w:id="51"/>
    </w:tbl>
    <w:p w14:paraId="24BAD280">
      <w:pPr>
        <w:spacing w:line="360" w:lineRule="auto"/>
        <w:ind w:firstLine="437"/>
        <w:outlineLvl w:val="1"/>
        <w:rPr>
          <w:rFonts w:hint="eastAsia" w:ascii="宋体" w:hAnsi="宋体" w:eastAsia="宋体" w:cs="宋体"/>
          <w:b/>
          <w:color w:val="auto"/>
          <w:sz w:val="20"/>
          <w:szCs w:val="13"/>
          <w:highlight w:val="none"/>
        </w:rPr>
      </w:pPr>
      <w:bookmarkStart w:id="52" w:name="_Toc25144"/>
      <w:bookmarkStart w:id="53" w:name="_Toc12748"/>
      <w:bookmarkStart w:id="54" w:name="_Toc23116"/>
      <w:r>
        <w:rPr>
          <w:rFonts w:hint="eastAsia" w:ascii="宋体" w:hAnsi="宋体" w:eastAsia="宋体" w:cs="宋体"/>
          <w:b/>
          <w:color w:val="auto"/>
          <w:sz w:val="20"/>
          <w:szCs w:val="13"/>
          <w:highlight w:val="none"/>
        </w:rPr>
        <w:t>二、项目概况</w:t>
      </w:r>
      <w:bookmarkEnd w:id="52"/>
      <w:bookmarkEnd w:id="53"/>
      <w:bookmarkEnd w:id="54"/>
    </w:p>
    <w:p w14:paraId="3F945708">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滁州市国省道里程约1700公里的公路技术状况评定，迎国检预检路段里程约260公里；</w:t>
      </w:r>
    </w:p>
    <w:p w14:paraId="3899AE9D">
      <w:pPr>
        <w:numPr>
          <w:ilvl w:val="0"/>
          <w:numId w:val="3"/>
        </w:numPr>
        <w:autoSpaceDE w:val="0"/>
        <w:autoSpaceDN w:val="0"/>
        <w:adjustRightInd w:val="0"/>
        <w:spacing w:line="420" w:lineRule="exact"/>
        <w:ind w:firstLine="402" w:firstLineChars="200"/>
        <w:rPr>
          <w:rFonts w:hint="eastAsia" w:ascii="宋体" w:hAnsi="宋体" w:eastAsia="宋体" w:cs="宋体"/>
          <w:b/>
          <w:color w:val="auto"/>
          <w:sz w:val="20"/>
          <w:szCs w:val="13"/>
          <w:highlight w:val="none"/>
        </w:rPr>
      </w:pPr>
      <w:bookmarkStart w:id="55" w:name="_Toc15317"/>
      <w:bookmarkStart w:id="56" w:name="_Toc21757"/>
      <w:bookmarkStart w:id="57" w:name="_Toc8586"/>
      <w:r>
        <w:rPr>
          <w:rFonts w:hint="eastAsia" w:ascii="宋体" w:hAnsi="宋体" w:eastAsia="宋体" w:cs="宋体"/>
          <w:b/>
          <w:color w:val="auto"/>
          <w:sz w:val="20"/>
          <w:szCs w:val="13"/>
          <w:highlight w:val="none"/>
        </w:rPr>
        <w:t>服务需求</w:t>
      </w:r>
      <w:bookmarkEnd w:id="55"/>
      <w:bookmarkEnd w:id="56"/>
      <w:bookmarkEnd w:id="57"/>
    </w:p>
    <w:p w14:paraId="3BBCF848">
      <w:pPr>
        <w:numPr>
          <w:ilvl w:val="0"/>
          <w:numId w:val="0"/>
        </w:numPr>
        <w:autoSpaceDE w:val="0"/>
        <w:autoSpaceDN w:val="0"/>
        <w:adjustRightInd w:val="0"/>
        <w:spacing w:line="42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检测的工作内容</w:t>
      </w:r>
    </w:p>
    <w:p w14:paraId="521C76EB">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1、国省干线公路技术状况</w:t>
      </w:r>
    </w:p>
    <w:p w14:paraId="03988184">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安徽省普通国省干线公路路面技术状况监测实施方案》文件要求，按照《公路技术状况评定标准》（JTG5210-2018），检测全市国省干线公路的路面破损（DR)、路面平整度（IRI）、路面车辙（RD）、路面跳车（PB)、路面横向力（一级公路）（SFC)等指标，开展全市国省干线公路路面损坏状况指数PCI、路面行驶质量指数RQI、路面车辙深度指数RDI、路面跳车指数PBI、路面抗滑指数SRI等的统计与评定。由此得出路面使用性能PQI、公路技术状况指数MQI，并将公路评定资料录入安徽公路资产平台，负责2025年公路资产平台技术状况有关数据的整理、完善。</w:t>
      </w:r>
    </w:p>
    <w:p w14:paraId="0C066BBA">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全年完成国、省道全覆盖PQI一次，国、省道全覆盖MQI检测一次。并出具对应的检测报告。</w:t>
      </w:r>
    </w:p>
    <w:p w14:paraId="57F23240">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2、养护统计年报</w:t>
      </w:r>
    </w:p>
    <w:p w14:paraId="708289CC">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负责2025年滁州市国省干线养护统计年报及电子地图编制工作：编制市本级并汇总审核各县（市）公路中心上报的年报数据及电子地图，上报省公路中心审核通过。</w:t>
      </w:r>
    </w:p>
    <w:p w14:paraId="56D1F159">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3、综合评价</w:t>
      </w:r>
    </w:p>
    <w:p w14:paraId="5B262AB0">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按照《安徽省普通国省干线公路路况综合考评办法》的要求，对我市国省干线公路日常养护和安徽公路资产管理开展两次综合评价。</w:t>
      </w:r>
    </w:p>
    <w:p w14:paraId="41E27CBD">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4、编制报告</w:t>
      </w:r>
    </w:p>
    <w:p w14:paraId="1A49F60C">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1）编制2025年滁州市国省干线公路养护需求分析报告。</w:t>
      </w:r>
    </w:p>
    <w:p w14:paraId="54F28CA9">
      <w:pPr>
        <w:autoSpaceDE w:val="0"/>
        <w:autoSpaceDN w:val="0"/>
        <w:adjustRightInd w:val="0"/>
        <w:spacing w:line="4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2）全市国省干线耐久性评价：公路耐久性评价意见结合公路建设完成至今使用年数、使用期间总交通量、当前技术状况等因素计算公路耐久性指标。</w:t>
      </w:r>
    </w:p>
    <w:p w14:paraId="7E7A7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检测要求</w:t>
      </w:r>
    </w:p>
    <w:p w14:paraId="5DFDA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1）、利用CICS全智能自动化检测车并结合仪器进行检测。检测前编制检测方案，经业主审批同意后方可开展相关工作。</w:t>
      </w:r>
    </w:p>
    <w:p w14:paraId="340854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2）、综合评价须根据《安徽省普通国省干线公路路况综合考评办法》采用线上、线下综合检测结果的方式开展，线上指安徽公路资产平台。</w:t>
      </w:r>
    </w:p>
    <w:p w14:paraId="34F05E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检测工作要求：</w:t>
      </w:r>
    </w:p>
    <w:p w14:paraId="551DC3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编制技术状况评定报告：</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底完成普通国道和迎国检预检路段PQI检测报告和通报，10月底完成国、省道公路技术状况检测报告和通报；10月底完成2025年我市国省干线公路日常养护和安徽公路资产管理的综合评价、安徽公路资产平台的数据整理、完善工作;</w:t>
      </w:r>
    </w:p>
    <w:p w14:paraId="2D7BA3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（三）检测工作要求：</w:t>
      </w:r>
    </w:p>
    <w:p w14:paraId="00343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1、依据委托人要求</w:t>
      </w:r>
      <w:r>
        <w:rPr>
          <w:rFonts w:hint="eastAsia" w:ascii="宋体" w:hAnsi="宋体" w:eastAsia="宋体" w:cs="宋体"/>
          <w:color w:val="auto"/>
          <w:sz w:val="24"/>
          <w:szCs w:val="24"/>
          <w:highlight w:val="none"/>
          <w:lang w:val="en-US" w:eastAsia="zh-CN"/>
        </w:rPr>
        <w:t>按项目</w:t>
      </w:r>
      <w:r>
        <w:rPr>
          <w:rFonts w:hint="eastAsia" w:ascii="宋体" w:hAnsi="宋体" w:eastAsia="宋体" w:cs="宋体"/>
          <w:color w:val="auto"/>
          <w:sz w:val="24"/>
          <w:szCs w:val="24"/>
          <w:highlight w:val="none"/>
          <w:lang w:eastAsia="zh-CN"/>
        </w:rPr>
        <w:t>出具巡检情况报告和通报；</w:t>
      </w:r>
    </w:p>
    <w:p w14:paraId="25137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2、安徽资产平台的数据服务和巡检评价须专人驻地协助委托人开展相关工作。</w:t>
      </w:r>
    </w:p>
    <w:p w14:paraId="76EDA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、工作要求</w:t>
      </w:r>
    </w:p>
    <w:p w14:paraId="6B85A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（一）人员 、场地及机械设备要求：</w:t>
      </w:r>
    </w:p>
    <w:p w14:paraId="1B805D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1、为本项目配备固定管理技术人员,班子人员较齐备、搭配较合理</w:t>
      </w:r>
    </w:p>
    <w:p w14:paraId="334ED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2、机械设备数量、配置种类充分、合适，主要设备落实，满足检测需要。</w:t>
      </w:r>
    </w:p>
    <w:p w14:paraId="2F51B4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（二）服务要求</w:t>
      </w:r>
    </w:p>
    <w:p w14:paraId="00A1CC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1、服务期间，必须按招标人的要求以及实际需要配备足够的人员； </w:t>
      </w:r>
    </w:p>
    <w:p w14:paraId="3B26C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2、评定报告内容标准符合国家有关技术规程、规范要求。</w:t>
      </w:r>
    </w:p>
    <w:p w14:paraId="32D04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3、若不符合相关质量要求，由中标人立即无条件进行整改。由此发生的费用业主不用另行计量支付。</w:t>
      </w:r>
    </w:p>
    <w:p w14:paraId="03B9C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3、中标单位在承包期内工作人员发生各种事故：包括工程安全、治安、交通、防火和违法乱纪、劳资纠纷等事件，所造成一切后果及损失，由中标单位承担责任和负责赔偿。</w:t>
      </w:r>
    </w:p>
    <w:p w14:paraId="439618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4、在合同期内，中标人因各种原因，造成第三方的损失或经济损失，由中标人独自承担其法律和经济责任，与招标人无关。</w:t>
      </w:r>
    </w:p>
    <w:p w14:paraId="1A890AF2">
      <w:pPr>
        <w:pStyle w:val="2"/>
        <w:rPr>
          <w:rFonts w:hint="eastAsia" w:ascii="宋体" w:hAnsi="宋体" w:eastAsia="宋体" w:cs="宋体"/>
          <w:lang w:val="en-US" w:eastAsia="zh-CN"/>
        </w:rPr>
      </w:pPr>
      <w:r>
        <w:rPr>
          <w:rFonts w:hint="eastAsia" w:ascii="宋体" w:hAnsi="宋体" w:eastAsia="宋体" w:cs="宋体"/>
          <w:color w:val="auto"/>
          <w:sz w:val="24"/>
          <w:szCs w:val="24"/>
          <w:highlight w:val="none"/>
          <w:lang w:val="en-US" w:eastAsia="zh-CN"/>
        </w:rPr>
        <w:t>5、配合迎国检工作，具体检测方案经业主审核后确定。</w:t>
      </w:r>
    </w:p>
    <w:p w14:paraId="33E4ED2C">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1A6844AD">
      <w:pPr>
        <w:spacing w:line="360" w:lineRule="auto"/>
        <w:jc w:val="center"/>
        <w:outlineLvl w:val="0"/>
        <w:rPr>
          <w:rFonts w:hint="eastAsia" w:ascii="宋体" w:hAnsi="宋体" w:eastAsia="宋体" w:cs="宋体"/>
          <w:b/>
          <w:sz w:val="28"/>
          <w:highlight w:val="none"/>
        </w:rPr>
      </w:pPr>
      <w:bookmarkStart w:id="58" w:name="_Toc25399"/>
      <w:r>
        <w:rPr>
          <w:rFonts w:hint="eastAsia" w:ascii="宋体" w:hAnsi="宋体" w:eastAsia="宋体" w:cs="宋体"/>
          <w:b/>
          <w:sz w:val="28"/>
          <w:highlight w:val="none"/>
        </w:rPr>
        <w:t>第四章  评标方法和标准</w:t>
      </w:r>
      <w:bookmarkEnd w:id="58"/>
      <w:r>
        <w:rPr>
          <w:rFonts w:hint="eastAsia" w:ascii="宋体" w:hAnsi="宋体" w:eastAsia="宋体" w:cs="宋体"/>
          <w:b/>
          <w:sz w:val="28"/>
          <w:highlight w:val="none"/>
        </w:rPr>
        <w:t>（综合评分法）</w:t>
      </w:r>
    </w:p>
    <w:p w14:paraId="32795BD3">
      <w:pPr>
        <w:spacing w:line="440" w:lineRule="exact"/>
        <w:ind w:firstLine="437"/>
        <w:outlineLvl w:val="1"/>
        <w:rPr>
          <w:rFonts w:hint="eastAsia" w:ascii="宋体" w:hAnsi="宋体" w:eastAsia="宋体" w:cs="宋体"/>
          <w:b/>
          <w:sz w:val="24"/>
          <w:highlight w:val="none"/>
        </w:rPr>
      </w:pPr>
      <w:bookmarkStart w:id="59" w:name="_Toc11823"/>
      <w:bookmarkStart w:id="60" w:name="_Toc9286"/>
      <w:bookmarkStart w:id="61" w:name="_Toc4705"/>
      <w:r>
        <w:rPr>
          <w:rFonts w:hint="eastAsia" w:ascii="宋体" w:hAnsi="宋体" w:eastAsia="宋体" w:cs="宋体"/>
          <w:b/>
          <w:sz w:val="24"/>
          <w:highlight w:val="none"/>
        </w:rPr>
        <w:t>一、总则</w:t>
      </w:r>
      <w:bookmarkEnd w:id="59"/>
      <w:bookmarkEnd w:id="60"/>
      <w:bookmarkEnd w:id="61"/>
    </w:p>
    <w:p w14:paraId="17185BCF">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本项目将按照招标文件第二章 投标人须知的相关要求及本章的规定评标。</w:t>
      </w:r>
    </w:p>
    <w:p w14:paraId="3CB6423B">
      <w:pPr>
        <w:spacing w:line="440" w:lineRule="exact"/>
        <w:ind w:firstLine="437"/>
        <w:outlineLvl w:val="1"/>
        <w:rPr>
          <w:rFonts w:hint="eastAsia" w:ascii="宋体" w:hAnsi="宋体" w:eastAsia="宋体" w:cs="宋体"/>
          <w:b/>
          <w:sz w:val="24"/>
          <w:highlight w:val="none"/>
        </w:rPr>
      </w:pPr>
      <w:bookmarkStart w:id="62" w:name="_Toc31871"/>
      <w:bookmarkStart w:id="63" w:name="_Toc32410"/>
      <w:bookmarkStart w:id="64" w:name="_Toc12003"/>
      <w:r>
        <w:rPr>
          <w:rFonts w:hint="eastAsia" w:ascii="宋体" w:hAnsi="宋体" w:eastAsia="宋体" w:cs="宋体"/>
          <w:b/>
          <w:sz w:val="24"/>
          <w:highlight w:val="none"/>
        </w:rPr>
        <w:t>二、评标方法</w:t>
      </w:r>
      <w:bookmarkEnd w:id="62"/>
      <w:bookmarkEnd w:id="63"/>
      <w:bookmarkEnd w:id="64"/>
    </w:p>
    <w:p w14:paraId="66BABE30">
      <w:pPr>
        <w:spacing w:line="440" w:lineRule="exact"/>
        <w:ind w:firstLine="437"/>
        <w:outlineLvl w:val="2"/>
        <w:rPr>
          <w:rFonts w:hint="eastAsia" w:ascii="宋体" w:hAnsi="宋体" w:eastAsia="宋体" w:cs="宋体"/>
          <w:sz w:val="24"/>
          <w:highlight w:val="none"/>
        </w:rPr>
      </w:pPr>
      <w:r>
        <w:rPr>
          <w:rFonts w:hint="eastAsia" w:ascii="宋体" w:hAnsi="宋体" w:eastAsia="宋体" w:cs="宋体"/>
          <w:sz w:val="24"/>
          <w:highlight w:val="none"/>
        </w:rPr>
        <w:t>2.1资格审查</w:t>
      </w:r>
    </w:p>
    <w:tbl>
      <w:tblPr>
        <w:tblStyle w:val="2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51"/>
        <w:gridCol w:w="4556"/>
        <w:gridCol w:w="1906"/>
      </w:tblGrid>
      <w:tr w14:paraId="585B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3D3454F">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b/>
                <w:sz w:val="24"/>
                <w:szCs w:val="22"/>
                <w:highlight w:val="none"/>
              </w:rPr>
              <w:t>资格审查表</w:t>
            </w:r>
          </w:p>
        </w:tc>
      </w:tr>
      <w:tr w14:paraId="0389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34E72C44">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942" w:type="pct"/>
            <w:tcBorders>
              <w:bottom w:val="single" w:color="auto" w:sz="4" w:space="0"/>
            </w:tcBorders>
            <w:vAlign w:val="center"/>
          </w:tcPr>
          <w:p w14:paraId="48B4D19D">
            <w:pPr>
              <w:pStyle w:val="48"/>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kern w:val="2"/>
                <w:szCs w:val="24"/>
                <w:highlight w:val="none"/>
              </w:rPr>
            </w:pPr>
            <w:r>
              <w:rPr>
                <w:rFonts w:hint="eastAsia" w:ascii="宋体" w:hAnsi="宋体" w:eastAsia="宋体" w:cs="宋体"/>
                <w:kern w:val="2"/>
                <w:szCs w:val="24"/>
                <w:highlight w:val="none"/>
              </w:rPr>
              <w:t>审查因素</w:t>
            </w:r>
          </w:p>
        </w:tc>
        <w:tc>
          <w:tcPr>
            <w:tcW w:w="2600" w:type="pct"/>
            <w:tcBorders>
              <w:bottom w:val="single" w:color="auto" w:sz="4" w:space="0"/>
            </w:tcBorders>
            <w:vAlign w:val="center"/>
          </w:tcPr>
          <w:p w14:paraId="4DA42642">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审查内容</w:t>
            </w:r>
          </w:p>
        </w:tc>
        <w:tc>
          <w:tcPr>
            <w:tcW w:w="1087" w:type="pct"/>
            <w:tcBorders>
              <w:bottom w:val="single" w:color="auto" w:sz="4" w:space="0"/>
            </w:tcBorders>
            <w:vAlign w:val="center"/>
          </w:tcPr>
          <w:p w14:paraId="3180C3A1">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格式要求</w:t>
            </w:r>
          </w:p>
        </w:tc>
      </w:tr>
      <w:tr w14:paraId="0F71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0" w:type="pct"/>
            <w:tcBorders>
              <w:bottom w:val="single" w:color="auto" w:sz="4" w:space="0"/>
            </w:tcBorders>
            <w:vAlign w:val="center"/>
          </w:tcPr>
          <w:p w14:paraId="5B16FD5C">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42" w:type="pct"/>
            <w:tcBorders>
              <w:bottom w:val="single" w:color="auto" w:sz="4" w:space="0"/>
            </w:tcBorders>
            <w:vAlign w:val="center"/>
          </w:tcPr>
          <w:p w14:paraId="24E59D7A">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pacing w:val="9"/>
                <w:sz w:val="24"/>
                <w:szCs w:val="24"/>
                <w:highlight w:val="none"/>
              </w:rPr>
              <w:t>营业执照等证明</w:t>
            </w:r>
            <w:r>
              <w:rPr>
                <w:rFonts w:hint="eastAsia" w:ascii="宋体" w:hAnsi="宋体" w:eastAsia="宋体" w:cs="宋体"/>
                <w:spacing w:val="-3"/>
                <w:sz w:val="24"/>
                <w:szCs w:val="24"/>
                <w:highlight w:val="none"/>
              </w:rPr>
              <w:t>文件</w:t>
            </w:r>
          </w:p>
        </w:tc>
        <w:tc>
          <w:tcPr>
            <w:tcW w:w="2600" w:type="pct"/>
            <w:tcBorders>
              <w:bottom w:val="single" w:color="auto" w:sz="4" w:space="0"/>
            </w:tcBorders>
            <w:vAlign w:val="center"/>
          </w:tcPr>
          <w:p w14:paraId="3DAB00BA">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（1）投标人为企业（包括合伙企业）的，应提供有效的营业执照；</w:t>
            </w:r>
          </w:p>
          <w:p w14:paraId="6B646F2A">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（2）投标人为事业单位的，应提供有效的事业单位法人证书；</w:t>
            </w:r>
          </w:p>
          <w:p w14:paraId="14825A89">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（3）投标人是非企业机构的，应提供有效的执业许可证或登记证书等证明文件；</w:t>
            </w:r>
          </w:p>
          <w:p w14:paraId="67B4D42C">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（4）投标人是个体工商户的，应提供有效的个体工商户营业执照；</w:t>
            </w:r>
          </w:p>
          <w:p w14:paraId="7A00B333">
            <w:pPr>
              <w:spacing w:after="50" w:line="440" w:lineRule="exact"/>
              <w:ind w:right="-10"/>
              <w:jc w:val="left"/>
              <w:rPr>
                <w:rFonts w:hint="eastAsia" w:ascii="宋体" w:hAnsi="宋体" w:eastAsia="宋体" w:cs="宋体"/>
                <w:sz w:val="24"/>
                <w:szCs w:val="28"/>
                <w:highlight w:val="none"/>
              </w:rPr>
            </w:pPr>
            <w:r>
              <w:rPr>
                <w:rFonts w:hint="eastAsia" w:ascii="宋体" w:hAnsi="宋体" w:eastAsia="宋体" w:cs="宋体"/>
                <w:sz w:val="24"/>
                <w:szCs w:val="24"/>
                <w:highlight w:val="none"/>
              </w:rPr>
              <w:t>（5）投标人是自然人的，应提供有效的自然人身份证明。</w:t>
            </w:r>
          </w:p>
        </w:tc>
        <w:tc>
          <w:tcPr>
            <w:tcW w:w="1087" w:type="pct"/>
            <w:vAlign w:val="center"/>
          </w:tcPr>
          <w:p w14:paraId="525704F7">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提供材料扫描件或电子证照，应完整的体现出材料或电子证照全部内容。联合体投标的联合体各方均须提供。</w:t>
            </w:r>
          </w:p>
        </w:tc>
      </w:tr>
      <w:tr w14:paraId="60F9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0" w:type="pct"/>
            <w:tcBorders>
              <w:bottom w:val="single" w:color="auto" w:sz="4" w:space="0"/>
            </w:tcBorders>
            <w:vAlign w:val="center"/>
          </w:tcPr>
          <w:p w14:paraId="1D2BA25C">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42" w:type="pct"/>
            <w:tcBorders>
              <w:bottom w:val="single" w:color="auto" w:sz="4" w:space="0"/>
            </w:tcBorders>
            <w:vAlign w:val="center"/>
          </w:tcPr>
          <w:p w14:paraId="0903EB12">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z w:val="24"/>
                <w:szCs w:val="18"/>
                <w:highlight w:val="none"/>
              </w:rPr>
              <w:t>投标人资格声明书</w:t>
            </w:r>
          </w:p>
        </w:tc>
        <w:tc>
          <w:tcPr>
            <w:tcW w:w="2600" w:type="pct"/>
            <w:tcBorders>
              <w:bottom w:val="single" w:color="auto" w:sz="4" w:space="0"/>
            </w:tcBorders>
            <w:vAlign w:val="center"/>
          </w:tcPr>
          <w:p w14:paraId="53757F51">
            <w:pPr>
              <w:spacing w:after="50" w:line="440" w:lineRule="exact"/>
              <w:ind w:right="-10"/>
              <w:jc w:val="left"/>
              <w:rPr>
                <w:rFonts w:hint="eastAsia" w:ascii="宋体" w:hAnsi="宋体" w:eastAsia="宋体" w:cs="宋体"/>
                <w:sz w:val="24"/>
                <w:szCs w:val="28"/>
                <w:highlight w:val="none"/>
              </w:rPr>
            </w:pPr>
            <w:r>
              <w:rPr>
                <w:rFonts w:hint="eastAsia" w:ascii="宋体" w:hAnsi="宋体" w:eastAsia="宋体" w:cs="宋体"/>
                <w:sz w:val="24"/>
                <w:szCs w:val="24"/>
                <w:highlight w:val="none"/>
              </w:rPr>
              <w:t>提供符合招标文件要求的《投标人资格声明书》。</w:t>
            </w:r>
          </w:p>
        </w:tc>
        <w:tc>
          <w:tcPr>
            <w:tcW w:w="1087" w:type="pct"/>
            <w:vAlign w:val="center"/>
          </w:tcPr>
          <w:p w14:paraId="4A5838B5">
            <w:pPr>
              <w:spacing w:line="440" w:lineRule="exact"/>
              <w:jc w:val="left"/>
              <w:rPr>
                <w:rFonts w:hint="eastAsia" w:ascii="宋体" w:hAnsi="宋体" w:eastAsia="宋体" w:cs="宋体"/>
                <w:sz w:val="24"/>
                <w:szCs w:val="24"/>
                <w:highlight w:val="none"/>
              </w:rPr>
            </w:pPr>
            <w:r>
              <w:rPr>
                <w:rFonts w:hint="eastAsia" w:ascii="宋体" w:hAnsi="宋体" w:eastAsia="宋体" w:cs="宋体"/>
                <w:sz w:val="24"/>
                <w:highlight w:val="none"/>
              </w:rPr>
              <w:t>详见第六章投标文件格式。</w:t>
            </w:r>
          </w:p>
        </w:tc>
      </w:tr>
      <w:tr w14:paraId="6730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3A2B0CDE">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42" w:type="pct"/>
            <w:vAlign w:val="center"/>
          </w:tcPr>
          <w:p w14:paraId="31B48DA7">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z w:val="24"/>
                <w:szCs w:val="24"/>
                <w:highlight w:val="none"/>
              </w:rPr>
              <w:t>投标人信用记录</w:t>
            </w:r>
          </w:p>
        </w:tc>
        <w:tc>
          <w:tcPr>
            <w:tcW w:w="2600" w:type="pct"/>
            <w:vAlign w:val="center"/>
          </w:tcPr>
          <w:p w14:paraId="42C8BB6E">
            <w:pPr>
              <w:spacing w:after="50" w:line="440" w:lineRule="exact"/>
              <w:ind w:right="-10"/>
              <w:jc w:val="left"/>
              <w:rPr>
                <w:rFonts w:hint="eastAsia" w:ascii="宋体" w:hAnsi="宋体" w:eastAsia="宋体" w:cs="宋体"/>
                <w:highlight w:val="none"/>
              </w:rPr>
            </w:pPr>
            <w:r>
              <w:rPr>
                <w:rFonts w:hint="eastAsia" w:ascii="宋体" w:hAnsi="宋体" w:eastAsia="宋体" w:cs="宋体"/>
                <w:sz w:val="24"/>
                <w:szCs w:val="24"/>
                <w:highlight w:val="none"/>
                <w:lang w:val="zh-CN"/>
              </w:rPr>
              <w:t>投标人不得存在</w:t>
            </w:r>
            <w:r>
              <w:rPr>
                <w:rFonts w:hint="eastAsia" w:ascii="宋体" w:hAnsi="宋体" w:eastAsia="宋体" w:cs="宋体"/>
                <w:sz w:val="24"/>
                <w:szCs w:val="24"/>
                <w:highlight w:val="none"/>
              </w:rPr>
              <w:t>投标邀请第4条信誉要求和</w:t>
            </w:r>
            <w:r>
              <w:rPr>
                <w:rFonts w:hint="eastAsia" w:ascii="宋体" w:hAnsi="宋体" w:eastAsia="宋体" w:cs="宋体"/>
                <w:sz w:val="24"/>
                <w:szCs w:val="24"/>
                <w:highlight w:val="none"/>
                <w:lang w:val="zh-CN"/>
              </w:rPr>
              <w:t>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cs="宋体"/>
                <w:sz w:val="24"/>
                <w:szCs w:val="28"/>
                <w:highlight w:val="none"/>
              </w:rPr>
              <w:t>的</w:t>
            </w:r>
            <w:r>
              <w:rPr>
                <w:rFonts w:hint="eastAsia" w:ascii="宋体" w:hAnsi="宋体" w:eastAsia="宋体" w:cs="宋体"/>
                <w:sz w:val="24"/>
                <w:szCs w:val="18"/>
                <w:highlight w:val="none"/>
              </w:rPr>
              <w:t>不良信用记录情形</w:t>
            </w:r>
          </w:p>
        </w:tc>
        <w:tc>
          <w:tcPr>
            <w:tcW w:w="1087" w:type="pct"/>
            <w:vAlign w:val="center"/>
          </w:tcPr>
          <w:p w14:paraId="5F2AEDBC">
            <w:pPr>
              <w:spacing w:line="440" w:lineRule="exact"/>
              <w:jc w:val="left"/>
              <w:rPr>
                <w:rFonts w:hint="eastAsia" w:ascii="宋体" w:hAnsi="宋体" w:eastAsia="宋体" w:cs="宋体"/>
                <w:highlight w:val="none"/>
              </w:rPr>
            </w:pPr>
            <w:r>
              <w:rPr>
                <w:rFonts w:hint="eastAsia" w:ascii="宋体" w:hAnsi="宋体" w:eastAsia="宋体" w:cs="宋体"/>
                <w:sz w:val="24"/>
                <w:szCs w:val="24"/>
                <w:highlight w:val="none"/>
              </w:rPr>
              <w:t>无须投标人提供，由采购人或采购代理机构查询。</w:t>
            </w:r>
          </w:p>
        </w:tc>
      </w:tr>
      <w:tr w14:paraId="21F6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shd w:val="clear" w:color="auto" w:fill="auto"/>
            <w:vAlign w:val="center"/>
          </w:tcPr>
          <w:p w14:paraId="5BB4125A">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bookmarkStart w:id="65" w:name="_Hlk16461707"/>
            <w:r>
              <w:rPr>
                <w:rFonts w:hint="eastAsia" w:ascii="宋体" w:hAnsi="宋体" w:eastAsia="宋体" w:cs="宋体"/>
                <w:color w:val="auto"/>
                <w:sz w:val="24"/>
                <w:highlight w:val="none"/>
                <w:lang w:val="en-US" w:eastAsia="zh-CN"/>
              </w:rPr>
              <w:t>4</w:t>
            </w:r>
          </w:p>
        </w:tc>
        <w:tc>
          <w:tcPr>
            <w:tcW w:w="942" w:type="pct"/>
            <w:shd w:val="clear" w:color="auto" w:fill="auto"/>
            <w:vAlign w:val="center"/>
          </w:tcPr>
          <w:p w14:paraId="76AFA14B">
            <w:pPr>
              <w:spacing w:after="50" w:line="360" w:lineRule="auto"/>
              <w:ind w:right="-1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0"/>
                <w:sz w:val="24"/>
                <w:szCs w:val="24"/>
                <w:highlight w:val="none"/>
              </w:rPr>
              <w:t>其它落实政府采</w:t>
            </w:r>
            <w:r>
              <w:rPr>
                <w:rFonts w:hint="eastAsia" w:ascii="宋体" w:hAnsi="宋体" w:eastAsia="宋体" w:cs="宋体"/>
                <w:color w:val="auto"/>
                <w:spacing w:val="11"/>
                <w:sz w:val="24"/>
                <w:szCs w:val="24"/>
                <w:highlight w:val="none"/>
              </w:rPr>
              <w:t>购政策的资格要</w:t>
            </w:r>
            <w:r>
              <w:rPr>
                <w:rFonts w:hint="eastAsia" w:ascii="宋体" w:hAnsi="宋体" w:eastAsia="宋体" w:cs="宋体"/>
                <w:color w:val="auto"/>
                <w:sz w:val="24"/>
                <w:szCs w:val="24"/>
                <w:highlight w:val="none"/>
              </w:rPr>
              <w:t>求</w:t>
            </w:r>
          </w:p>
        </w:tc>
        <w:tc>
          <w:tcPr>
            <w:tcW w:w="2600" w:type="pct"/>
            <w:shd w:val="clear" w:color="auto" w:fill="auto"/>
            <w:vAlign w:val="center"/>
          </w:tcPr>
          <w:p w14:paraId="45ECB700">
            <w:pPr>
              <w:spacing w:after="50" w:line="360" w:lineRule="auto"/>
              <w:ind w:right="-10" w:right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pacing w:val="-2"/>
                <w:sz w:val="24"/>
                <w:szCs w:val="24"/>
                <w:highlight w:val="none"/>
                <w:lang w:val="en-US" w:eastAsia="zh-CN"/>
              </w:rPr>
              <w:t>如有，</w:t>
            </w:r>
            <w:r>
              <w:rPr>
                <w:rFonts w:hint="eastAsia" w:ascii="宋体" w:hAnsi="宋体" w:eastAsia="宋体" w:cs="宋体"/>
                <w:color w:val="auto"/>
                <w:spacing w:val="-2"/>
                <w:sz w:val="24"/>
                <w:szCs w:val="24"/>
                <w:highlight w:val="none"/>
              </w:rPr>
              <w:t>见第一章《投标邀请》</w:t>
            </w:r>
          </w:p>
        </w:tc>
        <w:tc>
          <w:tcPr>
            <w:tcW w:w="1087" w:type="pct"/>
            <w:shd w:val="clear" w:color="auto" w:fill="auto"/>
            <w:vAlign w:val="center"/>
          </w:tcPr>
          <w:p w14:paraId="30C92E6F">
            <w:pPr>
              <w:spacing w:after="50" w:line="360" w:lineRule="auto"/>
              <w:ind w:right="-10" w:rightChars="0"/>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FA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shd w:val="clear" w:color="auto" w:fill="auto"/>
            <w:vAlign w:val="center"/>
          </w:tcPr>
          <w:p w14:paraId="130F3D2F">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5</w:t>
            </w:r>
          </w:p>
        </w:tc>
        <w:tc>
          <w:tcPr>
            <w:tcW w:w="942" w:type="pct"/>
            <w:tcBorders>
              <w:bottom w:val="single" w:color="auto" w:sz="4" w:space="0"/>
            </w:tcBorders>
            <w:shd w:val="clear" w:color="auto" w:fill="auto"/>
            <w:vAlign w:val="center"/>
          </w:tcPr>
          <w:p w14:paraId="3E227839">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sz w:val="24"/>
                <w:szCs w:val="24"/>
                <w:highlight w:val="none"/>
              </w:rPr>
              <w:t>其他特定资格要求</w:t>
            </w:r>
          </w:p>
        </w:tc>
        <w:tc>
          <w:tcPr>
            <w:tcW w:w="2600" w:type="pct"/>
            <w:tcBorders>
              <w:bottom w:val="single" w:color="auto" w:sz="4" w:space="0"/>
            </w:tcBorders>
            <w:shd w:val="clear" w:color="auto" w:fill="auto"/>
            <w:vAlign w:val="center"/>
          </w:tcPr>
          <w:p w14:paraId="37D7F185">
            <w:pPr>
              <w:spacing w:after="50" w:line="360" w:lineRule="auto"/>
              <w:ind w:right="-10" w:rightChars="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pacing w:val="-2"/>
                <w:sz w:val="24"/>
                <w:szCs w:val="24"/>
                <w:highlight w:val="none"/>
              </w:rPr>
              <w:t>见第一章《投标邀请》</w:t>
            </w:r>
          </w:p>
        </w:tc>
        <w:tc>
          <w:tcPr>
            <w:tcW w:w="1087" w:type="pct"/>
            <w:tcBorders>
              <w:bottom w:val="single" w:color="auto" w:sz="4" w:space="0"/>
            </w:tcBorders>
            <w:shd w:val="clear" w:color="auto" w:fill="auto"/>
            <w:vAlign w:val="center"/>
          </w:tcPr>
          <w:p w14:paraId="36F1B436">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2CCE854E">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bookmarkEnd w:id="65"/>
    <w:p w14:paraId="36A729D3">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521FC25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49B5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D1E9F2D">
            <w:pPr>
              <w:adjustRightInd w:val="0"/>
              <w:snapToGrid w:val="0"/>
              <w:spacing w:line="360" w:lineRule="auto"/>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76EB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72D8A140">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7A62C52C">
            <w:pPr>
              <w:pStyle w:val="48"/>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1CDA99D">
            <w:pPr>
              <w:adjustRightInd w:val="0"/>
              <w:snapToGrid w:val="0"/>
              <w:spacing w:line="360" w:lineRule="auto"/>
              <w:ind w:right="-1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2" w:type="pct"/>
            <w:tcBorders>
              <w:bottom w:val="single" w:color="auto" w:sz="4" w:space="0"/>
            </w:tcBorders>
            <w:vAlign w:val="center"/>
          </w:tcPr>
          <w:p w14:paraId="2EDBBC84">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1BA8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4C8AB0F">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67330D2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66735CE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1C7D8330">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649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C24C60">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2AB398A3">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35FB071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6C67A7B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046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48CAAE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4EC4C481">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78A0F23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589C685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213D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ED48A89">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60913D56">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52EB3D78">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2" w:type="pct"/>
            <w:vAlign w:val="center"/>
          </w:tcPr>
          <w:p w14:paraId="5885C9C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7B0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779D4F7">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64E19087">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45D1DB40">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期限、</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地点的要求</w:t>
            </w:r>
          </w:p>
        </w:tc>
        <w:tc>
          <w:tcPr>
            <w:tcW w:w="1472" w:type="pct"/>
            <w:vAlign w:val="center"/>
          </w:tcPr>
          <w:p w14:paraId="2D1232F2">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8A0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30468C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6345128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响应情况</w:t>
            </w:r>
          </w:p>
        </w:tc>
        <w:tc>
          <w:tcPr>
            <w:tcW w:w="1835" w:type="pct"/>
            <w:vAlign w:val="center"/>
          </w:tcPr>
          <w:p w14:paraId="5279CD23">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要求</w:t>
            </w:r>
          </w:p>
        </w:tc>
        <w:tc>
          <w:tcPr>
            <w:tcW w:w="1472" w:type="pct"/>
            <w:vAlign w:val="center"/>
          </w:tcPr>
          <w:p w14:paraId="413C781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6BAE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C4BFC04">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2" w:type="pct"/>
            <w:vAlign w:val="center"/>
          </w:tcPr>
          <w:p w14:paraId="7FB539B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25B02AF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符合法律、行政法规规定的其他条件或招标文件列明的其他要求</w:t>
            </w:r>
          </w:p>
        </w:tc>
        <w:tc>
          <w:tcPr>
            <w:tcW w:w="1472" w:type="pct"/>
            <w:vAlign w:val="center"/>
          </w:tcPr>
          <w:p w14:paraId="184AA0C7">
            <w:pPr>
              <w:adjustRightInd w:val="0"/>
              <w:snapToGrid w:val="0"/>
              <w:spacing w:line="360" w:lineRule="auto"/>
              <w:ind w:right="-10"/>
              <w:jc w:val="center"/>
              <w:rPr>
                <w:rFonts w:hint="eastAsia" w:ascii="宋体" w:hAnsi="宋体" w:eastAsia="宋体" w:cs="宋体"/>
                <w:color w:val="auto"/>
                <w:sz w:val="24"/>
                <w:highlight w:val="none"/>
              </w:rPr>
            </w:pPr>
          </w:p>
        </w:tc>
      </w:tr>
    </w:tbl>
    <w:p w14:paraId="40042092">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0B9DF329">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19C8F15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5793E2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%，技术分值占总分值的权重为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10 </w:t>
      </w:r>
      <w:r>
        <w:rPr>
          <w:rFonts w:hint="eastAsia" w:ascii="宋体" w:hAnsi="宋体" w:eastAsia="宋体" w:cs="宋体"/>
          <w:color w:val="auto"/>
          <w:sz w:val="24"/>
          <w:highlight w:val="none"/>
        </w:rPr>
        <w:t>%。具体评分细则如下：</w:t>
      </w:r>
    </w:p>
    <w:p w14:paraId="2B5F4C84">
      <w:pPr>
        <w:spacing w:line="400" w:lineRule="exact"/>
        <w:ind w:firstLine="417" w:firstLineChars="198"/>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6.1资信标评审细则（</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bl>
      <w:tblPr>
        <w:tblStyle w:val="28"/>
        <w:tblW w:w="9612"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88"/>
        <w:gridCol w:w="7636"/>
      </w:tblGrid>
      <w:tr w14:paraId="1F60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8" w:type="dxa"/>
            <w:noWrap w:val="0"/>
            <w:vAlign w:val="center"/>
          </w:tcPr>
          <w:p w14:paraId="1A729E4E">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88" w:type="dxa"/>
            <w:noWrap w:val="0"/>
            <w:vAlign w:val="center"/>
          </w:tcPr>
          <w:p w14:paraId="6B6302B1">
            <w:pPr>
              <w:widowControl/>
              <w:spacing w:line="440" w:lineRule="exac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评分因素</w:t>
            </w:r>
          </w:p>
        </w:tc>
        <w:tc>
          <w:tcPr>
            <w:tcW w:w="7636" w:type="dxa"/>
            <w:noWrap w:val="0"/>
            <w:vAlign w:val="center"/>
          </w:tcPr>
          <w:p w14:paraId="12D136DA">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评审细则</w:t>
            </w:r>
            <w:r>
              <w:rPr>
                <w:rFonts w:hint="eastAsia" w:ascii="宋体" w:hAnsi="宋体" w:eastAsia="宋体" w:cs="宋体"/>
                <w:b/>
                <w:bCs/>
                <w:color w:val="auto"/>
                <w:kern w:val="0"/>
                <w:sz w:val="21"/>
                <w:szCs w:val="21"/>
                <w:highlight w:val="none"/>
                <w:lang w:val="en-US" w:eastAsia="zh-CN"/>
              </w:rPr>
              <w:t>及所需材料</w:t>
            </w:r>
          </w:p>
        </w:tc>
      </w:tr>
      <w:tr w14:paraId="2BEF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09F063FC">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1188" w:type="dxa"/>
            <w:noWrap w:val="0"/>
            <w:vAlign w:val="center"/>
          </w:tcPr>
          <w:p w14:paraId="383FD8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7636" w:type="dxa"/>
            <w:noWrap w:val="0"/>
            <w:vAlign w:val="center"/>
          </w:tcPr>
          <w:p w14:paraId="4B49AB11">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投标人自2022年1月1日至今每提供1个公路（路面）技术状况检测评定项目业绩的得2分，本项满分4分。</w:t>
            </w:r>
          </w:p>
          <w:p w14:paraId="3EBBB41C">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多提供两个业绩。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361D185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电子投标文件中须提供</w:t>
            </w:r>
            <w:r>
              <w:rPr>
                <w:rFonts w:hint="eastAsia" w:ascii="宋体" w:hAnsi="宋体" w:eastAsia="宋体" w:cs="宋体"/>
                <w:color w:val="auto"/>
                <w:sz w:val="21"/>
                <w:szCs w:val="21"/>
                <w:highlight w:val="none"/>
                <w:lang w:val="zh-CN" w:eastAsia="zh-CN"/>
              </w:rPr>
              <w:t>合同扫描件</w:t>
            </w:r>
          </w:p>
        </w:tc>
      </w:tr>
      <w:tr w14:paraId="616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1CC840FC">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p>
        </w:tc>
        <w:tc>
          <w:tcPr>
            <w:tcW w:w="1188" w:type="dxa"/>
            <w:noWrap w:val="0"/>
            <w:vAlign w:val="center"/>
          </w:tcPr>
          <w:p w14:paraId="598A3E33">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人员配备（</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7636" w:type="dxa"/>
            <w:noWrap w:val="0"/>
            <w:vAlign w:val="center"/>
          </w:tcPr>
          <w:p w14:paraId="1DC0A24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1、投标人拟配备人员中每有一个公路相关专业高级及以上职称的得2分，本项满分2分；</w:t>
            </w:r>
          </w:p>
          <w:p w14:paraId="1AB101BE">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2、投标人拟配备人员中每有一个公路相关专业中级及以上职称的得2分，本项满分4分；</w:t>
            </w:r>
          </w:p>
          <w:p w14:paraId="529B7416">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注:须提供职称证书，人员不累计得分。</w:t>
            </w:r>
          </w:p>
        </w:tc>
      </w:tr>
    </w:tbl>
    <w:p w14:paraId="0C49FE2D">
      <w:pPr>
        <w:spacing w:line="400" w:lineRule="exact"/>
        <w:ind w:firstLine="417" w:firstLineChars="198"/>
        <w:jc w:val="center"/>
        <w:rPr>
          <w:rFonts w:hint="eastAsia" w:ascii="宋体" w:hAnsi="宋体" w:eastAsia="宋体" w:cs="宋体"/>
          <w:b/>
          <w:color w:val="auto"/>
          <w:szCs w:val="21"/>
          <w:highlight w:val="none"/>
        </w:rPr>
      </w:pPr>
    </w:p>
    <w:p w14:paraId="7AFC1E9B">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技术标评审细则（</w:t>
      </w:r>
      <w:r>
        <w:rPr>
          <w:rFonts w:hint="eastAsia" w:ascii="宋体" w:hAnsi="宋体" w:eastAsia="宋体" w:cs="宋体"/>
          <w:b/>
          <w:color w:val="auto"/>
          <w:szCs w:val="21"/>
          <w:highlight w:val="none"/>
          <w:lang w:val="en-US" w:eastAsia="zh-CN"/>
        </w:rPr>
        <w:t>80</w:t>
      </w:r>
      <w:r>
        <w:rPr>
          <w:rFonts w:hint="eastAsia" w:ascii="宋体" w:hAnsi="宋体" w:eastAsia="宋体" w:cs="宋体"/>
          <w:b/>
          <w:color w:val="auto"/>
          <w:szCs w:val="21"/>
          <w:highlight w:val="none"/>
        </w:rPr>
        <w:t>分）</w:t>
      </w:r>
    </w:p>
    <w:tbl>
      <w:tblPr>
        <w:tblStyle w:val="29"/>
        <w:tblW w:w="9763"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62"/>
        <w:gridCol w:w="6538"/>
        <w:gridCol w:w="1275"/>
      </w:tblGrid>
      <w:tr w14:paraId="646B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138C730">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序号</w:t>
            </w:r>
          </w:p>
        </w:tc>
        <w:tc>
          <w:tcPr>
            <w:tcW w:w="1262" w:type="dxa"/>
            <w:vAlign w:val="center"/>
          </w:tcPr>
          <w:p w14:paraId="4057418D">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评分项目</w:t>
            </w:r>
          </w:p>
        </w:tc>
        <w:tc>
          <w:tcPr>
            <w:tcW w:w="6538" w:type="dxa"/>
            <w:vAlign w:val="center"/>
          </w:tcPr>
          <w:p w14:paraId="2BA9B48D">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评分细则</w:t>
            </w:r>
          </w:p>
        </w:tc>
        <w:tc>
          <w:tcPr>
            <w:tcW w:w="1275" w:type="dxa"/>
            <w:vAlign w:val="center"/>
          </w:tcPr>
          <w:p w14:paraId="468BF0E0">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2C94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43AAE19">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2" w:type="dxa"/>
            <w:vAlign w:val="center"/>
          </w:tcPr>
          <w:p w14:paraId="462A24F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整体服务</w:t>
            </w:r>
          </w:p>
          <w:p w14:paraId="19F9519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p>
        </w:tc>
        <w:tc>
          <w:tcPr>
            <w:tcW w:w="6538" w:type="dxa"/>
            <w:vAlign w:val="center"/>
          </w:tcPr>
          <w:p w14:paraId="48900A05">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根据本项目服务需求，投标人提供整体服务方案进行评审：</w:t>
            </w:r>
          </w:p>
          <w:p w14:paraId="032B19BD">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1.整体服务方案理解深刻，总体思路清晰，方案具体详实，定位准确，工作目标、内容和要求分析合理、全面的，得5分；</w:t>
            </w:r>
          </w:p>
          <w:p w14:paraId="54A46EE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2.整体服务方案理解全面，总体思路清晰，定位准确，工作目标、内容和要求分析合理的，得4分；</w:t>
            </w:r>
          </w:p>
          <w:p w14:paraId="0C1F53B0">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3.整体服务方案理解思路清晰，满足采购需求但需要进一步完善的，得3分；</w:t>
            </w:r>
          </w:p>
          <w:p w14:paraId="5704214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4.未提供的不得分。</w:t>
            </w:r>
          </w:p>
        </w:tc>
        <w:tc>
          <w:tcPr>
            <w:tcW w:w="1275" w:type="dxa"/>
            <w:vAlign w:val="center"/>
          </w:tcPr>
          <w:p w14:paraId="7231C279">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3135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440DA4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62" w:type="dxa"/>
            <w:vAlign w:val="center"/>
          </w:tcPr>
          <w:p w14:paraId="7B9DBE7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检测工作服务内容（频率、方法、目标）及保证措施</w:t>
            </w:r>
          </w:p>
        </w:tc>
        <w:tc>
          <w:tcPr>
            <w:tcW w:w="6538" w:type="dxa"/>
            <w:vAlign w:val="center"/>
          </w:tcPr>
          <w:p w14:paraId="4751322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检测工作服务</w:t>
            </w:r>
            <w:r>
              <w:rPr>
                <w:rFonts w:hint="eastAsia" w:ascii="宋体" w:hAnsi="宋体" w:eastAsia="宋体" w:cs="宋体"/>
                <w:color w:val="auto"/>
                <w:sz w:val="21"/>
                <w:szCs w:val="21"/>
                <w:highlight w:val="none"/>
                <w:lang w:val="en-US" w:eastAsia="zh-CN"/>
              </w:rPr>
              <w:t>服务内容（含检测频率、检测方法、检测目标）</w:t>
            </w:r>
            <w:r>
              <w:rPr>
                <w:rFonts w:hint="eastAsia" w:ascii="宋体" w:hAnsi="宋体" w:eastAsia="宋体" w:cs="宋体"/>
                <w:color w:val="auto"/>
                <w:kern w:val="0"/>
                <w:sz w:val="21"/>
                <w:szCs w:val="21"/>
                <w:highlight w:val="none"/>
                <w:lang w:val="en-US" w:eastAsia="zh-CN" w:bidi="ar"/>
              </w:rPr>
              <w:t xml:space="preserve">、专门的质量技术管理班子和制度，质量技术保证措施、自控体系；确保质量验收合格措施等方面进行评审： </w:t>
            </w:r>
          </w:p>
          <w:p w14:paraId="060B7CF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①目标明确具体、制度合理、内容完善且详细、各项措施全面，得5分； </w:t>
            </w:r>
          </w:p>
          <w:p w14:paraId="2961F7A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②目标清晰、制度合理、内容完善、各项措施可行，得4分； </w:t>
            </w:r>
          </w:p>
          <w:p w14:paraId="1B80971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③目标具有、制度合理、内容需要进一步完善，得3分； </w:t>
            </w:r>
          </w:p>
          <w:p w14:paraId="21990554">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5EE0CC4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E37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51DE09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62" w:type="dxa"/>
            <w:vAlign w:val="center"/>
          </w:tcPr>
          <w:p w14:paraId="0F87AB3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检测机构设置</w:t>
            </w:r>
          </w:p>
        </w:tc>
        <w:tc>
          <w:tcPr>
            <w:tcW w:w="6538" w:type="dxa"/>
            <w:vAlign w:val="center"/>
          </w:tcPr>
          <w:p w14:paraId="31065DBF">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根据本项目服务需求，投标人提供检测机构设置方案进行评审：</w:t>
            </w:r>
          </w:p>
          <w:p w14:paraId="621E7BA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①检测机构设置齐全，完善，符合本项目采购需求的，得5分； </w:t>
            </w:r>
          </w:p>
          <w:p w14:paraId="4D7F1F9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②检测机构设置完善、符合本项目采购需求的，得4分； </w:t>
            </w:r>
          </w:p>
          <w:p w14:paraId="7971D5D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③检测机构设置需要进一步完善，得3分； </w:t>
            </w:r>
          </w:p>
          <w:p w14:paraId="1281136E">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0C105641">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0757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2406EB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62" w:type="dxa"/>
            <w:vAlign w:val="center"/>
          </w:tcPr>
          <w:p w14:paraId="76184BD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检测人员进出场方案</w:t>
            </w:r>
          </w:p>
        </w:tc>
        <w:tc>
          <w:tcPr>
            <w:tcW w:w="6538" w:type="dxa"/>
            <w:vAlign w:val="center"/>
          </w:tcPr>
          <w:p w14:paraId="688C134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进行评审：</w:t>
            </w:r>
          </w:p>
          <w:p w14:paraId="4C902C5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①检测人员进出场安排合理、内容完善且详细、方案全面的得5分； </w:t>
            </w:r>
          </w:p>
          <w:p w14:paraId="1E2CA74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②检测人员进出场安排合理，方案可行，得4分； </w:t>
            </w:r>
          </w:p>
          <w:p w14:paraId="2416127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 xml:space="preserve">需要进一步完善，内容缺失得3分； </w:t>
            </w:r>
          </w:p>
          <w:p w14:paraId="303A1926">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6A13392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042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A01853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62" w:type="dxa"/>
            <w:vAlign w:val="center"/>
          </w:tcPr>
          <w:p w14:paraId="7FF20C7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检测设施、设备投入方案</w:t>
            </w:r>
          </w:p>
        </w:tc>
        <w:tc>
          <w:tcPr>
            <w:tcW w:w="6538" w:type="dxa"/>
            <w:vAlign w:val="center"/>
          </w:tcPr>
          <w:p w14:paraId="6214C2B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检测投入的主要机械、设备有详细的组织计划且计划周密；设备数量、选型配置、进场时间安排合理，满足检测要求，根据拟投入的主要机械、设备组织计划进行评审：</w:t>
            </w:r>
          </w:p>
          <w:p w14:paraId="03EF790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①投标供应商拟投入的主要机械、设备计划分项内容齐全，并承诺拟投入的机械、设备符合项目实际情况的得5分； </w:t>
            </w:r>
          </w:p>
          <w:p w14:paraId="7F67DB7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②投标供应商拟投入的主要机械、设备计划分项内容齐全，评审内容逐条分析，并制定措施，且符合项目实际情况，无套用、冒用其他项目的情况的得4分； </w:t>
            </w:r>
          </w:p>
          <w:p w14:paraId="2972A49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③投标供应商拟投入的主要机械、设备计划分项内容混乱，管理措施描述不清，前后矛盾，部分内容缺失，存在套用、冒用其他项目的情况的得3分； </w:t>
            </w:r>
          </w:p>
          <w:p w14:paraId="785E1129">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④未提供不得分。</w:t>
            </w:r>
          </w:p>
        </w:tc>
        <w:tc>
          <w:tcPr>
            <w:tcW w:w="1275" w:type="dxa"/>
            <w:vAlign w:val="center"/>
          </w:tcPr>
          <w:p w14:paraId="45F5126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3A94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957E5E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2" w:type="dxa"/>
            <w:vAlign w:val="center"/>
          </w:tcPr>
          <w:p w14:paraId="490F8CD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检测工作进度计划及保障措施方案</w:t>
            </w:r>
          </w:p>
        </w:tc>
        <w:tc>
          <w:tcPr>
            <w:tcW w:w="6538" w:type="dxa"/>
            <w:vAlign w:val="center"/>
          </w:tcPr>
          <w:p w14:paraId="4463C17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检测工作进度计划及保障措施进行评审：</w:t>
            </w:r>
          </w:p>
          <w:p w14:paraId="1D34CC2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①进度保障措施方案内容非常完整、进度计划及时间节点安排合理、贴合项目需求的得5分；</w:t>
            </w:r>
          </w:p>
          <w:p w14:paraId="440603D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②进度保障措施方案内容完善、进度计划及时间节点安排满足要求、整体标准满足项目需求的得4分；</w:t>
            </w:r>
          </w:p>
          <w:p w14:paraId="789EF28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③进度保障措施方案内容有待提高、计划及时间节点安排不合理的得3分；</w:t>
            </w:r>
          </w:p>
          <w:p w14:paraId="32B7C27F">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0F07167D">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0E75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528690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2" w:type="dxa"/>
            <w:vAlign w:val="center"/>
          </w:tcPr>
          <w:p w14:paraId="5F4F78D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质量保证控制方案</w:t>
            </w:r>
          </w:p>
        </w:tc>
        <w:tc>
          <w:tcPr>
            <w:tcW w:w="6538" w:type="dxa"/>
            <w:vAlign w:val="center"/>
          </w:tcPr>
          <w:p w14:paraId="47576735">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投标人提供内部质量控制方案进行评审，包括但不限于技术档案管理制度、成果文件质量控制制度、项目小组工作职责分工等：</w:t>
            </w:r>
          </w:p>
          <w:p w14:paraId="1067C0AF">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①方案内容完整详实，表述清晰，利于项目实施的得5分； </w:t>
            </w:r>
          </w:p>
          <w:p w14:paraId="54AD33D5">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②方案内容符合项目实施要求的得4分； </w:t>
            </w:r>
          </w:p>
          <w:p w14:paraId="4DEAC077">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③方案要点突出不够明显，具体细节有待完善的得3分； </w:t>
            </w:r>
          </w:p>
          <w:p w14:paraId="220E16CD">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④未提供的不得分。</w:t>
            </w:r>
            <w:r>
              <w:rPr>
                <w:rFonts w:hint="eastAsia" w:ascii="宋体" w:hAnsi="宋体" w:eastAsia="宋体" w:cs="宋体"/>
                <w:b/>
                <w:color w:val="auto"/>
                <w:kern w:val="2"/>
                <w:sz w:val="21"/>
                <w:szCs w:val="21"/>
                <w:highlight w:val="none"/>
                <w:lang w:val="en-US" w:eastAsia="zh-CN" w:bidi="ar-SA"/>
              </w:rPr>
              <w:t xml:space="preserve"> </w:t>
            </w:r>
          </w:p>
        </w:tc>
        <w:tc>
          <w:tcPr>
            <w:tcW w:w="1275" w:type="dxa"/>
            <w:vAlign w:val="center"/>
          </w:tcPr>
          <w:p w14:paraId="5AD0FCA6">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29F6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26CC2A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62" w:type="dxa"/>
            <w:vAlign w:val="center"/>
          </w:tcPr>
          <w:p w14:paraId="001C0F5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检测安全环保措施方案</w:t>
            </w:r>
          </w:p>
        </w:tc>
        <w:tc>
          <w:tcPr>
            <w:tcW w:w="6538" w:type="dxa"/>
            <w:vAlign w:val="center"/>
          </w:tcPr>
          <w:p w14:paraId="50456D0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根据投标人提供的检测安全环保管理制度，检测安全保证措施（包括人员安全措施、设备安全措施等）及检测环保保证措施（包括设备的选择、检测方法的选择等）等方面进行评审： </w:t>
            </w:r>
          </w:p>
          <w:p w14:paraId="15C40DE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①方案要点突出、内容完整详实，表述清晰，与本项目实际需求有很高适用度，利于项目实施的得5分； </w:t>
            </w:r>
          </w:p>
          <w:p w14:paraId="4559893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②有针对性，内容完整详实，表述清晰，与本项目实际要求有适应度，符合项目实施要求的得4分； </w:t>
            </w:r>
          </w:p>
          <w:p w14:paraId="308E057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③要点突出不够明显，具体细节有待完善的得3分； </w:t>
            </w:r>
          </w:p>
          <w:p w14:paraId="59C49F6B">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35926610">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22CC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CCF0FF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62" w:type="dxa"/>
            <w:vAlign w:val="center"/>
          </w:tcPr>
          <w:p w14:paraId="6326822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检测风险及防范措施</w:t>
            </w:r>
          </w:p>
        </w:tc>
        <w:tc>
          <w:tcPr>
            <w:tcW w:w="6538" w:type="dxa"/>
            <w:vAlign w:val="center"/>
          </w:tcPr>
          <w:p w14:paraId="313F770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等方面进行评审： </w:t>
            </w:r>
          </w:p>
          <w:p w14:paraId="61D03F2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①列出详细的检测风险内容并提供防范措施，内容要点突出，利于项目实施的得5分； </w:t>
            </w:r>
          </w:p>
          <w:p w14:paraId="0EA7512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内容完整详实，表述清晰，与本项目实际要求有适应度，符合项目实施要求的得4分； </w:t>
            </w:r>
          </w:p>
          <w:p w14:paraId="74CB2D5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③检测风险及防范措施要点突出不够明显，具体细节有待完善、内容缺失的得3分； </w:t>
            </w:r>
          </w:p>
          <w:p w14:paraId="793C25E1">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1B82B513">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4668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2BD228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62" w:type="dxa"/>
            <w:vAlign w:val="center"/>
          </w:tcPr>
          <w:p w14:paraId="4249FCB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检测合同管理</w:t>
            </w:r>
          </w:p>
        </w:tc>
        <w:tc>
          <w:tcPr>
            <w:tcW w:w="6538" w:type="dxa"/>
            <w:vAlign w:val="center"/>
          </w:tcPr>
          <w:p w14:paraId="040CE48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①有详细的合同管理方案或措施，合同管理方案或措施和项目实际需要适应度高，</w:t>
            </w:r>
            <w:r>
              <w:rPr>
                <w:rFonts w:hint="eastAsia" w:ascii="宋体" w:hAnsi="宋体" w:eastAsia="宋体" w:cs="宋体"/>
                <w:color w:val="auto"/>
                <w:sz w:val="21"/>
                <w:szCs w:val="21"/>
                <w:highlight w:val="none"/>
              </w:rPr>
              <w:t>周全、具体、有效</w:t>
            </w:r>
            <w:r>
              <w:rPr>
                <w:rFonts w:hint="eastAsia" w:ascii="宋体" w:hAnsi="宋体" w:eastAsia="宋体" w:cs="宋体"/>
                <w:color w:val="auto"/>
                <w:sz w:val="21"/>
                <w:szCs w:val="21"/>
                <w:highlight w:val="none"/>
                <w:lang w:val="en-US" w:eastAsia="zh-CN"/>
              </w:rPr>
              <w:t>的得5分；</w:t>
            </w:r>
          </w:p>
          <w:p w14:paraId="4998143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②合同管理方案或措施</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清晰、完善的得4分；</w:t>
            </w:r>
          </w:p>
          <w:p w14:paraId="404D08F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③有合同管理方案或措施，但缺项或关键点缺失或出现非专门针对本项目特性内容的得3分；</w:t>
            </w:r>
          </w:p>
          <w:p w14:paraId="5195AB1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7D48AB5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707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589D21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62" w:type="dxa"/>
            <w:vAlign w:val="center"/>
          </w:tcPr>
          <w:p w14:paraId="1AFE298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费用控制管理</w:t>
            </w:r>
          </w:p>
        </w:tc>
        <w:tc>
          <w:tcPr>
            <w:tcW w:w="6538" w:type="dxa"/>
            <w:vAlign w:val="center"/>
          </w:tcPr>
          <w:p w14:paraId="514CC4C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根据投标人提供的费用控制管理进行评审： </w:t>
            </w:r>
          </w:p>
          <w:p w14:paraId="2E118E6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①有详细的费用控制管理措施，费用控制管理措施合理，满足施工需要得5分；</w:t>
            </w:r>
          </w:p>
          <w:p w14:paraId="40E78073">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②有详细的费用控制管理措施，能满足施工需要得4分；</w:t>
            </w:r>
          </w:p>
          <w:p w14:paraId="0894AB62">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③有详细的费用控制管理措施，但缺项或关键点缺失或出现非专门针对本项目特性内容的得3分。</w:t>
            </w:r>
          </w:p>
          <w:p w14:paraId="2815CFB3">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④工作内容偏离项目需求、偏离客观现实或未提供的不得分。</w:t>
            </w:r>
          </w:p>
        </w:tc>
        <w:tc>
          <w:tcPr>
            <w:tcW w:w="1275" w:type="dxa"/>
            <w:vAlign w:val="center"/>
          </w:tcPr>
          <w:p w14:paraId="6726A104">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DBB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5E0A76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62" w:type="dxa"/>
            <w:vAlign w:val="center"/>
          </w:tcPr>
          <w:p w14:paraId="0BE3D78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廉政保证措施</w:t>
            </w:r>
          </w:p>
        </w:tc>
        <w:tc>
          <w:tcPr>
            <w:tcW w:w="6538" w:type="dxa"/>
            <w:vAlign w:val="center"/>
          </w:tcPr>
          <w:p w14:paraId="404BE92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根据投标人提供的廉政保证措施进行评审： </w:t>
            </w:r>
          </w:p>
          <w:p w14:paraId="1706AD9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①廉政保证措施要点突出、内容完整详实，表述清晰，利于项目实施的得5分； </w:t>
            </w:r>
          </w:p>
          <w:p w14:paraId="09538B99">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②内容完整符合项目实施要求的得4分； </w:t>
            </w:r>
          </w:p>
          <w:p w14:paraId="66E0B3D7">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③要点突出不够明显，具体细节有待完善的得3分； </w:t>
            </w:r>
          </w:p>
          <w:p w14:paraId="5D4E83B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④工作内容偏离项目需求、偏离客观现实或未提供的不得分。 </w:t>
            </w:r>
          </w:p>
        </w:tc>
        <w:tc>
          <w:tcPr>
            <w:tcW w:w="1275" w:type="dxa"/>
            <w:vAlign w:val="center"/>
          </w:tcPr>
          <w:p w14:paraId="313062E6">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45D9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1A61F5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62" w:type="dxa"/>
            <w:vAlign w:val="center"/>
          </w:tcPr>
          <w:p w14:paraId="76C19F2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重点及保证措施</w:t>
            </w:r>
          </w:p>
        </w:tc>
        <w:tc>
          <w:tcPr>
            <w:tcW w:w="6538" w:type="dxa"/>
            <w:vAlign w:val="center"/>
          </w:tcPr>
          <w:p w14:paraId="6C7D6FD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根据投标人提供的服务过程中的关键内容、重点进行阐述，并提出详细的解决方案及控制措施进行评审：</w:t>
            </w:r>
          </w:p>
          <w:p w14:paraId="12698E5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①针对本项目特点，列出本项目的重点，并且有具体的保证措施。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val="en-US" w:eastAsia="zh-CN"/>
              </w:rPr>
              <w:t>的得5分；</w:t>
            </w:r>
          </w:p>
          <w:p w14:paraId="30AF6E0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②针对本项目特点，列出本项目的重点，并且有具体的保证措施。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清晰、完善的得4分；</w:t>
            </w:r>
          </w:p>
          <w:p w14:paraId="7DFD7CC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③针对本项目特点，列出本项目的重点，并且有具体的保证措施。但缺项或关键点缺失或出现非专门针对本项目特性内容的得3分；</w:t>
            </w:r>
          </w:p>
          <w:p w14:paraId="04BBB4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48110063">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0771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46C353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62" w:type="dxa"/>
            <w:vAlign w:val="center"/>
          </w:tcPr>
          <w:p w14:paraId="2BB0090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难点及保证措施</w:t>
            </w:r>
          </w:p>
        </w:tc>
        <w:tc>
          <w:tcPr>
            <w:tcW w:w="6538" w:type="dxa"/>
            <w:vAlign w:val="center"/>
          </w:tcPr>
          <w:p w14:paraId="5842BE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根据投标人提供的服务过程中的难点进行阐述，并提出详细的解决方案及控制措施进行评审：</w:t>
            </w:r>
          </w:p>
          <w:p w14:paraId="7037992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①针对本项目特点，列出本项目的难点，并且有具体的保证措施。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val="en-US" w:eastAsia="zh-CN"/>
              </w:rPr>
              <w:t>的得5分；</w:t>
            </w:r>
          </w:p>
          <w:p w14:paraId="282DE79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②针对本项目特点，列出本项目的难点，并且有具体的保证措施。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清晰、完善的得4分；</w:t>
            </w:r>
          </w:p>
          <w:p w14:paraId="79F0B63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③针对本项目特点，列出本项目的难点，并且有具体的保证措施。但缺项或关键点缺失或出现非专门针对本项目特性内容的得3分；</w:t>
            </w:r>
          </w:p>
          <w:p w14:paraId="56C9F18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63373CF6">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523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4B66C6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262" w:type="dxa"/>
            <w:vAlign w:val="center"/>
          </w:tcPr>
          <w:p w14:paraId="0EBF031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538" w:type="dxa"/>
            <w:vAlign w:val="center"/>
          </w:tcPr>
          <w:p w14:paraId="5238123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①针对本项目特点，列出对本项目的建议，建议合理并且有具体的保证措施。</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val="en-US" w:eastAsia="zh-CN"/>
              </w:rPr>
              <w:t>完善的得5分；</w:t>
            </w:r>
          </w:p>
          <w:p w14:paraId="29A7E0B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②针对本项目特点，列出本项目的建议，建议合理并且有具体的保证措施。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清晰的得4分；</w:t>
            </w:r>
          </w:p>
          <w:p w14:paraId="022919C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③针对本项目特点，列出本项目的建议，建议合理并且有具体的保证措施。但缺项或关键点缺失或出现非专门针对本项目特性内容的得3分；</w:t>
            </w:r>
          </w:p>
          <w:p w14:paraId="776F6B1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29686D6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E8D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76E58C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262" w:type="dxa"/>
            <w:vAlign w:val="center"/>
          </w:tcPr>
          <w:p w14:paraId="7363B613">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检测后续服务方案</w:t>
            </w:r>
          </w:p>
        </w:tc>
        <w:tc>
          <w:tcPr>
            <w:tcW w:w="6538" w:type="dxa"/>
            <w:vAlign w:val="center"/>
          </w:tcPr>
          <w:p w14:paraId="4FAB498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评委会根据投标人提供的检测后续服务方案进行打分：</w:t>
            </w:r>
          </w:p>
          <w:p w14:paraId="5881C40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①后续服务支持、技术支持形式灵活多样，方案全面详尽，对遇到的问题响应及时且能迅速反馈解决方案，提供全面的技术服务的，得5分；</w:t>
            </w:r>
          </w:p>
          <w:p w14:paraId="47AC368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②后续服务支持、技术支持形式多样，方案全面详尽，对遇到的问题能够快速的响应并得到解决，并提供技术服务的，得4分；</w:t>
            </w:r>
          </w:p>
          <w:p w14:paraId="78BFDD5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③后续服务支持、技术支持满足项目需求，对遇到的问题能够响应并解决，并提供技术服务的，得3分；</w:t>
            </w:r>
          </w:p>
          <w:p w14:paraId="352760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④未提供的不得分。</w:t>
            </w:r>
          </w:p>
        </w:tc>
        <w:tc>
          <w:tcPr>
            <w:tcW w:w="1275" w:type="dxa"/>
            <w:vAlign w:val="center"/>
          </w:tcPr>
          <w:p w14:paraId="5D9A7695">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bl>
    <w:p w14:paraId="6459AC97">
      <w:pPr>
        <w:rPr>
          <w:rFonts w:hint="eastAsia" w:ascii="宋体" w:hAnsi="宋体" w:eastAsia="宋体" w:cs="宋体"/>
          <w:color w:val="auto"/>
          <w:highlight w:val="none"/>
        </w:rPr>
      </w:pPr>
    </w:p>
    <w:p w14:paraId="7D5ABDEF">
      <w:pPr>
        <w:rPr>
          <w:rFonts w:hint="eastAsia" w:ascii="宋体" w:hAnsi="宋体" w:eastAsia="宋体" w:cs="宋体"/>
          <w:color w:val="auto"/>
          <w:highlight w:val="none"/>
        </w:rPr>
      </w:pPr>
      <w:r>
        <w:rPr>
          <w:rFonts w:hint="eastAsia" w:ascii="宋体" w:hAnsi="宋体" w:eastAsia="宋体" w:cs="宋体"/>
          <w:color w:val="auto"/>
          <w:highlight w:val="none"/>
        </w:rPr>
        <w:t>注：1、评审标委员会将根据技术标所有内容进行独立打分，各评审标委员会成员打分分值的算术平均值作为最终得分，得分保留两位小数点，第三位四舍五入。</w:t>
      </w:r>
    </w:p>
    <w:p w14:paraId="219AC42F">
      <w:pPr>
        <w:rPr>
          <w:rFonts w:hint="eastAsia" w:ascii="宋体" w:hAnsi="宋体" w:eastAsia="宋体" w:cs="宋体"/>
          <w:color w:val="auto"/>
          <w:highlight w:val="none"/>
        </w:rPr>
      </w:pPr>
    </w:p>
    <w:p w14:paraId="2A85B162">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商务标评审细则（</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bl>
      <w:tblPr>
        <w:tblStyle w:val="28"/>
        <w:tblW w:w="9887"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24"/>
        <w:gridCol w:w="713"/>
        <w:gridCol w:w="6975"/>
      </w:tblGrid>
      <w:tr w14:paraId="68A0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875" w:type="dxa"/>
            <w:noWrap w:val="0"/>
            <w:vAlign w:val="center"/>
          </w:tcPr>
          <w:p w14:paraId="1DA9EF5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24" w:type="dxa"/>
            <w:noWrap w:val="0"/>
            <w:vAlign w:val="center"/>
          </w:tcPr>
          <w:p w14:paraId="7ECBB8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713" w:type="dxa"/>
            <w:noWrap w:val="0"/>
            <w:vAlign w:val="center"/>
          </w:tcPr>
          <w:p w14:paraId="0F21B47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6975" w:type="dxa"/>
            <w:noWrap w:val="0"/>
            <w:vAlign w:val="center"/>
          </w:tcPr>
          <w:p w14:paraId="782C505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评审细则</w:t>
            </w:r>
          </w:p>
        </w:tc>
      </w:tr>
      <w:tr w14:paraId="6822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5" w:type="dxa"/>
            <w:noWrap w:val="0"/>
            <w:vAlign w:val="center"/>
          </w:tcPr>
          <w:p w14:paraId="74F3DEA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24" w:type="dxa"/>
            <w:noWrap w:val="0"/>
            <w:vAlign w:val="center"/>
          </w:tcPr>
          <w:p w14:paraId="3B44AF52">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tc>
        <w:tc>
          <w:tcPr>
            <w:tcW w:w="713" w:type="dxa"/>
            <w:noWrap w:val="0"/>
            <w:vAlign w:val="center"/>
          </w:tcPr>
          <w:p w14:paraId="73185E27">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975" w:type="dxa"/>
            <w:noWrap w:val="0"/>
            <w:vAlign w:val="center"/>
          </w:tcPr>
          <w:p w14:paraId="311A5EF6">
            <w:pPr>
              <w:spacing w:line="360" w:lineRule="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价格分统一采用低价优先法，即满足招标文件要求且投标价格最低的投标报价（如有扣除为扣除后价格）为评标基准价，其价格分为满分</w:t>
            </w:r>
            <w:r>
              <w:rPr>
                <w:rFonts w:hint="eastAsia" w:ascii="宋体" w:hAnsi="宋体" w:eastAsia="宋体" w:cs="宋体"/>
                <w:color w:val="auto"/>
                <w:spacing w:val="1"/>
                <w:kern w:val="0"/>
                <w:sz w:val="24"/>
                <w:szCs w:val="24"/>
                <w:highlight w:val="none"/>
                <w:lang w:val="en-US" w:eastAsia="zh-CN"/>
              </w:rPr>
              <w:t>1</w:t>
            </w:r>
            <w:r>
              <w:rPr>
                <w:rFonts w:hint="eastAsia" w:ascii="宋体" w:hAnsi="宋体" w:eastAsia="宋体" w:cs="宋体"/>
                <w:color w:val="auto"/>
                <w:spacing w:val="1"/>
                <w:kern w:val="0"/>
                <w:sz w:val="24"/>
                <w:szCs w:val="24"/>
                <w:highlight w:val="none"/>
              </w:rPr>
              <w:t>0分。其他投标人的价格分统一按照下列公式计算：</w:t>
            </w:r>
          </w:p>
          <w:p w14:paraId="257931AA">
            <w:pPr>
              <w:pStyle w:val="2"/>
              <w:spacing w:after="0" w:line="44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pacing w:val="1"/>
                <w:kern w:val="0"/>
                <w:sz w:val="24"/>
                <w:szCs w:val="24"/>
                <w:highlight w:val="none"/>
              </w:rPr>
              <w:t>投标报价得分＝（评标基准价/投标报价）×</w:t>
            </w:r>
            <w:r>
              <w:rPr>
                <w:rFonts w:hint="eastAsia" w:ascii="宋体" w:hAnsi="宋体" w:eastAsia="宋体" w:cs="宋体"/>
                <w:color w:val="auto"/>
                <w:spacing w:val="1"/>
                <w:kern w:val="0"/>
                <w:sz w:val="24"/>
                <w:szCs w:val="24"/>
                <w:highlight w:val="none"/>
                <w:lang w:val="en-US" w:eastAsia="zh-CN"/>
              </w:rPr>
              <w:t>10</w:t>
            </w:r>
            <w:r>
              <w:rPr>
                <w:rFonts w:hint="eastAsia" w:ascii="宋体" w:hAnsi="宋体" w:eastAsia="宋体" w:cs="宋体"/>
                <w:color w:val="auto"/>
                <w:spacing w:val="1"/>
                <w:kern w:val="0"/>
                <w:sz w:val="24"/>
                <w:szCs w:val="24"/>
                <w:highlight w:val="none"/>
              </w:rPr>
              <w:t>％×100</w:t>
            </w:r>
          </w:p>
        </w:tc>
      </w:tr>
    </w:tbl>
    <w:p w14:paraId="0A492F54">
      <w:pPr>
        <w:spacing w:line="360" w:lineRule="auto"/>
        <w:ind w:firstLine="435"/>
        <w:rPr>
          <w:rFonts w:hint="eastAsia" w:ascii="宋体" w:hAnsi="宋体" w:eastAsia="宋体" w:cs="宋体"/>
          <w:b/>
          <w:bCs/>
          <w:sz w:val="24"/>
          <w:highlight w:val="none"/>
        </w:rPr>
      </w:pPr>
      <w:r>
        <w:rPr>
          <w:rFonts w:hint="eastAsia" w:ascii="宋体" w:hAnsi="宋体" w:eastAsia="宋体" w:cs="宋体"/>
          <w:b/>
          <w:bCs/>
          <w:sz w:val="24"/>
          <w:highlight w:val="none"/>
        </w:rPr>
        <w:t>三、无效投标条款</w:t>
      </w:r>
    </w:p>
    <w:p w14:paraId="07DEDF76">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3.1投标文件有下列情形之一的,其投标文件拒收:</w:t>
      </w:r>
    </w:p>
    <w:p w14:paraId="08A75CAA">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 未在开标截止时间前通过网上招标投标系统递交有效电子投标文件的，开标系统不予接收，投标将被拒绝。</w:t>
      </w:r>
    </w:p>
    <w:p w14:paraId="4CE0F565">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24512B68">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3.2投标人有下列情形之一的,资格审查后其投标作无效投标处理：</w:t>
      </w:r>
    </w:p>
    <w:p w14:paraId="2E7FAFF4">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(1)投标人为本项目提供招标代理服务的；</w:t>
      </w:r>
    </w:p>
    <w:p w14:paraId="3E8EB04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(2)投标人与在本项目代理机构存在相互任职或工作的；</w:t>
      </w:r>
    </w:p>
    <w:p w14:paraId="2CC1DC3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(3)招标公告写明专门面向中小企业采购，投标人提供的货物非中小企业制造的；</w:t>
      </w:r>
    </w:p>
    <w:p w14:paraId="640F3620">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(4)要求供应商以联合体形式参加采购活动，投标人非联合体或者联合协议中中小企业合同金额未达到应当达到的比例；</w:t>
      </w:r>
    </w:p>
    <w:p w14:paraId="618CC40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(5)要求获得采购合同的供应商向中小企业分包，投标人未提供分包意向协议或者分包意向协议中中小企业合同金额未达到应当达到的比例；</w:t>
      </w:r>
    </w:p>
    <w:p w14:paraId="2062628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(6)评标专家无法查看并检验电子投标文件中相关资料的；</w:t>
      </w:r>
    </w:p>
    <w:p w14:paraId="5071562B">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(7)联合体投标未提交联合体协议的；</w:t>
      </w:r>
    </w:p>
    <w:p w14:paraId="2280AAB7">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(8)责令停产停业的；</w:t>
      </w:r>
    </w:p>
    <w:p w14:paraId="6BA043DB">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(9)暂停或者取消参与政府采购项目资格的；</w:t>
      </w:r>
    </w:p>
    <w:p w14:paraId="67500452">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(10)投标人单位负责人为同一人或者存在（直接）控股、管理关系的不同单位的；</w:t>
      </w:r>
    </w:p>
    <w:p w14:paraId="13CD224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(11)投标人基本资格条件和特定资格条件中有一项及以上不符合要求的；</w:t>
      </w:r>
    </w:p>
    <w:p w14:paraId="1D6573BA">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2139A57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(13)其它情形，经评标委员会委提出按无效投标处理，并经公共资源交易监督部门核准的；</w:t>
      </w:r>
    </w:p>
    <w:p w14:paraId="44AE470F">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(14)投标人投标MAC地址或投标人联系人或联系电话相同的，由评标委员会否决其投标，并报告监管部门作不良行为处理和进一步调查；</w:t>
      </w:r>
    </w:p>
    <w:p w14:paraId="22C260D6">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(15)投标人单方面出现其他投标人材料的；</w:t>
      </w:r>
    </w:p>
    <w:p w14:paraId="0F8085AC">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(16)招标文件规定的其它无效投标情形。</w:t>
      </w:r>
    </w:p>
    <w:p w14:paraId="0D2A91F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3.3 投标人有下列情形之一的,符合性审查后其投标按无效投标处理：</w:t>
      </w:r>
    </w:p>
    <w:p w14:paraId="253EC08B">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(1)投标文件签字、盖章不全，经评标委员会一致认定对开评标内容有实质性影响并经公共资源交易监督部门核准的；</w:t>
      </w:r>
    </w:p>
    <w:p w14:paraId="232549C2">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(2)未按规定的格式填写导致实质性内容不全以及实质上不响应，或者关键字迹模糊、无法辨认; 经公共资源交易监督部门核准的；</w:t>
      </w:r>
    </w:p>
    <w:p w14:paraId="3DFC14B0">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(3)同一投标人提交两个以上不同的投标文件或者投标报价，但招标文件规定提交备选方案的除外；</w:t>
      </w:r>
    </w:p>
    <w:p w14:paraId="0C3760A2">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(4)投标文件没有对招标文件的实质性要求和条件作出响应;</w:t>
      </w:r>
    </w:p>
    <w:p w14:paraId="584540ED">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(5)投标报价超出规定的投标限价或公布的采购预算的或投标人的投标报价各项单价高于招标文件给定的单价最高限价；</w:t>
      </w:r>
    </w:p>
    <w:p w14:paraId="0E7F2DD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(6)不按评标委员会要求澄清、说明或补正的，或者评标委员会根据招标文件的规定对投标文件的计算错误进行修正后，投标人不接受修正的投标报价的。</w:t>
      </w:r>
    </w:p>
    <w:p w14:paraId="1CC5BF5F">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(7)其它情形，经评标委员会委提出按无效投标处理，并经公共资源交易监督部门核准的；</w:t>
      </w:r>
    </w:p>
    <w:p w14:paraId="5861E81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(8)投标文件含有采购人不能接受的附加条件的；</w:t>
      </w:r>
    </w:p>
    <w:p w14:paraId="260B392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(9)招标文件规定的其它无效投标情形。</w:t>
      </w:r>
    </w:p>
    <w:p w14:paraId="76F65313">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3.4 投标人有下列情形之一的, 详细评审后其投标按无效投标处理：</w:t>
      </w:r>
    </w:p>
    <w:p w14:paraId="20F91EDA">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(1)投标产品不符合必须强制执行的国家标准的；</w:t>
      </w:r>
    </w:p>
    <w:p w14:paraId="0D7C201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(2)投标人有串通投标、弄虚作假、行贿等违法行为；</w:t>
      </w:r>
    </w:p>
    <w:p w14:paraId="05BF490C">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(3)投标文件含有违反国家法律、法规的内容，或附有采购人不能接受的条件的；</w:t>
      </w:r>
    </w:p>
    <w:p w14:paraId="09C6ABFD">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(4)报价明显低于其他投标人，且不能证明报价合理性的投标无效；</w:t>
      </w:r>
    </w:p>
    <w:p w14:paraId="26325380">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(5)拒不确认评标委员会评审修正的投标无效；</w:t>
      </w:r>
    </w:p>
    <w:p w14:paraId="0B5E6E89">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(6)其它情形，经评标委员会委提出按无效投标处理，并经公共资源交易监督部门核准的；</w:t>
      </w:r>
    </w:p>
    <w:p w14:paraId="1192F11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(7)招标文件规定的其它无效投标情形。</w:t>
      </w:r>
      <w:r>
        <w:rPr>
          <w:rFonts w:hint="eastAsia" w:ascii="宋体" w:hAnsi="宋体" w:eastAsia="宋体" w:cs="宋体"/>
          <w:sz w:val="24"/>
          <w:highlight w:val="none"/>
        </w:rPr>
        <w:br w:type="page"/>
      </w:r>
    </w:p>
    <w:p w14:paraId="4E4A708C">
      <w:pPr>
        <w:spacing w:line="360" w:lineRule="auto"/>
        <w:jc w:val="center"/>
        <w:outlineLvl w:val="0"/>
        <w:rPr>
          <w:rFonts w:hint="eastAsia" w:ascii="宋体" w:hAnsi="宋体" w:eastAsia="宋体" w:cs="宋体"/>
          <w:b/>
          <w:sz w:val="28"/>
          <w:highlight w:val="none"/>
        </w:rPr>
      </w:pPr>
      <w:bookmarkStart w:id="66" w:name="_Toc13856"/>
      <w:r>
        <w:rPr>
          <w:rFonts w:hint="eastAsia" w:ascii="宋体" w:hAnsi="宋体" w:eastAsia="宋体" w:cs="宋体"/>
          <w:b/>
          <w:sz w:val="28"/>
          <w:highlight w:val="none"/>
        </w:rPr>
        <w:t>第五章  政府采购合同</w:t>
      </w:r>
      <w:bookmarkEnd w:id="66"/>
    </w:p>
    <w:p w14:paraId="0EA75657">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bookmarkStart w:id="67" w:name="_Toc331685784"/>
    </w:p>
    <w:p w14:paraId="2D993AE0">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4A7DCF45">
      <w:pPr>
        <w:pStyle w:val="13"/>
        <w:rPr>
          <w:rFonts w:hint="eastAsia" w:ascii="宋体" w:hAnsi="宋体" w:eastAsia="宋体" w:cs="宋体"/>
          <w:highlight w:val="none"/>
        </w:rPr>
      </w:pPr>
    </w:p>
    <w:p w14:paraId="7E96D3EA">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68" w:name="_Toc14813"/>
      <w:bookmarkStart w:id="69" w:name="_Toc3714"/>
      <w:r>
        <w:rPr>
          <w:rFonts w:hint="eastAsia" w:ascii="宋体" w:hAnsi="宋体" w:eastAsia="宋体" w:cs="宋体"/>
          <w:b/>
          <w:color w:val="000000" w:themeColor="text1"/>
          <w:sz w:val="28"/>
          <w:szCs w:val="28"/>
          <w:highlight w:val="none"/>
          <w14:textFill>
            <w14:solidFill>
              <w14:schemeClr w14:val="tx1"/>
            </w14:solidFill>
          </w14:textFill>
        </w:rPr>
        <w:t>政府采购合同参考范本</w:t>
      </w:r>
      <w:bookmarkEnd w:id="68"/>
      <w:bookmarkEnd w:id="69"/>
    </w:p>
    <w:p w14:paraId="7E3DC69C">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70" w:name="_Toc8560"/>
      <w:bookmarkStart w:id="71" w:name="_Toc30265"/>
      <w:r>
        <w:rPr>
          <w:rFonts w:hint="eastAsia" w:ascii="宋体" w:hAnsi="宋体" w:eastAsia="宋体" w:cs="宋体"/>
          <w:b/>
          <w:color w:val="000000" w:themeColor="text1"/>
          <w:sz w:val="28"/>
          <w:szCs w:val="28"/>
          <w:highlight w:val="none"/>
          <w14:textFill>
            <w14:solidFill>
              <w14:schemeClr w14:val="tx1"/>
            </w14:solidFill>
          </w14:textFill>
        </w:rPr>
        <w:t>（服务类）</w:t>
      </w:r>
      <w:bookmarkEnd w:id="70"/>
      <w:bookmarkEnd w:id="71"/>
    </w:p>
    <w:p w14:paraId="49E9B248">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5ED46B8">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91C3F13">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B1D91E4">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72" w:name="_Toc2449"/>
      <w:bookmarkStart w:id="73" w:name="_Toc28317"/>
      <w:r>
        <w:rPr>
          <w:rFonts w:hint="eastAsia" w:ascii="宋体" w:hAnsi="宋体" w:eastAsia="宋体" w:cs="宋体"/>
          <w:b/>
          <w:color w:val="000000" w:themeColor="text1"/>
          <w:sz w:val="24"/>
          <w:highlight w:val="none"/>
          <w14:textFill>
            <w14:solidFill>
              <w14:schemeClr w14:val="tx1"/>
            </w14:solidFill>
          </w14:textFill>
        </w:rPr>
        <w:t>第一部分 合同书</w:t>
      </w:r>
      <w:bookmarkEnd w:id="72"/>
      <w:bookmarkEnd w:id="73"/>
    </w:p>
    <w:p w14:paraId="5671DEC4">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2AE25A9">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9039F63">
      <w:pPr>
        <w:pStyle w:val="13"/>
        <w:rPr>
          <w:rFonts w:hint="eastAsia" w:ascii="宋体" w:hAnsi="宋体" w:eastAsia="宋体" w:cs="宋体"/>
          <w:highlight w:val="none"/>
        </w:rPr>
      </w:pPr>
    </w:p>
    <w:p w14:paraId="4E49A7A1">
      <w:pPr>
        <w:pStyle w:val="13"/>
        <w:rPr>
          <w:rFonts w:hint="eastAsia" w:ascii="宋体" w:hAnsi="宋体" w:eastAsia="宋体" w:cs="宋体"/>
          <w:highlight w:val="none"/>
        </w:rPr>
      </w:pPr>
    </w:p>
    <w:p w14:paraId="18110D9D">
      <w:pPr>
        <w:spacing w:before="120" w:line="480" w:lineRule="auto"/>
        <w:ind w:left="96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滁州市2025年普通国省干线公路技术状况评定项目（二次）</w:t>
      </w:r>
    </w:p>
    <w:p w14:paraId="6C2021D9">
      <w:pPr>
        <w:spacing w:before="120" w:line="480" w:lineRule="auto"/>
        <w:ind w:lef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576FC6B">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滁州市公路管理服务中心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5AA0D83">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08589B9">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滁州市公路管理服务中心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F46B590">
      <w:pPr>
        <w:spacing w:before="120" w:line="48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FF70E10">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1ED9D07B">
      <w:pPr>
        <w:spacing w:line="44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滁州市公路管理服务中心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以下简称：甲方</w:t>
      </w:r>
      <w:r>
        <w:rPr>
          <w:rFonts w:hint="eastAsia" w:ascii="宋体" w:hAnsi="宋体" w:eastAsia="宋体" w:cs="宋体"/>
          <w:color w:val="000000" w:themeColor="text1"/>
          <w:sz w:val="24"/>
          <w:highlight w:val="none"/>
          <w14:textFill>
            <w14:solidFill>
              <w14:schemeClr w14:val="tx1"/>
            </w14:solidFill>
          </w14:textFill>
        </w:rPr>
        <w:t xml:space="preserve">）通过 </w:t>
      </w:r>
      <w:r>
        <w:rPr>
          <w:rFonts w:hint="eastAsia" w:ascii="宋体" w:hAnsi="宋体" w:eastAsia="宋体" w:cs="宋体"/>
          <w:color w:val="000000" w:themeColor="text1"/>
          <w:sz w:val="24"/>
          <w:highlight w:val="none"/>
          <w:u w:val="single"/>
          <w14:textFill>
            <w14:solidFill>
              <w14:schemeClr w14:val="tx1"/>
            </w14:solidFill>
          </w14:textFill>
        </w:rPr>
        <w:t>滁州市城投工程咨询管理有限公司</w:t>
      </w:r>
      <w:r>
        <w:rPr>
          <w:rFonts w:hint="eastAsia" w:ascii="宋体" w:hAnsi="宋体" w:eastAsia="宋体" w:cs="宋体"/>
          <w:color w:val="000000" w:themeColor="text1"/>
          <w:sz w:val="24"/>
          <w:highlight w:val="none"/>
          <w14:textFill>
            <w14:solidFill>
              <w14:schemeClr w14:val="tx1"/>
            </w14:solidFill>
          </w14:textFill>
        </w:rPr>
        <w:t>组织的</w:t>
      </w:r>
      <w:r>
        <w:rPr>
          <w:rFonts w:hint="eastAsia" w:ascii="宋体" w:hAnsi="宋体" w:eastAsia="宋体" w:cs="宋体"/>
          <w:color w:val="000000" w:themeColor="text1"/>
          <w:sz w:val="24"/>
          <w:highlight w:val="none"/>
          <w:u w:val="single"/>
          <w14:textFill>
            <w14:solidFill>
              <w14:schemeClr w14:val="tx1"/>
            </w14:solidFill>
          </w14:textFill>
        </w:rPr>
        <w:t>公开招标</w:t>
      </w:r>
      <w:r>
        <w:rPr>
          <w:rFonts w:hint="eastAsia" w:ascii="宋体" w:hAnsi="宋体" w:eastAsia="宋体" w:cs="宋体"/>
          <w:color w:val="000000" w:themeColor="text1"/>
          <w:sz w:val="24"/>
          <w:highlight w:val="none"/>
          <w14:textFill>
            <w14:solidFill>
              <w14:schemeClr w14:val="tx1"/>
            </w14:solidFill>
          </w14:textFill>
        </w:rPr>
        <w:t>方式采购活动，经</w:t>
      </w:r>
      <w:r>
        <w:rPr>
          <w:rFonts w:hint="eastAsia" w:ascii="宋体" w:hAnsi="宋体" w:eastAsia="宋体" w:cs="宋体"/>
          <w:color w:val="000000" w:themeColor="text1"/>
          <w:sz w:val="24"/>
          <w:highlight w:val="none"/>
          <w:u w:val="single"/>
          <w14:textFill>
            <w14:solidFill>
              <w14:schemeClr w14:val="tx1"/>
            </w14:solidFill>
          </w14:textFill>
        </w:rPr>
        <w:t>评标委员会</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以下简称：乙方</w:t>
      </w:r>
      <w:r>
        <w:rPr>
          <w:rFonts w:hint="eastAsia" w:ascii="宋体" w:hAnsi="宋体" w:eastAsia="宋体" w:cs="宋体"/>
          <w:color w:val="000000" w:themeColor="text1"/>
          <w:sz w:val="24"/>
          <w:highlight w:val="none"/>
          <w14:textFill>
            <w14:solidFill>
              <w14:schemeClr w14:val="tx1"/>
            </w14:solidFill>
          </w14:textFill>
        </w:rPr>
        <w:t>）为本项目中标人，现按照采购文件确定的事项签订本合同。</w:t>
      </w:r>
    </w:p>
    <w:p w14:paraId="7EFA7A98">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6B7B346A">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4" w:name="_Toc24059"/>
      <w:bookmarkStart w:id="75" w:name="_Toc3029"/>
      <w:bookmarkStart w:id="76" w:name="_Toc2232"/>
      <w:r>
        <w:rPr>
          <w:rFonts w:hint="eastAsia" w:ascii="宋体" w:hAnsi="宋体" w:eastAsia="宋体" w:cs="宋体"/>
          <w:b/>
          <w:bCs/>
          <w:color w:val="000000" w:themeColor="text1"/>
          <w:sz w:val="24"/>
          <w:szCs w:val="24"/>
          <w:highlight w:val="none"/>
          <w:lang w:val="zh-CN"/>
          <w14:textFill>
            <w14:solidFill>
              <w14:schemeClr w14:val="tx1"/>
            </w14:solidFill>
          </w14:textFill>
        </w:rPr>
        <w:t>1.1 合同组成部分</w:t>
      </w:r>
      <w:bookmarkEnd w:id="74"/>
      <w:bookmarkEnd w:id="75"/>
      <w:bookmarkEnd w:id="76"/>
    </w:p>
    <w:p w14:paraId="7C10E8F1">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710C0F68">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1.1.1本合同及其补充合同、变更协议；</w:t>
      </w:r>
    </w:p>
    <w:p w14:paraId="5C69C6DB">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1.1.2中标通知书；</w:t>
      </w:r>
    </w:p>
    <w:p w14:paraId="43D820B0">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1.1.3投标文件（含澄清或者说明文件）；</w:t>
      </w:r>
    </w:p>
    <w:p w14:paraId="5C000E1B">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1.1.4招标文件（含澄清或者修改文件）；</w:t>
      </w:r>
    </w:p>
    <w:p w14:paraId="60B43B18">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1.1.5其他相关采购文件。</w:t>
      </w:r>
    </w:p>
    <w:p w14:paraId="430D4CA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7" w:name="_Toc2918"/>
      <w:bookmarkStart w:id="78" w:name="_Toc18585"/>
      <w:bookmarkStart w:id="79" w:name="_Toc22185"/>
      <w:bookmarkStart w:id="80" w:name="_Toc6311"/>
      <w:bookmarkStart w:id="81" w:name="_Toc6773"/>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1.2 </w:t>
      </w:r>
      <w:bookmarkEnd w:id="77"/>
      <w:bookmarkEnd w:id="78"/>
      <w:bookmarkEnd w:id="79"/>
      <w:bookmarkEnd w:id="80"/>
      <w:bookmarkEnd w:id="81"/>
      <w:r>
        <w:rPr>
          <w:rFonts w:hint="eastAsia" w:ascii="宋体" w:hAnsi="宋体" w:eastAsia="宋体" w:cs="宋体"/>
          <w:b/>
          <w:bCs/>
          <w:color w:val="000000" w:themeColor="text1"/>
          <w:sz w:val="24"/>
          <w:szCs w:val="24"/>
          <w:highlight w:val="none"/>
          <w:lang w:val="zh-CN"/>
          <w14:textFill>
            <w14:solidFill>
              <w14:schemeClr w14:val="tx1"/>
            </w14:solidFill>
          </w14:textFill>
        </w:rPr>
        <w:t>服务</w:t>
      </w:r>
    </w:p>
    <w:p w14:paraId="7487BF37">
      <w:pPr>
        <w:spacing w:line="440" w:lineRule="exact"/>
        <w:ind w:firstLine="43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1.2.1服务名称：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滁州市2025年普通国省干线公路技术状况评定项目（二次）</w:t>
      </w:r>
      <w:r>
        <w:rPr>
          <w:rFonts w:hint="eastAsia" w:ascii="宋体" w:hAnsi="宋体" w:eastAsia="宋体" w:cs="宋体"/>
          <w:color w:val="000000" w:themeColor="text1"/>
          <w:sz w:val="24"/>
          <w:szCs w:val="24"/>
          <w:highlight w:val="none"/>
          <w14:textFill>
            <w14:solidFill>
              <w14:schemeClr w14:val="tx1"/>
            </w14:solidFill>
          </w14:textFill>
        </w:rPr>
        <w:t>；</w:t>
      </w:r>
    </w:p>
    <w:p w14:paraId="21141D8C">
      <w:pPr>
        <w:spacing w:line="440" w:lineRule="exact"/>
        <w:ind w:firstLine="43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1.2.2服务内容：</w:t>
      </w:r>
      <w:r>
        <w:rPr>
          <w:rFonts w:hint="eastAsia" w:ascii="宋体" w:hAnsi="宋体" w:eastAsia="宋体" w:cs="宋体"/>
          <w:sz w:val="24"/>
          <w:highlight w:val="none"/>
          <w:u w:val="single"/>
        </w:rPr>
        <w:t>招标文件第三章采购需求全部内容</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lang w:val="en-US" w:eastAsia="zh-CN"/>
        </w:rPr>
        <w:t>详见附件</w:t>
      </w:r>
      <w:r>
        <w:rPr>
          <w:rFonts w:hint="eastAsia" w:ascii="宋体" w:hAnsi="宋体" w:eastAsia="宋体" w:cs="宋体"/>
          <w:color w:val="000000" w:themeColor="text1"/>
          <w:sz w:val="24"/>
          <w:szCs w:val="24"/>
          <w:highlight w:val="none"/>
          <w14:textFill>
            <w14:solidFill>
              <w14:schemeClr w14:val="tx1"/>
            </w14:solidFill>
          </w14:textFill>
        </w:rPr>
        <w:t>；</w:t>
      </w:r>
    </w:p>
    <w:p w14:paraId="0820E6C1">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1.2.3服务质量：</w:t>
      </w:r>
      <w:r>
        <w:rPr>
          <w:rFonts w:hint="eastAsia" w:ascii="宋体" w:hAnsi="宋体" w:eastAsia="宋体" w:cs="宋体"/>
          <w:color w:val="000000" w:themeColor="text1"/>
          <w:sz w:val="24"/>
          <w:szCs w:val="24"/>
          <w:highlight w:val="none"/>
          <w:u w:val="single"/>
          <w14:textFill>
            <w14:solidFill>
              <w14:schemeClr w14:val="tx1"/>
            </w14:solidFill>
          </w14:textFill>
        </w:rPr>
        <w:t>满足招标文件要求及采购人相关要求</w:t>
      </w:r>
      <w:r>
        <w:rPr>
          <w:rFonts w:hint="eastAsia" w:ascii="宋体" w:hAnsi="宋体" w:eastAsia="宋体" w:cs="宋体"/>
          <w:color w:val="000000" w:themeColor="text1"/>
          <w:sz w:val="24"/>
          <w:szCs w:val="24"/>
          <w:highlight w:val="none"/>
          <w14:textFill>
            <w14:solidFill>
              <w14:schemeClr w14:val="tx1"/>
            </w14:solidFill>
          </w14:textFill>
        </w:rPr>
        <w:t>。</w:t>
      </w:r>
    </w:p>
    <w:p w14:paraId="38217329">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2" w:name="_Toc21551"/>
      <w:bookmarkStart w:id="83" w:name="_Toc23292"/>
      <w:bookmarkStart w:id="84" w:name="_Toc21631"/>
      <w:r>
        <w:rPr>
          <w:rFonts w:hint="eastAsia" w:ascii="宋体" w:hAnsi="宋体" w:eastAsia="宋体" w:cs="宋体"/>
          <w:b/>
          <w:bCs/>
          <w:color w:val="000000" w:themeColor="text1"/>
          <w:sz w:val="24"/>
          <w:szCs w:val="24"/>
          <w:highlight w:val="none"/>
          <w:lang w:val="zh-CN"/>
          <w14:textFill>
            <w14:solidFill>
              <w14:schemeClr w14:val="tx1"/>
            </w14:solidFill>
          </w14:textFill>
        </w:rPr>
        <w:t>1.3 价款</w:t>
      </w:r>
      <w:bookmarkEnd w:id="82"/>
      <w:bookmarkEnd w:id="83"/>
      <w:bookmarkEnd w:id="84"/>
    </w:p>
    <w:p w14:paraId="17B86AF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本合同总价为：￥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元（大写：人民币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F8A3DB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5" w:name="_Toc10340"/>
      <w:bookmarkStart w:id="86" w:name="_Toc1814"/>
      <w:bookmarkStart w:id="87" w:name="_Toc22618"/>
      <w:r>
        <w:rPr>
          <w:rFonts w:hint="eastAsia" w:ascii="宋体" w:hAnsi="宋体" w:eastAsia="宋体" w:cs="宋体"/>
          <w:b/>
          <w:bCs/>
          <w:color w:val="000000" w:themeColor="text1"/>
          <w:sz w:val="24"/>
          <w:szCs w:val="24"/>
          <w:highlight w:val="none"/>
          <w:lang w:val="zh-CN"/>
          <w14:textFill>
            <w14:solidFill>
              <w14:schemeClr w14:val="tx1"/>
            </w14:solidFill>
          </w14:textFill>
        </w:rPr>
        <w:t>1.4 付款方式和发票开具方式</w:t>
      </w:r>
      <w:bookmarkEnd w:id="85"/>
      <w:bookmarkEnd w:id="86"/>
      <w:bookmarkEnd w:id="87"/>
    </w:p>
    <w:p w14:paraId="0099BEB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1.4.1付款方式：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161CE1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1.4.2发票开具方式：</w:t>
      </w:r>
      <w:r>
        <w:rPr>
          <w:rFonts w:hint="eastAsia" w:ascii="宋体" w:hAnsi="宋体" w:eastAsia="宋体" w:cs="宋体"/>
          <w:color w:val="000000" w:themeColor="text1"/>
          <w:sz w:val="24"/>
          <w:szCs w:val="24"/>
          <w:highlight w:val="none"/>
          <w:u w:val="single"/>
          <w14:textFill>
            <w14:solidFill>
              <w14:schemeClr w14:val="tx1"/>
            </w14:solidFill>
          </w14:textFill>
        </w:rPr>
        <w:t>开具符合要求的增值税专用发票</w:t>
      </w:r>
      <w:r>
        <w:rPr>
          <w:rFonts w:hint="eastAsia" w:ascii="宋体" w:hAnsi="宋体" w:eastAsia="宋体" w:cs="宋体"/>
          <w:color w:val="000000" w:themeColor="text1"/>
          <w:sz w:val="24"/>
          <w:szCs w:val="24"/>
          <w:highlight w:val="none"/>
          <w14:textFill>
            <w14:solidFill>
              <w14:schemeClr w14:val="tx1"/>
            </w14:solidFill>
          </w14:textFill>
        </w:rPr>
        <w:t>。</w:t>
      </w:r>
    </w:p>
    <w:p w14:paraId="10DFF46A">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8" w:name="_Toc19304"/>
      <w:bookmarkStart w:id="89" w:name="_Toc32071"/>
      <w:bookmarkStart w:id="90" w:name="_Toc2846"/>
      <w:r>
        <w:rPr>
          <w:rFonts w:hint="eastAsia" w:ascii="宋体" w:hAnsi="宋体" w:eastAsia="宋体" w:cs="宋体"/>
          <w:b/>
          <w:bCs/>
          <w:color w:val="000000" w:themeColor="text1"/>
          <w:sz w:val="24"/>
          <w:szCs w:val="24"/>
          <w:highlight w:val="none"/>
          <w:lang w:val="zh-CN"/>
          <w14:textFill>
            <w14:solidFill>
              <w14:schemeClr w14:val="tx1"/>
            </w14:solidFill>
          </w14:textFill>
        </w:rPr>
        <w:t>1.5 服务期限、地点和方式</w:t>
      </w:r>
      <w:bookmarkEnd w:id="88"/>
      <w:bookmarkEnd w:id="89"/>
      <w:bookmarkEnd w:id="90"/>
    </w:p>
    <w:p w14:paraId="23EFA877">
      <w:pPr>
        <w:spacing w:line="44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1.5.1服务期限：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一年</w:t>
      </w:r>
      <w:r>
        <w:rPr>
          <w:rFonts w:hint="eastAsia" w:ascii="宋体" w:hAnsi="宋体" w:eastAsia="宋体" w:cs="宋体"/>
          <w:color w:val="000000" w:themeColor="text1"/>
          <w:sz w:val="24"/>
          <w:szCs w:val="24"/>
          <w:highlight w:val="none"/>
          <w14:textFill>
            <w14:solidFill>
              <w14:schemeClr w14:val="tx1"/>
            </w14:solidFill>
          </w14:textFill>
        </w:rPr>
        <w:t>；</w:t>
      </w:r>
    </w:p>
    <w:p w14:paraId="4626C39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1.5.2服务地点：</w:t>
      </w:r>
      <w:r>
        <w:rPr>
          <w:rFonts w:hint="eastAsia" w:ascii="宋体" w:hAnsi="宋体" w:eastAsia="宋体" w:cs="宋体"/>
          <w:color w:val="000000" w:themeColor="text1"/>
          <w:sz w:val="24"/>
          <w:szCs w:val="24"/>
          <w:highlight w:val="none"/>
          <w:u w:val="single"/>
          <w14:textFill>
            <w14:solidFill>
              <w14:schemeClr w14:val="tx1"/>
            </w14:solidFill>
          </w14:textFill>
        </w:rPr>
        <w:t>甲方指定地点</w:t>
      </w:r>
      <w:r>
        <w:rPr>
          <w:rFonts w:hint="eastAsia" w:ascii="宋体" w:hAnsi="宋体" w:eastAsia="宋体" w:cs="宋体"/>
          <w:color w:val="000000" w:themeColor="text1"/>
          <w:sz w:val="24"/>
          <w:szCs w:val="24"/>
          <w:highlight w:val="none"/>
          <w14:textFill>
            <w14:solidFill>
              <w14:schemeClr w14:val="tx1"/>
            </w14:solidFill>
          </w14:textFill>
        </w:rPr>
        <w:t>；</w:t>
      </w:r>
    </w:p>
    <w:p w14:paraId="3400D73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1.5.3服务方式：</w:t>
      </w:r>
      <w:r>
        <w:rPr>
          <w:rFonts w:hint="eastAsia" w:ascii="宋体" w:hAnsi="宋体" w:eastAsia="宋体" w:cs="宋体"/>
          <w:color w:val="000000" w:themeColor="text1"/>
          <w:sz w:val="24"/>
          <w:szCs w:val="24"/>
          <w:highlight w:val="none"/>
          <w:u w:val="single"/>
          <w14:textFill>
            <w14:solidFill>
              <w14:schemeClr w14:val="tx1"/>
            </w14:solidFill>
          </w14:textFill>
        </w:rPr>
        <w:t>甲方指定方式</w:t>
      </w:r>
      <w:r>
        <w:rPr>
          <w:rFonts w:hint="eastAsia" w:ascii="宋体" w:hAnsi="宋体" w:eastAsia="宋体" w:cs="宋体"/>
          <w:color w:val="000000" w:themeColor="text1"/>
          <w:sz w:val="24"/>
          <w:szCs w:val="24"/>
          <w:highlight w:val="none"/>
          <w14:textFill>
            <w14:solidFill>
              <w14:schemeClr w14:val="tx1"/>
            </w14:solidFill>
          </w14:textFill>
        </w:rPr>
        <w:t>。</w:t>
      </w:r>
    </w:p>
    <w:p w14:paraId="207007E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1" w:name="_Toc19554"/>
      <w:bookmarkStart w:id="92" w:name="_Toc21423"/>
      <w:bookmarkStart w:id="93" w:name="_Toc27250"/>
      <w:r>
        <w:rPr>
          <w:rFonts w:hint="eastAsia" w:ascii="宋体" w:hAnsi="宋体" w:eastAsia="宋体" w:cs="宋体"/>
          <w:b/>
          <w:bCs/>
          <w:color w:val="000000" w:themeColor="text1"/>
          <w:sz w:val="24"/>
          <w:szCs w:val="24"/>
          <w:highlight w:val="none"/>
          <w:lang w:val="zh-CN"/>
          <w14:textFill>
            <w14:solidFill>
              <w14:schemeClr w14:val="tx1"/>
            </w14:solidFill>
          </w14:textFill>
        </w:rPr>
        <w:t>1.6 违约责任</w:t>
      </w:r>
      <w:bookmarkEnd w:id="91"/>
      <w:bookmarkEnd w:id="92"/>
      <w:bookmarkEnd w:id="93"/>
    </w:p>
    <w:p w14:paraId="380FC02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 0.1 %计算，最高限额为本合同总价的10%；迟延履行的违约金计算数额达到前述最高限额之日起，甲方有权在要求乙方支付违约金的同时，书面通知乙方解除本合同；</w:t>
      </w:r>
    </w:p>
    <w:p w14:paraId="6119EE67">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 0.1 %计算，最高限额为本合同总价的10%；迟延付款的违约金计算数额达到前述最高限额之日起，乙方有权在要求甲方支付违约金的同时，书面通知甲方解除本合同；</w:t>
      </w:r>
    </w:p>
    <w:p w14:paraId="30B268E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D854E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CAE800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98843E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01B6B7F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77A1F70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4" w:name="_Toc16021"/>
      <w:bookmarkStart w:id="95" w:name="_Toc28375"/>
      <w:bookmarkStart w:id="96" w:name="_Toc15583"/>
      <w:r>
        <w:rPr>
          <w:rFonts w:hint="eastAsia" w:ascii="宋体" w:hAnsi="宋体" w:eastAsia="宋体" w:cs="宋体"/>
          <w:b/>
          <w:bCs/>
          <w:color w:val="000000" w:themeColor="text1"/>
          <w:sz w:val="24"/>
          <w:szCs w:val="24"/>
          <w:highlight w:val="none"/>
          <w:lang w:val="zh-CN"/>
          <w14:textFill>
            <w14:solidFill>
              <w14:schemeClr w14:val="tx1"/>
            </w14:solidFill>
          </w14:textFill>
        </w:rPr>
        <w:t>1.7 合同争议的解决</w:t>
      </w:r>
      <w:bookmarkEnd w:id="94"/>
      <w:bookmarkEnd w:id="95"/>
      <w:bookmarkEnd w:id="96"/>
    </w:p>
    <w:p w14:paraId="6425436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种方式解决：</w:t>
      </w:r>
    </w:p>
    <w:p w14:paraId="292E745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（1）将争议提交</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滁州    </w:t>
      </w:r>
      <w:r>
        <w:rPr>
          <w:rFonts w:hint="eastAsia" w:ascii="宋体" w:hAnsi="宋体" w:eastAsia="宋体" w:cs="宋体"/>
          <w:color w:val="000000" w:themeColor="text1"/>
          <w:sz w:val="24"/>
          <w:szCs w:val="24"/>
          <w:highlight w:val="none"/>
          <w14:textFill>
            <w14:solidFill>
              <w14:schemeClr w14:val="tx1"/>
            </w14:solidFill>
          </w14:textFill>
        </w:rPr>
        <w:t>仲裁委员会依申请仲裁时其现行有效的仲裁规则裁决；</w:t>
      </w:r>
    </w:p>
    <w:p w14:paraId="4DDFDBC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甲方（采购人） </w:t>
      </w:r>
      <w:r>
        <w:rPr>
          <w:rFonts w:hint="eastAsia" w:ascii="宋体" w:hAnsi="宋体" w:eastAsia="宋体" w:cs="宋体"/>
          <w:color w:val="000000" w:themeColor="text1"/>
          <w:sz w:val="24"/>
          <w:szCs w:val="24"/>
          <w:highlight w:val="none"/>
          <w14:textFill>
            <w14:solidFill>
              <w14:schemeClr w14:val="tx1"/>
            </w14:solidFill>
          </w14:textFill>
        </w:rPr>
        <w:t>人民法院起诉。</w:t>
      </w:r>
    </w:p>
    <w:p w14:paraId="2A3DD813">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7" w:name="_Toc11173"/>
      <w:bookmarkStart w:id="98" w:name="_Toc7245"/>
      <w:bookmarkStart w:id="99" w:name="_Toc15322"/>
      <w:r>
        <w:rPr>
          <w:rFonts w:hint="eastAsia" w:ascii="宋体" w:hAnsi="宋体" w:eastAsia="宋体" w:cs="宋体"/>
          <w:b/>
          <w:bCs/>
          <w:color w:val="000000" w:themeColor="text1"/>
          <w:sz w:val="24"/>
          <w:szCs w:val="24"/>
          <w:highlight w:val="none"/>
          <w:lang w:val="zh-CN"/>
          <w14:textFill>
            <w14:solidFill>
              <w14:schemeClr w14:val="tx1"/>
            </w14:solidFill>
          </w14:textFill>
        </w:rPr>
        <w:t>1.8 合同生效</w:t>
      </w:r>
      <w:bookmarkEnd w:id="97"/>
      <w:bookmarkEnd w:id="98"/>
      <w:bookmarkEnd w:id="99"/>
    </w:p>
    <w:p w14:paraId="67D2FE6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本合同自双方当事人盖章时生效。</w:t>
      </w:r>
    </w:p>
    <w:p w14:paraId="22E25675">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5DC5181B">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1FF7C227">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34B6E272">
      <w:pPr>
        <w:autoSpaceDE w:val="0"/>
        <w:autoSpaceDN w:val="0"/>
        <w:adjustRightInd w:val="0"/>
        <w:spacing w:line="440" w:lineRule="exac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甲    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乙方：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p>
    <w:p w14:paraId="06F640DD">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                               法定代表人</w:t>
      </w:r>
    </w:p>
    <w:p w14:paraId="78E6CD57">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或授权代表（签字）：                      或授权代表（签字）：</w:t>
      </w:r>
    </w:p>
    <w:p w14:paraId="18A47161">
      <w:pPr>
        <w:widowControl/>
        <w:spacing w:line="440" w:lineRule="exact"/>
        <w:jc w:val="left"/>
        <w:rPr>
          <w:rFonts w:hint="eastAsia" w:ascii="宋体" w:hAnsi="宋体" w:eastAsia="宋体" w:cs="宋体"/>
          <w:bCs/>
          <w:color w:val="000000" w:themeColor="text1"/>
          <w:sz w:val="24"/>
          <w:szCs w:val="24"/>
          <w:highlight w:val="none"/>
          <w14:textFill>
            <w14:solidFill>
              <w14:schemeClr w14:val="tx1"/>
            </w14:solidFill>
          </w14:textFill>
        </w:rPr>
      </w:pPr>
      <w:bookmarkStart w:id="100" w:name="_Toc331685783"/>
      <w:r>
        <w:rPr>
          <w:rFonts w:hint="eastAsia" w:ascii="宋体" w:hAnsi="宋体" w:eastAsia="宋体" w:cs="宋体"/>
          <w:bCs/>
          <w:color w:val="000000" w:themeColor="text1"/>
          <w:sz w:val="24"/>
          <w:szCs w:val="24"/>
          <w:highlight w:val="none"/>
          <w14:textFill>
            <w14:solidFill>
              <w14:schemeClr w14:val="tx1"/>
            </w14:solidFill>
          </w14:textFill>
        </w:rPr>
        <w:t>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               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w:t>
      </w:r>
    </w:p>
    <w:p w14:paraId="76BBE36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bookmarkStart w:id="101" w:name="_Hlk110099149"/>
      <w:r>
        <w:rPr>
          <w:rFonts w:hint="eastAsia" w:ascii="宋体" w:hAnsi="宋体" w:eastAsia="宋体" w:cs="宋体"/>
          <w:color w:val="000000" w:themeColor="text1"/>
          <w:sz w:val="24"/>
          <w:szCs w:val="24"/>
          <w:highlight w:val="none"/>
          <w14:textFill>
            <w14:solidFill>
              <w14:schemeClr w14:val="tx1"/>
            </w14:solidFill>
          </w14:textFill>
        </w:rPr>
        <w:t>乙方账户信息</w:t>
      </w:r>
    </w:p>
    <w:p w14:paraId="65EE1A4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户名：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E238D0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DDD46D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bookmarkEnd w:id="101"/>
    <w:p w14:paraId="6AE2916E">
      <w:pPr>
        <w:widowControl/>
        <w:spacing w:line="44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56CEFACE">
      <w:pPr>
        <w:spacing w:line="44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102" w:name="_Toc12414"/>
      <w:bookmarkStart w:id="103" w:name="_Toc415"/>
      <w:r>
        <w:rPr>
          <w:rFonts w:hint="eastAsia" w:ascii="宋体" w:hAnsi="宋体" w:eastAsia="宋体" w:cs="宋体"/>
          <w:b/>
          <w:color w:val="000000" w:themeColor="text1"/>
          <w:sz w:val="24"/>
          <w:highlight w:val="none"/>
          <w14:textFill>
            <w14:solidFill>
              <w14:schemeClr w14:val="tx1"/>
            </w14:solidFill>
          </w14:textFill>
        </w:rPr>
        <w:t>第二部分 合同一般条款</w:t>
      </w:r>
      <w:bookmarkEnd w:id="100"/>
      <w:bookmarkEnd w:id="102"/>
      <w:bookmarkEnd w:id="103"/>
    </w:p>
    <w:p w14:paraId="06DFECB7">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04" w:name="_Ref467379109"/>
      <w:bookmarkStart w:id="105" w:name="_Toc28763"/>
      <w:bookmarkStart w:id="106" w:name="_Ref467378499"/>
      <w:bookmarkStart w:id="107" w:name="_Toc16917"/>
      <w:bookmarkStart w:id="108" w:name="_Ref467378404"/>
      <w:bookmarkStart w:id="109" w:name="_Ref467379225"/>
      <w:bookmarkStart w:id="110" w:name="_Ref467379205"/>
      <w:bookmarkStart w:id="111" w:name="_Ref467379195"/>
      <w:bookmarkStart w:id="112" w:name="_Toc279701240"/>
      <w:bookmarkStart w:id="113" w:name="_Ref467379214"/>
      <w:bookmarkStart w:id="114" w:name="_Ref467379094"/>
      <w:bookmarkStart w:id="115" w:name="_Toc19614"/>
      <w:bookmarkStart w:id="116" w:name="_Toc259093669"/>
      <w:bookmarkStart w:id="117" w:name="_Toc487900349"/>
      <w:bookmarkStart w:id="118" w:name="_Ref467379101"/>
      <w:bookmarkStart w:id="119" w:name="_Ref467378463"/>
      <w:r>
        <w:rPr>
          <w:rFonts w:hint="eastAsia" w:ascii="宋体" w:hAnsi="宋体" w:eastAsia="宋体" w:cs="宋体"/>
          <w:b/>
          <w:bCs/>
          <w:color w:val="000000" w:themeColor="text1"/>
          <w:sz w:val="24"/>
          <w:szCs w:val="24"/>
          <w:highlight w:val="none"/>
          <w:lang w:val="zh-CN"/>
          <w14:textFill>
            <w14:solidFill>
              <w14:schemeClr w14:val="tx1"/>
            </w14:solidFill>
          </w14:textFill>
        </w:rPr>
        <w:t>2.1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8A72D7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本合同中的下列词语应按以下内容进行解释：</w:t>
      </w:r>
    </w:p>
    <w:p w14:paraId="21408EB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2.1.1“合同”系指采购人和中标人签订的载明双方当事人所达成的协议，并包括所有的附件、附录和构成合同的其他文件。</w:t>
      </w:r>
    </w:p>
    <w:p w14:paraId="4D21D47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2.1.2“合同价”系指根据合同约定，中标人在完全履行合同义务后，采购人应支付给中标人的价格。</w:t>
      </w:r>
    </w:p>
    <w:p w14:paraId="282A49DD">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2.1.3“服务”系指中标人根据合同约定应向采购人履行的除货物和工程以外的其他政府采购对象，包括采购人自身需要的服务和向社会公众提供的公共服务。</w:t>
      </w:r>
    </w:p>
    <w:p w14:paraId="1B61282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20" w:name="_Ref467378840"/>
      <w:r>
        <w:rPr>
          <w:rFonts w:hint="eastAsia" w:ascii="宋体" w:hAnsi="宋体" w:eastAsia="宋体" w:cs="宋体"/>
          <w:color w:val="000000" w:themeColor="text1"/>
          <w:sz w:val="24"/>
          <w:szCs w:val="24"/>
          <w:highlight w:val="none"/>
          <w14:textFill>
            <w14:solidFill>
              <w14:schemeClr w14:val="tx1"/>
            </w14:solidFill>
          </w14:textFill>
        </w:rPr>
        <w:t>2.1.4“甲方”系指与中标人签署合同的采购人</w:t>
      </w:r>
      <w:bookmarkEnd w:id="120"/>
      <w:r>
        <w:rPr>
          <w:rFonts w:hint="eastAsia" w:ascii="宋体" w:hAnsi="宋体" w:eastAsia="宋体" w:cs="宋体"/>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6B6AA72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21" w:name="_Ref467379400"/>
      <w:r>
        <w:rPr>
          <w:rFonts w:hint="eastAsia" w:ascii="宋体" w:hAnsi="宋体" w:eastAsia="宋体" w:cs="宋体"/>
          <w:color w:val="000000" w:themeColor="text1"/>
          <w:sz w:val="24"/>
          <w:szCs w:val="24"/>
          <w:highlight w:val="none"/>
          <w14:textFill>
            <w14:solidFill>
              <w14:schemeClr w14:val="tx1"/>
            </w14:solidFill>
          </w14:textFill>
        </w:rPr>
        <w:t>2.1.5“乙方”系指根据合同约定提供服务的中标人</w:t>
      </w:r>
      <w:bookmarkEnd w:id="121"/>
      <w:r>
        <w:rPr>
          <w:rFonts w:hint="eastAsia" w:ascii="宋体" w:hAnsi="宋体" w:eastAsia="宋体" w:cs="宋体"/>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A6BDC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22" w:name="_Ref467379436"/>
      <w:r>
        <w:rPr>
          <w:rFonts w:hint="eastAsia" w:ascii="宋体" w:hAnsi="宋体" w:eastAsia="宋体" w:cs="宋体"/>
          <w:color w:val="000000" w:themeColor="text1"/>
          <w:sz w:val="24"/>
          <w:szCs w:val="24"/>
          <w:highlight w:val="none"/>
          <w14:textFill>
            <w14:solidFill>
              <w14:schemeClr w14:val="tx1"/>
            </w14:solidFill>
          </w14:textFill>
        </w:rPr>
        <w:t>2.1.6“现场”系指合同约定提供服务的地点。</w:t>
      </w:r>
      <w:bookmarkEnd w:id="122"/>
    </w:p>
    <w:p w14:paraId="47686C4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3" w:name="_Toc279701241"/>
      <w:bookmarkStart w:id="124" w:name="_Toc13336"/>
      <w:bookmarkStart w:id="125" w:name="_Toc32504"/>
      <w:bookmarkStart w:id="126" w:name="_Toc27635"/>
      <w:bookmarkStart w:id="127" w:name="_Toc487900350"/>
      <w:bookmarkStart w:id="128" w:name="_Toc259093670"/>
      <w:r>
        <w:rPr>
          <w:rFonts w:hint="eastAsia" w:ascii="宋体" w:hAnsi="宋体" w:eastAsia="宋体" w:cs="宋体"/>
          <w:b/>
          <w:bCs/>
          <w:color w:val="000000" w:themeColor="text1"/>
          <w:sz w:val="24"/>
          <w:szCs w:val="24"/>
          <w:highlight w:val="none"/>
          <w:lang w:val="zh-CN"/>
          <w14:textFill>
            <w14:solidFill>
              <w14:schemeClr w14:val="tx1"/>
            </w14:solidFill>
          </w14:textFill>
        </w:rPr>
        <w:t>2.2 技术规范</w:t>
      </w:r>
      <w:bookmarkEnd w:id="123"/>
      <w:bookmarkEnd w:id="124"/>
      <w:bookmarkEnd w:id="125"/>
      <w:bookmarkEnd w:id="126"/>
      <w:bookmarkEnd w:id="127"/>
      <w:bookmarkEnd w:id="128"/>
    </w:p>
    <w:p w14:paraId="33169FD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16D6C1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9" w:name="_Toc487900351"/>
      <w:bookmarkStart w:id="130" w:name="_Toc9829"/>
      <w:bookmarkStart w:id="131" w:name="_Toc259093671"/>
      <w:bookmarkStart w:id="132" w:name="_Toc31634"/>
      <w:bookmarkStart w:id="133" w:name="_Toc27853"/>
      <w:bookmarkStart w:id="134" w:name="_Toc279701242"/>
      <w:r>
        <w:rPr>
          <w:rFonts w:hint="eastAsia" w:ascii="宋体" w:hAnsi="宋体" w:eastAsia="宋体" w:cs="宋体"/>
          <w:b/>
          <w:bCs/>
          <w:color w:val="000000" w:themeColor="text1"/>
          <w:sz w:val="24"/>
          <w:szCs w:val="24"/>
          <w:highlight w:val="none"/>
          <w:lang w:val="zh-CN"/>
          <w14:textFill>
            <w14:solidFill>
              <w14:schemeClr w14:val="tx1"/>
            </w14:solidFill>
          </w14:textFill>
        </w:rPr>
        <w:t>2.3 知识产权</w:t>
      </w:r>
      <w:bookmarkEnd w:id="129"/>
      <w:bookmarkEnd w:id="130"/>
      <w:bookmarkEnd w:id="131"/>
      <w:bookmarkEnd w:id="132"/>
      <w:bookmarkEnd w:id="133"/>
      <w:bookmarkEnd w:id="134"/>
    </w:p>
    <w:p w14:paraId="2CAC806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409F6F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35" w:name="_Toc259093674"/>
      <w:bookmarkStart w:id="136" w:name="_Ref467379542"/>
      <w:bookmarkStart w:id="137" w:name="_Toc487900354"/>
      <w:bookmarkStart w:id="138" w:name="_Ref467378591"/>
      <w:bookmarkStart w:id="139" w:name="_Ref467378541"/>
      <w:bookmarkStart w:id="140" w:name="_Toc279701245"/>
      <w:bookmarkStart w:id="141" w:name="_Ref467379536"/>
      <w:bookmarkStart w:id="142" w:name="_Ref467379527"/>
      <w:bookmarkStart w:id="143" w:name="_Toc26182"/>
      <w:bookmarkStart w:id="144" w:name="_Toc30272"/>
      <w:bookmarkStart w:id="145" w:name="_Toc19074"/>
      <w:r>
        <w:rPr>
          <w:rFonts w:hint="eastAsia" w:ascii="宋体" w:hAnsi="宋体" w:eastAsia="宋体" w:cs="宋体"/>
          <w:b/>
          <w:bCs/>
          <w:color w:val="000000" w:themeColor="text1"/>
          <w:sz w:val="24"/>
          <w:szCs w:val="24"/>
          <w:highlight w:val="none"/>
          <w:lang w:val="zh-CN"/>
          <w14:textFill>
            <w14:solidFill>
              <w14:schemeClr w14:val="tx1"/>
            </w14:solidFill>
          </w14:textFill>
        </w:rPr>
        <w:t>2.</w:t>
      </w:r>
      <w:bookmarkEnd w:id="135"/>
      <w:bookmarkEnd w:id="136"/>
      <w:bookmarkEnd w:id="137"/>
      <w:bookmarkEnd w:id="138"/>
      <w:bookmarkEnd w:id="139"/>
      <w:bookmarkEnd w:id="140"/>
      <w:bookmarkEnd w:id="141"/>
      <w:bookmarkEnd w:id="142"/>
      <w:r>
        <w:rPr>
          <w:rFonts w:hint="eastAsia" w:ascii="宋体" w:hAnsi="宋体" w:eastAsia="宋体" w:cs="宋体"/>
          <w:b/>
          <w:bCs/>
          <w:color w:val="000000" w:themeColor="text1"/>
          <w:sz w:val="24"/>
          <w:szCs w:val="24"/>
          <w:highlight w:val="none"/>
          <w:lang w:val="zh-CN"/>
          <w14:textFill>
            <w14:solidFill>
              <w14:schemeClr w14:val="tx1"/>
            </w14:solidFill>
          </w14:textFill>
        </w:rPr>
        <w:t>4 履约检查和问题反馈</w:t>
      </w:r>
      <w:bookmarkEnd w:id="143"/>
      <w:bookmarkEnd w:id="144"/>
      <w:bookmarkEnd w:id="145"/>
    </w:p>
    <w:p w14:paraId="46F16F9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46" w:name="_Toc186431854"/>
      <w:bookmarkStart w:id="147" w:name="_Ref467379807"/>
      <w:bookmarkStart w:id="148" w:name="_Ref467379793"/>
      <w:bookmarkStart w:id="149" w:name="_Toc487900357"/>
      <w:bookmarkStart w:id="150" w:name="_Toc279701247"/>
      <w:bookmarkStart w:id="151" w:name="_Toc259093676"/>
      <w:r>
        <w:rPr>
          <w:rFonts w:hint="eastAsia" w:ascii="宋体" w:hAnsi="宋体" w:eastAsia="宋体" w:cs="宋体"/>
          <w:color w:val="000000" w:themeColor="text1"/>
          <w:sz w:val="24"/>
          <w:szCs w:val="24"/>
          <w:highlight w:val="none"/>
          <w14:textFill>
            <w14:solidFill>
              <w14:schemeClr w14:val="tx1"/>
            </w14:solidFill>
          </w14:textFill>
        </w:rPr>
        <w:t>2.4.1甲方有权在其认为必要时，对乙方是否能够按照合同约定提供服务进行履约检查，以确保乙方所提供的服务能够依约满足甲方项目需求，但不得因履约检查妨碍乙方的正常工作，乙方应予积极配合；</w:t>
      </w:r>
    </w:p>
    <w:p w14:paraId="2E7BB75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2.4.2合同履行期间，甲方有权将履行过程中出现的问题反馈给乙方，双方当事人应以书面形式约定需要完善和改进的内容</w:t>
      </w:r>
      <w:bookmarkEnd w:id="146"/>
      <w:bookmarkStart w:id="152" w:name="_Toc186431855"/>
      <w:r>
        <w:rPr>
          <w:rFonts w:hint="eastAsia" w:ascii="宋体" w:hAnsi="宋体" w:eastAsia="宋体" w:cs="宋体"/>
          <w:color w:val="000000" w:themeColor="text1"/>
          <w:sz w:val="24"/>
          <w:szCs w:val="24"/>
          <w:highlight w:val="none"/>
          <w14:textFill>
            <w14:solidFill>
              <w14:schemeClr w14:val="tx1"/>
            </w14:solidFill>
          </w14:textFill>
        </w:rPr>
        <w:t>。</w:t>
      </w:r>
    </w:p>
    <w:bookmarkEnd w:id="152"/>
    <w:p w14:paraId="57D5077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3" w:name="_Toc28451"/>
      <w:bookmarkStart w:id="154" w:name="_Toc19219"/>
      <w:bookmarkStart w:id="155" w:name="_Toc7836"/>
      <w:r>
        <w:rPr>
          <w:rFonts w:hint="eastAsia" w:ascii="宋体" w:hAnsi="宋体" w:eastAsia="宋体" w:cs="宋体"/>
          <w:b/>
          <w:bCs/>
          <w:color w:val="000000" w:themeColor="text1"/>
          <w:sz w:val="24"/>
          <w:szCs w:val="24"/>
          <w:highlight w:val="none"/>
          <w:lang w:val="zh-CN"/>
          <w14:textFill>
            <w14:solidFill>
              <w14:schemeClr w14:val="tx1"/>
            </w14:solidFill>
          </w14:textFill>
        </w:rPr>
        <w:t>2.5 结算方式和付款条件</w:t>
      </w:r>
      <w:bookmarkEnd w:id="147"/>
      <w:bookmarkEnd w:id="148"/>
      <w:bookmarkEnd w:id="149"/>
      <w:bookmarkEnd w:id="150"/>
      <w:bookmarkEnd w:id="151"/>
      <w:bookmarkEnd w:id="153"/>
      <w:bookmarkEnd w:id="154"/>
      <w:bookmarkEnd w:id="155"/>
    </w:p>
    <w:p w14:paraId="403E0D3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3BF322C5">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6" w:name="_Ref467379852"/>
      <w:bookmarkStart w:id="157" w:name="_Toc279701248"/>
      <w:bookmarkStart w:id="158" w:name="_Ref467379923"/>
      <w:bookmarkStart w:id="159" w:name="_Ref467379863"/>
      <w:bookmarkStart w:id="160" w:name="_Toc259093677"/>
      <w:bookmarkStart w:id="161" w:name="_Toc487900358"/>
      <w:bookmarkStart w:id="162" w:name="_Toc16110"/>
      <w:bookmarkStart w:id="163" w:name="_Toc3225"/>
      <w:bookmarkStart w:id="164" w:name="_Toc774"/>
      <w:r>
        <w:rPr>
          <w:rFonts w:hint="eastAsia" w:ascii="宋体" w:hAnsi="宋体" w:eastAsia="宋体" w:cs="宋体"/>
          <w:b/>
          <w:bCs/>
          <w:color w:val="000000" w:themeColor="text1"/>
          <w:sz w:val="24"/>
          <w:szCs w:val="24"/>
          <w:highlight w:val="none"/>
          <w:lang w:val="zh-CN"/>
          <w14:textFill>
            <w14:solidFill>
              <w14:schemeClr w14:val="tx1"/>
            </w14:solidFill>
          </w14:textFill>
        </w:rPr>
        <w:t>2.6 技术资料</w:t>
      </w:r>
      <w:bookmarkEnd w:id="156"/>
      <w:bookmarkEnd w:id="157"/>
      <w:bookmarkEnd w:id="158"/>
      <w:bookmarkEnd w:id="159"/>
      <w:bookmarkEnd w:id="160"/>
      <w:bookmarkEnd w:id="161"/>
      <w:r>
        <w:rPr>
          <w:rFonts w:hint="eastAsia" w:ascii="宋体" w:hAnsi="宋体" w:eastAsia="宋体" w:cs="宋体"/>
          <w:b/>
          <w:bCs/>
          <w:color w:val="000000" w:themeColor="text1"/>
          <w:sz w:val="24"/>
          <w:szCs w:val="24"/>
          <w:highlight w:val="none"/>
          <w:lang w:val="zh-CN"/>
          <w14:textFill>
            <w14:solidFill>
              <w14:schemeClr w14:val="tx1"/>
            </w14:solidFill>
          </w14:textFill>
        </w:rPr>
        <w:t>和保密义务</w:t>
      </w:r>
      <w:bookmarkEnd w:id="162"/>
      <w:bookmarkEnd w:id="163"/>
      <w:bookmarkEnd w:id="164"/>
    </w:p>
    <w:p w14:paraId="2982309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2.6.1乙方有权依据合同约定和项目需要，向甲方了解有关情况，调阅有关资料等，甲方应予积极配合；</w:t>
      </w:r>
    </w:p>
    <w:p w14:paraId="3FAE74A1">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2.6.2乙方有义务妥善保管和保护由甲方提供的前款信息和资料等；</w:t>
      </w:r>
    </w:p>
    <w:p w14:paraId="47E6FF9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FCC7CA">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65" w:name="_Toc7860"/>
      <w:r>
        <w:rPr>
          <w:rFonts w:hint="eastAsia" w:ascii="宋体" w:hAnsi="宋体" w:eastAsia="宋体" w:cs="宋体"/>
          <w:b/>
          <w:bCs/>
          <w:color w:val="000000" w:themeColor="text1"/>
          <w:sz w:val="24"/>
          <w:szCs w:val="24"/>
          <w:highlight w:val="none"/>
          <w:lang w:val="zh-CN"/>
          <w14:textFill>
            <w14:solidFill>
              <w14:schemeClr w14:val="tx1"/>
            </w14:solidFill>
          </w14:textFill>
        </w:rPr>
        <w:t>2.7 质量保证</w:t>
      </w:r>
      <w:bookmarkEnd w:id="165"/>
    </w:p>
    <w:p w14:paraId="2BB9056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2.7.1乙方应建立和完善履行合同的内部质量保证体系，并提供相关内部规章制度给甲方，以便甲方进行监督检查；</w:t>
      </w:r>
    </w:p>
    <w:p w14:paraId="1F6CFD7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2.7.2乙方应保证履行合同的人员数量和素质、软件和硬件设备的配置、场地、环境和设施等满足全面履行合同的要求，并应接受甲方的监督检查。</w:t>
      </w:r>
    </w:p>
    <w:p w14:paraId="2183EDF2">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66" w:name="_Toc22267"/>
      <w:r>
        <w:rPr>
          <w:rFonts w:hint="eastAsia" w:ascii="宋体" w:hAnsi="宋体" w:eastAsia="宋体" w:cs="宋体"/>
          <w:b/>
          <w:color w:val="000000" w:themeColor="text1"/>
          <w:sz w:val="24"/>
          <w:szCs w:val="24"/>
          <w:highlight w:val="none"/>
          <w14:textFill>
            <w14:solidFill>
              <w14:schemeClr w14:val="tx1"/>
            </w14:solidFill>
          </w14:textFill>
        </w:rPr>
        <w:t>2.8 延迟履行</w:t>
      </w:r>
      <w:bookmarkEnd w:id="166"/>
    </w:p>
    <w:p w14:paraId="279EBF5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1A3330F">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67" w:name="_Toc7502"/>
      <w:bookmarkStart w:id="168" w:name="_Toc279701254"/>
      <w:bookmarkStart w:id="169" w:name="_Ref467378121"/>
      <w:bookmarkStart w:id="170" w:name="_Toc259093683"/>
      <w:bookmarkStart w:id="171" w:name="_Toc487900364"/>
      <w:r>
        <w:rPr>
          <w:rFonts w:hint="eastAsia" w:ascii="宋体" w:hAnsi="宋体" w:eastAsia="宋体" w:cs="宋体"/>
          <w:b/>
          <w:bCs/>
          <w:color w:val="000000" w:themeColor="text1"/>
          <w:sz w:val="24"/>
          <w:szCs w:val="24"/>
          <w:highlight w:val="none"/>
          <w:lang w:val="zh-CN"/>
          <w14:textFill>
            <w14:solidFill>
              <w14:schemeClr w14:val="tx1"/>
            </w14:solidFill>
          </w14:textFill>
        </w:rPr>
        <w:t>2.9 合同变更</w:t>
      </w:r>
      <w:bookmarkEnd w:id="167"/>
    </w:p>
    <w:p w14:paraId="2189724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2.9.1双方当事人协商一致，可以签订书面补充合同的形式变更合同，但不得违背采购文件确定的事项；</w:t>
      </w:r>
    </w:p>
    <w:p w14:paraId="786D19A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2.9.2合同继续履行将损害国家利益和社会公共利益的，双方当事人应当以书面形式变更合同。有过错的一方应当承担赔偿责任，双方当事人都有过错的，各自承担相应的责任。</w:t>
      </w:r>
      <w:bookmarkStart w:id="172" w:name="_Toc279701259"/>
      <w:bookmarkStart w:id="173" w:name="_Toc487900369"/>
      <w:bookmarkStart w:id="174" w:name="_Toc259093688"/>
    </w:p>
    <w:p w14:paraId="23A45D33">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75" w:name="_Toc22955"/>
      <w:bookmarkStart w:id="176" w:name="_Toc15237"/>
      <w:bookmarkStart w:id="177" w:name="_Toc10366"/>
      <w:r>
        <w:rPr>
          <w:rFonts w:hint="eastAsia" w:ascii="宋体" w:hAnsi="宋体" w:eastAsia="宋体" w:cs="宋体"/>
          <w:b/>
          <w:bCs/>
          <w:color w:val="000000" w:themeColor="text1"/>
          <w:sz w:val="24"/>
          <w:szCs w:val="24"/>
          <w:highlight w:val="none"/>
          <w:lang w:val="zh-CN"/>
          <w14:textFill>
            <w14:solidFill>
              <w14:schemeClr w14:val="tx1"/>
            </w14:solidFill>
          </w14:textFill>
        </w:rPr>
        <w:t>2.10 合同转让</w:t>
      </w:r>
      <w:bookmarkEnd w:id="172"/>
      <w:bookmarkEnd w:id="173"/>
      <w:bookmarkEnd w:id="174"/>
      <w:r>
        <w:rPr>
          <w:rFonts w:hint="eastAsia" w:ascii="宋体" w:hAnsi="宋体" w:eastAsia="宋体" w:cs="宋体"/>
          <w:b/>
          <w:bCs/>
          <w:color w:val="000000" w:themeColor="text1"/>
          <w:sz w:val="24"/>
          <w:szCs w:val="24"/>
          <w:highlight w:val="none"/>
          <w:lang w:val="zh-CN"/>
          <w14:textFill>
            <w14:solidFill>
              <w14:schemeClr w14:val="tx1"/>
            </w14:solidFill>
          </w14:textFill>
        </w:rPr>
        <w:t>和分包</w:t>
      </w:r>
      <w:bookmarkEnd w:id="175"/>
      <w:bookmarkEnd w:id="176"/>
      <w:bookmarkEnd w:id="177"/>
    </w:p>
    <w:p w14:paraId="66C6A48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4B625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78" w:name="_Toc14066"/>
      <w:bookmarkStart w:id="179" w:name="_Toc16508"/>
      <w:bookmarkStart w:id="180" w:name="_Toc13566"/>
      <w:r>
        <w:rPr>
          <w:rFonts w:hint="eastAsia" w:ascii="宋体" w:hAnsi="宋体" w:eastAsia="宋体" w:cs="宋体"/>
          <w:b/>
          <w:bCs/>
          <w:color w:val="000000" w:themeColor="text1"/>
          <w:sz w:val="24"/>
          <w:szCs w:val="24"/>
          <w:highlight w:val="none"/>
          <w:lang w:val="zh-CN"/>
          <w14:textFill>
            <w14:solidFill>
              <w14:schemeClr w14:val="tx1"/>
            </w14:solidFill>
          </w14:textFill>
        </w:rPr>
        <w:t>2.11 不可抗力</w:t>
      </w:r>
      <w:bookmarkEnd w:id="178"/>
      <w:bookmarkEnd w:id="179"/>
      <w:bookmarkEnd w:id="180"/>
    </w:p>
    <w:p w14:paraId="70414FF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2330EAF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2.11.2因不可抗力致使不能实现合同目的的，当事人可以解除合同；</w:t>
      </w:r>
    </w:p>
    <w:p w14:paraId="4EB8542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2.11.3因不可抗力致使合同有变更必要的，双方当事人应在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约定时间内以书面形式变更合同；</w:t>
      </w:r>
    </w:p>
    <w:p w14:paraId="53B1B74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约定时间内，将有关部门出具的证明文件送达对方当事人。</w:t>
      </w:r>
    </w:p>
    <w:p w14:paraId="737F2CA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81" w:name="_Toc487900365"/>
      <w:bookmarkStart w:id="182" w:name="_Toc259093684"/>
      <w:bookmarkStart w:id="183" w:name="_Toc689"/>
      <w:bookmarkStart w:id="184" w:name="_Toc30676"/>
      <w:bookmarkStart w:id="185" w:name="_Toc6969"/>
      <w:bookmarkStart w:id="186" w:name="_Toc279701255"/>
      <w:r>
        <w:rPr>
          <w:rFonts w:hint="eastAsia" w:ascii="宋体" w:hAnsi="宋体" w:eastAsia="宋体" w:cs="宋体"/>
          <w:b/>
          <w:bCs/>
          <w:color w:val="000000" w:themeColor="text1"/>
          <w:sz w:val="24"/>
          <w:szCs w:val="24"/>
          <w:highlight w:val="none"/>
          <w:lang w:val="zh-CN"/>
          <w14:textFill>
            <w14:solidFill>
              <w14:schemeClr w14:val="tx1"/>
            </w14:solidFill>
          </w14:textFill>
        </w:rPr>
        <w:t>2.12 税费</w:t>
      </w:r>
      <w:bookmarkEnd w:id="181"/>
      <w:bookmarkEnd w:id="182"/>
      <w:bookmarkEnd w:id="183"/>
      <w:bookmarkEnd w:id="184"/>
      <w:bookmarkEnd w:id="185"/>
      <w:bookmarkEnd w:id="186"/>
    </w:p>
    <w:p w14:paraId="4F59D8E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与合同有关的一切税费，均按照中华人民共和国法律的相关规定缴纳。</w:t>
      </w:r>
    </w:p>
    <w:p w14:paraId="428A8296">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87" w:name="_Toc16959"/>
      <w:bookmarkStart w:id="188" w:name="_Toc487900368"/>
      <w:bookmarkStart w:id="189" w:name="_Toc279701258"/>
      <w:bookmarkStart w:id="190" w:name="_Toc259093687"/>
      <w:bookmarkStart w:id="191" w:name="_Toc8298"/>
      <w:bookmarkStart w:id="192" w:name="_Toc7102"/>
      <w:r>
        <w:rPr>
          <w:rFonts w:hint="eastAsia" w:ascii="宋体" w:hAnsi="宋体" w:eastAsia="宋体" w:cs="宋体"/>
          <w:b/>
          <w:bCs/>
          <w:color w:val="000000" w:themeColor="text1"/>
          <w:sz w:val="24"/>
          <w:szCs w:val="24"/>
          <w:highlight w:val="none"/>
          <w:lang w:val="zh-CN"/>
          <w14:textFill>
            <w14:solidFill>
              <w14:schemeClr w14:val="tx1"/>
            </w14:solidFill>
          </w14:textFill>
        </w:rPr>
        <w:t>2.13 乙方破产</w:t>
      </w:r>
      <w:bookmarkEnd w:id="187"/>
      <w:bookmarkEnd w:id="188"/>
      <w:bookmarkEnd w:id="189"/>
      <w:bookmarkEnd w:id="190"/>
      <w:bookmarkEnd w:id="191"/>
      <w:bookmarkEnd w:id="192"/>
    </w:p>
    <w:p w14:paraId="6334925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E62389">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93" w:name="_Toc29333"/>
      <w:bookmarkStart w:id="194" w:name="_Toc15387"/>
      <w:bookmarkStart w:id="195" w:name="_Toc6134"/>
      <w:r>
        <w:rPr>
          <w:rFonts w:hint="eastAsia" w:ascii="宋体" w:hAnsi="宋体" w:eastAsia="宋体" w:cs="宋体"/>
          <w:b/>
          <w:bCs/>
          <w:color w:val="000000" w:themeColor="text1"/>
          <w:sz w:val="24"/>
          <w:szCs w:val="24"/>
          <w:highlight w:val="none"/>
          <w:lang w:val="zh-CN"/>
          <w14:textFill>
            <w14:solidFill>
              <w14:schemeClr w14:val="tx1"/>
            </w14:solidFill>
          </w14:textFill>
        </w:rPr>
        <w:t>2.14 合同中止、终止</w:t>
      </w:r>
      <w:bookmarkEnd w:id="193"/>
      <w:bookmarkEnd w:id="194"/>
      <w:bookmarkEnd w:id="195"/>
    </w:p>
    <w:p w14:paraId="2256EB5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2.14.1双方当事人不得擅自中止或者终止合同；</w:t>
      </w:r>
    </w:p>
    <w:p w14:paraId="39A37BE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10FD94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96" w:name="_Toc1125"/>
      <w:bookmarkStart w:id="197" w:name="_Toc6596"/>
      <w:bookmarkStart w:id="198" w:name="_Toc14563"/>
      <w:r>
        <w:rPr>
          <w:rFonts w:hint="eastAsia" w:ascii="宋体" w:hAnsi="宋体" w:eastAsia="宋体" w:cs="宋体"/>
          <w:b/>
          <w:bCs/>
          <w:color w:val="000000" w:themeColor="text1"/>
          <w:sz w:val="24"/>
          <w:szCs w:val="24"/>
          <w:highlight w:val="none"/>
          <w:lang w:val="zh-CN"/>
          <w14:textFill>
            <w14:solidFill>
              <w14:schemeClr w14:val="tx1"/>
            </w14:solidFill>
          </w14:textFill>
        </w:rPr>
        <w:t>2.15 检验和验收</w:t>
      </w:r>
      <w:bookmarkEnd w:id="196"/>
      <w:bookmarkEnd w:id="197"/>
      <w:bookmarkEnd w:id="198"/>
    </w:p>
    <w:p w14:paraId="55AD595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的约定进行定期验收；</w:t>
      </w:r>
    </w:p>
    <w:p w14:paraId="0F09C5C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993F8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i/>
          <w:color w:val="000000" w:themeColor="text1"/>
          <w:sz w:val="24"/>
          <w:szCs w:val="24"/>
          <w:highlight w:val="none"/>
          <w14:textFill>
            <w14:solidFill>
              <w14:schemeClr w14:val="tx1"/>
            </w14:solidFill>
          </w14:textFill>
        </w:rPr>
        <w:t>。</w:t>
      </w:r>
    </w:p>
    <w:bookmarkEnd w:id="168"/>
    <w:bookmarkEnd w:id="169"/>
    <w:bookmarkEnd w:id="170"/>
    <w:bookmarkEnd w:id="171"/>
    <w:p w14:paraId="04A2C5BD">
      <w:pPr>
        <w:spacing w:line="440" w:lineRule="exact"/>
        <w:ind w:firstLine="437"/>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199" w:name="_Toc279701263"/>
      <w:bookmarkStart w:id="200" w:name="_Toc12773"/>
      <w:bookmarkStart w:id="201" w:name="_Toc10330"/>
      <w:bookmarkStart w:id="202" w:name="_Toc487900373"/>
      <w:bookmarkStart w:id="203" w:name="_Toc18567"/>
      <w:bookmarkStart w:id="204" w:name="_Toc259093692"/>
      <w:r>
        <w:rPr>
          <w:rFonts w:hint="eastAsia" w:ascii="宋体" w:hAnsi="宋体" w:eastAsia="宋体" w:cs="宋体"/>
          <w:b/>
          <w:bCs/>
          <w:color w:val="000000" w:themeColor="text1"/>
          <w:sz w:val="24"/>
          <w:szCs w:val="24"/>
          <w:highlight w:val="none"/>
          <w14:textFill>
            <w14:solidFill>
              <w14:schemeClr w14:val="tx1"/>
            </w14:solidFill>
          </w14:textFill>
        </w:rPr>
        <w:t xml:space="preserve">2.16 </w:t>
      </w:r>
      <w:r>
        <w:rPr>
          <w:rFonts w:hint="eastAsia" w:ascii="宋体" w:hAnsi="宋体" w:eastAsia="宋体" w:cs="宋体"/>
          <w:b/>
          <w:bCs/>
          <w:color w:val="000000" w:themeColor="text1"/>
          <w:sz w:val="24"/>
          <w:szCs w:val="24"/>
          <w:highlight w:val="none"/>
          <w:lang w:val="zh-CN"/>
          <w14:textFill>
            <w14:solidFill>
              <w14:schemeClr w14:val="tx1"/>
            </w14:solidFill>
          </w14:textFill>
        </w:rPr>
        <w:t>合同使用的文字和适用的法律</w:t>
      </w:r>
      <w:bookmarkEnd w:id="199"/>
      <w:bookmarkEnd w:id="200"/>
      <w:bookmarkEnd w:id="201"/>
      <w:bookmarkEnd w:id="202"/>
      <w:bookmarkEnd w:id="203"/>
      <w:bookmarkEnd w:id="204"/>
    </w:p>
    <w:p w14:paraId="4FD1BC1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2.16.1合同使用汉语书就、变更和解释；</w:t>
      </w:r>
    </w:p>
    <w:p w14:paraId="1EA3454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2.16.2合同适用中华人民共和国法律。</w:t>
      </w:r>
    </w:p>
    <w:p w14:paraId="3E2FFE35">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205" w:name="_Toc16673"/>
      <w:bookmarkStart w:id="206" w:name="_Toc279701264"/>
      <w:bookmarkStart w:id="207" w:name="_Toc3148"/>
      <w:bookmarkStart w:id="208" w:name="_Toc259093693"/>
      <w:bookmarkStart w:id="209" w:name="_Toc12004"/>
      <w:bookmarkStart w:id="210" w:name="_Toc487900374"/>
      <w:r>
        <w:rPr>
          <w:rFonts w:hint="eastAsia" w:ascii="宋体" w:hAnsi="宋体" w:eastAsia="宋体" w:cs="宋体"/>
          <w:b/>
          <w:bCs/>
          <w:color w:val="000000" w:themeColor="text1"/>
          <w:sz w:val="24"/>
          <w:szCs w:val="24"/>
          <w:highlight w:val="none"/>
          <w:lang w:val="zh-CN"/>
          <w14:textFill>
            <w14:solidFill>
              <w14:schemeClr w14:val="tx1"/>
            </w14:solidFill>
          </w14:textFill>
        </w:rPr>
        <w:t>2.17 履约保证金</w:t>
      </w:r>
      <w:bookmarkEnd w:id="205"/>
      <w:bookmarkEnd w:id="206"/>
      <w:bookmarkEnd w:id="207"/>
      <w:bookmarkEnd w:id="208"/>
      <w:bookmarkEnd w:id="209"/>
    </w:p>
    <w:p w14:paraId="33B4925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2.17.1采购文件要求乙方提交履约保证金的，乙方应按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约定的方式，以支票、汇票、本票或者金融机构、担保机构出具的保函等非现金形式提交；</w:t>
      </w:r>
    </w:p>
    <w:p w14:paraId="2A3FAC7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2.17.2履约保证金在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个工作日内，甲方应将履约保证金退还乙方，甲方逾期退还履约保证金应承担违约责任。</w:t>
      </w:r>
    </w:p>
    <w:p w14:paraId="0DF08E3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10"/>
    <w:p w14:paraId="6B2BB622">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211" w:name="_Toc14001"/>
      <w:bookmarkStart w:id="212" w:name="_Toc6885"/>
      <w:bookmarkStart w:id="213" w:name="_Toc19890"/>
      <w:r>
        <w:rPr>
          <w:rFonts w:hint="eastAsia" w:ascii="宋体" w:hAnsi="宋体" w:eastAsia="宋体" w:cs="宋体"/>
          <w:b/>
          <w:bCs/>
          <w:color w:val="000000" w:themeColor="text1"/>
          <w:sz w:val="24"/>
          <w:szCs w:val="24"/>
          <w:highlight w:val="none"/>
          <w:lang w:val="zh-CN"/>
          <w14:textFill>
            <w14:solidFill>
              <w14:schemeClr w14:val="tx1"/>
            </w14:solidFill>
          </w14:textFill>
        </w:rPr>
        <w:t>2.18 合同份数</w:t>
      </w:r>
      <w:bookmarkEnd w:id="211"/>
      <w:bookmarkEnd w:id="212"/>
      <w:bookmarkEnd w:id="213"/>
    </w:p>
    <w:p w14:paraId="459633B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规定，每份均具有同等法律效力。</w:t>
      </w:r>
    </w:p>
    <w:p w14:paraId="36FF3F5C">
      <w:pPr>
        <w:spacing w:line="44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14" w:name="_Toc3736"/>
      <w:bookmarkStart w:id="215" w:name="_Toc3937"/>
      <w:r>
        <w:rPr>
          <w:rFonts w:hint="eastAsia" w:ascii="宋体" w:hAnsi="宋体" w:eastAsia="宋体" w:cs="宋体"/>
          <w:b/>
          <w:color w:val="000000" w:themeColor="text1"/>
          <w:sz w:val="24"/>
          <w:highlight w:val="none"/>
          <w14:textFill>
            <w14:solidFill>
              <w14:schemeClr w14:val="tx1"/>
            </w14:solidFill>
          </w14:textFill>
        </w:rPr>
        <w:t>第三部分 合同专用条款</w:t>
      </w:r>
      <w:bookmarkEnd w:id="214"/>
      <w:bookmarkEnd w:id="215"/>
    </w:p>
    <w:p w14:paraId="2233DC1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BF8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75F62872">
            <w:pPr>
              <w:spacing w:line="44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568" w:type="dxa"/>
            <w:vAlign w:val="center"/>
          </w:tcPr>
          <w:p w14:paraId="7D13D797">
            <w:pPr>
              <w:spacing w:line="44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约定内容</w:t>
            </w:r>
          </w:p>
        </w:tc>
      </w:tr>
      <w:tr w14:paraId="2166F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09FF72F3">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7568" w:type="dxa"/>
            <w:vAlign w:val="center"/>
          </w:tcPr>
          <w:p w14:paraId="6F97F171">
            <w:pPr>
              <w:spacing w:line="5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结算方式：固定总价</w:t>
            </w:r>
          </w:p>
          <w:p w14:paraId="54E04B9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 xml:space="preserve">付款方式：   </w:t>
            </w:r>
          </w:p>
        </w:tc>
      </w:tr>
      <w:tr w14:paraId="1471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2BC931A6">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w:t>
            </w:r>
          </w:p>
        </w:tc>
        <w:tc>
          <w:tcPr>
            <w:tcW w:w="7568" w:type="dxa"/>
            <w:vAlign w:val="center"/>
          </w:tcPr>
          <w:p w14:paraId="6703C84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因不可抗力致使合同有变更必要的，双方当事人应在不可抗力发生的3个工作日内以书面形式变更合同</w:t>
            </w:r>
          </w:p>
        </w:tc>
      </w:tr>
      <w:tr w14:paraId="62241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CD3CFF7">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w:t>
            </w:r>
          </w:p>
        </w:tc>
        <w:tc>
          <w:tcPr>
            <w:tcW w:w="7568" w:type="dxa"/>
            <w:vAlign w:val="center"/>
          </w:tcPr>
          <w:p w14:paraId="3066CC7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受不可抗力影响的一方在不可抗力发生后，应在不可抗力发生的1个工作日内以书面形式通知对方当事人，并在1个工作日内，将有关部门出具的证明文件送达对方当事人</w:t>
            </w:r>
          </w:p>
        </w:tc>
      </w:tr>
      <w:tr w14:paraId="13B3A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A529343">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w:t>
            </w:r>
          </w:p>
        </w:tc>
        <w:tc>
          <w:tcPr>
            <w:tcW w:w="7568" w:type="dxa"/>
            <w:vAlign w:val="center"/>
          </w:tcPr>
          <w:p w14:paraId="46A2486F">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2.15.1乙方按照月定期提交服务报告，甲方按照在收到报告后，结合当月考核情况定期验收予以支付服务费用；</w:t>
            </w:r>
          </w:p>
          <w:p w14:paraId="44CF67E9">
            <w:pPr>
              <w:spacing w:line="440" w:lineRule="exact"/>
              <w:rPr>
                <w:rFonts w:hint="eastAsia" w:ascii="宋体" w:hAnsi="宋体" w:eastAsia="宋体" w:cs="宋体"/>
                <w:highlight w:val="none"/>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2.15.3检验和验收标准、程序等具体内容以及前述验收书的效力：验收书的内容以检验和验收标准、程序结合项目具体内容出具，以验收书作为结算依据。</w:t>
            </w:r>
          </w:p>
        </w:tc>
      </w:tr>
      <w:tr w14:paraId="41C7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43CB826">
            <w:pPr>
              <w:spacing w:line="560" w:lineRule="exact"/>
              <w:jc w:val="center"/>
              <w:rPr>
                <w:rFonts w:hint="eastAsia" w:ascii="宋体" w:hAnsi="宋体" w:eastAsia="宋体" w:cs="宋体"/>
                <w:sz w:val="24"/>
                <w:highlight w:val="none"/>
              </w:rPr>
            </w:pPr>
            <w:r>
              <w:rPr>
                <w:rFonts w:hint="eastAsia" w:ascii="宋体" w:hAnsi="宋体" w:eastAsia="宋体" w:cs="宋体"/>
                <w:sz w:val="24"/>
                <w:highlight w:val="none"/>
              </w:rPr>
              <w:t>2.17</w:t>
            </w:r>
          </w:p>
        </w:tc>
        <w:tc>
          <w:tcPr>
            <w:tcW w:w="7568" w:type="dxa"/>
            <w:vAlign w:val="center"/>
          </w:tcPr>
          <w:p w14:paraId="593ACCC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本项目免收</w:t>
            </w: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r>
      <w:tr w14:paraId="62209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AC22857">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2.18</w:t>
            </w:r>
          </w:p>
        </w:tc>
        <w:tc>
          <w:tcPr>
            <w:tcW w:w="7568" w:type="dxa"/>
            <w:vAlign w:val="center"/>
          </w:tcPr>
          <w:p w14:paraId="394B4F8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highlight w:val="none"/>
              </w:rPr>
              <w:t>合同一式陆份，甲乙双方各执叁份。</w:t>
            </w:r>
          </w:p>
        </w:tc>
      </w:tr>
      <w:tr w14:paraId="44AF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C7B4B1B">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03076B58">
            <w:pPr>
              <w:spacing w:line="440" w:lineRule="exac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（签订合同时可补充）</w:t>
            </w:r>
          </w:p>
        </w:tc>
      </w:tr>
      <w:tr w14:paraId="3A8A6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00F1B9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47F18AAA">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FAF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BE15EE9">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67027919">
            <w:pPr>
              <w:spacing w:line="440" w:lineRule="exact"/>
              <w:rPr>
                <w:rFonts w:hint="eastAsia" w:ascii="宋体" w:hAnsi="宋体" w:eastAsia="宋体" w:cs="宋体"/>
                <w:color w:val="000000" w:themeColor="text1"/>
                <w:sz w:val="24"/>
                <w:szCs w:val="24"/>
                <w:highlight w:val="none"/>
                <w:u w:val="single"/>
                <w14:textFill>
                  <w14:solidFill>
                    <w14:schemeClr w14:val="tx1"/>
                  </w14:solidFill>
                </w14:textFill>
              </w:rPr>
            </w:pPr>
          </w:p>
        </w:tc>
      </w:tr>
      <w:tr w14:paraId="2A22C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4794ED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4035FC3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B318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DDE4C9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0982E89B">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041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7FFA96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5B83B18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820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C6A215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52B7406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43A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44E35684">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6AA38FA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E4C9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92785C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0155991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D6A2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9B614F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1E2A5F8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955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6D3FF3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43A9C0B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bookmarkEnd w:id="67"/>
    </w:tbl>
    <w:p w14:paraId="40ACD135">
      <w:pPr>
        <w:numPr>
          <w:ilvl w:val="0"/>
          <w:numId w:val="4"/>
        </w:numPr>
        <w:spacing w:line="360" w:lineRule="auto"/>
        <w:jc w:val="center"/>
        <w:outlineLvl w:val="0"/>
        <w:rPr>
          <w:rFonts w:hint="eastAsia" w:ascii="宋体" w:hAnsi="宋体" w:eastAsia="宋体" w:cs="宋体"/>
          <w:b/>
          <w:sz w:val="28"/>
          <w:highlight w:val="none"/>
        </w:rPr>
      </w:pPr>
      <w:r>
        <w:rPr>
          <w:rFonts w:hint="eastAsia" w:ascii="宋体" w:hAnsi="宋体" w:eastAsia="宋体" w:cs="宋体"/>
          <w:b/>
          <w:sz w:val="28"/>
          <w:highlight w:val="none"/>
        </w:rPr>
        <w:t xml:space="preserve"> </w:t>
      </w:r>
      <w:bookmarkStart w:id="216" w:name="_Toc21522"/>
      <w:r>
        <w:rPr>
          <w:rFonts w:hint="eastAsia" w:ascii="宋体" w:hAnsi="宋体" w:eastAsia="宋体" w:cs="宋体"/>
          <w:b/>
          <w:sz w:val="28"/>
          <w:highlight w:val="none"/>
        </w:rPr>
        <w:t>投标文件格式</w:t>
      </w:r>
      <w:bookmarkEnd w:id="216"/>
    </w:p>
    <w:p w14:paraId="273ABCCB">
      <w:pPr>
        <w:rPr>
          <w:rFonts w:hint="eastAsia" w:ascii="宋体" w:hAnsi="宋体" w:eastAsia="宋体" w:cs="宋体"/>
          <w:b/>
          <w:color w:val="auto"/>
          <w:sz w:val="28"/>
          <w:szCs w:val="28"/>
          <w:highlight w:val="none"/>
          <w:bdr w:val="single" w:color="000000" w:sz="4" w:space="0"/>
        </w:rPr>
      </w:pPr>
      <w:bookmarkStart w:id="217" w:name="_Toc28960"/>
      <w:bookmarkStart w:id="218" w:name="_Toc17986"/>
      <w:bookmarkStart w:id="219" w:name="_Toc6435"/>
      <w:bookmarkStart w:id="220" w:name="_Toc16620"/>
      <w:r>
        <w:rPr>
          <w:rFonts w:hint="eastAsia" w:ascii="宋体" w:hAnsi="宋体" w:eastAsia="宋体" w:cs="宋体"/>
          <w:b/>
          <w:color w:val="auto"/>
          <w:sz w:val="28"/>
          <w:szCs w:val="28"/>
          <w:highlight w:val="none"/>
        </w:rPr>
        <w:t>一、资信证明格式文件</w:t>
      </w:r>
    </w:p>
    <w:p w14:paraId="05984444">
      <w:pPr>
        <w:jc w:val="center"/>
        <w:rPr>
          <w:rFonts w:hint="eastAsia" w:ascii="宋体" w:hAnsi="宋体" w:eastAsia="宋体" w:cs="宋体"/>
          <w:color w:val="auto"/>
          <w:sz w:val="20"/>
          <w:highlight w:val="none"/>
        </w:rPr>
      </w:pPr>
    </w:p>
    <w:p w14:paraId="08B882E9">
      <w:pPr>
        <w:rPr>
          <w:rFonts w:hint="eastAsia" w:ascii="宋体" w:hAnsi="宋体" w:eastAsia="宋体" w:cs="宋体"/>
          <w:color w:val="auto"/>
          <w:sz w:val="20"/>
          <w:highlight w:val="none"/>
        </w:rPr>
      </w:pPr>
    </w:p>
    <w:p w14:paraId="745C51FE">
      <w:pPr>
        <w:jc w:val="center"/>
        <w:rPr>
          <w:rFonts w:hint="eastAsia" w:ascii="宋体" w:hAnsi="宋体" w:eastAsia="宋体" w:cs="宋体"/>
          <w:b/>
          <w:color w:val="auto"/>
          <w:sz w:val="44"/>
          <w:szCs w:val="44"/>
          <w:highlight w:val="none"/>
        </w:rPr>
      </w:pPr>
      <w:bookmarkStart w:id="221" w:name="_Toc350698753"/>
      <w:bookmarkStart w:id="222" w:name="_Toc449028949"/>
      <w:r>
        <w:rPr>
          <w:rFonts w:hint="eastAsia" w:ascii="宋体" w:hAnsi="宋体" w:eastAsia="宋体" w:cs="宋体"/>
          <w:b/>
          <w:color w:val="auto"/>
          <w:sz w:val="44"/>
          <w:szCs w:val="44"/>
          <w:highlight w:val="none"/>
        </w:rPr>
        <w:t>资信证明文件</w:t>
      </w:r>
      <w:bookmarkEnd w:id="221"/>
      <w:bookmarkEnd w:id="222"/>
    </w:p>
    <w:p w14:paraId="4854A11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（投标文件一）</w:t>
      </w:r>
    </w:p>
    <w:p w14:paraId="29E97DD5">
      <w:pPr>
        <w:jc w:val="center"/>
        <w:rPr>
          <w:rFonts w:hint="eastAsia" w:ascii="宋体" w:hAnsi="宋体" w:eastAsia="宋体" w:cs="宋体"/>
          <w:color w:val="auto"/>
          <w:sz w:val="44"/>
          <w:szCs w:val="44"/>
          <w:highlight w:val="none"/>
        </w:rPr>
      </w:pPr>
    </w:p>
    <w:p w14:paraId="65E0CB4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45DB44FA">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00875C77">
      <w:pPr>
        <w:rPr>
          <w:rFonts w:hint="eastAsia" w:ascii="宋体" w:hAnsi="宋体" w:eastAsia="宋体" w:cs="宋体"/>
          <w:color w:val="auto"/>
          <w:sz w:val="28"/>
          <w:szCs w:val="28"/>
          <w:highlight w:val="none"/>
        </w:rPr>
      </w:pPr>
    </w:p>
    <w:p w14:paraId="44F75A14">
      <w:pPr>
        <w:rPr>
          <w:rFonts w:hint="eastAsia" w:ascii="宋体" w:hAnsi="宋体" w:eastAsia="宋体" w:cs="宋体"/>
          <w:color w:val="auto"/>
          <w:sz w:val="28"/>
          <w:szCs w:val="28"/>
          <w:highlight w:val="none"/>
        </w:rPr>
      </w:pPr>
    </w:p>
    <w:p w14:paraId="2ED6D8B0">
      <w:pPr>
        <w:rPr>
          <w:rFonts w:hint="eastAsia" w:ascii="宋体" w:hAnsi="宋体" w:eastAsia="宋体" w:cs="宋体"/>
          <w:color w:val="auto"/>
          <w:sz w:val="28"/>
          <w:szCs w:val="28"/>
          <w:highlight w:val="none"/>
        </w:rPr>
      </w:pPr>
    </w:p>
    <w:p w14:paraId="607705BC">
      <w:pPr>
        <w:rPr>
          <w:rFonts w:hint="eastAsia" w:ascii="宋体" w:hAnsi="宋体" w:eastAsia="宋体" w:cs="宋体"/>
          <w:color w:val="auto"/>
          <w:sz w:val="28"/>
          <w:szCs w:val="28"/>
          <w:highlight w:val="none"/>
        </w:rPr>
      </w:pPr>
    </w:p>
    <w:p w14:paraId="7FEAC5B9">
      <w:pPr>
        <w:rPr>
          <w:rFonts w:hint="eastAsia" w:ascii="宋体" w:hAnsi="宋体" w:eastAsia="宋体" w:cs="宋体"/>
          <w:color w:val="auto"/>
          <w:sz w:val="28"/>
          <w:szCs w:val="28"/>
          <w:highlight w:val="none"/>
        </w:rPr>
      </w:pPr>
    </w:p>
    <w:p w14:paraId="1A6AF196">
      <w:pPr>
        <w:rPr>
          <w:rFonts w:hint="eastAsia" w:ascii="宋体" w:hAnsi="宋体" w:eastAsia="宋体" w:cs="宋体"/>
          <w:color w:val="auto"/>
          <w:sz w:val="28"/>
          <w:szCs w:val="28"/>
          <w:highlight w:val="none"/>
        </w:rPr>
      </w:pPr>
    </w:p>
    <w:p w14:paraId="739974B5">
      <w:pPr>
        <w:rPr>
          <w:rFonts w:hint="eastAsia" w:ascii="宋体" w:hAnsi="宋体" w:eastAsia="宋体" w:cs="宋体"/>
          <w:color w:val="auto"/>
          <w:sz w:val="28"/>
          <w:szCs w:val="28"/>
          <w:highlight w:val="none"/>
        </w:rPr>
      </w:pPr>
    </w:p>
    <w:p w14:paraId="700CD266">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57E8A9AA">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0480757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363C2E5">
      <w:pPr>
        <w:spacing w:line="720" w:lineRule="auto"/>
        <w:jc w:val="center"/>
        <w:rPr>
          <w:rFonts w:hint="eastAsia" w:ascii="宋体" w:hAnsi="宋体" w:eastAsia="宋体" w:cs="宋体"/>
          <w:b/>
          <w:color w:val="auto"/>
          <w:sz w:val="36"/>
          <w:szCs w:val="36"/>
          <w:highlight w:val="none"/>
        </w:rPr>
      </w:pPr>
    </w:p>
    <w:p w14:paraId="2C6E8C13">
      <w:pPr>
        <w:spacing w:line="400" w:lineRule="exact"/>
        <w:ind w:firstLine="4130" w:firstLineChars="935"/>
        <w:rPr>
          <w:rFonts w:hint="eastAsia" w:ascii="宋体" w:hAnsi="宋体" w:eastAsia="宋体" w:cs="宋体"/>
          <w:b/>
          <w:color w:val="auto"/>
          <w:sz w:val="44"/>
          <w:szCs w:val="44"/>
          <w:highlight w:val="none"/>
        </w:rPr>
      </w:pPr>
    </w:p>
    <w:p w14:paraId="48DF5BBC">
      <w:pPr>
        <w:spacing w:line="400" w:lineRule="exact"/>
        <w:ind w:firstLine="4130" w:firstLineChars="935"/>
        <w:rPr>
          <w:rFonts w:hint="eastAsia" w:ascii="宋体" w:hAnsi="宋体" w:eastAsia="宋体" w:cs="宋体"/>
          <w:b/>
          <w:color w:val="auto"/>
          <w:sz w:val="44"/>
          <w:szCs w:val="44"/>
          <w:highlight w:val="none"/>
        </w:rPr>
      </w:pPr>
    </w:p>
    <w:p w14:paraId="66E60EFF">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15F722C4">
      <w:pPr>
        <w:spacing w:line="440" w:lineRule="exact"/>
        <w:rPr>
          <w:rFonts w:hint="eastAsia" w:ascii="宋体" w:hAnsi="宋体" w:eastAsia="宋体" w:cs="宋体"/>
          <w:color w:val="auto"/>
          <w:sz w:val="24"/>
          <w:szCs w:val="24"/>
          <w:highlight w:val="none"/>
        </w:rPr>
      </w:pPr>
    </w:p>
    <w:p w14:paraId="479F76B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226A812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376F0F2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（3）诚信投标承诺书（格式见附件）；</w:t>
      </w:r>
    </w:p>
    <w:p w14:paraId="1538B42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）招标文件中要求的资格审查和资信评分的支持资料；</w:t>
      </w:r>
    </w:p>
    <w:p w14:paraId="2C39384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）投标人认为需要提供的其他资信证明材料；</w:t>
      </w:r>
    </w:p>
    <w:p w14:paraId="52FE1567">
      <w:pPr>
        <w:pageBreakBefore/>
        <w:spacing w:line="440" w:lineRule="exact"/>
        <w:jc w:val="center"/>
        <w:outlineLvl w:val="1"/>
        <w:rPr>
          <w:rFonts w:hint="eastAsia" w:ascii="宋体" w:hAnsi="宋体" w:eastAsia="宋体" w:cs="宋体"/>
          <w:b/>
          <w:color w:val="auto"/>
          <w:sz w:val="24"/>
          <w:highlight w:val="none"/>
        </w:rPr>
      </w:pPr>
      <w:bookmarkStart w:id="223" w:name="_Toc18881"/>
      <w:r>
        <w:rPr>
          <w:rFonts w:hint="eastAsia" w:ascii="宋体" w:hAnsi="宋体" w:eastAsia="宋体" w:cs="宋体"/>
          <w:b/>
          <w:color w:val="auto"/>
          <w:sz w:val="24"/>
          <w:highlight w:val="none"/>
        </w:rPr>
        <w:t>（1）投标人资格声明书</w:t>
      </w:r>
      <w:bookmarkEnd w:id="223"/>
      <w:r>
        <w:rPr>
          <w:rFonts w:hint="eastAsia" w:ascii="宋体" w:hAnsi="宋体" w:eastAsia="宋体" w:cs="宋体"/>
          <w:b/>
          <w:color w:val="auto"/>
          <w:sz w:val="24"/>
          <w:highlight w:val="none"/>
        </w:rPr>
        <w:t xml:space="preserve"> </w:t>
      </w:r>
    </w:p>
    <w:p w14:paraId="59EC2739">
      <w:pPr>
        <w:pStyle w:val="18"/>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00D9517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7AE44DAE">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7670A04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6ADE2440">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279476CF">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181928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34DBDED0">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7A7960CC">
      <w:pPr>
        <w:widowControl/>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B37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6DDFDFA">
            <w:pPr>
              <w:widowControl/>
              <w:spacing w:before="156" w:beforeLines="50" w:after="10" w:line="44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2841" w:type="dxa"/>
          </w:tcPr>
          <w:p w14:paraId="3D6B6DA3">
            <w:pPr>
              <w:pStyle w:val="13"/>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单位名称</w:t>
            </w:r>
          </w:p>
        </w:tc>
        <w:tc>
          <w:tcPr>
            <w:tcW w:w="2841" w:type="dxa"/>
          </w:tcPr>
          <w:p w14:paraId="36454E0C">
            <w:pPr>
              <w:pStyle w:val="13"/>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相互关系</w:t>
            </w:r>
          </w:p>
        </w:tc>
      </w:tr>
      <w:tr w14:paraId="5208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ABB993">
            <w:pPr>
              <w:pStyle w:val="13"/>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1</w:t>
            </w:r>
          </w:p>
        </w:tc>
        <w:tc>
          <w:tcPr>
            <w:tcW w:w="2841" w:type="dxa"/>
          </w:tcPr>
          <w:p w14:paraId="5928FA34">
            <w:pPr>
              <w:pStyle w:val="13"/>
              <w:spacing w:before="156" w:beforeLines="50" w:after="10" w:line="440" w:lineRule="exact"/>
              <w:jc w:val="center"/>
              <w:rPr>
                <w:rFonts w:hint="eastAsia" w:ascii="宋体" w:hAnsi="宋体" w:eastAsia="宋体" w:cs="宋体"/>
                <w:color w:val="auto"/>
                <w:kern w:val="0"/>
                <w:sz w:val="24"/>
                <w:highlight w:val="none"/>
                <w:lang w:val="en-US" w:bidi="ar"/>
              </w:rPr>
            </w:pPr>
          </w:p>
        </w:tc>
        <w:tc>
          <w:tcPr>
            <w:tcW w:w="2841" w:type="dxa"/>
          </w:tcPr>
          <w:p w14:paraId="73D55BDD">
            <w:pPr>
              <w:pStyle w:val="13"/>
              <w:spacing w:before="156" w:beforeLines="50" w:after="10" w:line="440" w:lineRule="exact"/>
              <w:jc w:val="center"/>
              <w:rPr>
                <w:rFonts w:hint="eastAsia" w:ascii="宋体" w:hAnsi="宋体" w:eastAsia="宋体" w:cs="宋体"/>
                <w:color w:val="auto"/>
                <w:kern w:val="0"/>
                <w:sz w:val="24"/>
                <w:highlight w:val="none"/>
                <w:lang w:val="en-US" w:bidi="ar"/>
              </w:rPr>
            </w:pPr>
          </w:p>
        </w:tc>
      </w:tr>
      <w:tr w14:paraId="1EF1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D6E9B42">
            <w:pPr>
              <w:pStyle w:val="13"/>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2</w:t>
            </w:r>
          </w:p>
        </w:tc>
        <w:tc>
          <w:tcPr>
            <w:tcW w:w="2841" w:type="dxa"/>
          </w:tcPr>
          <w:p w14:paraId="3C8A81B7">
            <w:pPr>
              <w:pStyle w:val="13"/>
              <w:spacing w:before="156" w:beforeLines="50" w:after="10" w:line="440" w:lineRule="exact"/>
              <w:jc w:val="center"/>
              <w:rPr>
                <w:rFonts w:hint="eastAsia" w:ascii="宋体" w:hAnsi="宋体" w:eastAsia="宋体" w:cs="宋体"/>
                <w:color w:val="auto"/>
                <w:kern w:val="0"/>
                <w:sz w:val="24"/>
                <w:highlight w:val="none"/>
                <w:lang w:val="en-US" w:bidi="ar"/>
              </w:rPr>
            </w:pPr>
          </w:p>
        </w:tc>
        <w:tc>
          <w:tcPr>
            <w:tcW w:w="2841" w:type="dxa"/>
          </w:tcPr>
          <w:p w14:paraId="6069D616">
            <w:pPr>
              <w:pStyle w:val="13"/>
              <w:spacing w:before="156" w:beforeLines="50" w:after="10" w:line="440" w:lineRule="exact"/>
              <w:jc w:val="center"/>
              <w:rPr>
                <w:rFonts w:hint="eastAsia" w:ascii="宋体" w:hAnsi="宋体" w:eastAsia="宋体" w:cs="宋体"/>
                <w:color w:val="auto"/>
                <w:kern w:val="0"/>
                <w:sz w:val="24"/>
                <w:highlight w:val="none"/>
                <w:lang w:val="en-US" w:bidi="ar"/>
              </w:rPr>
            </w:pPr>
          </w:p>
        </w:tc>
      </w:tr>
    </w:tbl>
    <w:p w14:paraId="535725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D6FA038">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3A30041">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354DD238">
      <w:pPr>
        <w:spacing w:line="440" w:lineRule="exact"/>
        <w:rPr>
          <w:rFonts w:hint="eastAsia" w:ascii="宋体" w:hAnsi="宋体" w:eastAsia="宋体" w:cs="宋体"/>
          <w:b/>
          <w:color w:val="auto"/>
          <w:sz w:val="24"/>
          <w:highlight w:val="none"/>
        </w:rPr>
      </w:pPr>
      <w:bookmarkStart w:id="224" w:name="_Toc11607"/>
      <w:r>
        <w:rPr>
          <w:rFonts w:hint="eastAsia" w:ascii="宋体" w:hAnsi="宋体" w:eastAsia="宋体" w:cs="宋体"/>
          <w:b/>
          <w:color w:val="auto"/>
          <w:sz w:val="24"/>
          <w:highlight w:val="none"/>
        </w:rPr>
        <w:br w:type="page"/>
      </w:r>
    </w:p>
    <w:p w14:paraId="761FCBD9">
      <w:pPr>
        <w:spacing w:line="440" w:lineRule="exact"/>
        <w:jc w:val="center"/>
        <w:outlineLvl w:val="1"/>
        <w:rPr>
          <w:rFonts w:hint="eastAsia" w:ascii="宋体" w:hAnsi="宋体" w:eastAsia="宋体" w:cs="宋体"/>
          <w:b/>
          <w:color w:val="auto"/>
          <w:sz w:val="24"/>
          <w:highlight w:val="none"/>
        </w:rPr>
      </w:pPr>
      <w:bookmarkStart w:id="225" w:name="_Toc24583"/>
      <w:r>
        <w:rPr>
          <w:rFonts w:hint="eastAsia" w:ascii="宋体" w:hAnsi="宋体" w:eastAsia="宋体" w:cs="宋体"/>
          <w:b/>
          <w:color w:val="auto"/>
          <w:sz w:val="24"/>
          <w:highlight w:val="none"/>
        </w:rPr>
        <w:t>（2）授权书</w:t>
      </w:r>
      <w:bookmarkEnd w:id="224"/>
      <w:bookmarkEnd w:id="225"/>
    </w:p>
    <w:p w14:paraId="542AAC27">
      <w:pPr>
        <w:pStyle w:val="17"/>
        <w:snapToGrid w:val="0"/>
        <w:spacing w:line="440" w:lineRule="exact"/>
        <w:ind w:firstLine="480" w:firstLineChars="200"/>
        <w:jc w:val="left"/>
        <w:rPr>
          <w:rFonts w:hint="eastAsia" w:ascii="宋体" w:hAnsi="宋体" w:eastAsia="宋体" w:cs="宋体"/>
          <w:color w:val="auto"/>
          <w:sz w:val="24"/>
          <w:szCs w:val="28"/>
          <w:highlight w:val="none"/>
        </w:rPr>
      </w:pPr>
    </w:p>
    <w:p w14:paraId="7AF8330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0691DF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41635E5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7CFC8CB9">
      <w:pPr>
        <w:spacing w:line="440" w:lineRule="exact"/>
        <w:ind w:firstLine="435"/>
        <w:rPr>
          <w:rFonts w:hint="eastAsia" w:ascii="宋体" w:hAnsi="宋体" w:eastAsia="宋体" w:cs="宋体"/>
          <w:color w:val="auto"/>
          <w:sz w:val="24"/>
          <w:highlight w:val="none"/>
        </w:rPr>
      </w:pPr>
    </w:p>
    <w:p w14:paraId="0F377FA6">
      <w:pPr>
        <w:spacing w:line="440" w:lineRule="exact"/>
        <w:ind w:firstLine="435"/>
        <w:rPr>
          <w:rFonts w:hint="eastAsia" w:ascii="宋体" w:hAnsi="宋体" w:eastAsia="宋体" w:cs="宋体"/>
          <w:color w:val="auto"/>
          <w:sz w:val="24"/>
          <w:highlight w:val="none"/>
        </w:rPr>
      </w:pPr>
    </w:p>
    <w:p w14:paraId="3FDC36FF">
      <w:pPr>
        <w:spacing w:line="440" w:lineRule="exact"/>
        <w:ind w:firstLine="435"/>
        <w:rPr>
          <w:rFonts w:hint="eastAsia" w:ascii="宋体" w:hAnsi="宋体" w:eastAsia="宋体" w:cs="宋体"/>
          <w:color w:val="auto"/>
          <w:sz w:val="24"/>
          <w:highlight w:val="none"/>
        </w:rPr>
      </w:pPr>
    </w:p>
    <w:p w14:paraId="5AB0AB14">
      <w:pPr>
        <w:spacing w:line="440" w:lineRule="exact"/>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0E4E97B5">
      <w:pPr>
        <w:spacing w:line="440" w:lineRule="exact"/>
        <w:ind w:firstLine="435"/>
        <w:rPr>
          <w:rFonts w:hint="eastAsia" w:ascii="宋体" w:hAnsi="宋体" w:eastAsia="宋体" w:cs="宋体"/>
          <w:color w:val="auto"/>
          <w:sz w:val="24"/>
          <w:szCs w:val="28"/>
          <w:highlight w:val="none"/>
          <w:lang w:val="zh-CN"/>
        </w:rPr>
      </w:pPr>
    </w:p>
    <w:p w14:paraId="0AED34F2">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5A6B35C3">
      <w:pPr>
        <w:spacing w:line="440" w:lineRule="exact"/>
        <w:rPr>
          <w:rFonts w:hint="eastAsia" w:ascii="宋体" w:hAnsi="宋体" w:eastAsia="宋体" w:cs="宋体"/>
          <w:color w:val="auto"/>
          <w:sz w:val="24"/>
          <w:szCs w:val="28"/>
          <w:highlight w:val="none"/>
        </w:rPr>
      </w:pPr>
    </w:p>
    <w:p w14:paraId="4E0084EF">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58AC8723">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8863E7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CAB41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7FB2B88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009AC44F">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（3）诚信投标承诺书</w:t>
      </w:r>
    </w:p>
    <w:p w14:paraId="04E7003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本人以企业法定代表人的身份郑重承诺：</w:t>
      </w:r>
    </w:p>
    <w:p w14:paraId="073FA71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一、将遵循公开、公正和诚实信用的原则自愿参加</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项目的投标，所提供的一切材料都是真实、有效、合法的；</w:t>
      </w:r>
    </w:p>
    <w:p w14:paraId="53F2416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F868C4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三、不出借、转让资质证书，不让他人挂靠投标，不以他人名义投标或者以其他方式弄虚作假，骗取中标；</w:t>
      </w:r>
    </w:p>
    <w:p w14:paraId="4AB9B7F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四、不与其他投标人相互串通投标报价，不排挤其他投标人的公平竞争、损害招标人的合法权益；</w:t>
      </w:r>
    </w:p>
    <w:p w14:paraId="2A9F3376">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五、不与招标人、招标代理机构或其他投标人串通投标，损害国家利益、社会公共利益或者他人的合法权益；</w:t>
      </w:r>
    </w:p>
    <w:p w14:paraId="29052E2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8"/>
          <w:highlight w:val="none"/>
        </w:rPr>
        <w:t>六、</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法定代表人或拟派项目经理（负责人）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没有下列情形：①被列入“信用中国”网站“失信被执行人”的；②被列入“信用中国”网站“重大税收违法失信主体”的；③被列入“信用中国”网站“严重失信主体名单”的；④在“信用中国”网站上披露的仍在公示期的严重失信行为(具体行为类别及判定依据见附件2)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04739A0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七、严格遵守开标现场纪律，服从监管人员管理；</w:t>
      </w:r>
    </w:p>
    <w:p w14:paraId="2670D27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八、保证中标后不转包，若有分包征得招标人同意；</w:t>
      </w:r>
    </w:p>
    <w:p w14:paraId="3F8335DD">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九、保证中标之后，按照投标文件要求提供相关后续服务；</w:t>
      </w:r>
    </w:p>
    <w:p w14:paraId="08FEF6B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十、保证企业及所属相关人员在本次投标中无行贿等犯罪行为；</w:t>
      </w:r>
    </w:p>
    <w:p w14:paraId="12FF89C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C8F8A77">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以上内容我已仔细阅读，本公司若有违反承诺内容的行为，自愿接受取消投标或者中标资格、记入不良行为记录等有关处理，愿意承担法律责任，给招标人造成损失的，依法承担赔偿责任。</w:t>
      </w:r>
    </w:p>
    <w:p w14:paraId="46880F0C">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A64A6F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开户银行：                      基本账户：</w:t>
      </w:r>
    </w:p>
    <w:p w14:paraId="346E36C4">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投标单位（签章）：              法定代表人（签章）：</w:t>
      </w:r>
    </w:p>
    <w:p w14:paraId="04CF36E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258D98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           年            月             日</w:t>
      </w:r>
    </w:p>
    <w:p w14:paraId="7F183874">
      <w:pP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br w:type="page"/>
      </w:r>
    </w:p>
    <w:p w14:paraId="6A995923">
      <w:pPr>
        <w:pageBreakBefore/>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二、技术标格式文件</w:t>
      </w:r>
    </w:p>
    <w:p w14:paraId="780BD67C">
      <w:pPr>
        <w:jc w:val="center"/>
        <w:rPr>
          <w:rFonts w:hint="eastAsia" w:ascii="宋体" w:hAnsi="宋体" w:eastAsia="宋体" w:cs="宋体"/>
          <w:color w:val="auto"/>
          <w:sz w:val="20"/>
          <w:highlight w:val="none"/>
        </w:rPr>
      </w:pPr>
    </w:p>
    <w:p w14:paraId="650FB12B">
      <w:pPr>
        <w:rPr>
          <w:rFonts w:hint="eastAsia" w:ascii="宋体" w:hAnsi="宋体" w:eastAsia="宋体" w:cs="宋体"/>
          <w:color w:val="auto"/>
          <w:sz w:val="20"/>
          <w:highlight w:val="none"/>
        </w:rPr>
      </w:pPr>
    </w:p>
    <w:p w14:paraId="63D625F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技术标</w:t>
      </w:r>
    </w:p>
    <w:p w14:paraId="2AFC333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（投标文件二）</w:t>
      </w:r>
    </w:p>
    <w:p w14:paraId="78CD83DF">
      <w:pPr>
        <w:jc w:val="center"/>
        <w:rPr>
          <w:rFonts w:hint="eastAsia" w:ascii="宋体" w:hAnsi="宋体" w:eastAsia="宋体" w:cs="宋体"/>
          <w:color w:val="auto"/>
          <w:sz w:val="44"/>
          <w:szCs w:val="44"/>
          <w:highlight w:val="none"/>
        </w:rPr>
      </w:pPr>
    </w:p>
    <w:p w14:paraId="21DBC5C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5D951B2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23A3E617">
      <w:pPr>
        <w:rPr>
          <w:rFonts w:hint="eastAsia" w:ascii="宋体" w:hAnsi="宋体" w:eastAsia="宋体" w:cs="宋体"/>
          <w:color w:val="auto"/>
          <w:sz w:val="28"/>
          <w:szCs w:val="28"/>
          <w:highlight w:val="none"/>
        </w:rPr>
      </w:pPr>
    </w:p>
    <w:p w14:paraId="7FFEED71">
      <w:pPr>
        <w:rPr>
          <w:rFonts w:hint="eastAsia" w:ascii="宋体" w:hAnsi="宋体" w:eastAsia="宋体" w:cs="宋体"/>
          <w:color w:val="auto"/>
          <w:sz w:val="28"/>
          <w:szCs w:val="28"/>
          <w:highlight w:val="none"/>
        </w:rPr>
      </w:pPr>
    </w:p>
    <w:p w14:paraId="2409F218">
      <w:pPr>
        <w:rPr>
          <w:rFonts w:hint="eastAsia" w:ascii="宋体" w:hAnsi="宋体" w:eastAsia="宋体" w:cs="宋体"/>
          <w:color w:val="auto"/>
          <w:sz w:val="28"/>
          <w:szCs w:val="28"/>
          <w:highlight w:val="none"/>
        </w:rPr>
      </w:pPr>
    </w:p>
    <w:p w14:paraId="0954865E">
      <w:pPr>
        <w:rPr>
          <w:rFonts w:hint="eastAsia" w:ascii="宋体" w:hAnsi="宋体" w:eastAsia="宋体" w:cs="宋体"/>
          <w:color w:val="auto"/>
          <w:sz w:val="28"/>
          <w:szCs w:val="28"/>
          <w:highlight w:val="none"/>
        </w:rPr>
      </w:pPr>
    </w:p>
    <w:p w14:paraId="53F59208">
      <w:pPr>
        <w:rPr>
          <w:rFonts w:hint="eastAsia" w:ascii="宋体" w:hAnsi="宋体" w:eastAsia="宋体" w:cs="宋体"/>
          <w:color w:val="auto"/>
          <w:sz w:val="28"/>
          <w:szCs w:val="28"/>
          <w:highlight w:val="none"/>
        </w:rPr>
      </w:pPr>
    </w:p>
    <w:p w14:paraId="7AC0EBAA">
      <w:pPr>
        <w:rPr>
          <w:rFonts w:hint="eastAsia" w:ascii="宋体" w:hAnsi="宋体" w:eastAsia="宋体" w:cs="宋体"/>
          <w:color w:val="auto"/>
          <w:sz w:val="28"/>
          <w:szCs w:val="28"/>
          <w:highlight w:val="none"/>
        </w:rPr>
      </w:pPr>
    </w:p>
    <w:p w14:paraId="43B1647F">
      <w:pPr>
        <w:rPr>
          <w:rFonts w:hint="eastAsia" w:ascii="宋体" w:hAnsi="宋体" w:eastAsia="宋体" w:cs="宋体"/>
          <w:color w:val="auto"/>
          <w:sz w:val="28"/>
          <w:szCs w:val="28"/>
          <w:highlight w:val="none"/>
        </w:rPr>
      </w:pPr>
    </w:p>
    <w:p w14:paraId="18E34B9F">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5003837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30ECF80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F389799">
      <w:pPr>
        <w:spacing w:line="720" w:lineRule="auto"/>
        <w:jc w:val="center"/>
        <w:rPr>
          <w:rFonts w:hint="eastAsia" w:ascii="宋体" w:hAnsi="宋体" w:eastAsia="宋体" w:cs="宋体"/>
          <w:b/>
          <w:color w:val="auto"/>
          <w:sz w:val="36"/>
          <w:szCs w:val="36"/>
          <w:highlight w:val="none"/>
        </w:rPr>
      </w:pPr>
    </w:p>
    <w:p w14:paraId="7E742020">
      <w:pPr>
        <w:spacing w:line="400" w:lineRule="exact"/>
        <w:ind w:firstLine="4130" w:firstLineChars="935"/>
        <w:rPr>
          <w:rFonts w:hint="eastAsia" w:ascii="宋体" w:hAnsi="宋体" w:eastAsia="宋体" w:cs="宋体"/>
          <w:b/>
          <w:color w:val="auto"/>
          <w:sz w:val="44"/>
          <w:szCs w:val="44"/>
          <w:highlight w:val="none"/>
        </w:rPr>
      </w:pPr>
    </w:p>
    <w:p w14:paraId="788D0108">
      <w:pPr>
        <w:spacing w:line="400" w:lineRule="exact"/>
        <w:ind w:firstLine="4130" w:firstLineChars="935"/>
        <w:rPr>
          <w:rFonts w:hint="eastAsia" w:ascii="宋体" w:hAnsi="宋体" w:eastAsia="宋体" w:cs="宋体"/>
          <w:b/>
          <w:color w:val="auto"/>
          <w:sz w:val="44"/>
          <w:szCs w:val="44"/>
          <w:highlight w:val="none"/>
        </w:rPr>
      </w:pPr>
    </w:p>
    <w:p w14:paraId="2B789397">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72E8D58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（1）投标响应表（格式见附件）；</w:t>
      </w:r>
    </w:p>
    <w:p w14:paraId="39650A7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（2）诚信履约承诺函（格式见附件）</w:t>
      </w:r>
    </w:p>
    <w:p w14:paraId="31F3F3E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（4）招标文件中要求的技术标评审及技术标评分的支持资料；</w:t>
      </w:r>
    </w:p>
    <w:p w14:paraId="35ED90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（5）投标人认为需要提供的其他技术证明材料；</w:t>
      </w:r>
    </w:p>
    <w:p w14:paraId="20F4A622">
      <w:pPr>
        <w:pageBreakBefore/>
        <w:spacing w:line="440" w:lineRule="exact"/>
        <w:jc w:val="center"/>
        <w:outlineLvl w:val="1"/>
        <w:rPr>
          <w:rFonts w:hint="eastAsia" w:ascii="宋体" w:hAnsi="宋体" w:eastAsia="宋体" w:cs="宋体"/>
          <w:b/>
          <w:color w:val="auto"/>
          <w:sz w:val="24"/>
          <w:highlight w:val="none"/>
        </w:rPr>
      </w:pPr>
      <w:bookmarkStart w:id="226" w:name="_Toc15209"/>
      <w:r>
        <w:rPr>
          <w:rFonts w:hint="eastAsia" w:ascii="宋体" w:hAnsi="宋体" w:eastAsia="宋体" w:cs="宋体"/>
          <w:b/>
          <w:color w:val="auto"/>
          <w:sz w:val="24"/>
          <w:highlight w:val="none"/>
        </w:rPr>
        <w:t>（1）投标响应表</w:t>
      </w:r>
      <w:bookmarkEnd w:id="226"/>
    </w:p>
    <w:p w14:paraId="1991A370">
      <w:pPr>
        <w:spacing w:line="440" w:lineRule="exact"/>
        <w:ind w:firstLine="435"/>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39A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3780A00">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0707ADD9">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3AFE31ED">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78087AA3">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31D52D72">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122C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30A481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5F80031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03B26306">
            <w:pPr>
              <w:spacing w:line="440" w:lineRule="exact"/>
              <w:jc w:val="center"/>
              <w:rPr>
                <w:rFonts w:hint="eastAsia" w:ascii="宋体" w:hAnsi="宋体" w:eastAsia="宋体" w:cs="宋体"/>
                <w:color w:val="auto"/>
                <w:sz w:val="24"/>
                <w:highlight w:val="none"/>
              </w:rPr>
            </w:pPr>
          </w:p>
        </w:tc>
        <w:tc>
          <w:tcPr>
            <w:tcW w:w="1510" w:type="pct"/>
            <w:vAlign w:val="center"/>
          </w:tcPr>
          <w:p w14:paraId="056894EB">
            <w:pPr>
              <w:spacing w:line="440" w:lineRule="exact"/>
              <w:jc w:val="center"/>
              <w:rPr>
                <w:rFonts w:hint="eastAsia" w:ascii="宋体" w:hAnsi="宋体" w:eastAsia="宋体" w:cs="宋体"/>
                <w:color w:val="auto"/>
                <w:sz w:val="24"/>
                <w:highlight w:val="none"/>
              </w:rPr>
            </w:pPr>
          </w:p>
        </w:tc>
        <w:tc>
          <w:tcPr>
            <w:tcW w:w="475" w:type="pct"/>
            <w:vAlign w:val="center"/>
          </w:tcPr>
          <w:p w14:paraId="60C5821A">
            <w:pPr>
              <w:spacing w:line="440" w:lineRule="exact"/>
              <w:jc w:val="center"/>
              <w:rPr>
                <w:rFonts w:hint="eastAsia" w:ascii="宋体" w:hAnsi="宋体" w:eastAsia="宋体" w:cs="宋体"/>
                <w:color w:val="auto"/>
                <w:sz w:val="24"/>
                <w:highlight w:val="none"/>
              </w:rPr>
            </w:pPr>
          </w:p>
        </w:tc>
      </w:tr>
      <w:tr w14:paraId="713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A28768F">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35A142F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51EBF488">
            <w:pPr>
              <w:spacing w:line="440" w:lineRule="exact"/>
              <w:jc w:val="center"/>
              <w:rPr>
                <w:rFonts w:hint="eastAsia" w:ascii="宋体" w:hAnsi="宋体" w:eastAsia="宋体" w:cs="宋体"/>
                <w:color w:val="auto"/>
                <w:sz w:val="24"/>
                <w:highlight w:val="none"/>
              </w:rPr>
            </w:pPr>
          </w:p>
        </w:tc>
        <w:tc>
          <w:tcPr>
            <w:tcW w:w="1510" w:type="pct"/>
            <w:vAlign w:val="center"/>
          </w:tcPr>
          <w:p w14:paraId="1B05E402">
            <w:pPr>
              <w:spacing w:line="440" w:lineRule="exact"/>
              <w:jc w:val="center"/>
              <w:rPr>
                <w:rFonts w:hint="eastAsia" w:ascii="宋体" w:hAnsi="宋体" w:eastAsia="宋体" w:cs="宋体"/>
                <w:color w:val="auto"/>
                <w:sz w:val="24"/>
                <w:highlight w:val="none"/>
              </w:rPr>
            </w:pPr>
          </w:p>
        </w:tc>
        <w:tc>
          <w:tcPr>
            <w:tcW w:w="475" w:type="pct"/>
            <w:vAlign w:val="center"/>
          </w:tcPr>
          <w:p w14:paraId="2F79D323">
            <w:pPr>
              <w:spacing w:line="440" w:lineRule="exact"/>
              <w:jc w:val="center"/>
              <w:rPr>
                <w:rFonts w:hint="eastAsia" w:ascii="宋体" w:hAnsi="宋体" w:eastAsia="宋体" w:cs="宋体"/>
                <w:color w:val="auto"/>
                <w:sz w:val="24"/>
                <w:highlight w:val="none"/>
              </w:rPr>
            </w:pPr>
          </w:p>
        </w:tc>
      </w:tr>
      <w:tr w14:paraId="53BE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BE8313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610BBC8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543ADB6A">
            <w:pPr>
              <w:spacing w:line="440" w:lineRule="exact"/>
              <w:jc w:val="center"/>
              <w:rPr>
                <w:rFonts w:hint="eastAsia" w:ascii="宋体" w:hAnsi="宋体" w:eastAsia="宋体" w:cs="宋体"/>
                <w:color w:val="auto"/>
                <w:sz w:val="24"/>
                <w:highlight w:val="none"/>
              </w:rPr>
            </w:pPr>
          </w:p>
        </w:tc>
        <w:tc>
          <w:tcPr>
            <w:tcW w:w="1510" w:type="pct"/>
            <w:vAlign w:val="center"/>
          </w:tcPr>
          <w:p w14:paraId="5F4055A9">
            <w:pPr>
              <w:pStyle w:val="55"/>
              <w:spacing w:line="440" w:lineRule="exact"/>
              <w:jc w:val="center"/>
              <w:rPr>
                <w:rFonts w:hint="eastAsia" w:ascii="宋体" w:hAnsi="宋体" w:eastAsia="宋体" w:cs="宋体"/>
                <w:color w:val="auto"/>
                <w:highlight w:val="none"/>
              </w:rPr>
            </w:pPr>
          </w:p>
        </w:tc>
        <w:tc>
          <w:tcPr>
            <w:tcW w:w="475" w:type="pct"/>
            <w:vAlign w:val="center"/>
          </w:tcPr>
          <w:p w14:paraId="6FF9544A">
            <w:pPr>
              <w:spacing w:line="440" w:lineRule="exact"/>
              <w:jc w:val="center"/>
              <w:rPr>
                <w:rFonts w:hint="eastAsia" w:ascii="宋体" w:hAnsi="宋体" w:eastAsia="宋体" w:cs="宋体"/>
                <w:color w:val="auto"/>
                <w:sz w:val="24"/>
                <w:highlight w:val="none"/>
              </w:rPr>
            </w:pPr>
          </w:p>
        </w:tc>
      </w:tr>
      <w:tr w14:paraId="0AD7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85AFA7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14A643BE">
            <w:pPr>
              <w:spacing w:line="440" w:lineRule="exact"/>
              <w:jc w:val="center"/>
              <w:rPr>
                <w:rFonts w:hint="eastAsia" w:ascii="宋体" w:hAnsi="宋体" w:eastAsia="宋体" w:cs="宋体"/>
                <w:color w:val="auto"/>
                <w:sz w:val="24"/>
                <w:highlight w:val="none"/>
              </w:rPr>
            </w:pPr>
          </w:p>
        </w:tc>
        <w:tc>
          <w:tcPr>
            <w:tcW w:w="1465" w:type="pct"/>
            <w:vAlign w:val="center"/>
          </w:tcPr>
          <w:p w14:paraId="69A14412">
            <w:pPr>
              <w:spacing w:line="440" w:lineRule="exact"/>
              <w:jc w:val="center"/>
              <w:rPr>
                <w:rFonts w:hint="eastAsia" w:ascii="宋体" w:hAnsi="宋体" w:eastAsia="宋体" w:cs="宋体"/>
                <w:color w:val="auto"/>
                <w:sz w:val="24"/>
                <w:highlight w:val="none"/>
              </w:rPr>
            </w:pPr>
          </w:p>
        </w:tc>
        <w:tc>
          <w:tcPr>
            <w:tcW w:w="1510" w:type="pct"/>
            <w:vAlign w:val="center"/>
          </w:tcPr>
          <w:p w14:paraId="5D2847D7">
            <w:pPr>
              <w:spacing w:line="440" w:lineRule="exact"/>
              <w:jc w:val="center"/>
              <w:rPr>
                <w:rFonts w:hint="eastAsia" w:ascii="宋体" w:hAnsi="宋体" w:eastAsia="宋体" w:cs="宋体"/>
                <w:color w:val="auto"/>
                <w:sz w:val="24"/>
                <w:highlight w:val="none"/>
              </w:rPr>
            </w:pPr>
          </w:p>
        </w:tc>
        <w:tc>
          <w:tcPr>
            <w:tcW w:w="475" w:type="pct"/>
            <w:vAlign w:val="center"/>
          </w:tcPr>
          <w:p w14:paraId="355A0845">
            <w:pPr>
              <w:spacing w:line="440" w:lineRule="exact"/>
              <w:jc w:val="center"/>
              <w:rPr>
                <w:rFonts w:hint="eastAsia" w:ascii="宋体" w:hAnsi="宋体" w:eastAsia="宋体" w:cs="宋体"/>
                <w:color w:val="auto"/>
                <w:sz w:val="24"/>
                <w:highlight w:val="none"/>
              </w:rPr>
            </w:pPr>
          </w:p>
        </w:tc>
      </w:tr>
    </w:tbl>
    <w:p w14:paraId="2FC75DB4">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DD30927">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86E1733">
      <w:pPr>
        <w:pStyle w:val="18"/>
        <w:spacing w:line="440" w:lineRule="exact"/>
        <w:jc w:val="center"/>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br w:type="page"/>
      </w:r>
      <w:bookmarkStart w:id="227" w:name="_Toc26536"/>
      <w:bookmarkStart w:id="228" w:name="_Toc23860"/>
      <w:bookmarkStart w:id="229" w:name="_Hlk11701496"/>
      <w:r>
        <w:rPr>
          <w:rFonts w:hint="eastAsia" w:ascii="宋体" w:hAnsi="宋体" w:eastAsia="宋体" w:cs="宋体"/>
          <w:color w:val="auto"/>
          <w:sz w:val="24"/>
          <w:highlight w:val="none"/>
        </w:rPr>
        <w:t>（2）诚信履约承诺函</w:t>
      </w:r>
      <w:bookmarkEnd w:id="227"/>
      <w:bookmarkEnd w:id="228"/>
    </w:p>
    <w:p w14:paraId="18F39ED5">
      <w:pPr>
        <w:spacing w:line="440" w:lineRule="exact"/>
        <w:rPr>
          <w:rFonts w:hint="eastAsia" w:ascii="宋体" w:hAnsi="宋体" w:eastAsia="宋体" w:cs="宋体"/>
          <w:b/>
          <w:bCs/>
          <w:color w:val="auto"/>
          <w:sz w:val="24"/>
          <w:highlight w:val="none"/>
        </w:rPr>
      </w:pPr>
    </w:p>
    <w:p w14:paraId="491B4B4B">
      <w:pPr>
        <w:spacing w:line="44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致：采购人</w:t>
      </w:r>
    </w:p>
    <w:p w14:paraId="65BE4E1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0CE9A3B0">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4B8F5626">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3D067A18">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6E2FFF21">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2980C5F9">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394C034A">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08925E">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本承诺声明：</w:t>
      </w:r>
      <w:r>
        <w:rPr>
          <w:rFonts w:hint="eastAsia" w:ascii="宋体" w:hAnsi="宋体" w:eastAsia="宋体" w:cs="宋体"/>
          <w:bCs/>
          <w:color w:val="auto"/>
          <w:sz w:val="24"/>
          <w:highlight w:val="none"/>
          <w:u w:val="single"/>
        </w:rPr>
        <w:t xml:space="preserve">                   （投标人名称）</w:t>
      </w:r>
      <w:r>
        <w:rPr>
          <w:rFonts w:hint="eastAsia" w:ascii="宋体" w:hAnsi="宋体" w:eastAsia="宋体" w:cs="宋体"/>
          <w:bCs/>
          <w:color w:val="auto"/>
          <w:sz w:val="24"/>
          <w:highlight w:val="none"/>
        </w:rPr>
        <w:t>对本招标文件的相关要求完全响应，配备人员数量和要求不低于采购需求的要求。若有幸中标将严格按照以上承诺进行供货和服务。</w:t>
      </w:r>
    </w:p>
    <w:p w14:paraId="7AFCD8D6">
      <w:pPr>
        <w:spacing w:line="440" w:lineRule="exact"/>
        <w:rPr>
          <w:rFonts w:hint="eastAsia" w:ascii="宋体" w:hAnsi="宋体" w:eastAsia="宋体" w:cs="宋体"/>
          <w:bCs/>
          <w:color w:val="auto"/>
          <w:sz w:val="24"/>
          <w:highlight w:val="none"/>
        </w:rPr>
      </w:pPr>
    </w:p>
    <w:p w14:paraId="31BA4D54">
      <w:pPr>
        <w:spacing w:line="440" w:lineRule="exact"/>
        <w:rPr>
          <w:rFonts w:hint="eastAsia" w:ascii="宋体" w:hAnsi="宋体" w:eastAsia="宋体" w:cs="宋体"/>
          <w:bCs/>
          <w:color w:val="auto"/>
          <w:sz w:val="24"/>
          <w:highlight w:val="none"/>
        </w:rPr>
      </w:pPr>
    </w:p>
    <w:p w14:paraId="47257FA2">
      <w:pPr>
        <w:spacing w:line="440" w:lineRule="exact"/>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1AE0FE32">
      <w:pPr>
        <w:spacing w:line="440" w:lineRule="exact"/>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015DB3D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29"/>
    <w:p w14:paraId="3324268B">
      <w:pPr>
        <w:spacing w:line="440" w:lineRule="exact"/>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三、商务标格式文件</w:t>
      </w:r>
    </w:p>
    <w:p w14:paraId="2C186FC3">
      <w:pPr>
        <w:jc w:val="center"/>
        <w:rPr>
          <w:rFonts w:hint="eastAsia" w:ascii="宋体" w:hAnsi="宋体" w:eastAsia="宋体" w:cs="宋体"/>
          <w:color w:val="auto"/>
          <w:sz w:val="20"/>
          <w:highlight w:val="none"/>
        </w:rPr>
      </w:pPr>
    </w:p>
    <w:p w14:paraId="34F795FE">
      <w:pPr>
        <w:rPr>
          <w:rFonts w:hint="eastAsia" w:ascii="宋体" w:hAnsi="宋体" w:eastAsia="宋体" w:cs="宋体"/>
          <w:color w:val="auto"/>
          <w:sz w:val="20"/>
          <w:highlight w:val="none"/>
        </w:rPr>
      </w:pPr>
    </w:p>
    <w:p w14:paraId="4EEFBEE1">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商务标</w:t>
      </w:r>
    </w:p>
    <w:p w14:paraId="32C2584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（投标文件三）</w:t>
      </w:r>
    </w:p>
    <w:p w14:paraId="3AB93ECA">
      <w:pPr>
        <w:jc w:val="center"/>
        <w:rPr>
          <w:rFonts w:hint="eastAsia" w:ascii="宋体" w:hAnsi="宋体" w:eastAsia="宋体" w:cs="宋体"/>
          <w:color w:val="auto"/>
          <w:sz w:val="44"/>
          <w:szCs w:val="44"/>
          <w:highlight w:val="none"/>
        </w:rPr>
      </w:pPr>
    </w:p>
    <w:p w14:paraId="0DED4521">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6FCA7ADF">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3D8A347F">
      <w:pPr>
        <w:rPr>
          <w:rFonts w:hint="eastAsia" w:ascii="宋体" w:hAnsi="宋体" w:eastAsia="宋体" w:cs="宋体"/>
          <w:color w:val="auto"/>
          <w:sz w:val="28"/>
          <w:szCs w:val="28"/>
          <w:highlight w:val="none"/>
        </w:rPr>
      </w:pPr>
    </w:p>
    <w:p w14:paraId="0C3CDA01">
      <w:pPr>
        <w:rPr>
          <w:rFonts w:hint="eastAsia" w:ascii="宋体" w:hAnsi="宋体" w:eastAsia="宋体" w:cs="宋体"/>
          <w:color w:val="auto"/>
          <w:sz w:val="28"/>
          <w:szCs w:val="28"/>
          <w:highlight w:val="none"/>
        </w:rPr>
      </w:pPr>
    </w:p>
    <w:p w14:paraId="1D45D43B">
      <w:pPr>
        <w:rPr>
          <w:rFonts w:hint="eastAsia" w:ascii="宋体" w:hAnsi="宋体" w:eastAsia="宋体" w:cs="宋体"/>
          <w:color w:val="auto"/>
          <w:sz w:val="28"/>
          <w:szCs w:val="28"/>
          <w:highlight w:val="none"/>
        </w:rPr>
      </w:pPr>
    </w:p>
    <w:p w14:paraId="4F76FFC4">
      <w:pPr>
        <w:rPr>
          <w:rFonts w:hint="eastAsia" w:ascii="宋体" w:hAnsi="宋体" w:eastAsia="宋体" w:cs="宋体"/>
          <w:color w:val="auto"/>
          <w:sz w:val="28"/>
          <w:szCs w:val="28"/>
          <w:highlight w:val="none"/>
        </w:rPr>
      </w:pPr>
    </w:p>
    <w:p w14:paraId="0E1AF5F5">
      <w:pPr>
        <w:rPr>
          <w:rFonts w:hint="eastAsia" w:ascii="宋体" w:hAnsi="宋体" w:eastAsia="宋体" w:cs="宋体"/>
          <w:color w:val="auto"/>
          <w:sz w:val="28"/>
          <w:szCs w:val="28"/>
          <w:highlight w:val="none"/>
        </w:rPr>
      </w:pPr>
    </w:p>
    <w:p w14:paraId="1B71633D">
      <w:pPr>
        <w:rPr>
          <w:rFonts w:hint="eastAsia" w:ascii="宋体" w:hAnsi="宋体" w:eastAsia="宋体" w:cs="宋体"/>
          <w:color w:val="auto"/>
          <w:sz w:val="28"/>
          <w:szCs w:val="28"/>
          <w:highlight w:val="none"/>
        </w:rPr>
      </w:pPr>
    </w:p>
    <w:p w14:paraId="2A442D69">
      <w:pPr>
        <w:rPr>
          <w:rFonts w:hint="eastAsia" w:ascii="宋体" w:hAnsi="宋体" w:eastAsia="宋体" w:cs="宋体"/>
          <w:color w:val="auto"/>
          <w:sz w:val="28"/>
          <w:szCs w:val="28"/>
          <w:highlight w:val="none"/>
        </w:rPr>
      </w:pPr>
    </w:p>
    <w:p w14:paraId="0D6A1754">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3A72CC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1C68C1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681EB1C">
      <w:pPr>
        <w:spacing w:line="720" w:lineRule="auto"/>
        <w:jc w:val="center"/>
        <w:rPr>
          <w:rFonts w:hint="eastAsia" w:ascii="宋体" w:hAnsi="宋体" w:eastAsia="宋体" w:cs="宋体"/>
          <w:b/>
          <w:color w:val="auto"/>
          <w:sz w:val="36"/>
          <w:szCs w:val="36"/>
          <w:highlight w:val="none"/>
        </w:rPr>
      </w:pPr>
    </w:p>
    <w:p w14:paraId="2A2102B1">
      <w:pPr>
        <w:spacing w:line="400" w:lineRule="exact"/>
        <w:ind w:firstLine="4130" w:firstLineChars="935"/>
        <w:rPr>
          <w:rFonts w:hint="eastAsia" w:ascii="宋体" w:hAnsi="宋体" w:eastAsia="宋体" w:cs="宋体"/>
          <w:b/>
          <w:color w:val="auto"/>
          <w:sz w:val="44"/>
          <w:szCs w:val="44"/>
          <w:highlight w:val="none"/>
        </w:rPr>
      </w:pPr>
    </w:p>
    <w:p w14:paraId="0138141E">
      <w:pPr>
        <w:spacing w:line="400" w:lineRule="exact"/>
        <w:ind w:firstLine="4130" w:firstLineChars="935"/>
        <w:rPr>
          <w:rFonts w:hint="eastAsia" w:ascii="宋体" w:hAnsi="宋体" w:eastAsia="宋体" w:cs="宋体"/>
          <w:b/>
          <w:color w:val="auto"/>
          <w:sz w:val="44"/>
          <w:szCs w:val="44"/>
          <w:highlight w:val="none"/>
        </w:rPr>
      </w:pPr>
    </w:p>
    <w:p w14:paraId="4811A639">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26836F1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（1）开标一览表（格式见附件）；</w:t>
      </w:r>
    </w:p>
    <w:p w14:paraId="05699B1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（2）投标函（格式见附件）；</w:t>
      </w:r>
    </w:p>
    <w:p w14:paraId="22280DB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（3）中小企业声明函，残疾人福利性企业（格式见附件）；（如是）</w:t>
      </w:r>
    </w:p>
    <w:p w14:paraId="0E57AAE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）省级以上监狱管理局、戒毒管理局（含新疆生产建设兵团）出具的属于监狱企业的证明（如是）；</w:t>
      </w:r>
    </w:p>
    <w:p w14:paraId="7782995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）招标文件商务评审中要求提供的其他相关资料；</w:t>
      </w:r>
    </w:p>
    <w:p w14:paraId="0EED1DA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CCA11ED">
      <w:pPr>
        <w:spacing w:line="440" w:lineRule="exact"/>
        <w:rPr>
          <w:rFonts w:hint="eastAsia" w:ascii="宋体" w:hAnsi="宋体" w:eastAsia="宋体" w:cs="宋体"/>
          <w:color w:val="auto"/>
          <w:sz w:val="24"/>
          <w:szCs w:val="24"/>
          <w:highlight w:val="none"/>
        </w:rPr>
      </w:pPr>
    </w:p>
    <w:p w14:paraId="3BE5F4FC">
      <w:pPr>
        <w:pageBreakBefore/>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（1）开标一览表</w:t>
      </w:r>
      <w:bookmarkEnd w:id="217"/>
      <w:bookmarkEnd w:id="218"/>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196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2B632C52">
            <w:pPr>
              <w:widowControl/>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3E086E9">
            <w:pPr>
              <w:spacing w:line="440" w:lineRule="exact"/>
              <w:jc w:val="center"/>
              <w:rPr>
                <w:rFonts w:hint="eastAsia" w:ascii="宋体" w:hAnsi="宋体" w:eastAsia="宋体" w:cs="宋体"/>
                <w:bCs/>
                <w:color w:val="auto"/>
                <w:sz w:val="24"/>
                <w:highlight w:val="none"/>
                <w:u w:val="single"/>
              </w:rPr>
            </w:pPr>
          </w:p>
        </w:tc>
      </w:tr>
      <w:tr w14:paraId="0639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D31F48E">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69AC53DD">
            <w:pPr>
              <w:spacing w:line="440" w:lineRule="exact"/>
              <w:rPr>
                <w:rFonts w:hint="eastAsia" w:ascii="宋体" w:hAnsi="宋体" w:eastAsia="宋体" w:cs="宋体"/>
                <w:color w:val="auto"/>
                <w:sz w:val="24"/>
                <w:highlight w:val="none"/>
              </w:rPr>
            </w:pPr>
          </w:p>
        </w:tc>
      </w:tr>
      <w:tr w14:paraId="597B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5756EBC">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608972EF">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7F07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DCD07E5">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59245FC2">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03C3D69">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5E02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03F3588F">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27B661BD">
            <w:pPr>
              <w:spacing w:line="440" w:lineRule="exact"/>
              <w:jc w:val="left"/>
              <w:rPr>
                <w:rFonts w:hint="eastAsia" w:ascii="宋体" w:hAnsi="宋体" w:eastAsia="宋体" w:cs="宋体"/>
                <w:color w:val="auto"/>
                <w:sz w:val="24"/>
                <w:szCs w:val="28"/>
                <w:highlight w:val="none"/>
              </w:rPr>
            </w:pPr>
          </w:p>
        </w:tc>
      </w:tr>
    </w:tbl>
    <w:p w14:paraId="3BD6BB2C">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66059183">
      <w:pPr>
        <w:tabs>
          <w:tab w:val="left" w:pos="630"/>
        </w:tabs>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866A9E7">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6115FF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6BEF00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12C353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3.表中大写金额与小写金额不一致的，以大写金额为准。</w:t>
      </w:r>
      <w:r>
        <w:rPr>
          <w:rFonts w:hint="eastAsia" w:ascii="宋体" w:hAnsi="宋体" w:eastAsia="宋体" w:cs="宋体"/>
          <w:color w:val="auto"/>
          <w:sz w:val="24"/>
          <w:highlight w:val="none"/>
        </w:rPr>
        <w:br w:type="page"/>
      </w:r>
    </w:p>
    <w:p w14:paraId="11A93E41">
      <w:pPr>
        <w:spacing w:line="440" w:lineRule="exact"/>
        <w:jc w:val="center"/>
        <w:outlineLvl w:val="1"/>
        <w:rPr>
          <w:rFonts w:hint="eastAsia" w:ascii="宋体" w:hAnsi="宋体" w:eastAsia="宋体" w:cs="宋体"/>
          <w:b/>
          <w:color w:val="auto"/>
          <w:sz w:val="24"/>
          <w:highlight w:val="none"/>
        </w:rPr>
      </w:pPr>
      <w:bookmarkStart w:id="230" w:name="_Toc6120"/>
      <w:bookmarkStart w:id="231" w:name="_Toc6441"/>
      <w:r>
        <w:rPr>
          <w:rFonts w:hint="eastAsia" w:ascii="宋体" w:hAnsi="宋体" w:eastAsia="宋体" w:cs="宋体"/>
          <w:b/>
          <w:color w:val="auto"/>
          <w:sz w:val="24"/>
          <w:highlight w:val="none"/>
        </w:rPr>
        <w:t>（2）投标函</w:t>
      </w:r>
      <w:bookmarkEnd w:id="230"/>
      <w:bookmarkEnd w:id="231"/>
    </w:p>
    <w:p w14:paraId="50DFF027">
      <w:pPr>
        <w:pStyle w:val="18"/>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5575CC5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57EF0AE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2100369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2.我方已详细审核全部招标文件，包括招标文件附件及更正公告（如有），我方正式认可并遵守本次招标文件，并对招标文件各项条款、规定及要求均无异议。</w:t>
      </w:r>
    </w:p>
    <w:p w14:paraId="718B194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3.我方同意从招标文件规定的开标日期起遵循本招标文件，并在招标文件规定的投标有效期之前均具有约束力。</w:t>
      </w:r>
    </w:p>
    <w:p w14:paraId="518F44D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0D4C1B5">
      <w:pPr>
        <w:spacing w:line="440" w:lineRule="exact"/>
        <w:ind w:firstLine="4800" w:firstLineChars="2000"/>
        <w:rPr>
          <w:rFonts w:hint="eastAsia" w:ascii="宋体" w:hAnsi="宋体" w:eastAsia="宋体" w:cs="宋体"/>
          <w:color w:val="auto"/>
          <w:sz w:val="24"/>
          <w:highlight w:val="none"/>
        </w:rPr>
      </w:pPr>
    </w:p>
    <w:p w14:paraId="4A8A8C9E">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2BDAFA07">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D152E9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u w:val="single"/>
        </w:rPr>
        <w:br w:type="page"/>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）中小企业声明函</w:t>
      </w:r>
    </w:p>
    <w:p w14:paraId="3D7EFA58">
      <w:pPr>
        <w:rPr>
          <w:rFonts w:hint="eastAsia" w:ascii="宋体" w:hAnsi="宋体" w:eastAsia="宋体" w:cs="宋体"/>
          <w:color w:val="auto"/>
          <w:sz w:val="24"/>
          <w:szCs w:val="24"/>
          <w:highlight w:val="none"/>
        </w:rPr>
      </w:pPr>
    </w:p>
    <w:p w14:paraId="032C669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89E08F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6FA9A1E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511AF02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6848C8A">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3E68E9D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416C32D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rPr>
      </w:pPr>
    </w:p>
    <w:p w14:paraId="1506F264">
      <w:pPr>
        <w:keepNext w:val="0"/>
        <w:keepLines w:val="0"/>
        <w:pageBreakBefore w:val="0"/>
        <w:widowControl w:val="0"/>
        <w:kinsoku/>
        <w:wordWrap/>
        <w:overflowPunct/>
        <w:topLinePunct w:val="0"/>
        <w:autoSpaceDE/>
        <w:autoSpaceDN/>
        <w:bidi w:val="0"/>
        <w:adjustRightInd/>
        <w:snapToGrid/>
        <w:spacing w:line="420" w:lineRule="exact"/>
        <w:ind w:firstLine="4228" w:firstLineChars="176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7A699EB3">
      <w:pPr>
        <w:keepNext w:val="0"/>
        <w:keepLines w:val="0"/>
        <w:pageBreakBefore w:val="0"/>
        <w:widowControl w:val="0"/>
        <w:tabs>
          <w:tab w:val="left" w:pos="4620"/>
        </w:tabs>
        <w:kinsoku/>
        <w:wordWrap/>
        <w:overflowPunct/>
        <w:topLinePunct w:val="0"/>
        <w:autoSpaceDE/>
        <w:autoSpaceDN/>
        <w:bidi w:val="0"/>
        <w:adjustRightInd/>
        <w:snapToGrid/>
        <w:spacing w:line="420" w:lineRule="exact"/>
        <w:ind w:firstLine="4252" w:firstLineChars="177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32A7A03">
      <w:pPr>
        <w:tabs>
          <w:tab w:val="left" w:pos="4620"/>
        </w:tabs>
        <w:spacing w:line="360" w:lineRule="auto"/>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5DE999AE">
      <w:pPr>
        <w:tabs>
          <w:tab w:val="left" w:pos="462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25647496">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5AFF5785">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08FCCEBE">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165F22B2">
      <w:pPr>
        <w:tabs>
          <w:tab w:val="left" w:pos="4620"/>
        </w:tabs>
        <w:spacing w:line="360" w:lineRule="auto"/>
        <w:jc w:val="left"/>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037E903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）残疾人福利性单位声明函</w:t>
      </w:r>
    </w:p>
    <w:p w14:paraId="178F87D5">
      <w:pPr>
        <w:pStyle w:val="13"/>
        <w:jc w:val="center"/>
        <w:rPr>
          <w:rFonts w:hint="eastAsia" w:ascii="宋体" w:hAnsi="宋体" w:eastAsia="宋体" w:cs="宋体"/>
          <w:i/>
          <w:color w:val="auto"/>
          <w:sz w:val="24"/>
          <w:highlight w:val="none"/>
          <w:lang w:val="en-US"/>
        </w:rPr>
      </w:pPr>
      <w:r>
        <w:rPr>
          <w:rFonts w:hint="eastAsia" w:ascii="宋体" w:hAnsi="宋体" w:eastAsia="宋体" w:cs="宋体"/>
          <w:i/>
          <w:color w:val="auto"/>
          <w:sz w:val="24"/>
          <w:highlight w:val="none"/>
          <w:lang w:val="en-US"/>
        </w:rPr>
        <w:t>（非残疾人福利性单位投标，请删去“残疾人福利性单位声明函”）</w:t>
      </w:r>
    </w:p>
    <w:p w14:paraId="2D267FB5">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6C92AECD">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9AA433A">
      <w:pPr>
        <w:spacing w:line="360" w:lineRule="auto"/>
        <w:ind w:firstLine="4228" w:firstLineChars="1762"/>
        <w:rPr>
          <w:rFonts w:hint="eastAsia" w:ascii="宋体" w:hAnsi="宋体" w:eastAsia="宋体" w:cs="宋体"/>
          <w:color w:val="auto"/>
          <w:sz w:val="24"/>
          <w:szCs w:val="24"/>
          <w:highlight w:val="none"/>
        </w:rPr>
      </w:pPr>
    </w:p>
    <w:p w14:paraId="18C07AAB">
      <w:pPr>
        <w:spacing w:line="360" w:lineRule="auto"/>
        <w:ind w:firstLine="4228" w:firstLineChars="1762"/>
        <w:rPr>
          <w:rFonts w:hint="eastAsia" w:ascii="宋体" w:hAnsi="宋体" w:eastAsia="宋体" w:cs="宋体"/>
          <w:color w:val="auto"/>
          <w:sz w:val="24"/>
          <w:szCs w:val="24"/>
          <w:highlight w:val="none"/>
        </w:rPr>
      </w:pPr>
    </w:p>
    <w:p w14:paraId="73CADE81">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442975FC">
      <w:pPr>
        <w:tabs>
          <w:tab w:val="left" w:pos="4620"/>
        </w:tabs>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21C95224">
      <w:pPr>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br w:type="page"/>
      </w:r>
    </w:p>
    <w:p w14:paraId="56B8691C">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sz w:val="28"/>
          <w:highlight w:val="none"/>
        </w:rPr>
        <w:t>第七章</w:t>
      </w:r>
      <w:r>
        <w:rPr>
          <w:rFonts w:hint="eastAsia" w:ascii="宋体" w:hAnsi="宋体" w:eastAsia="宋体" w:cs="宋体"/>
          <w:b/>
          <w:bCs/>
          <w:sz w:val="28"/>
          <w:highlight w:val="none"/>
        </w:rPr>
        <w:t xml:space="preserve">  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bookmarkEnd w:id="219"/>
      <w:bookmarkEnd w:id="220"/>
    </w:p>
    <w:p w14:paraId="610F28DA">
      <w:pPr>
        <w:spacing w:line="360" w:lineRule="auto"/>
        <w:jc w:val="center"/>
        <w:outlineLvl w:val="1"/>
        <w:rPr>
          <w:rFonts w:hint="eastAsia" w:ascii="宋体" w:hAnsi="宋体" w:eastAsia="宋体" w:cs="宋体"/>
          <w:b/>
          <w:bCs/>
          <w:sz w:val="32"/>
          <w:szCs w:val="44"/>
          <w:highlight w:val="none"/>
        </w:rPr>
      </w:pPr>
      <w:bookmarkStart w:id="232" w:name="_Toc27159"/>
      <w:bookmarkStart w:id="233" w:name="_Toc6955"/>
      <w:bookmarkStart w:id="234" w:name="_Toc24558"/>
      <w:r>
        <w:rPr>
          <w:rFonts w:hint="eastAsia" w:ascii="宋体" w:hAnsi="宋体" w:eastAsia="宋体" w:cs="宋体"/>
          <w:b/>
          <w:bCs/>
          <w:sz w:val="32"/>
          <w:szCs w:val="44"/>
          <w:highlight w:val="none"/>
        </w:rPr>
        <w:t>询问函范本</w:t>
      </w:r>
      <w:bookmarkEnd w:id="232"/>
      <w:bookmarkEnd w:id="233"/>
      <w:bookmarkEnd w:id="234"/>
    </w:p>
    <w:p w14:paraId="7D9A4FC1">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（如为对采购文件或采购程序的询问或疑问，请按询问函范本或电子交易系统中网上询问格式附件进行提交）</w:t>
      </w:r>
    </w:p>
    <w:p w14:paraId="046FDFE3">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579E2C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327DF85F">
      <w:pPr>
        <w:adjustRightInd w:val="0"/>
        <w:snapToGrid w:val="0"/>
        <w:spacing w:line="360" w:lineRule="auto"/>
        <w:ind w:firstLine="480" w:firstLineChars="200"/>
        <w:rPr>
          <w:rFonts w:hint="eastAsia" w:ascii="宋体" w:hAnsi="宋体" w:eastAsia="宋体" w:cs="宋体"/>
          <w:sz w:val="24"/>
          <w:szCs w:val="24"/>
          <w:highlight w:val="none"/>
        </w:rPr>
      </w:pPr>
      <w:bookmarkStart w:id="235" w:name="_Toc13899"/>
      <w:r>
        <w:rPr>
          <w:rFonts w:hint="eastAsia" w:ascii="宋体" w:hAnsi="宋体" w:eastAsia="宋体" w:cs="宋体"/>
          <w:sz w:val="24"/>
          <w:szCs w:val="24"/>
          <w:highlight w:val="none"/>
        </w:rPr>
        <w:t>一、(事项一)</w:t>
      </w:r>
      <w:bookmarkEnd w:id="235"/>
    </w:p>
    <w:p w14:paraId="1827A4B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691359F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7D7C6E3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029E8F4C">
      <w:pPr>
        <w:adjustRightInd w:val="0"/>
        <w:snapToGrid w:val="0"/>
        <w:spacing w:line="360" w:lineRule="auto"/>
        <w:ind w:firstLine="480" w:firstLineChars="200"/>
        <w:rPr>
          <w:rFonts w:hint="eastAsia" w:ascii="宋体" w:hAnsi="宋体" w:eastAsia="宋体" w:cs="宋体"/>
          <w:sz w:val="24"/>
          <w:szCs w:val="24"/>
          <w:highlight w:val="none"/>
        </w:rPr>
      </w:pPr>
      <w:bookmarkStart w:id="236" w:name="_Toc3352"/>
      <w:r>
        <w:rPr>
          <w:rFonts w:hint="eastAsia" w:ascii="宋体" w:hAnsi="宋体" w:eastAsia="宋体" w:cs="宋体"/>
          <w:sz w:val="24"/>
          <w:szCs w:val="24"/>
          <w:highlight w:val="none"/>
        </w:rPr>
        <w:t>二、(事项二)</w:t>
      </w:r>
      <w:bookmarkEnd w:id="236"/>
    </w:p>
    <w:p w14:paraId="4F2F272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6D86ED3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243888B">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57F79C2F">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58E6E516">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5E432C37">
      <w:pPr>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br w:type="page"/>
      </w:r>
    </w:p>
    <w:p w14:paraId="278FD34D">
      <w:pPr>
        <w:jc w:val="center"/>
        <w:outlineLvl w:val="1"/>
        <w:rPr>
          <w:rFonts w:hint="eastAsia" w:ascii="宋体" w:hAnsi="宋体" w:eastAsia="宋体" w:cs="宋体"/>
          <w:b/>
          <w:bCs/>
          <w:sz w:val="32"/>
          <w:szCs w:val="44"/>
          <w:highlight w:val="none"/>
        </w:rPr>
      </w:pPr>
      <w:bookmarkStart w:id="237" w:name="_Toc1575"/>
      <w:bookmarkStart w:id="238" w:name="_Toc14218"/>
      <w:bookmarkStart w:id="239" w:name="_Toc857"/>
      <w:r>
        <w:rPr>
          <w:rFonts w:hint="eastAsia" w:ascii="宋体" w:hAnsi="宋体" w:eastAsia="宋体" w:cs="宋体"/>
          <w:b/>
          <w:bCs/>
          <w:sz w:val="32"/>
          <w:szCs w:val="44"/>
          <w:highlight w:val="none"/>
        </w:rPr>
        <w:t>质疑函范本</w:t>
      </w:r>
      <w:bookmarkEnd w:id="237"/>
      <w:bookmarkEnd w:id="238"/>
      <w:bookmarkEnd w:id="239"/>
    </w:p>
    <w:p w14:paraId="07DEA8DE">
      <w:pPr>
        <w:adjustRightInd w:val="0"/>
        <w:snapToGrid w:val="0"/>
        <w:spacing w:before="312" w:beforeLines="100" w:line="360" w:lineRule="auto"/>
        <w:rPr>
          <w:rFonts w:hint="eastAsia" w:ascii="宋体" w:hAnsi="宋体" w:eastAsia="宋体" w:cs="宋体"/>
          <w:b/>
          <w:bCs/>
          <w:sz w:val="24"/>
          <w:szCs w:val="24"/>
          <w:highlight w:val="none"/>
        </w:rPr>
      </w:pPr>
      <w:bookmarkStart w:id="240" w:name="_Toc21381"/>
      <w:r>
        <w:rPr>
          <w:rFonts w:hint="eastAsia" w:ascii="宋体" w:hAnsi="宋体" w:eastAsia="宋体" w:cs="宋体"/>
          <w:b/>
          <w:bCs/>
          <w:sz w:val="24"/>
          <w:szCs w:val="24"/>
          <w:highlight w:val="none"/>
        </w:rPr>
        <w:t>一、质疑供应商基本信息</w:t>
      </w:r>
      <w:bookmarkEnd w:id="240"/>
    </w:p>
    <w:p w14:paraId="767532DF">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CE8697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05257A2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1DE2FF3E">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7C6B28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4842DC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6B1E1BAC">
      <w:pPr>
        <w:adjustRightInd w:val="0"/>
        <w:snapToGrid w:val="0"/>
        <w:spacing w:line="360" w:lineRule="auto"/>
        <w:rPr>
          <w:rFonts w:hint="eastAsia" w:ascii="宋体" w:hAnsi="宋体" w:eastAsia="宋体" w:cs="宋体"/>
          <w:b/>
          <w:bCs/>
          <w:sz w:val="24"/>
          <w:szCs w:val="24"/>
          <w:highlight w:val="none"/>
        </w:rPr>
      </w:pPr>
      <w:bookmarkStart w:id="241" w:name="_Toc28415"/>
      <w:r>
        <w:rPr>
          <w:rFonts w:hint="eastAsia" w:ascii="宋体" w:hAnsi="宋体" w:eastAsia="宋体" w:cs="宋体"/>
          <w:b/>
          <w:bCs/>
          <w:sz w:val="24"/>
          <w:szCs w:val="24"/>
          <w:highlight w:val="none"/>
        </w:rPr>
        <w:t>二、质疑项目基本情况</w:t>
      </w:r>
      <w:bookmarkEnd w:id="241"/>
    </w:p>
    <w:p w14:paraId="683A07D8">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0D7CB2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40EA07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0C4BC1B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27B85448">
      <w:pPr>
        <w:adjustRightInd w:val="0"/>
        <w:snapToGrid w:val="0"/>
        <w:spacing w:line="360" w:lineRule="auto"/>
        <w:rPr>
          <w:rFonts w:hint="eastAsia" w:ascii="宋体" w:hAnsi="宋体" w:eastAsia="宋体" w:cs="宋体"/>
          <w:b/>
          <w:bCs/>
          <w:sz w:val="24"/>
          <w:szCs w:val="24"/>
          <w:highlight w:val="none"/>
        </w:rPr>
      </w:pPr>
      <w:bookmarkStart w:id="242" w:name="_Toc19014"/>
      <w:r>
        <w:rPr>
          <w:rFonts w:hint="eastAsia" w:ascii="宋体" w:hAnsi="宋体" w:eastAsia="宋体" w:cs="宋体"/>
          <w:b/>
          <w:bCs/>
          <w:sz w:val="24"/>
          <w:szCs w:val="24"/>
          <w:highlight w:val="none"/>
        </w:rPr>
        <w:t>三、质疑事项具体内容</w:t>
      </w:r>
      <w:bookmarkEnd w:id="242"/>
    </w:p>
    <w:p w14:paraId="4D3EA1D4">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771499B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1379F7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6A4014EE">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7C8FFDC3">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C726CA3">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1D741B9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8D4DFF0">
      <w:pPr>
        <w:adjustRightInd w:val="0"/>
        <w:snapToGrid w:val="0"/>
        <w:spacing w:line="360" w:lineRule="auto"/>
        <w:rPr>
          <w:rFonts w:hint="eastAsia" w:ascii="宋体" w:hAnsi="宋体" w:eastAsia="宋体" w:cs="宋体"/>
          <w:b/>
          <w:bCs/>
          <w:sz w:val="24"/>
          <w:szCs w:val="24"/>
          <w:highlight w:val="none"/>
        </w:rPr>
      </w:pPr>
      <w:bookmarkStart w:id="243" w:name="_Toc17919"/>
      <w:r>
        <w:rPr>
          <w:rFonts w:hint="eastAsia" w:ascii="宋体" w:hAnsi="宋体" w:eastAsia="宋体" w:cs="宋体"/>
          <w:b/>
          <w:bCs/>
          <w:sz w:val="24"/>
          <w:szCs w:val="24"/>
          <w:highlight w:val="none"/>
        </w:rPr>
        <w:t>四、与质疑事项相关的质疑请求</w:t>
      </w:r>
      <w:bookmarkEnd w:id="243"/>
    </w:p>
    <w:p w14:paraId="653B8F6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282AE8B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5213D87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1CBDEFD4">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0F9A4EBF">
      <w:pPr>
        <w:outlineLvl w:val="0"/>
        <w:rPr>
          <w:rFonts w:hint="eastAsia" w:ascii="宋体" w:hAnsi="宋体" w:eastAsia="宋体" w:cs="宋体"/>
          <w:b/>
          <w:sz w:val="28"/>
          <w:szCs w:val="32"/>
          <w:highlight w:val="none"/>
        </w:rPr>
      </w:pPr>
      <w:bookmarkStart w:id="244" w:name="_Toc9754"/>
      <w:bookmarkStart w:id="245" w:name="_Toc22239"/>
      <w:bookmarkStart w:id="246" w:name="_Toc31614"/>
      <w:r>
        <w:rPr>
          <w:rFonts w:hint="eastAsia" w:ascii="宋体" w:hAnsi="宋体" w:eastAsia="宋体" w:cs="宋体"/>
          <w:b/>
          <w:sz w:val="28"/>
          <w:szCs w:val="32"/>
          <w:highlight w:val="none"/>
        </w:rPr>
        <w:t>质疑函制作说明：</w:t>
      </w:r>
      <w:bookmarkEnd w:id="244"/>
      <w:bookmarkEnd w:id="245"/>
      <w:bookmarkEnd w:id="246"/>
    </w:p>
    <w:p w14:paraId="0EA8A93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1EE236F5">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40F23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2227305F">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6EF7DBF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F7172B6">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C5F5A32">
      <w:pPr>
        <w:rPr>
          <w:rFonts w:hint="eastAsia" w:ascii="宋体" w:hAnsi="宋体" w:eastAsia="宋体" w:cs="宋体"/>
          <w:b/>
          <w:color w:val="auto"/>
          <w:sz w:val="32"/>
          <w:szCs w:val="32"/>
          <w:highlight w:val="none"/>
        </w:rPr>
      </w:pPr>
      <w:r>
        <w:rPr>
          <w:rFonts w:hint="eastAsia" w:ascii="宋体" w:hAnsi="宋体" w:eastAsia="宋体" w:cs="宋体"/>
          <w:sz w:val="24"/>
          <w:highlight w:val="none"/>
        </w:rPr>
        <w:br w:type="page"/>
      </w:r>
    </w:p>
    <w:p w14:paraId="15ED85FE">
      <w:pPr>
        <w:jc w:val="center"/>
        <w:rPr>
          <w:rFonts w:hint="eastAsia" w:ascii="宋体" w:hAnsi="宋体" w:eastAsia="宋体" w:cs="宋体"/>
          <w:b/>
          <w:sz w:val="28"/>
          <w:szCs w:val="28"/>
          <w:lang w:bidi="ar"/>
        </w:rPr>
      </w:pPr>
      <w:bookmarkStart w:id="247" w:name="_Toc95223548"/>
      <w:r>
        <w:rPr>
          <w:rFonts w:hint="eastAsia" w:ascii="宋体" w:hAnsi="宋体" w:eastAsia="宋体" w:cs="宋体"/>
          <w:color w:val="000000"/>
          <w:sz w:val="36"/>
          <w:szCs w:val="28"/>
        </w:rPr>
        <w:t xml:space="preserve">附件1 </w:t>
      </w:r>
      <w:bookmarkEnd w:id="247"/>
      <w:r>
        <w:rPr>
          <w:rFonts w:hint="eastAsia" w:ascii="宋体" w:hAnsi="宋体" w:eastAsia="宋体" w:cs="宋体"/>
          <w:b/>
          <w:sz w:val="28"/>
          <w:szCs w:val="28"/>
          <w:lang w:bidi="ar"/>
        </w:rPr>
        <w:t>关于联合惩戒失信行为加强信用查询管理的通知</w:t>
      </w:r>
    </w:p>
    <w:p w14:paraId="0F18A3B1">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一、失信行为联合惩戒的范围和查询渠道</w:t>
      </w:r>
    </w:p>
    <w:p w14:paraId="0E485E7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在我市公共资源交易活动中对存在下列失信行为的投标人、法定代表人及其项目经理（建造师）实施联合惩戒，禁止参与我市公共资源交易活动。</w:t>
      </w:r>
    </w:p>
    <w:p w14:paraId="6C3438AC">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（一）工程建设项目</w:t>
      </w:r>
    </w:p>
    <w:p w14:paraId="3BC3C0B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1、“信用中国”网站（www.creditchina.gov.cn）查询</w:t>
      </w:r>
      <w:bookmarkStart w:id="248" w:name="OLE_LINK93"/>
      <w:bookmarkStart w:id="249" w:name="OLE_LINK92"/>
      <w:bookmarkStart w:id="250" w:name="OLE_LINK103"/>
      <w:bookmarkStart w:id="251" w:name="OLE_LINK91"/>
      <w:r>
        <w:rPr>
          <w:rFonts w:hint="eastAsia" w:ascii="宋体" w:hAnsi="宋体" w:eastAsia="宋体" w:cs="宋体"/>
          <w:color w:val="000000" w:themeColor="text1"/>
          <w:sz w:val="24"/>
          <w:szCs w:val="24"/>
          <w14:textFill>
            <w14:solidFill>
              <w14:schemeClr w14:val="tx1"/>
            </w14:solidFill>
          </w14:textFill>
        </w:rPr>
        <w:t>投标人、法定代表人及其项目经理(建造师)</w:t>
      </w:r>
      <w:bookmarkEnd w:id="248"/>
      <w:bookmarkEnd w:id="249"/>
      <w:bookmarkEnd w:id="250"/>
      <w:bookmarkEnd w:id="251"/>
      <w:r>
        <w:rPr>
          <w:rFonts w:hint="eastAsia" w:ascii="宋体" w:hAnsi="宋体" w:eastAsia="宋体" w:cs="宋体"/>
          <w:color w:val="000000" w:themeColor="text1"/>
          <w:sz w:val="24"/>
          <w:szCs w:val="24"/>
          <w14:textFill>
            <w14:solidFill>
              <w14:schemeClr w14:val="tx1"/>
            </w14:solidFill>
          </w14:textFill>
        </w:rPr>
        <w:t>以下失信行为：</w:t>
      </w:r>
    </w:p>
    <w:p w14:paraId="09225A3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52" w:name="OLE_LINK119"/>
      <w:bookmarkStart w:id="253" w:name="OLE_LINK94"/>
      <w:bookmarkStart w:id="254" w:name="OLE_LINK86"/>
      <w:bookmarkStart w:id="255" w:name="OLE_LINK87"/>
      <w:bookmarkStart w:id="256" w:name="OLE_LINK3"/>
      <w:r>
        <w:rPr>
          <w:rFonts w:hint="eastAsia" w:ascii="宋体" w:hAnsi="宋体" w:eastAsia="宋体" w:cs="宋体"/>
          <w:color w:val="000000" w:themeColor="text1"/>
          <w:sz w:val="24"/>
          <w:szCs w:val="24"/>
          <w14:textFill>
            <w14:solidFill>
              <w14:schemeClr w14:val="tx1"/>
            </w14:solidFill>
          </w14:textFill>
        </w:rPr>
        <w:t>①被列入“失信被执行人”的;</w:t>
      </w:r>
    </w:p>
    <w:p w14:paraId="49D9345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w:t>
      </w:r>
      <w:bookmarkStart w:id="257" w:name="OLE_LINK116"/>
      <w:bookmarkStart w:id="258" w:name="OLE_LINK118"/>
      <w:bookmarkStart w:id="259" w:name="OLE_LINK115"/>
      <w:bookmarkStart w:id="260" w:name="OLE_LINK117"/>
      <w:r>
        <w:rPr>
          <w:rFonts w:hint="eastAsia" w:ascii="宋体" w:hAnsi="宋体" w:eastAsia="宋体" w:cs="宋体"/>
          <w:color w:val="000000" w:themeColor="text1"/>
          <w:sz w:val="24"/>
          <w:szCs w:val="24"/>
          <w14:textFill>
            <w14:solidFill>
              <w14:schemeClr w14:val="tx1"/>
            </w14:solidFill>
          </w14:textFill>
        </w:rPr>
        <w:t>“重大税收违法失信主体”</w:t>
      </w:r>
      <w:bookmarkEnd w:id="257"/>
      <w:bookmarkEnd w:id="258"/>
      <w:bookmarkEnd w:id="259"/>
      <w:bookmarkEnd w:id="260"/>
      <w:r>
        <w:rPr>
          <w:rFonts w:hint="eastAsia" w:ascii="宋体" w:hAnsi="宋体" w:eastAsia="宋体" w:cs="宋体"/>
          <w:color w:val="000000" w:themeColor="text1"/>
          <w:sz w:val="24"/>
          <w:szCs w:val="24"/>
          <w14:textFill>
            <w14:solidFill>
              <w14:schemeClr w14:val="tx1"/>
            </w14:solidFill>
          </w14:textFill>
        </w:rPr>
        <w:t>的；</w:t>
      </w:r>
    </w:p>
    <w:p w14:paraId="1D30B616">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61" w:name="OLE_LINK1"/>
      <w:bookmarkStart w:id="262" w:name="OLE_LINK2"/>
      <w:r>
        <w:rPr>
          <w:rFonts w:hint="eastAsia" w:ascii="宋体" w:hAnsi="宋体" w:eastAsia="宋体" w:cs="宋体"/>
          <w:color w:val="000000" w:themeColor="text1"/>
          <w:sz w:val="24"/>
          <w:szCs w:val="24"/>
          <w14:textFill>
            <w14:solidFill>
              <w14:schemeClr w14:val="tx1"/>
            </w14:solidFill>
          </w14:textFill>
        </w:rPr>
        <w:t>③被列入“拖欠</w:t>
      </w:r>
      <w:bookmarkStart w:id="263" w:name="OLE_LINK84"/>
      <w:bookmarkStart w:id="264" w:name="OLE_LINK85"/>
      <w:r>
        <w:rPr>
          <w:rFonts w:hint="eastAsia" w:ascii="宋体" w:hAnsi="宋体" w:eastAsia="宋体" w:cs="宋体"/>
          <w:color w:val="000000" w:themeColor="text1"/>
          <w:sz w:val="24"/>
          <w:szCs w:val="24"/>
          <w14:textFill>
            <w14:solidFill>
              <w14:schemeClr w14:val="tx1"/>
            </w14:solidFill>
          </w14:textFill>
        </w:rPr>
        <w:t>农民工工资失信联合惩戒对象</w:t>
      </w:r>
      <w:bookmarkEnd w:id="263"/>
      <w:bookmarkEnd w:id="264"/>
      <w:r>
        <w:rPr>
          <w:rFonts w:hint="eastAsia" w:ascii="宋体" w:hAnsi="宋体" w:eastAsia="宋体" w:cs="宋体"/>
          <w:color w:val="000000" w:themeColor="text1"/>
          <w:sz w:val="24"/>
          <w:szCs w:val="24"/>
          <w14:textFill>
            <w14:solidFill>
              <w14:schemeClr w14:val="tx1"/>
            </w14:solidFill>
          </w14:textFill>
        </w:rPr>
        <w:t>名单”的；</w:t>
      </w:r>
      <w:bookmarkEnd w:id="261"/>
      <w:bookmarkEnd w:id="262"/>
    </w:p>
    <w:p w14:paraId="75D9DCF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④被列入 “严重失信主体名单”的；</w:t>
      </w:r>
    </w:p>
    <w:p w14:paraId="20FBC30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⑤在“信用中国”网站上披露的仍在公示期的严重失信行为(具体行为类别及判定依据见附件2)的。</w:t>
      </w:r>
    </w:p>
    <w:bookmarkEnd w:id="252"/>
    <w:bookmarkEnd w:id="253"/>
    <w:bookmarkEnd w:id="254"/>
    <w:bookmarkEnd w:id="255"/>
    <w:bookmarkEnd w:id="256"/>
    <w:p w14:paraId="6EB9D11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Start w:id="265" w:name="OLE_LINK130"/>
      <w:r>
        <w:rPr>
          <w:rFonts w:hint="eastAsia" w:ascii="宋体" w:hAnsi="宋体" w:eastAsia="宋体" w:cs="宋体"/>
          <w:color w:val="000000" w:themeColor="text1"/>
          <w:sz w:val="24"/>
          <w:szCs w:val="24"/>
          <w14:textFill>
            <w14:solidFill>
              <w14:schemeClr w14:val="tx1"/>
            </w14:solidFill>
          </w14:textFill>
        </w:rPr>
        <w:t>国家企业信用信息公示系统网站</w:t>
      </w:r>
      <w:bookmarkEnd w:id="26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bookmarkStart w:id="266" w:name="OLE_LINK90"/>
      <w:bookmarkStart w:id="267" w:name="OLE_LINK89"/>
      <w:r>
        <w:rPr>
          <w:rStyle w:val="38"/>
          <w:rFonts w:hint="eastAsia" w:ascii="宋体" w:hAnsi="宋体" w:eastAsia="宋体" w:cs="宋体"/>
          <w:color w:val="000000" w:themeColor="text1"/>
          <w:sz w:val="24"/>
          <w:szCs w:val="24"/>
          <w14:textFill>
            <w14:solidFill>
              <w14:schemeClr w14:val="tx1"/>
            </w14:solidFill>
          </w14:textFill>
        </w:rPr>
        <w:t>www.gsxt.gov.cn</w:t>
      </w:r>
      <w:bookmarkEnd w:id="266"/>
      <w:bookmarkEnd w:id="267"/>
      <w:r>
        <w:rPr>
          <w:rStyle w:val="38"/>
          <w:rFonts w:hint="eastAsia" w:ascii="宋体" w:hAnsi="宋体" w:eastAsia="宋体" w:cs="宋体"/>
          <w:color w:val="000000" w:themeColor="text1"/>
          <w:sz w:val="24"/>
          <w:szCs w:val="24"/>
          <w14:textFill>
            <w14:solidFill>
              <w14:schemeClr w14:val="tx1"/>
            </w14:solidFill>
          </w14:textFill>
        </w:rPr>
        <w:t>）</w:t>
      </w:r>
      <w:r>
        <w:rPr>
          <w:rStyle w:val="38"/>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查询投标人以下失信行为：</w:t>
      </w:r>
    </w:p>
    <w:p w14:paraId="1AB6A47C">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68" w:name="OLE_LINK121"/>
      <w:bookmarkStart w:id="269" w:name="OLE_LINK120"/>
      <w:bookmarkStart w:id="270" w:name="OLE_LINK122"/>
      <w:r>
        <w:rPr>
          <w:rFonts w:hint="eastAsia" w:ascii="宋体" w:hAnsi="宋体" w:eastAsia="宋体" w:cs="宋体"/>
          <w:color w:val="000000" w:themeColor="text1"/>
          <w:sz w:val="24"/>
          <w:szCs w:val="24"/>
          <w14:textFill>
            <w14:solidFill>
              <w14:schemeClr w14:val="tx1"/>
            </w14:solidFill>
          </w14:textFill>
        </w:rPr>
        <w:t>①</w:t>
      </w:r>
      <w:bookmarkStart w:id="271" w:name="OLE_LINK113"/>
      <w:bookmarkStart w:id="272" w:name="OLE_LINK114"/>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271"/>
      <w:bookmarkEnd w:id="272"/>
      <w:r>
        <w:rPr>
          <w:rFonts w:hint="eastAsia" w:ascii="宋体" w:hAnsi="宋体" w:eastAsia="宋体" w:cs="宋体"/>
          <w:color w:val="000000" w:themeColor="text1"/>
          <w:sz w:val="24"/>
          <w:szCs w:val="24"/>
          <w14:textFill>
            <w14:solidFill>
              <w14:schemeClr w14:val="tx1"/>
            </w14:solidFill>
          </w14:textFill>
        </w:rPr>
        <w:t>。</w:t>
      </w:r>
      <w:bookmarkEnd w:id="268"/>
      <w:bookmarkEnd w:id="269"/>
      <w:bookmarkEnd w:id="270"/>
    </w:p>
    <w:p w14:paraId="1C6F316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w:t>
      </w:r>
      <w:r>
        <w:rPr>
          <w:rFonts w:hint="eastAsia" w:ascii="宋体" w:hAnsi="宋体" w:eastAsia="宋体" w:cs="宋体"/>
          <w:color w:val="000000" w:themeColor="text1"/>
          <w:kern w:val="0"/>
          <w:sz w:val="24"/>
          <w:szCs w:val="24"/>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14:textFill>
            <w14:solidFill>
              <w14:schemeClr w14:val="tx1"/>
            </w14:solidFill>
          </w14:textFill>
        </w:rPr>
        <w:t>进行承诺，不进行现场网上信用查询的失信行为：</w:t>
      </w:r>
    </w:p>
    <w:p w14:paraId="19678F2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73" w:name="OLE_LINK124"/>
      <w:bookmarkStart w:id="274" w:name="OLE_LINK123"/>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080989A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②被滁州市县两级公管部门取消在一定期限内的投标资格且在取消期限内的；</w:t>
      </w:r>
    </w:p>
    <w:p w14:paraId="6B511AF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③被滁州市县两级各行业主管部门取消在一定期限内的投标资格且在取消期限内的；</w:t>
      </w:r>
    </w:p>
    <w:p w14:paraId="139291F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④因拖欠农民工工资被</w:t>
      </w:r>
      <w:bookmarkStart w:id="275" w:name="OLE_LINK108"/>
      <w:bookmarkStart w:id="276" w:name="OLE_LINK107"/>
      <w:r>
        <w:rPr>
          <w:rFonts w:hint="eastAsia" w:ascii="宋体" w:hAnsi="宋体" w:eastAsia="宋体" w:cs="宋体"/>
          <w:color w:val="000000" w:themeColor="text1"/>
          <w:sz w:val="24"/>
          <w:szCs w:val="24"/>
          <w14:textFill>
            <w14:solidFill>
              <w14:schemeClr w14:val="tx1"/>
            </w14:solidFill>
          </w14:textFill>
        </w:rPr>
        <w:t>县级及以上有关行政主管部门限制投标资格且在限制期限内的</w:t>
      </w:r>
      <w:bookmarkEnd w:id="275"/>
      <w:bookmarkEnd w:id="276"/>
      <w:r>
        <w:rPr>
          <w:rFonts w:hint="eastAsia" w:ascii="宋体" w:hAnsi="宋体" w:eastAsia="宋体" w:cs="宋体"/>
          <w:color w:val="000000" w:themeColor="text1"/>
          <w:sz w:val="24"/>
          <w:szCs w:val="24"/>
          <w14:textFill>
            <w14:solidFill>
              <w14:schemeClr w14:val="tx1"/>
            </w14:solidFill>
          </w14:textFill>
        </w:rPr>
        <w:t>；</w:t>
      </w:r>
    </w:p>
    <w:p w14:paraId="6932D0D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73"/>
    <w:bookmarkEnd w:id="274"/>
    <w:p w14:paraId="5F40E35C">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（二）政府采购项目</w:t>
      </w:r>
    </w:p>
    <w:p w14:paraId="6CED7F5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t>
      </w:r>
      <w:r>
        <w:rPr>
          <w:rStyle w:val="38"/>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t>）查询供应商、法定代表人及其项目负责人以下失信行为：</w:t>
      </w:r>
    </w:p>
    <w:p w14:paraId="67A4EF3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①被列入“失信被执行人”的;</w:t>
      </w:r>
    </w:p>
    <w:p w14:paraId="2A964E3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②被列入“重大税收违法失信主体”的；</w:t>
      </w:r>
    </w:p>
    <w:p w14:paraId="7C96D59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③被列入 “严重失信主体名单”的；</w:t>
      </w:r>
    </w:p>
    <w:p w14:paraId="00A35D1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④在“信用中国”网站上披露的仍在公示期的严重失信行为(具体行为类别及判定依据见附件2)的。</w:t>
      </w:r>
    </w:p>
    <w:p w14:paraId="00F8F224">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2、国家企业信用信息公示系统网站（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www.gsxt.gov.cn）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查询供应商以下失信行为：</w:t>
      </w:r>
    </w:p>
    <w:p w14:paraId="281AF8E0">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277" w:name="OLE_LINK101"/>
      <w:bookmarkStart w:id="278" w:name="OLE_LINK100"/>
      <w:bookmarkStart w:id="279" w:name="OLE_LINK102"/>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277"/>
      <w:bookmarkEnd w:id="278"/>
      <w:bookmarkEnd w:id="279"/>
      <w:r>
        <w:rPr>
          <w:rFonts w:hint="eastAsia" w:ascii="宋体" w:hAnsi="宋体" w:eastAsia="宋体" w:cs="宋体"/>
          <w:color w:val="000000" w:themeColor="text1"/>
          <w:sz w:val="24"/>
          <w:szCs w:val="24"/>
          <w14:textFill>
            <w14:solidFill>
              <w14:schemeClr w14:val="tx1"/>
            </w14:solidFill>
          </w14:textFill>
        </w:rPr>
        <w:t>。</w:t>
      </w:r>
    </w:p>
    <w:p w14:paraId="2B8C39D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3、中国政府采购网站（</w:t>
      </w:r>
      <w:bookmarkStart w:id="280" w:name="OLE_LINK95"/>
      <w:bookmarkStart w:id="281" w:name="OLE_LINK96"/>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bookmarkEnd w:id="280"/>
      <w:bookmarkEnd w:id="281"/>
      <w:r>
        <w:rPr>
          <w:rFonts w:hint="eastAsia" w:ascii="宋体" w:hAnsi="宋体" w:eastAsia="宋体" w:cs="宋体"/>
          <w:color w:val="000000" w:themeColor="text1"/>
          <w:sz w:val="24"/>
          <w:szCs w:val="24"/>
          <w14:textFill>
            <w14:solidFill>
              <w14:schemeClr w14:val="tx1"/>
            </w14:solidFill>
          </w14:textFill>
        </w:rPr>
        <w:t>）查询以下失信行为：</w:t>
      </w:r>
    </w:p>
    <w:p w14:paraId="78182FB0">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282" w:name="OLE_LINK106"/>
      <w:bookmarkStart w:id="283" w:name="OLE_LINK105"/>
      <w:bookmarkStart w:id="284" w:name="OLE_LINK104"/>
      <w:r>
        <w:rPr>
          <w:rFonts w:hint="eastAsia" w:ascii="宋体" w:hAnsi="宋体" w:eastAsia="宋体" w:cs="宋体"/>
          <w:color w:val="000000" w:themeColor="text1"/>
          <w:sz w:val="24"/>
          <w:szCs w:val="24"/>
          <w14:textFill>
            <w14:solidFill>
              <w14:schemeClr w14:val="tx1"/>
            </w14:solidFill>
          </w14:textFill>
        </w:rPr>
        <w:t>被列入“政府采购严重违法失信行为信息记录”的</w:t>
      </w:r>
      <w:bookmarkEnd w:id="282"/>
      <w:bookmarkEnd w:id="283"/>
      <w:bookmarkEnd w:id="284"/>
      <w:r>
        <w:rPr>
          <w:rFonts w:hint="eastAsia" w:ascii="宋体" w:hAnsi="宋体" w:eastAsia="宋体" w:cs="宋体"/>
          <w:color w:val="000000" w:themeColor="text1"/>
          <w:sz w:val="24"/>
          <w:szCs w:val="24"/>
          <w14:textFill>
            <w14:solidFill>
              <w14:schemeClr w14:val="tx1"/>
            </w14:solidFill>
          </w14:textFill>
        </w:rPr>
        <w:t>。</w:t>
      </w:r>
    </w:p>
    <w:p w14:paraId="20C95BA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4、由竞争主体进行承诺，不进行现场网上信用查询的失信行为：</w:t>
      </w:r>
    </w:p>
    <w:p w14:paraId="3C42472C">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45125AEA">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二、在开评标活动中的查询程序</w:t>
      </w:r>
    </w:p>
    <w:p w14:paraId="7572ACD4">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43A12A8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589799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3、项目单位及其委托的代理机构应当做好信用查询结果截图和记录留存。</w:t>
      </w:r>
    </w:p>
    <w:p w14:paraId="6857C2AD">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三、相关要求</w:t>
      </w:r>
    </w:p>
    <w:p w14:paraId="184F0FB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75CE9093">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9038771">
      <w:pPr>
        <w:wordWrap w:val="0"/>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"https://credit.ah.gov.cn/xinyong-fuwu/xvbahv/index.html"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https://credit.ah.gov.cn/xinyong-fuwu/xvbahv/index.html</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90885B5">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2、“信用中国”查询的严重失信行为判定依据为各行业主管部门下发的联合惩戒文件中规定的行为（按附件2执行）。</w:t>
      </w:r>
    </w:p>
    <w:p w14:paraId="3FC4E71A">
      <w:pPr>
        <w:spacing w:line="440" w:lineRule="exact"/>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t>3、资格预审的项目以递交资格预审申请文件截止时间查询为准；资格后审的项目以递交投标文件截止时间查询为准。</w:t>
      </w:r>
      <w:r>
        <w:rPr>
          <w:rFonts w:hint="eastAsia" w:ascii="宋体" w:hAnsi="宋体" w:eastAsia="宋体" w:cs="宋体"/>
          <w:b/>
          <w:sz w:val="24"/>
          <w:szCs w:val="24"/>
          <w:lang w:bidi="ar"/>
        </w:rPr>
        <w:t xml:space="preserve"> </w:t>
      </w:r>
    </w:p>
    <w:p w14:paraId="7E74DD54">
      <w:pPr>
        <w:pStyle w:val="2"/>
        <w:ind w:firstLine="420"/>
        <w:rPr>
          <w:rFonts w:hint="eastAsia" w:ascii="宋体" w:hAnsi="宋体" w:eastAsia="宋体" w:cs="宋体"/>
        </w:rPr>
      </w:pPr>
      <w:r>
        <w:rPr>
          <w:rFonts w:hint="eastAsia" w:ascii="宋体" w:hAnsi="宋体" w:eastAsia="宋体" w:cs="宋体"/>
        </w:rPr>
        <w:t xml:space="preserve"> </w:t>
      </w:r>
    </w:p>
    <w:p w14:paraId="2CD03635">
      <w:pPr>
        <w:spacing w:line="440" w:lineRule="exact"/>
        <w:rPr>
          <w:rFonts w:hint="eastAsia" w:ascii="宋体" w:hAnsi="宋体" w:eastAsia="宋体" w:cs="宋体"/>
          <w:b/>
          <w:sz w:val="24"/>
          <w:szCs w:val="24"/>
        </w:rPr>
      </w:pPr>
      <w:r>
        <w:rPr>
          <w:rFonts w:hint="eastAsia" w:ascii="宋体" w:hAnsi="宋体" w:eastAsia="宋体" w:cs="宋体"/>
          <w:b/>
          <w:sz w:val="24"/>
          <w:szCs w:val="24"/>
          <w:lang w:bidi="ar"/>
        </w:rPr>
        <w:br w:type="page"/>
      </w:r>
      <w:r>
        <w:rPr>
          <w:rFonts w:hint="eastAsia" w:ascii="宋体" w:hAnsi="宋体" w:eastAsia="宋体" w:cs="宋体"/>
          <w:b/>
          <w:sz w:val="24"/>
          <w:szCs w:val="24"/>
          <w:lang w:bidi="ar"/>
        </w:rPr>
        <w:t>附件2</w:t>
      </w:r>
    </w:p>
    <w:p w14:paraId="0DC9922A">
      <w:pPr>
        <w:adjustRightInd w:val="0"/>
        <w:snapToGrid w:val="0"/>
        <w:spacing w:line="560" w:lineRule="exact"/>
        <w:ind w:firstLine="645"/>
        <w:jc w:val="center"/>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“信用中国”查询的严重失信行为类别及判定依据</w:t>
      </w:r>
    </w:p>
    <w:p w14:paraId="5C77681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“信用中国”查询的严重失信行为判定依据为各行业主管部门下发的联合惩戒文件中规定的行为。下面将部分类别的严重失信行为列举如下：</w:t>
      </w:r>
    </w:p>
    <w:p w14:paraId="08574CE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一、安全生产领域严重失信行为：</w:t>
      </w:r>
    </w:p>
    <w:p w14:paraId="0AD777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（一）下列发生生产安全事故的生产经营单位及其有关人员应当列入严重失信主体名单：</w:t>
      </w:r>
    </w:p>
    <w:p w14:paraId="3DAB6FB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1、发生特别重大、重大生产安全事故的生产经营单位及其主要负责人，以及经调查认定对该事故发生负有责任，应当列入名单的其他单位和人员；</w:t>
      </w:r>
    </w:p>
    <w:p w14:paraId="53986C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2、12个月内累计发生2起以上较大生产安全事故的生产经营单位及其主要负责人；</w:t>
      </w:r>
    </w:p>
    <w:p w14:paraId="325762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3、发生生产安全事故，情节特别严重、影响特别恶劣，依照《中华人民共和国安全生产法》第一百一十四条的规定被处以罚款数额2倍以上5倍以下罚款的生产经营单位及其主要负责人；</w:t>
      </w:r>
    </w:p>
    <w:p w14:paraId="5A4162C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4、瞒报、谎报生产安全事故的生产经营单位及其有关责任人员；</w:t>
      </w:r>
    </w:p>
    <w:p w14:paraId="7E61F7A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5、发生生产安全事故后，不立即组织抢救或者在事故调查处理期间擅离职守或者逃匿的生产经营单位主要负责人。</w:t>
      </w:r>
    </w:p>
    <w:p w14:paraId="47F6DCA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（二）下列未发生生产安全事故，但因安全生产违法行为，受到行政处罚的生产经营单位或者机构及其有关人员，应当列入严重失信主体名单：</w:t>
      </w:r>
    </w:p>
    <w:p w14:paraId="3B4263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1、未依法取得安全生产相关许可或者许可被暂扣、吊销期间从事相关生产经营活动的生产经营单位及其主要负责人；</w:t>
      </w:r>
    </w:p>
    <w:p w14:paraId="78BADC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2、承担安全评价、认证、检测、检验职责的机构及其直接责任人员租借资质、挂靠、出具虚假报告或者证书的；</w:t>
      </w:r>
    </w:p>
    <w:p w14:paraId="165C049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3、在应急管理部门作出行政处罚后，有执行能力拒不执行或者逃避执行的生产经营单位及其主要负责人；</w:t>
      </w:r>
    </w:p>
    <w:p w14:paraId="3632F95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4、其他违反安全生产法律法规受到行政处罚，且性质恶劣、情节严重的。</w:t>
      </w:r>
    </w:p>
    <w:p w14:paraId="0223BDA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依据：《安全生产严重失信主体名单管理办法》（2023年8月8日应急管理部令第11号）</w:t>
      </w:r>
    </w:p>
    <w:p w14:paraId="5E44C70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二、环境保护领域严重失信行为：</w:t>
      </w:r>
    </w:p>
    <w:p w14:paraId="26E4B20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（一）因为环境违法构成</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"https://baike.sogou.com/m/fullLemma?lid=10403954&amp;g_ut=3"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环境犯罪</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494D6AA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"https://baike.sogou.com/m/fullLemma?lid=76033123&amp;g_ut=3"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建设项目环境影响评价</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文件未按规定通过审批，擅自开工建设的；</w:t>
      </w:r>
    </w:p>
    <w:p w14:paraId="6FB8953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（三）建设项目环保设施未建成、环保措施未落实、未通过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"https://baike.sogou.com/m/fullLemma?lid=6470550&amp;g_ut=3"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竣工环保验收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或者验收不合格，主体工程正式投入生产或者使用的；</w:t>
      </w:r>
    </w:p>
    <w:p w14:paraId="62A5EEB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（四）建设项目性质、规模、地点、采用的生产工艺或者防治污染、防止生态破坏的措施发生重大变动，未重新报批环境影响评价文件，擅自投入生产或者使用的；</w:t>
      </w:r>
    </w:p>
    <w:p w14:paraId="064488B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（五）主要污染物排放总量超过控制指标的；</w:t>
      </w:r>
    </w:p>
    <w:p w14:paraId="788483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（六）私设暗管或者利用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"https://baike.sogou.com/m/fullLemma?lid=41657319&amp;g_ut=3"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渗井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、渗坑、裂隙、溶洞等排放、倾倒、处置水污染物，或者通过私设旁路排放</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"https://baike.sogou.com/m/fullLemma?lid=7758328&amp;g_ut=3"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大气污染物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3A387EF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（七）非法排放、倾倒、处置危险废物，或者向无</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"https://baike.sogou.com/m/fullLemma?lid=5923292&amp;g_ut=3"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经营许可证</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或者超出经营许可范围的单位或个人提供或者委托其收集、贮存、利用、处置危险废物的；</w:t>
      </w:r>
    </w:p>
    <w:p w14:paraId="63E9926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"https://baike.sogou.com/m/fullLemma?lid=167759803&amp;g_ut=3"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环境违法行为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造成集中式生活饮用水水源取水中断的；</w:t>
      </w:r>
    </w:p>
    <w:p w14:paraId="5E4E7E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（九）环境违法行为对生活饮用水水源保护区、自然保护区、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"https://baike.sogou.com/m/fullLemma?lid=155199213&amp;g_ut=3"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国家重点生态功能区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、风景名胜区、居住功能区、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"https://baike.sogou.com/m/fullLemma?lid=7757164&amp;g_ut=3"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基本农田保护区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等环境敏感区造成重大不利影响的；</w:t>
      </w:r>
    </w:p>
    <w:p w14:paraId="10010F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（十）违法从事自然资源开发、交通基础设施建设，以及其他开发建设活动，造成严重生态破坏的；</w:t>
      </w:r>
    </w:p>
    <w:p w14:paraId="5E76AD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（十一）发生较大及以上突发环境事件的；</w:t>
      </w:r>
    </w:p>
    <w:p w14:paraId="25EF99F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（十二）被环保部门挂牌督办，整改逾期未完成的；</w:t>
      </w:r>
    </w:p>
    <w:p w14:paraId="487AC45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（十三）以暴力、威胁等方式拒绝、阻挠环保部门工作人员现场检查的；</w:t>
      </w:r>
    </w:p>
    <w:p w14:paraId="3DF8DD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（十四）违反重污染天气应急预案有关规定，对重污染天气响应不力的。</w:t>
      </w:r>
    </w:p>
    <w:p w14:paraId="10BFFAB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285" w:name="OLE_LINK9"/>
      <w:bookmarkStart w:id="286" w:name="OLE_LINK8"/>
      <w:bookmarkStart w:id="287" w:name="OLE_LINK10"/>
      <w:r>
        <w:rPr>
          <w:rFonts w:hint="eastAsia" w:ascii="宋体" w:hAnsi="宋体" w:eastAsia="宋体" w:cs="宋体"/>
          <w:b/>
          <w:color w:val="auto"/>
          <w:sz w:val="24"/>
          <w:szCs w:val="24"/>
        </w:rPr>
        <w:t>关于对环境保护领域失信生产经营单位及其有关人员开展联合惩戒的合作备忘录</w:t>
      </w:r>
      <w:bookmarkEnd w:id="285"/>
      <w:bookmarkEnd w:id="286"/>
      <w:bookmarkEnd w:id="287"/>
      <w:r>
        <w:rPr>
          <w:rFonts w:hint="eastAsia" w:ascii="宋体" w:hAnsi="宋体" w:eastAsia="宋体" w:cs="宋体"/>
          <w:b/>
          <w:color w:val="auto"/>
          <w:sz w:val="24"/>
          <w:szCs w:val="24"/>
        </w:rPr>
        <w:t>》、《</w:t>
      </w:r>
      <w:bookmarkStart w:id="288" w:name="OLE_LINK11"/>
      <w:bookmarkStart w:id="289" w:name="OLE_LINK12"/>
      <w:r>
        <w:rPr>
          <w:rFonts w:hint="eastAsia" w:ascii="宋体" w:hAnsi="宋体" w:eastAsia="宋体" w:cs="宋体"/>
          <w:b/>
          <w:color w:val="auto"/>
          <w:sz w:val="24"/>
          <w:szCs w:val="24"/>
        </w:rPr>
        <w:t>企业环境信用评价办法（试行）</w:t>
      </w:r>
      <w:bookmarkEnd w:id="288"/>
      <w:bookmarkEnd w:id="289"/>
      <w:r>
        <w:rPr>
          <w:rFonts w:hint="eastAsia" w:ascii="宋体" w:hAnsi="宋体" w:eastAsia="宋体" w:cs="宋体"/>
          <w:b/>
          <w:color w:val="auto"/>
          <w:sz w:val="24"/>
          <w:szCs w:val="24"/>
        </w:rPr>
        <w:t>》（环发〔2013〕150号）</w:t>
      </w:r>
    </w:p>
    <w:p w14:paraId="255B813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公共资源交易领域严重失信行为</w:t>
      </w:r>
    </w:p>
    <w:p w14:paraId="26EDB97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（一）违反法律规定，必须进行招标的项目而不招标的，将必须进行招标的项目化整为零或者以其他任何方式规避招标的； </w:t>
      </w:r>
    </w:p>
    <w:p w14:paraId="74F2878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（二）招标代理机构违反法律规定，泄露应当保密的与招标投标活动有关的情况和资料的，或者与招标人、投标人串通损害 国家利益、社会公共利益或者他人合法权益的；</w:t>
      </w:r>
    </w:p>
    <w:p w14:paraId="6B89667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（三）招标人以不合理的条件限制或者排斥潜在投标人的，对潜在投标人实行歧视待遇的，强制要求投标人组成联合体共同 投标的，或者限制投标人之间竞争的；</w:t>
      </w:r>
    </w:p>
    <w:p w14:paraId="3804376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（四）依法必须进行招标的项目的招标人向他人透露已获取招标文件的潜在投标人的名称、数量或者可能影响公平竞争的有 关招标投标的其他情况的，或者泄露标底的；</w:t>
      </w:r>
    </w:p>
    <w:p w14:paraId="394024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（五）投标人相互串通投标或者与招标人串通投标的，投标人以向招标人或者评标委员会成员行贿的手段谋取中标的； </w:t>
      </w:r>
    </w:p>
    <w:p w14:paraId="1725D13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（六）投标人以他人名义投标或者以其他方式弄虚作假，骗取中标的；</w:t>
      </w:r>
    </w:p>
    <w:p w14:paraId="3B0084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（七）依法必须进行招标的项目，招标人违反法律规定，与投标人就投标价格、投标方案等实质性内容进行谈判的；</w:t>
      </w:r>
    </w:p>
    <w:p w14:paraId="7D8FA05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627E6C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（九）招标人在评标委员会依法推荐的中标候选人以外确定中标人的，依法必须进行招标的项目在所有投标被评标委员会否 决后自行确定中标人的； </w:t>
      </w:r>
    </w:p>
    <w:p w14:paraId="4A01764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（十）中标人将中标项目转让给他人的，将中标项目肢解后分别转让给他人的，违反法律规定将中标项目的部分主体、关键 性工作分包给他人的，或者分包人再次分包的； </w:t>
      </w:r>
    </w:p>
    <w:p w14:paraId="79BF66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（十一）招标人与中标人不按照招标文件和中标人的投标文件订立合同的，或者招标人、中标人订立背离合同实质性内容的 协议的； </w:t>
      </w:r>
    </w:p>
    <w:p w14:paraId="079BE25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（十二）中标人不按照与招标人订立的合同履行义务，情节严重的； </w:t>
      </w:r>
    </w:p>
    <w:p w14:paraId="6D0C65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1C8B8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B7CDC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（十五）采购人对应当实行集中采购的政府采购项目，不委托集中采购机构实行集中采购的； </w:t>
      </w:r>
    </w:p>
    <w:p w14:paraId="542688E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（十六）采购人、采购代理机构违反法律规定隐匿、销毁应当保存的采购文件或者伪造、变造采购文件的； </w:t>
      </w:r>
    </w:p>
    <w:p w14:paraId="566F146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4FBFAD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（十八）疫苗生产企业向县级疾病预防控制机构以外的单位或者个人销售第二类疫苗的； </w:t>
      </w:r>
    </w:p>
    <w:p w14:paraId="54DFA73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（十九）存在其他违反公共资源交易法律法规行为的。</w:t>
      </w:r>
    </w:p>
    <w:p w14:paraId="5D8E37C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290" w:name="OLE_LINK14"/>
      <w:bookmarkStart w:id="291" w:name="OLE_LINK13"/>
      <w:r>
        <w:rPr>
          <w:rFonts w:hint="eastAsia" w:ascii="宋体" w:hAnsi="宋体" w:eastAsia="宋体" w:cs="宋体"/>
          <w:b/>
          <w:color w:val="auto"/>
          <w:sz w:val="24"/>
          <w:szCs w:val="24"/>
        </w:rPr>
        <w:t>关于对公共资源交易领域严重失信主体开展联合惩戒的备忘录</w:t>
      </w:r>
      <w:bookmarkEnd w:id="290"/>
      <w:bookmarkEnd w:id="291"/>
      <w:r>
        <w:rPr>
          <w:rFonts w:hint="eastAsia" w:ascii="宋体" w:hAnsi="宋体" w:eastAsia="宋体" w:cs="宋体"/>
          <w:b/>
          <w:color w:val="auto"/>
          <w:sz w:val="24"/>
          <w:szCs w:val="24"/>
        </w:rPr>
        <w:t>》（发改法规〔2018〕457号）</w:t>
      </w:r>
    </w:p>
    <w:p w14:paraId="18DA656D">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四、</w:t>
      </w:r>
      <w:r>
        <w:rPr>
          <w:rFonts w:hint="eastAsia" w:ascii="宋体" w:hAnsi="宋体" w:eastAsia="宋体" w:cs="宋体"/>
          <w:b/>
          <w:bCs/>
          <w:color w:val="auto"/>
          <w:sz w:val="24"/>
          <w:szCs w:val="24"/>
        </w:rPr>
        <w:t>社会保险领域严重失信行为</w:t>
      </w:r>
    </w:p>
    <w:p w14:paraId="384F0A1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（一）用人单位未按相关规定参加社会保险且拒不整改的； </w:t>
      </w:r>
    </w:p>
    <w:p w14:paraId="5CACF8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（二）用人单位未如实申报社会保险缴费基数且拒不整改的； </w:t>
      </w:r>
    </w:p>
    <w:p w14:paraId="790EE2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（三）应缴纳社会保险费却拒不缴纳的； </w:t>
      </w:r>
    </w:p>
    <w:p w14:paraId="6A4AC68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（四）隐匿、转移、侵占、挪用社会保险费款、基金或者违规投资运营的；</w:t>
      </w:r>
    </w:p>
    <w:p w14:paraId="5E84629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（五）以欺诈、伪造证明材料或者其他手段参加、申报社会保险和骗取社会保险基金支出或社会保险待遇的； </w:t>
      </w:r>
    </w:p>
    <w:p w14:paraId="6A31B5F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（六）非法获取、出售或变相交易社会保险个人权益数据的； </w:t>
      </w:r>
    </w:p>
    <w:p w14:paraId="5DA5CDB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（七）社会保险服务机构违反服务协议或相关规定的； </w:t>
      </w:r>
    </w:p>
    <w:p w14:paraId="7293E2D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（八）拒绝协助社会保险行政部门、经办机构对事故和问题进 行调查核实的；拒绝接受或协助税务部门对社会保险实施监督检查， 不如实提供与社会保险相关各项资料的； </w:t>
      </w:r>
    </w:p>
    <w:p w14:paraId="083AEE2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（九）其他违反法律法规规定的。</w:t>
      </w:r>
    </w:p>
    <w:p w14:paraId="4690B4F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292" w:name="OLE_LINK15"/>
      <w:bookmarkStart w:id="293" w:name="OLE_LINK16"/>
      <w:r>
        <w:rPr>
          <w:rFonts w:hint="eastAsia" w:ascii="宋体" w:hAnsi="宋体" w:eastAsia="宋体" w:cs="宋体"/>
          <w:b/>
          <w:color w:val="auto"/>
          <w:sz w:val="24"/>
          <w:szCs w:val="24"/>
        </w:rPr>
        <w:t>关于对社会保险领域严重失信企业及其有关人员实施联合惩戒的合作备忘录</w:t>
      </w:r>
      <w:bookmarkEnd w:id="292"/>
      <w:bookmarkEnd w:id="293"/>
      <w:r>
        <w:rPr>
          <w:rFonts w:hint="eastAsia" w:ascii="宋体" w:hAnsi="宋体" w:eastAsia="宋体" w:cs="宋体"/>
          <w:b/>
          <w:color w:val="auto"/>
          <w:sz w:val="24"/>
          <w:szCs w:val="24"/>
        </w:rPr>
        <w:t>》（发改财金〔2018〕1704号）</w:t>
      </w:r>
    </w:p>
    <w:p w14:paraId="5F67F3B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五、建筑市场领域</w:t>
      </w:r>
      <w:r>
        <w:rPr>
          <w:rFonts w:hint="eastAsia" w:ascii="宋体" w:hAnsi="宋体" w:eastAsia="宋体" w:cs="宋体"/>
          <w:b/>
          <w:bCs/>
          <w:color w:val="auto"/>
          <w:sz w:val="24"/>
          <w:szCs w:val="24"/>
        </w:rPr>
        <w:t>严重失信行为</w:t>
      </w:r>
    </w:p>
    <w:p w14:paraId="78DA96D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（一）利用虚假材料、以欺骗手段取得企业资质的；</w:t>
      </w:r>
    </w:p>
    <w:p w14:paraId="13386DF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（二）发生转包、出借资质，受到行政处罚的；</w:t>
      </w:r>
    </w:p>
    <w:p w14:paraId="0DED574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（三）发生重大及以上工程质量安全事故，或1年内累计发生2次及以上较大工程质量安全事故，或发生性质恶劣、危害性严重、社会影响大的较大工程质量安全事故，受到行政处罚的；</w:t>
      </w:r>
    </w:p>
    <w:p w14:paraId="6E9443F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（四）经法院判决或仲裁机构裁决，认定为拖欠工程款,且拒不履行生效法律文书确定的义务的。</w:t>
      </w:r>
    </w:p>
    <w:p w14:paraId="3672A55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各级住房城乡建设主管部门应当参照建筑市场主体“黑名单”，对被人力资源社会保障行政部门列入拖欠农民工工资“黑名单”的建筑市场各方主体加强监管。</w:t>
      </w:r>
    </w:p>
    <w:p w14:paraId="1E57B8EB">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294" w:name="OLE_LINK18"/>
      <w:bookmarkStart w:id="295" w:name="OLE_LINK17"/>
      <w:r>
        <w:rPr>
          <w:rFonts w:hint="eastAsia" w:ascii="宋体" w:hAnsi="宋体" w:eastAsia="宋体" w:cs="宋体"/>
          <w:b/>
          <w:color w:val="auto"/>
          <w:sz w:val="24"/>
          <w:szCs w:val="24"/>
        </w:rPr>
        <w:t>建筑市场信用管理暂行办法</w:t>
      </w:r>
      <w:bookmarkEnd w:id="294"/>
      <w:bookmarkEnd w:id="295"/>
      <w:r>
        <w:rPr>
          <w:rFonts w:hint="eastAsia" w:ascii="宋体" w:hAnsi="宋体" w:eastAsia="宋体" w:cs="宋体"/>
          <w:b/>
          <w:color w:val="auto"/>
          <w:sz w:val="24"/>
          <w:szCs w:val="24"/>
        </w:rPr>
        <w:t>》（建市〔2017〕241号）</w:t>
      </w:r>
    </w:p>
    <w:p w14:paraId="578A70C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bookmarkStart w:id="296" w:name="OLE_LINK20"/>
      <w:bookmarkStart w:id="297" w:name="OLE_LINK19"/>
      <w:r>
        <w:rPr>
          <w:rFonts w:hint="eastAsia" w:ascii="宋体" w:hAnsi="宋体" w:eastAsia="宋体" w:cs="宋体"/>
          <w:b/>
          <w:color w:val="auto"/>
          <w:sz w:val="24"/>
          <w:szCs w:val="24"/>
        </w:rPr>
        <w:t>政府采购严重失信行为</w:t>
      </w:r>
      <w:bookmarkEnd w:id="296"/>
      <w:bookmarkEnd w:id="297"/>
    </w:p>
    <w:p w14:paraId="548822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（一）三万元以上罚款；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（二）在一至三年内禁止参加政府采购活动（处罚期限届满的除外）；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（三）在一至三年内禁止代理政府采购业务（处罚期限届满的除外）；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（四）撤销政府采购代理机构资格（仅针对《政府采购法》第78条修改前作出的处罚决定）。</w:t>
      </w:r>
    </w:p>
    <w:p w14:paraId="24A379F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依据：《关于报送政府采购严重违法失信行为信息记录的通知》（财办库〔2014〕526号）</w:t>
      </w:r>
    </w:p>
    <w:p w14:paraId="1A494DE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未列出的其他类别严重失信行为，由招标人（代理机构）根据各类别行业主管部门下发的联合惩戒文件进行判断。</w:t>
      </w:r>
    </w:p>
    <w:p w14:paraId="6A6782D3">
      <w:pPr>
        <w:spacing w:line="360" w:lineRule="auto"/>
        <w:ind w:firstLine="435"/>
        <w:rPr>
          <w:rFonts w:hint="eastAsia" w:ascii="宋体" w:hAnsi="宋体" w:eastAsia="宋体" w:cs="宋体"/>
          <w:sz w:val="24"/>
          <w:highlight w:val="none"/>
        </w:rPr>
      </w:pPr>
    </w:p>
    <w:p w14:paraId="35EEC514">
      <w:pPr>
        <w:spacing w:line="360" w:lineRule="auto"/>
        <w:ind w:firstLine="435"/>
        <w:rPr>
          <w:rFonts w:hint="eastAsia" w:ascii="宋体" w:hAnsi="宋体" w:eastAsia="宋体" w:cs="宋体"/>
          <w:sz w:val="24"/>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9916">
    <w:pPr>
      <w:pStyle w:val="20"/>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B971">
    <w:pPr>
      <w:pStyle w:val="2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6054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F6054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1A5B">
    <w:pPr>
      <w:pStyle w:val="21"/>
      <w:pBdr>
        <w:bottom w:val="none" w:color="auto" w:sz="0" w:space="1"/>
      </w:pBdr>
      <w:jc w:val="left"/>
      <w:rPr>
        <w:rFonts w:hint="eastAsia"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60D05">
    <w:pPr>
      <w:pStyle w:val="21"/>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9817F"/>
    <w:multiLevelType w:val="singleLevel"/>
    <w:tmpl w:val="1CE9817F"/>
    <w:lvl w:ilvl="0" w:tentative="0">
      <w:start w:val="6"/>
      <w:numFmt w:val="chineseCounting"/>
      <w:suff w:val="space"/>
      <w:lvlText w:val="第%1章"/>
      <w:lvlJc w:val="left"/>
      <w:rPr>
        <w:rFonts w:hint="eastAsia"/>
      </w:rPr>
    </w:lvl>
  </w:abstractNum>
  <w:abstractNum w:abstractNumId="1">
    <w:nsid w:val="1E773494"/>
    <w:multiLevelType w:val="singleLevel"/>
    <w:tmpl w:val="1E773494"/>
    <w:lvl w:ilvl="0" w:tentative="0">
      <w:start w:val="3"/>
      <w:numFmt w:val="chineseCounting"/>
      <w:suff w:val="nothing"/>
      <w:lvlText w:val="%1、"/>
      <w:lvlJc w:val="left"/>
      <w:rPr>
        <w:rFonts w:hint="eastAsia"/>
      </w:rPr>
    </w:lvl>
  </w:abstractNum>
  <w:abstractNum w:abstractNumId="2">
    <w:nsid w:val="2A064A37"/>
    <w:multiLevelType w:val="singleLevel"/>
    <w:tmpl w:val="2A064A37"/>
    <w:lvl w:ilvl="0" w:tentative="0">
      <w:start w:val="3"/>
      <w:numFmt w:val="chineseCounting"/>
      <w:suff w:val="space"/>
      <w:lvlText w:val="第%1章"/>
      <w:lvlJc w:val="left"/>
      <w:rPr>
        <w:rFonts w:hint="eastAsia"/>
      </w:rPr>
    </w:lvl>
  </w:abstractNum>
  <w:abstractNum w:abstractNumId="3">
    <w:nsid w:val="3256FCC9"/>
    <w:multiLevelType w:val="singleLevel"/>
    <w:tmpl w:val="3256FCC9"/>
    <w:lvl w:ilvl="0" w:tentative="0">
      <w:start w:val="8"/>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6BA1"/>
    <w:rsid w:val="0000043F"/>
    <w:rsid w:val="00003F56"/>
    <w:rsid w:val="000049DA"/>
    <w:rsid w:val="00004F40"/>
    <w:rsid w:val="000056B7"/>
    <w:rsid w:val="00012A13"/>
    <w:rsid w:val="000131F7"/>
    <w:rsid w:val="00016B6C"/>
    <w:rsid w:val="00017D40"/>
    <w:rsid w:val="00017EC7"/>
    <w:rsid w:val="00020B57"/>
    <w:rsid w:val="00026768"/>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4943"/>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3042"/>
    <w:rsid w:val="00116A70"/>
    <w:rsid w:val="0012143A"/>
    <w:rsid w:val="001222C6"/>
    <w:rsid w:val="00126A7B"/>
    <w:rsid w:val="001303BB"/>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01E"/>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A7F45"/>
    <w:rsid w:val="001B21DF"/>
    <w:rsid w:val="001B2A54"/>
    <w:rsid w:val="001B5014"/>
    <w:rsid w:val="001B501E"/>
    <w:rsid w:val="001B7327"/>
    <w:rsid w:val="001C1409"/>
    <w:rsid w:val="001C67F2"/>
    <w:rsid w:val="001D457B"/>
    <w:rsid w:val="001D53B4"/>
    <w:rsid w:val="001D7FD1"/>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67521"/>
    <w:rsid w:val="00271245"/>
    <w:rsid w:val="00272CB9"/>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298D"/>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67834"/>
    <w:rsid w:val="00373A96"/>
    <w:rsid w:val="003826C2"/>
    <w:rsid w:val="00383728"/>
    <w:rsid w:val="00383B8D"/>
    <w:rsid w:val="00391586"/>
    <w:rsid w:val="00394128"/>
    <w:rsid w:val="003947A4"/>
    <w:rsid w:val="00395235"/>
    <w:rsid w:val="0039561A"/>
    <w:rsid w:val="00397C7D"/>
    <w:rsid w:val="003A004F"/>
    <w:rsid w:val="003B4130"/>
    <w:rsid w:val="003B65AB"/>
    <w:rsid w:val="003B67D3"/>
    <w:rsid w:val="003B6C76"/>
    <w:rsid w:val="003B715B"/>
    <w:rsid w:val="003C4630"/>
    <w:rsid w:val="003D1D14"/>
    <w:rsid w:val="003D6C7C"/>
    <w:rsid w:val="003D6EFB"/>
    <w:rsid w:val="003D7E52"/>
    <w:rsid w:val="003E1F34"/>
    <w:rsid w:val="003E25C6"/>
    <w:rsid w:val="003E6BEB"/>
    <w:rsid w:val="003F145B"/>
    <w:rsid w:val="003F2122"/>
    <w:rsid w:val="003F326A"/>
    <w:rsid w:val="004011AA"/>
    <w:rsid w:val="0040202C"/>
    <w:rsid w:val="00406508"/>
    <w:rsid w:val="0041456E"/>
    <w:rsid w:val="00414F7E"/>
    <w:rsid w:val="004164F8"/>
    <w:rsid w:val="00416830"/>
    <w:rsid w:val="00417FD0"/>
    <w:rsid w:val="00420B7F"/>
    <w:rsid w:val="004234BA"/>
    <w:rsid w:val="0042488B"/>
    <w:rsid w:val="00427732"/>
    <w:rsid w:val="004427B7"/>
    <w:rsid w:val="0044349F"/>
    <w:rsid w:val="00445F1F"/>
    <w:rsid w:val="00451F60"/>
    <w:rsid w:val="00452BB2"/>
    <w:rsid w:val="00453527"/>
    <w:rsid w:val="00455467"/>
    <w:rsid w:val="0045656D"/>
    <w:rsid w:val="004578E0"/>
    <w:rsid w:val="00462D98"/>
    <w:rsid w:val="00472A44"/>
    <w:rsid w:val="00473A89"/>
    <w:rsid w:val="004745C6"/>
    <w:rsid w:val="00474D3B"/>
    <w:rsid w:val="00475899"/>
    <w:rsid w:val="004802A8"/>
    <w:rsid w:val="00482C78"/>
    <w:rsid w:val="004874AE"/>
    <w:rsid w:val="00492E2B"/>
    <w:rsid w:val="00494D24"/>
    <w:rsid w:val="004951D1"/>
    <w:rsid w:val="004A27D0"/>
    <w:rsid w:val="004A4D67"/>
    <w:rsid w:val="004A6A90"/>
    <w:rsid w:val="004A6FD2"/>
    <w:rsid w:val="004B2D4C"/>
    <w:rsid w:val="004C7378"/>
    <w:rsid w:val="004D1030"/>
    <w:rsid w:val="004D3D4B"/>
    <w:rsid w:val="004D5498"/>
    <w:rsid w:val="004D66A5"/>
    <w:rsid w:val="004D6B00"/>
    <w:rsid w:val="004D7951"/>
    <w:rsid w:val="004E0AE0"/>
    <w:rsid w:val="004E1D50"/>
    <w:rsid w:val="004E502F"/>
    <w:rsid w:val="004E6C6A"/>
    <w:rsid w:val="004F0396"/>
    <w:rsid w:val="00501382"/>
    <w:rsid w:val="00501E26"/>
    <w:rsid w:val="00503E2F"/>
    <w:rsid w:val="005054B9"/>
    <w:rsid w:val="00506E4F"/>
    <w:rsid w:val="00510798"/>
    <w:rsid w:val="005146A9"/>
    <w:rsid w:val="00514ED8"/>
    <w:rsid w:val="00515F12"/>
    <w:rsid w:val="00522B2E"/>
    <w:rsid w:val="00524A11"/>
    <w:rsid w:val="00525BEE"/>
    <w:rsid w:val="00527768"/>
    <w:rsid w:val="005327FB"/>
    <w:rsid w:val="00533FCA"/>
    <w:rsid w:val="0053524C"/>
    <w:rsid w:val="00541C0B"/>
    <w:rsid w:val="0054317E"/>
    <w:rsid w:val="00544C2A"/>
    <w:rsid w:val="00546D49"/>
    <w:rsid w:val="005512EB"/>
    <w:rsid w:val="00556D4C"/>
    <w:rsid w:val="005614B4"/>
    <w:rsid w:val="005616B5"/>
    <w:rsid w:val="00571315"/>
    <w:rsid w:val="0057573B"/>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24B8"/>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1F12"/>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1B3"/>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4AD"/>
    <w:rsid w:val="00702CF1"/>
    <w:rsid w:val="00703635"/>
    <w:rsid w:val="007054AA"/>
    <w:rsid w:val="00706D4B"/>
    <w:rsid w:val="00707B8C"/>
    <w:rsid w:val="00710804"/>
    <w:rsid w:val="0071110A"/>
    <w:rsid w:val="00711FC6"/>
    <w:rsid w:val="007130B1"/>
    <w:rsid w:val="00715071"/>
    <w:rsid w:val="0072140F"/>
    <w:rsid w:val="007231E9"/>
    <w:rsid w:val="00727C59"/>
    <w:rsid w:val="00734E5D"/>
    <w:rsid w:val="00735AF1"/>
    <w:rsid w:val="00736013"/>
    <w:rsid w:val="00737661"/>
    <w:rsid w:val="00753D83"/>
    <w:rsid w:val="00755D75"/>
    <w:rsid w:val="00756245"/>
    <w:rsid w:val="0076130F"/>
    <w:rsid w:val="00761662"/>
    <w:rsid w:val="00764043"/>
    <w:rsid w:val="007757CF"/>
    <w:rsid w:val="00776FFC"/>
    <w:rsid w:val="0078128F"/>
    <w:rsid w:val="0078683C"/>
    <w:rsid w:val="00790EDB"/>
    <w:rsid w:val="00791538"/>
    <w:rsid w:val="007918F0"/>
    <w:rsid w:val="00791CD5"/>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5E4A"/>
    <w:rsid w:val="007F5C72"/>
    <w:rsid w:val="00801028"/>
    <w:rsid w:val="00802CE2"/>
    <w:rsid w:val="00803793"/>
    <w:rsid w:val="008043CA"/>
    <w:rsid w:val="0080643F"/>
    <w:rsid w:val="00814052"/>
    <w:rsid w:val="008149FD"/>
    <w:rsid w:val="00817A01"/>
    <w:rsid w:val="0082083B"/>
    <w:rsid w:val="00824F21"/>
    <w:rsid w:val="0082500C"/>
    <w:rsid w:val="00825E35"/>
    <w:rsid w:val="0083320B"/>
    <w:rsid w:val="008334F8"/>
    <w:rsid w:val="008341AA"/>
    <w:rsid w:val="00835D8E"/>
    <w:rsid w:val="008372F6"/>
    <w:rsid w:val="008377CA"/>
    <w:rsid w:val="00844D03"/>
    <w:rsid w:val="00847B0F"/>
    <w:rsid w:val="00847DBC"/>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5AE0"/>
    <w:rsid w:val="008B7932"/>
    <w:rsid w:val="008C4704"/>
    <w:rsid w:val="008C67F2"/>
    <w:rsid w:val="008D064A"/>
    <w:rsid w:val="008D0FDB"/>
    <w:rsid w:val="008D2B0F"/>
    <w:rsid w:val="008D30BC"/>
    <w:rsid w:val="008D4BC4"/>
    <w:rsid w:val="008E449E"/>
    <w:rsid w:val="008E7062"/>
    <w:rsid w:val="008F187F"/>
    <w:rsid w:val="008F402F"/>
    <w:rsid w:val="008F55FA"/>
    <w:rsid w:val="008F5CEE"/>
    <w:rsid w:val="008F613F"/>
    <w:rsid w:val="008F76E8"/>
    <w:rsid w:val="008F7CD0"/>
    <w:rsid w:val="00902902"/>
    <w:rsid w:val="00902A4B"/>
    <w:rsid w:val="009078A1"/>
    <w:rsid w:val="00911E9C"/>
    <w:rsid w:val="00915083"/>
    <w:rsid w:val="00917405"/>
    <w:rsid w:val="00920035"/>
    <w:rsid w:val="00920F7C"/>
    <w:rsid w:val="00922958"/>
    <w:rsid w:val="00934CAE"/>
    <w:rsid w:val="0094257D"/>
    <w:rsid w:val="00942F60"/>
    <w:rsid w:val="0095211B"/>
    <w:rsid w:val="0095467C"/>
    <w:rsid w:val="00954A61"/>
    <w:rsid w:val="00955C6F"/>
    <w:rsid w:val="00966C7B"/>
    <w:rsid w:val="009701DC"/>
    <w:rsid w:val="009715D8"/>
    <w:rsid w:val="00976F32"/>
    <w:rsid w:val="00980D0D"/>
    <w:rsid w:val="00985C4B"/>
    <w:rsid w:val="00994568"/>
    <w:rsid w:val="00995BF9"/>
    <w:rsid w:val="00997C3C"/>
    <w:rsid w:val="009A0CAF"/>
    <w:rsid w:val="009A1474"/>
    <w:rsid w:val="009A2207"/>
    <w:rsid w:val="009A5147"/>
    <w:rsid w:val="009A74C4"/>
    <w:rsid w:val="009B02D2"/>
    <w:rsid w:val="009B6C42"/>
    <w:rsid w:val="009B6CC2"/>
    <w:rsid w:val="009D31F7"/>
    <w:rsid w:val="009D32C2"/>
    <w:rsid w:val="009D50DB"/>
    <w:rsid w:val="009D72A0"/>
    <w:rsid w:val="009D7989"/>
    <w:rsid w:val="009E3A0A"/>
    <w:rsid w:val="009F26D4"/>
    <w:rsid w:val="009F3E91"/>
    <w:rsid w:val="009F6CE7"/>
    <w:rsid w:val="009F7D7D"/>
    <w:rsid w:val="00A01670"/>
    <w:rsid w:val="00A1499B"/>
    <w:rsid w:val="00A20879"/>
    <w:rsid w:val="00A20AFC"/>
    <w:rsid w:val="00A23E47"/>
    <w:rsid w:val="00A314C2"/>
    <w:rsid w:val="00A43B9C"/>
    <w:rsid w:val="00A53155"/>
    <w:rsid w:val="00A546B5"/>
    <w:rsid w:val="00A56FFA"/>
    <w:rsid w:val="00A577AE"/>
    <w:rsid w:val="00A63E86"/>
    <w:rsid w:val="00A65A1C"/>
    <w:rsid w:val="00A757C3"/>
    <w:rsid w:val="00A75E5B"/>
    <w:rsid w:val="00A7684A"/>
    <w:rsid w:val="00A80B42"/>
    <w:rsid w:val="00A82AED"/>
    <w:rsid w:val="00A83B69"/>
    <w:rsid w:val="00A86533"/>
    <w:rsid w:val="00A9176A"/>
    <w:rsid w:val="00A91CA2"/>
    <w:rsid w:val="00A92FB8"/>
    <w:rsid w:val="00A93B2F"/>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2A45"/>
    <w:rsid w:val="00B039E3"/>
    <w:rsid w:val="00B043C1"/>
    <w:rsid w:val="00B122AC"/>
    <w:rsid w:val="00B22838"/>
    <w:rsid w:val="00B27D52"/>
    <w:rsid w:val="00B32BC1"/>
    <w:rsid w:val="00B33E95"/>
    <w:rsid w:val="00B34EE1"/>
    <w:rsid w:val="00B35B5E"/>
    <w:rsid w:val="00B3720B"/>
    <w:rsid w:val="00B40EE3"/>
    <w:rsid w:val="00B4535A"/>
    <w:rsid w:val="00B55271"/>
    <w:rsid w:val="00B5558A"/>
    <w:rsid w:val="00B56513"/>
    <w:rsid w:val="00B56B2E"/>
    <w:rsid w:val="00B63031"/>
    <w:rsid w:val="00B64376"/>
    <w:rsid w:val="00B71533"/>
    <w:rsid w:val="00B7157A"/>
    <w:rsid w:val="00B73B2A"/>
    <w:rsid w:val="00B7401F"/>
    <w:rsid w:val="00B806A7"/>
    <w:rsid w:val="00B806C3"/>
    <w:rsid w:val="00B838F5"/>
    <w:rsid w:val="00B84FCA"/>
    <w:rsid w:val="00B9089F"/>
    <w:rsid w:val="00B91AEE"/>
    <w:rsid w:val="00B931D5"/>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6D98"/>
    <w:rsid w:val="00BF376F"/>
    <w:rsid w:val="00BF46A6"/>
    <w:rsid w:val="00BF5AE0"/>
    <w:rsid w:val="00BF62CF"/>
    <w:rsid w:val="00BF6B98"/>
    <w:rsid w:val="00BF73D6"/>
    <w:rsid w:val="00C06545"/>
    <w:rsid w:val="00C1161C"/>
    <w:rsid w:val="00C17F66"/>
    <w:rsid w:val="00C220FC"/>
    <w:rsid w:val="00C23C86"/>
    <w:rsid w:val="00C24DFA"/>
    <w:rsid w:val="00C314B9"/>
    <w:rsid w:val="00C35561"/>
    <w:rsid w:val="00C4202A"/>
    <w:rsid w:val="00C4211F"/>
    <w:rsid w:val="00C445D3"/>
    <w:rsid w:val="00C46A36"/>
    <w:rsid w:val="00C47037"/>
    <w:rsid w:val="00C53625"/>
    <w:rsid w:val="00C602C1"/>
    <w:rsid w:val="00C60C6D"/>
    <w:rsid w:val="00C61C98"/>
    <w:rsid w:val="00C63FC0"/>
    <w:rsid w:val="00C66392"/>
    <w:rsid w:val="00C74C5E"/>
    <w:rsid w:val="00C77487"/>
    <w:rsid w:val="00C77C9A"/>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0EF6"/>
    <w:rsid w:val="00CE2486"/>
    <w:rsid w:val="00CE4913"/>
    <w:rsid w:val="00CE66BD"/>
    <w:rsid w:val="00CF0671"/>
    <w:rsid w:val="00CF44AD"/>
    <w:rsid w:val="00CF4FC0"/>
    <w:rsid w:val="00CF7642"/>
    <w:rsid w:val="00D00717"/>
    <w:rsid w:val="00D03909"/>
    <w:rsid w:val="00D1072F"/>
    <w:rsid w:val="00D108A5"/>
    <w:rsid w:val="00D131F9"/>
    <w:rsid w:val="00D14585"/>
    <w:rsid w:val="00D20EFF"/>
    <w:rsid w:val="00D30F1B"/>
    <w:rsid w:val="00D30FC0"/>
    <w:rsid w:val="00D34F0D"/>
    <w:rsid w:val="00D3516E"/>
    <w:rsid w:val="00D36FE8"/>
    <w:rsid w:val="00D4064C"/>
    <w:rsid w:val="00D47F9F"/>
    <w:rsid w:val="00D50E65"/>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ADD"/>
    <w:rsid w:val="00D853B5"/>
    <w:rsid w:val="00D86779"/>
    <w:rsid w:val="00D86EE1"/>
    <w:rsid w:val="00D9120E"/>
    <w:rsid w:val="00D913B1"/>
    <w:rsid w:val="00D93793"/>
    <w:rsid w:val="00D96126"/>
    <w:rsid w:val="00DB0C4C"/>
    <w:rsid w:val="00DB3F2F"/>
    <w:rsid w:val="00DB4B1C"/>
    <w:rsid w:val="00DB5085"/>
    <w:rsid w:val="00DB7706"/>
    <w:rsid w:val="00DC1062"/>
    <w:rsid w:val="00DC132C"/>
    <w:rsid w:val="00DC774B"/>
    <w:rsid w:val="00DD0DA9"/>
    <w:rsid w:val="00DD43F0"/>
    <w:rsid w:val="00DD44DE"/>
    <w:rsid w:val="00DD4C46"/>
    <w:rsid w:val="00DE09AB"/>
    <w:rsid w:val="00DE168E"/>
    <w:rsid w:val="00DE4A3F"/>
    <w:rsid w:val="00DE4E53"/>
    <w:rsid w:val="00DE7AE9"/>
    <w:rsid w:val="00DF4367"/>
    <w:rsid w:val="00E0574A"/>
    <w:rsid w:val="00E113BD"/>
    <w:rsid w:val="00E1243D"/>
    <w:rsid w:val="00E12588"/>
    <w:rsid w:val="00E12742"/>
    <w:rsid w:val="00E12E4A"/>
    <w:rsid w:val="00E146D4"/>
    <w:rsid w:val="00E20976"/>
    <w:rsid w:val="00E22079"/>
    <w:rsid w:val="00E22B44"/>
    <w:rsid w:val="00E236D8"/>
    <w:rsid w:val="00E30ACD"/>
    <w:rsid w:val="00E3184B"/>
    <w:rsid w:val="00E32735"/>
    <w:rsid w:val="00E5391D"/>
    <w:rsid w:val="00E544E5"/>
    <w:rsid w:val="00E6033F"/>
    <w:rsid w:val="00E61364"/>
    <w:rsid w:val="00E66E36"/>
    <w:rsid w:val="00E6781E"/>
    <w:rsid w:val="00E702ED"/>
    <w:rsid w:val="00E705CC"/>
    <w:rsid w:val="00E709A4"/>
    <w:rsid w:val="00E72C29"/>
    <w:rsid w:val="00E73822"/>
    <w:rsid w:val="00E772DB"/>
    <w:rsid w:val="00E8418F"/>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2771"/>
    <w:rsid w:val="00F06F68"/>
    <w:rsid w:val="00F10B01"/>
    <w:rsid w:val="00F1332D"/>
    <w:rsid w:val="00F1534B"/>
    <w:rsid w:val="00F1713B"/>
    <w:rsid w:val="00F212CB"/>
    <w:rsid w:val="00F23C7D"/>
    <w:rsid w:val="00F243DB"/>
    <w:rsid w:val="00F24C2D"/>
    <w:rsid w:val="00F24F1B"/>
    <w:rsid w:val="00F253D4"/>
    <w:rsid w:val="00F27356"/>
    <w:rsid w:val="00F31A2C"/>
    <w:rsid w:val="00F32A81"/>
    <w:rsid w:val="00F46998"/>
    <w:rsid w:val="00F47100"/>
    <w:rsid w:val="00F5382D"/>
    <w:rsid w:val="00F53D9C"/>
    <w:rsid w:val="00F5462B"/>
    <w:rsid w:val="00F56073"/>
    <w:rsid w:val="00F634AD"/>
    <w:rsid w:val="00F63677"/>
    <w:rsid w:val="00F63ABE"/>
    <w:rsid w:val="00F72EE6"/>
    <w:rsid w:val="00F75B81"/>
    <w:rsid w:val="00F804C4"/>
    <w:rsid w:val="00F805CC"/>
    <w:rsid w:val="00F82F83"/>
    <w:rsid w:val="00F832E5"/>
    <w:rsid w:val="00F90F40"/>
    <w:rsid w:val="00F9187D"/>
    <w:rsid w:val="00F92B30"/>
    <w:rsid w:val="00F933B9"/>
    <w:rsid w:val="00F94674"/>
    <w:rsid w:val="00F94919"/>
    <w:rsid w:val="00F94A59"/>
    <w:rsid w:val="00FA25B6"/>
    <w:rsid w:val="00FA2FAF"/>
    <w:rsid w:val="00FA5CCF"/>
    <w:rsid w:val="00FA64B1"/>
    <w:rsid w:val="00FA70F3"/>
    <w:rsid w:val="00FA71CD"/>
    <w:rsid w:val="00FA7FC5"/>
    <w:rsid w:val="00FB0453"/>
    <w:rsid w:val="00FB0C07"/>
    <w:rsid w:val="00FB298D"/>
    <w:rsid w:val="00FC1439"/>
    <w:rsid w:val="00FC3706"/>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2105DD0"/>
    <w:rsid w:val="0214602E"/>
    <w:rsid w:val="03466855"/>
    <w:rsid w:val="03486B27"/>
    <w:rsid w:val="03580FD9"/>
    <w:rsid w:val="038F541B"/>
    <w:rsid w:val="03937984"/>
    <w:rsid w:val="03FB6A30"/>
    <w:rsid w:val="040A094E"/>
    <w:rsid w:val="047D26D2"/>
    <w:rsid w:val="04B771C9"/>
    <w:rsid w:val="04DD2F90"/>
    <w:rsid w:val="04E36C96"/>
    <w:rsid w:val="05006DAE"/>
    <w:rsid w:val="056800F4"/>
    <w:rsid w:val="056F201D"/>
    <w:rsid w:val="05B664D4"/>
    <w:rsid w:val="07076C01"/>
    <w:rsid w:val="071C12AC"/>
    <w:rsid w:val="074C09BA"/>
    <w:rsid w:val="074E231E"/>
    <w:rsid w:val="0768045D"/>
    <w:rsid w:val="07A934B3"/>
    <w:rsid w:val="080A5070"/>
    <w:rsid w:val="08B15E54"/>
    <w:rsid w:val="0980799C"/>
    <w:rsid w:val="09F61D50"/>
    <w:rsid w:val="0A0F6376"/>
    <w:rsid w:val="0A353CEA"/>
    <w:rsid w:val="0A5922DF"/>
    <w:rsid w:val="0A6A18DB"/>
    <w:rsid w:val="0A96708F"/>
    <w:rsid w:val="0AEF3828"/>
    <w:rsid w:val="0AF77D07"/>
    <w:rsid w:val="0B057AEF"/>
    <w:rsid w:val="0B487B78"/>
    <w:rsid w:val="0BBB665B"/>
    <w:rsid w:val="0BFF2A12"/>
    <w:rsid w:val="0C3D65CA"/>
    <w:rsid w:val="0CB7664E"/>
    <w:rsid w:val="0D4234FE"/>
    <w:rsid w:val="0E55371B"/>
    <w:rsid w:val="0E816EC5"/>
    <w:rsid w:val="0E864017"/>
    <w:rsid w:val="0EEA6FC1"/>
    <w:rsid w:val="0EF23960"/>
    <w:rsid w:val="0F6E6D3D"/>
    <w:rsid w:val="0F7D25CB"/>
    <w:rsid w:val="0F954485"/>
    <w:rsid w:val="0FB87DF5"/>
    <w:rsid w:val="0FBF344F"/>
    <w:rsid w:val="0FC30926"/>
    <w:rsid w:val="102617AA"/>
    <w:rsid w:val="10505F32"/>
    <w:rsid w:val="105A27E6"/>
    <w:rsid w:val="10725EA8"/>
    <w:rsid w:val="10EC17B7"/>
    <w:rsid w:val="119B0711"/>
    <w:rsid w:val="12197477"/>
    <w:rsid w:val="1238653B"/>
    <w:rsid w:val="12521AED"/>
    <w:rsid w:val="129A7DEF"/>
    <w:rsid w:val="12BE27B4"/>
    <w:rsid w:val="131C5AEC"/>
    <w:rsid w:val="135463C6"/>
    <w:rsid w:val="13587E2C"/>
    <w:rsid w:val="135B2C24"/>
    <w:rsid w:val="13CC58CF"/>
    <w:rsid w:val="1413346E"/>
    <w:rsid w:val="1437543F"/>
    <w:rsid w:val="1466407E"/>
    <w:rsid w:val="146D70F1"/>
    <w:rsid w:val="147E16A4"/>
    <w:rsid w:val="14834E28"/>
    <w:rsid w:val="148E7D65"/>
    <w:rsid w:val="151D4243"/>
    <w:rsid w:val="15231BF9"/>
    <w:rsid w:val="15417840"/>
    <w:rsid w:val="156A53A0"/>
    <w:rsid w:val="15D54F0F"/>
    <w:rsid w:val="15E750C7"/>
    <w:rsid w:val="163A529F"/>
    <w:rsid w:val="166D2F25"/>
    <w:rsid w:val="16A34589"/>
    <w:rsid w:val="17823384"/>
    <w:rsid w:val="179F5278"/>
    <w:rsid w:val="18A1093B"/>
    <w:rsid w:val="18A64941"/>
    <w:rsid w:val="18B23848"/>
    <w:rsid w:val="18ED08AB"/>
    <w:rsid w:val="190B50EC"/>
    <w:rsid w:val="1A3B68AA"/>
    <w:rsid w:val="1A3E1C1E"/>
    <w:rsid w:val="1B216A79"/>
    <w:rsid w:val="1C141836"/>
    <w:rsid w:val="1DDD3AAF"/>
    <w:rsid w:val="1E6B6A14"/>
    <w:rsid w:val="1EBA6164"/>
    <w:rsid w:val="1EC16D0B"/>
    <w:rsid w:val="1F1840BF"/>
    <w:rsid w:val="1FDC3F9E"/>
    <w:rsid w:val="201425DF"/>
    <w:rsid w:val="20550D9A"/>
    <w:rsid w:val="21584C46"/>
    <w:rsid w:val="21714B53"/>
    <w:rsid w:val="218E2416"/>
    <w:rsid w:val="224E718C"/>
    <w:rsid w:val="226915FE"/>
    <w:rsid w:val="22E14C32"/>
    <w:rsid w:val="22F03260"/>
    <w:rsid w:val="23843AD1"/>
    <w:rsid w:val="238719D6"/>
    <w:rsid w:val="23A423C5"/>
    <w:rsid w:val="23AE2087"/>
    <w:rsid w:val="24B97929"/>
    <w:rsid w:val="2520252D"/>
    <w:rsid w:val="25A74283"/>
    <w:rsid w:val="26163BC1"/>
    <w:rsid w:val="267E57F4"/>
    <w:rsid w:val="26ED7BDF"/>
    <w:rsid w:val="27900AD3"/>
    <w:rsid w:val="285F40CA"/>
    <w:rsid w:val="28C01ECB"/>
    <w:rsid w:val="28EC3ECC"/>
    <w:rsid w:val="29BF71E3"/>
    <w:rsid w:val="2A127B63"/>
    <w:rsid w:val="2AAA4765"/>
    <w:rsid w:val="2AC21606"/>
    <w:rsid w:val="2AF63C5E"/>
    <w:rsid w:val="2B7E7608"/>
    <w:rsid w:val="2B7F04E9"/>
    <w:rsid w:val="2C305555"/>
    <w:rsid w:val="2C907580"/>
    <w:rsid w:val="2C9A21B9"/>
    <w:rsid w:val="2CE20523"/>
    <w:rsid w:val="2D496D68"/>
    <w:rsid w:val="2D863D27"/>
    <w:rsid w:val="2DF940F0"/>
    <w:rsid w:val="2E552C39"/>
    <w:rsid w:val="2E6672CB"/>
    <w:rsid w:val="2E7A48DE"/>
    <w:rsid w:val="2EDC3ED8"/>
    <w:rsid w:val="2EDF69A7"/>
    <w:rsid w:val="2F2D046C"/>
    <w:rsid w:val="2F6351B4"/>
    <w:rsid w:val="2F7B1AD6"/>
    <w:rsid w:val="2FCF199E"/>
    <w:rsid w:val="30183F1E"/>
    <w:rsid w:val="30483E83"/>
    <w:rsid w:val="30AA0E97"/>
    <w:rsid w:val="332B2C6A"/>
    <w:rsid w:val="334E4CD8"/>
    <w:rsid w:val="33A83169"/>
    <w:rsid w:val="343C0775"/>
    <w:rsid w:val="34762628"/>
    <w:rsid w:val="34AA76A9"/>
    <w:rsid w:val="34B67009"/>
    <w:rsid w:val="356C50EC"/>
    <w:rsid w:val="361108CD"/>
    <w:rsid w:val="36701E43"/>
    <w:rsid w:val="36A94A04"/>
    <w:rsid w:val="3700166C"/>
    <w:rsid w:val="3727617F"/>
    <w:rsid w:val="375969FE"/>
    <w:rsid w:val="37B11884"/>
    <w:rsid w:val="38694EE9"/>
    <w:rsid w:val="388A5A92"/>
    <w:rsid w:val="38A327F3"/>
    <w:rsid w:val="39552058"/>
    <w:rsid w:val="3B365CC9"/>
    <w:rsid w:val="3B9A7B88"/>
    <w:rsid w:val="3BC114FF"/>
    <w:rsid w:val="3C14387D"/>
    <w:rsid w:val="3C2660C6"/>
    <w:rsid w:val="3D2C7AC8"/>
    <w:rsid w:val="3D855D12"/>
    <w:rsid w:val="3D8B42FF"/>
    <w:rsid w:val="3D8C02DD"/>
    <w:rsid w:val="3DA231E3"/>
    <w:rsid w:val="3DC20089"/>
    <w:rsid w:val="3DF36A6E"/>
    <w:rsid w:val="3F1138E1"/>
    <w:rsid w:val="3F792F1E"/>
    <w:rsid w:val="3F903A5F"/>
    <w:rsid w:val="4024421A"/>
    <w:rsid w:val="402B1A4C"/>
    <w:rsid w:val="40824826"/>
    <w:rsid w:val="40BE01CA"/>
    <w:rsid w:val="40E63923"/>
    <w:rsid w:val="42B443F4"/>
    <w:rsid w:val="42D13930"/>
    <w:rsid w:val="42F43FD4"/>
    <w:rsid w:val="43911BC6"/>
    <w:rsid w:val="43A91E5B"/>
    <w:rsid w:val="440A59C8"/>
    <w:rsid w:val="44AD6ED3"/>
    <w:rsid w:val="44BC3308"/>
    <w:rsid w:val="45B150B1"/>
    <w:rsid w:val="45BA48DB"/>
    <w:rsid w:val="463A3650"/>
    <w:rsid w:val="469F0116"/>
    <w:rsid w:val="46F67293"/>
    <w:rsid w:val="475259B7"/>
    <w:rsid w:val="48831CF9"/>
    <w:rsid w:val="49A165B8"/>
    <w:rsid w:val="49B1408D"/>
    <w:rsid w:val="4A7D4FD2"/>
    <w:rsid w:val="4A913C9A"/>
    <w:rsid w:val="4AA46683"/>
    <w:rsid w:val="4AE22D2F"/>
    <w:rsid w:val="4B1F70AC"/>
    <w:rsid w:val="4B240F94"/>
    <w:rsid w:val="4B386AE5"/>
    <w:rsid w:val="4B774E60"/>
    <w:rsid w:val="4B9A1834"/>
    <w:rsid w:val="4BA75287"/>
    <w:rsid w:val="4BD10964"/>
    <w:rsid w:val="4BED70D6"/>
    <w:rsid w:val="4C3B3017"/>
    <w:rsid w:val="4C3C565C"/>
    <w:rsid w:val="4C4A5008"/>
    <w:rsid w:val="4CCC79C7"/>
    <w:rsid w:val="4D7555C7"/>
    <w:rsid w:val="4D875DE8"/>
    <w:rsid w:val="4E025E2A"/>
    <w:rsid w:val="4E7E62F6"/>
    <w:rsid w:val="4EAE37F8"/>
    <w:rsid w:val="4EAE6DA0"/>
    <w:rsid w:val="4EFB4CDF"/>
    <w:rsid w:val="4FD037EF"/>
    <w:rsid w:val="4FEC7FD1"/>
    <w:rsid w:val="5016514B"/>
    <w:rsid w:val="502857C7"/>
    <w:rsid w:val="50476D3D"/>
    <w:rsid w:val="507408A5"/>
    <w:rsid w:val="511659A4"/>
    <w:rsid w:val="517B6524"/>
    <w:rsid w:val="51CB1C78"/>
    <w:rsid w:val="51FD6A51"/>
    <w:rsid w:val="526B680A"/>
    <w:rsid w:val="53065A01"/>
    <w:rsid w:val="53150D15"/>
    <w:rsid w:val="5352083E"/>
    <w:rsid w:val="537D4124"/>
    <w:rsid w:val="541A5D30"/>
    <w:rsid w:val="542C1497"/>
    <w:rsid w:val="553E632F"/>
    <w:rsid w:val="557C43E2"/>
    <w:rsid w:val="55F068CD"/>
    <w:rsid w:val="56442F77"/>
    <w:rsid w:val="566C3136"/>
    <w:rsid w:val="568D04F2"/>
    <w:rsid w:val="57D42C12"/>
    <w:rsid w:val="588D6DD7"/>
    <w:rsid w:val="5919249F"/>
    <w:rsid w:val="5923464B"/>
    <w:rsid w:val="594E61F3"/>
    <w:rsid w:val="59871F22"/>
    <w:rsid w:val="59971F55"/>
    <w:rsid w:val="59C52A6E"/>
    <w:rsid w:val="5A526582"/>
    <w:rsid w:val="5A5F5C77"/>
    <w:rsid w:val="5A9102A6"/>
    <w:rsid w:val="5BBE39CD"/>
    <w:rsid w:val="5BC11A60"/>
    <w:rsid w:val="5C603AE6"/>
    <w:rsid w:val="5C7A4D54"/>
    <w:rsid w:val="5C7F5660"/>
    <w:rsid w:val="5CD23B73"/>
    <w:rsid w:val="5DB56D8D"/>
    <w:rsid w:val="5DCD7847"/>
    <w:rsid w:val="5E532442"/>
    <w:rsid w:val="5F127819"/>
    <w:rsid w:val="5F3D27AA"/>
    <w:rsid w:val="5F63752A"/>
    <w:rsid w:val="5FBC3C39"/>
    <w:rsid w:val="5FF466EA"/>
    <w:rsid w:val="60F1503F"/>
    <w:rsid w:val="61025188"/>
    <w:rsid w:val="61057D5F"/>
    <w:rsid w:val="614D4977"/>
    <w:rsid w:val="623F3C58"/>
    <w:rsid w:val="6300421A"/>
    <w:rsid w:val="63294AF4"/>
    <w:rsid w:val="63BC45E5"/>
    <w:rsid w:val="63C60FC0"/>
    <w:rsid w:val="64117FAB"/>
    <w:rsid w:val="64A93AC2"/>
    <w:rsid w:val="64BA3D7A"/>
    <w:rsid w:val="64D34C7C"/>
    <w:rsid w:val="64F179BC"/>
    <w:rsid w:val="650C6EA7"/>
    <w:rsid w:val="654D050A"/>
    <w:rsid w:val="65C94C55"/>
    <w:rsid w:val="665704D3"/>
    <w:rsid w:val="6686712D"/>
    <w:rsid w:val="669A7E24"/>
    <w:rsid w:val="66C0263F"/>
    <w:rsid w:val="670B14F0"/>
    <w:rsid w:val="673148E2"/>
    <w:rsid w:val="675445CD"/>
    <w:rsid w:val="67C065A4"/>
    <w:rsid w:val="67D359C9"/>
    <w:rsid w:val="67D85766"/>
    <w:rsid w:val="6865349E"/>
    <w:rsid w:val="68D325EF"/>
    <w:rsid w:val="68ED5241"/>
    <w:rsid w:val="68FE36DD"/>
    <w:rsid w:val="694E60FC"/>
    <w:rsid w:val="69EF4042"/>
    <w:rsid w:val="6A1A0F4D"/>
    <w:rsid w:val="6ADF0EEB"/>
    <w:rsid w:val="6BDF3567"/>
    <w:rsid w:val="6C0C59DE"/>
    <w:rsid w:val="6C410A63"/>
    <w:rsid w:val="6C671521"/>
    <w:rsid w:val="6C675CE6"/>
    <w:rsid w:val="6CEF35AF"/>
    <w:rsid w:val="6CFA2A47"/>
    <w:rsid w:val="6D3C22F3"/>
    <w:rsid w:val="6D4F4321"/>
    <w:rsid w:val="6DE95E22"/>
    <w:rsid w:val="6DFF7360"/>
    <w:rsid w:val="6E001573"/>
    <w:rsid w:val="6E3D4575"/>
    <w:rsid w:val="6E7A5F73"/>
    <w:rsid w:val="6EAE7221"/>
    <w:rsid w:val="6F2E3798"/>
    <w:rsid w:val="6FD74228"/>
    <w:rsid w:val="706032E0"/>
    <w:rsid w:val="70FE5EDF"/>
    <w:rsid w:val="71633091"/>
    <w:rsid w:val="71AC18C9"/>
    <w:rsid w:val="725E7BFA"/>
    <w:rsid w:val="72693B8A"/>
    <w:rsid w:val="730218E9"/>
    <w:rsid w:val="73081CA5"/>
    <w:rsid w:val="731735E6"/>
    <w:rsid w:val="73F2195D"/>
    <w:rsid w:val="73F41B79"/>
    <w:rsid w:val="74545B7C"/>
    <w:rsid w:val="747D56CB"/>
    <w:rsid w:val="7487762D"/>
    <w:rsid w:val="749F2380"/>
    <w:rsid w:val="75385498"/>
    <w:rsid w:val="753E7806"/>
    <w:rsid w:val="75BE5F9B"/>
    <w:rsid w:val="75E54D4E"/>
    <w:rsid w:val="766F5B43"/>
    <w:rsid w:val="769962BD"/>
    <w:rsid w:val="76BC207F"/>
    <w:rsid w:val="76EB4904"/>
    <w:rsid w:val="771D13E7"/>
    <w:rsid w:val="777378F5"/>
    <w:rsid w:val="777A2D3C"/>
    <w:rsid w:val="78537BEA"/>
    <w:rsid w:val="788F3C1F"/>
    <w:rsid w:val="78D43D28"/>
    <w:rsid w:val="79074B81"/>
    <w:rsid w:val="794F0939"/>
    <w:rsid w:val="79AF0FCA"/>
    <w:rsid w:val="79EF2560"/>
    <w:rsid w:val="7A9B6C5F"/>
    <w:rsid w:val="7AF9279C"/>
    <w:rsid w:val="7B713AB0"/>
    <w:rsid w:val="7C02295A"/>
    <w:rsid w:val="7C333FF5"/>
    <w:rsid w:val="7C3805F4"/>
    <w:rsid w:val="7C6D423F"/>
    <w:rsid w:val="7CBB3234"/>
    <w:rsid w:val="7CC51958"/>
    <w:rsid w:val="7CEC40B6"/>
    <w:rsid w:val="7D284642"/>
    <w:rsid w:val="7E156974"/>
    <w:rsid w:val="7E2936C3"/>
    <w:rsid w:val="7E2E365C"/>
    <w:rsid w:val="7E6411B9"/>
    <w:rsid w:val="7E775881"/>
    <w:rsid w:val="7F271055"/>
    <w:rsid w:val="7F58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78"/>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89"/>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64"/>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9"/>
    <w:autoRedefine/>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left="0" w:leftChars="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autoRedefine/>
    <w:qFormat/>
    <w:uiPriority w:val="0"/>
    <w:pPr>
      <w:snapToGrid w:val="0"/>
    </w:pPr>
    <w:rPr>
      <w:rFonts w:ascii="Arial" w:hAnsi="Arial"/>
    </w:rPr>
  </w:style>
  <w:style w:type="paragraph" w:styleId="9">
    <w:name w:val="toc 7"/>
    <w:basedOn w:val="1"/>
    <w:next w:val="1"/>
    <w:autoRedefine/>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Document Map"/>
    <w:basedOn w:val="1"/>
    <w:next w:val="1"/>
    <w:autoRedefine/>
    <w:qFormat/>
    <w:uiPriority w:val="0"/>
    <w:rPr>
      <w:rFonts w:ascii="宋体" w:hAnsi="Times New Roman" w:eastAsia="宋体" w:cs="Times New Roman"/>
      <w:sz w:val="18"/>
      <w:szCs w:val="18"/>
    </w:rPr>
  </w:style>
  <w:style w:type="paragraph" w:styleId="12">
    <w:name w:val="annotation text"/>
    <w:basedOn w:val="1"/>
    <w:link w:val="61"/>
    <w:autoRedefine/>
    <w:qFormat/>
    <w:uiPriority w:val="0"/>
    <w:pPr>
      <w:jc w:val="left"/>
    </w:pPr>
    <w:rPr>
      <w:rFonts w:ascii="Arial" w:hAnsi="Arial" w:eastAsia="黑体" w:cs="Arial"/>
    </w:rPr>
  </w:style>
  <w:style w:type="paragraph" w:styleId="13">
    <w:name w:val="Body Text"/>
    <w:basedOn w:val="1"/>
    <w:next w:val="14"/>
    <w:autoRedefine/>
    <w:qFormat/>
    <w:uiPriority w:val="0"/>
    <w:pPr>
      <w:spacing w:after="120"/>
    </w:pPr>
    <w:rPr>
      <w:rFonts w:ascii="@微软简标宋" w:hAnsi="@微软简标宋" w:eastAsia="@微软简标宋" w:cs="@微软简标宋"/>
      <w:szCs w:val="24"/>
      <w:lang w:val="zh-CN"/>
    </w:rPr>
  </w:style>
  <w:style w:type="paragraph" w:styleId="14">
    <w:name w:val="Body Text First Indent"/>
    <w:basedOn w:val="13"/>
    <w:next w:val="2"/>
    <w:autoRedefine/>
    <w:unhideWhenUsed/>
    <w:qFormat/>
    <w:uiPriority w:val="99"/>
    <w:pPr>
      <w:ind w:firstLine="420" w:firstLineChars="100"/>
    </w:pPr>
  </w:style>
  <w:style w:type="paragraph" w:styleId="15">
    <w:name w:val="Block Text"/>
    <w:basedOn w:val="1"/>
    <w:qFormat/>
    <w:uiPriority w:val="0"/>
    <w:rPr>
      <w:rFonts w:eastAsia="宋体"/>
    </w:rPr>
  </w:style>
  <w:style w:type="paragraph" w:styleId="1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link w:val="51"/>
    <w:autoRedefine/>
    <w:qFormat/>
    <w:uiPriority w:val="99"/>
    <w:rPr>
      <w:rFonts w:ascii="宋体" w:hAnsi="Courier New" w:eastAsiaTheme="minorEastAsia" w:cstheme="minorBidi"/>
      <w:szCs w:val="22"/>
    </w:rPr>
  </w:style>
  <w:style w:type="paragraph" w:styleId="18">
    <w:name w:val="Date"/>
    <w:basedOn w:val="1"/>
    <w:next w:val="1"/>
    <w:link w:val="58"/>
    <w:autoRedefine/>
    <w:qFormat/>
    <w:uiPriority w:val="0"/>
    <w:rPr>
      <w:rFonts w:ascii="Arial" w:hAnsi="Arial" w:eastAsia="宋体" w:cs="Arial"/>
      <w:b/>
      <w:sz w:val="28"/>
    </w:rPr>
  </w:style>
  <w:style w:type="paragraph" w:styleId="19">
    <w:name w:val="Balloon Text"/>
    <w:basedOn w:val="1"/>
    <w:link w:val="45"/>
    <w:autoRedefine/>
    <w:semiHidden/>
    <w:unhideWhenUsed/>
    <w:qFormat/>
    <w:uiPriority w:val="99"/>
    <w:rPr>
      <w:sz w:val="18"/>
      <w:szCs w:val="18"/>
    </w:rPr>
  </w:style>
  <w:style w:type="paragraph" w:styleId="20">
    <w:name w:val="footer"/>
    <w:basedOn w:val="1"/>
    <w:link w:val="50"/>
    <w:autoRedefine/>
    <w:unhideWhenUsed/>
    <w:qFormat/>
    <w:uiPriority w:val="99"/>
    <w:pPr>
      <w:tabs>
        <w:tab w:val="center" w:pos="4153"/>
        <w:tab w:val="right" w:pos="8306"/>
      </w:tabs>
      <w:snapToGrid w:val="0"/>
      <w:jc w:val="left"/>
    </w:pPr>
    <w:rPr>
      <w:sz w:val="18"/>
      <w:szCs w:val="18"/>
    </w:rPr>
  </w:style>
  <w:style w:type="paragraph" w:styleId="21">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4">
    <w:name w:val="Body Text 2"/>
    <w:basedOn w:val="1"/>
    <w:autoRedefine/>
    <w:unhideWhenUsed/>
    <w:qFormat/>
    <w:uiPriority w:val="99"/>
    <w:pPr>
      <w:spacing w:after="120" w:line="480" w:lineRule="auto"/>
    </w:pPr>
  </w:style>
  <w:style w:type="paragraph" w:styleId="25">
    <w:name w:val="Normal (Web)"/>
    <w:basedOn w:val="1"/>
    <w:autoRedefine/>
    <w:qFormat/>
    <w:uiPriority w:val="0"/>
    <w:pPr>
      <w:spacing w:before="100" w:beforeAutospacing="1" w:after="100" w:afterAutospacing="1"/>
      <w:jc w:val="left"/>
    </w:pPr>
    <w:rPr>
      <w:rFonts w:cs="Times New Roman"/>
      <w:kern w:val="0"/>
      <w:sz w:val="24"/>
    </w:rPr>
  </w:style>
  <w:style w:type="paragraph" w:styleId="26">
    <w:name w:val="index 1"/>
    <w:basedOn w:val="1"/>
    <w:next w:val="1"/>
    <w:autoRedefine/>
    <w:qFormat/>
    <w:uiPriority w:val="0"/>
    <w:pPr>
      <w:jc w:val="center"/>
    </w:pPr>
    <w:rPr>
      <w:rFonts w:ascii="Arial" w:hAnsi="Arial" w:eastAsia="Arial" w:cs="Arial"/>
      <w:b/>
      <w:bCs/>
      <w:sz w:val="28"/>
    </w:rPr>
  </w:style>
  <w:style w:type="paragraph" w:styleId="27">
    <w:name w:val="annotation subject"/>
    <w:basedOn w:val="12"/>
    <w:next w:val="12"/>
    <w:link w:val="72"/>
    <w:autoRedefine/>
    <w:semiHidden/>
    <w:unhideWhenUsed/>
    <w:qFormat/>
    <w:uiPriority w:val="99"/>
    <w:rPr>
      <w:rFonts w:ascii="@仿宋_GB2312" w:hAnsi="@仿宋_GB2312" w:eastAsia="@仿宋_GB2312" w:cs="@仿宋_GB2312"/>
      <w:b/>
      <w:bCs/>
    </w:r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FollowedHyperlink"/>
    <w:basedOn w:val="30"/>
    <w:semiHidden/>
    <w:unhideWhenUsed/>
    <w:qFormat/>
    <w:uiPriority w:val="99"/>
    <w:rPr>
      <w:color w:val="5C5C5C"/>
      <w:u w:val="non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autoRedefine/>
    <w:unhideWhenUsed/>
    <w:qFormat/>
    <w:uiPriority w:val="99"/>
    <w:rPr>
      <w:color w:val="0000FF" w:themeColor="hyperlink"/>
      <w:u w:val="single"/>
      <w14:textFill>
        <w14:solidFill>
          <w14:schemeClr w14:val="hlink"/>
        </w14:solidFill>
      </w14:textFill>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paragraph" w:customStyle="1" w:styleId="44">
    <w:name w:val="正文文字 8"/>
    <w:basedOn w:val="1"/>
    <w:next w:val="1"/>
    <w:autoRedefine/>
    <w:qFormat/>
    <w:uiPriority w:val="0"/>
    <w:pPr>
      <w:ind w:left="240"/>
    </w:pPr>
    <w:rPr>
      <w:sz w:val="16"/>
    </w:rPr>
  </w:style>
  <w:style w:type="character" w:customStyle="1" w:styleId="45">
    <w:name w:val="批注框文本 字符"/>
    <w:basedOn w:val="30"/>
    <w:link w:val="19"/>
    <w:autoRedefine/>
    <w:semiHidden/>
    <w:qFormat/>
    <w:uiPriority w:val="99"/>
    <w:rPr>
      <w:rFonts w:ascii="@仿宋_GB2312" w:hAnsi="@仿宋_GB2312" w:eastAsia="@仿宋_GB2312" w:cs="@仿宋_GB2312"/>
      <w:sz w:val="18"/>
      <w:szCs w:val="18"/>
    </w:rPr>
  </w:style>
  <w:style w:type="paragraph" w:customStyle="1" w:styleId="46">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8">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9">
    <w:name w:val="页眉 字符"/>
    <w:basedOn w:val="30"/>
    <w:link w:val="21"/>
    <w:autoRedefine/>
    <w:qFormat/>
    <w:uiPriority w:val="99"/>
    <w:rPr>
      <w:rFonts w:ascii="@仿宋_GB2312" w:hAnsi="@仿宋_GB2312" w:eastAsia="@仿宋_GB2312" w:cs="@仿宋_GB2312"/>
      <w:sz w:val="18"/>
      <w:szCs w:val="18"/>
    </w:rPr>
  </w:style>
  <w:style w:type="character" w:customStyle="1" w:styleId="50">
    <w:name w:val="页脚 字符"/>
    <w:basedOn w:val="30"/>
    <w:link w:val="20"/>
    <w:autoRedefine/>
    <w:qFormat/>
    <w:uiPriority w:val="99"/>
    <w:rPr>
      <w:rFonts w:ascii="@仿宋_GB2312" w:hAnsi="@仿宋_GB2312" w:eastAsia="@仿宋_GB2312" w:cs="@仿宋_GB2312"/>
      <w:sz w:val="18"/>
      <w:szCs w:val="18"/>
    </w:rPr>
  </w:style>
  <w:style w:type="character" w:customStyle="1" w:styleId="51">
    <w:name w:val="纯文本 字符"/>
    <w:link w:val="17"/>
    <w:autoRedefine/>
    <w:qFormat/>
    <w:uiPriority w:val="0"/>
    <w:rPr>
      <w:rFonts w:ascii="宋体" w:hAnsi="Courier New"/>
    </w:rPr>
  </w:style>
  <w:style w:type="character" w:customStyle="1" w:styleId="52">
    <w:name w:val="纯文本 字符1"/>
    <w:basedOn w:val="30"/>
    <w:autoRedefine/>
    <w:semiHidden/>
    <w:qFormat/>
    <w:uiPriority w:val="99"/>
    <w:rPr>
      <w:rFonts w:hAnsi="Courier New" w:cs="Courier New" w:asciiTheme="minorEastAsia"/>
      <w:szCs w:val="20"/>
    </w:rPr>
  </w:style>
  <w:style w:type="character" w:customStyle="1" w:styleId="53">
    <w:name w:val="未处理的提及1"/>
    <w:basedOn w:val="30"/>
    <w:autoRedefine/>
    <w:semiHidden/>
    <w:unhideWhenUsed/>
    <w:qFormat/>
    <w:uiPriority w:val="99"/>
    <w:rPr>
      <w:color w:val="605E5C"/>
      <w:shd w:val="clear" w:color="auto" w:fill="E1DFDD"/>
    </w:rPr>
  </w:style>
  <w:style w:type="paragraph" w:styleId="54">
    <w:name w:val="List Paragraph"/>
    <w:basedOn w:val="1"/>
    <w:autoRedefine/>
    <w:qFormat/>
    <w:uiPriority w:val="34"/>
    <w:pPr>
      <w:ind w:firstLine="420" w:firstLineChars="200"/>
    </w:pPr>
  </w:style>
  <w:style w:type="paragraph" w:customStyle="1" w:styleId="55">
    <w:name w:val="Char Char Char Char Char Char Char1 Char"/>
    <w:basedOn w:val="1"/>
    <w:autoRedefine/>
    <w:qFormat/>
    <w:uiPriority w:val="0"/>
    <w:rPr>
      <w:rFonts w:ascii="Arial" w:hAnsi="Arial" w:eastAsia="宋体" w:cs="Arial"/>
      <w:sz w:val="24"/>
    </w:rPr>
  </w:style>
  <w:style w:type="table" w:customStyle="1" w:styleId="56">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7">
    <w:name w:val="日期 字符"/>
    <w:basedOn w:val="30"/>
    <w:autoRedefine/>
    <w:semiHidden/>
    <w:qFormat/>
    <w:uiPriority w:val="99"/>
    <w:rPr>
      <w:rFonts w:ascii="@仿宋_GB2312" w:hAnsi="@仿宋_GB2312" w:eastAsia="@仿宋_GB2312" w:cs="@仿宋_GB2312"/>
      <w:szCs w:val="20"/>
    </w:rPr>
  </w:style>
  <w:style w:type="character" w:customStyle="1" w:styleId="58">
    <w:name w:val="日期 字符1"/>
    <w:link w:val="18"/>
    <w:autoRedefine/>
    <w:qFormat/>
    <w:uiPriority w:val="0"/>
    <w:rPr>
      <w:rFonts w:ascii="Arial" w:hAnsi="Arial" w:eastAsia="宋体" w:cs="Arial"/>
      <w:b/>
      <w:sz w:val="28"/>
      <w:szCs w:val="20"/>
    </w:rPr>
  </w:style>
  <w:style w:type="character" w:customStyle="1" w:styleId="59">
    <w:name w:val="纯文本 Char1"/>
    <w:autoRedefine/>
    <w:qFormat/>
    <w:locked/>
    <w:uiPriority w:val="99"/>
    <w:rPr>
      <w:rFonts w:ascii="Arial" w:hAnsi="Arial" w:eastAsia="Arial"/>
      <w:kern w:val="2"/>
      <w:sz w:val="21"/>
      <w:lang w:val="en-US" w:eastAsia="zh-CN" w:bidi="ar-SA"/>
    </w:rPr>
  </w:style>
  <w:style w:type="character" w:customStyle="1" w:styleId="60">
    <w:name w:val="批注文字 Char"/>
    <w:basedOn w:val="30"/>
    <w:autoRedefine/>
    <w:semiHidden/>
    <w:qFormat/>
    <w:uiPriority w:val="99"/>
    <w:rPr>
      <w:rFonts w:ascii="@仿宋_GB2312" w:hAnsi="@仿宋_GB2312" w:eastAsia="@仿宋_GB2312" w:cs="@仿宋_GB2312"/>
      <w:szCs w:val="20"/>
    </w:rPr>
  </w:style>
  <w:style w:type="character" w:customStyle="1" w:styleId="61">
    <w:name w:val="批注文字 字符"/>
    <w:link w:val="12"/>
    <w:autoRedefine/>
    <w:qFormat/>
    <w:uiPriority w:val="0"/>
    <w:rPr>
      <w:rFonts w:ascii="Arial" w:hAnsi="Arial" w:eastAsia="黑体" w:cs="Arial"/>
      <w:szCs w:val="20"/>
    </w:rPr>
  </w:style>
  <w:style w:type="character" w:customStyle="1" w:styleId="62">
    <w:name w:val="标题 1 Char"/>
    <w:basedOn w:val="30"/>
    <w:autoRedefine/>
    <w:qFormat/>
    <w:uiPriority w:val="9"/>
    <w:rPr>
      <w:rFonts w:ascii="@仿宋_GB2312" w:hAnsi="@仿宋_GB2312" w:eastAsia="@仿宋_GB2312" w:cs="@仿宋_GB2312"/>
      <w:b/>
      <w:bCs/>
      <w:kern w:val="44"/>
      <w:sz w:val="44"/>
      <w:szCs w:val="44"/>
    </w:rPr>
  </w:style>
  <w:style w:type="paragraph" w:customStyle="1" w:styleId="63">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标题 3 字符"/>
    <w:basedOn w:val="30"/>
    <w:link w:val="7"/>
    <w:autoRedefine/>
    <w:semiHidden/>
    <w:qFormat/>
    <w:uiPriority w:val="9"/>
    <w:rPr>
      <w:rFonts w:ascii="@仿宋_GB2312" w:hAnsi="@仿宋_GB2312" w:eastAsia="@仿宋_GB2312" w:cs="@仿宋_GB2312"/>
      <w:b/>
      <w:bCs/>
      <w:sz w:val="32"/>
      <w:szCs w:val="32"/>
    </w:rPr>
  </w:style>
  <w:style w:type="character" w:customStyle="1" w:styleId="65">
    <w:name w:val="fontstyle01"/>
    <w:basedOn w:val="30"/>
    <w:autoRedefine/>
    <w:qFormat/>
    <w:uiPriority w:val="0"/>
    <w:rPr>
      <w:rFonts w:hint="eastAsia" w:ascii="宋体" w:hAnsi="宋体" w:eastAsia="宋体"/>
      <w:color w:val="000000"/>
      <w:sz w:val="22"/>
      <w:szCs w:val="22"/>
    </w:rPr>
  </w:style>
  <w:style w:type="character" w:customStyle="1" w:styleId="66">
    <w:name w:val="fontstyle21"/>
    <w:basedOn w:val="30"/>
    <w:autoRedefine/>
    <w:qFormat/>
    <w:uiPriority w:val="0"/>
    <w:rPr>
      <w:rFonts w:hint="default" w:ascii="TimesNewRomanPSMT" w:hAnsi="TimesNewRomanPSMT"/>
      <w:color w:val="000000"/>
      <w:sz w:val="22"/>
      <w:szCs w:val="22"/>
    </w:rPr>
  </w:style>
  <w:style w:type="character" w:customStyle="1" w:styleId="6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8">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69">
    <w:name w:val="标题 4 字符1"/>
    <w:link w:val="8"/>
    <w:autoRedefine/>
    <w:qFormat/>
    <w:uiPriority w:val="0"/>
    <w:rPr>
      <w:rFonts w:ascii="@仿宋_GB2312" w:hAnsi="@仿宋_GB2312" w:eastAsia="@仿宋_GB2312" w:cs="@仿宋_GB2312"/>
      <w:b/>
      <w:bCs/>
      <w:sz w:val="28"/>
      <w:szCs w:val="28"/>
    </w:rPr>
  </w:style>
  <w:style w:type="character" w:customStyle="1" w:styleId="70">
    <w:name w:val="标题 4 Char"/>
    <w:autoRedefine/>
    <w:qFormat/>
    <w:uiPriority w:val="0"/>
    <w:rPr>
      <w:rFonts w:ascii="Arial" w:hAnsi="Arial" w:eastAsia="Arial"/>
      <w:b/>
      <w:bCs/>
      <w:kern w:val="2"/>
      <w:sz w:val="28"/>
      <w:szCs w:val="28"/>
      <w:lang w:val="en-US" w:eastAsia="zh-CN" w:bidi="ar-SA"/>
    </w:rPr>
  </w:style>
  <w:style w:type="table" w:customStyle="1" w:styleId="71">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批注主题 字符"/>
    <w:basedOn w:val="61"/>
    <w:link w:val="27"/>
    <w:autoRedefine/>
    <w:semiHidden/>
    <w:qFormat/>
    <w:uiPriority w:val="99"/>
    <w:rPr>
      <w:rFonts w:ascii="@仿宋_GB2312" w:hAnsi="@仿宋_GB2312" w:eastAsia="@仿宋_GB2312" w:cs="@仿宋_GB2312"/>
      <w:b/>
      <w:bCs/>
      <w:szCs w:val="20"/>
    </w:rPr>
  </w:style>
  <w:style w:type="table" w:customStyle="1" w:styleId="73">
    <w:name w:val="Table Normal"/>
    <w:autoRedefine/>
    <w:semiHidden/>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ascii="Arial" w:hAnsi="Arial" w:eastAsia="Arial" w:cs="Arial"/>
      <w:szCs w:val="21"/>
      <w:lang w:eastAsia="en-US"/>
    </w:rPr>
  </w:style>
  <w:style w:type="paragraph" w:customStyle="1" w:styleId="75">
    <w:name w:val="Table Paragraph"/>
    <w:basedOn w:val="1"/>
    <w:qFormat/>
    <w:uiPriority w:val="0"/>
    <w:rPr>
      <w:rFonts w:ascii="宋体" w:hAnsi="宋体" w:eastAsia="宋体" w:cs="宋体"/>
      <w:lang w:val="zh-CN" w:bidi="zh-CN"/>
    </w:rPr>
  </w:style>
  <w:style w:type="character" w:customStyle="1" w:styleId="76">
    <w:name w:val="font31"/>
    <w:basedOn w:val="30"/>
    <w:qFormat/>
    <w:uiPriority w:val="0"/>
    <w:rPr>
      <w:rFonts w:ascii="微软雅黑" w:hAnsi="微软雅黑" w:eastAsia="微软雅黑" w:cs="微软雅黑"/>
      <w:color w:val="000000"/>
      <w:sz w:val="24"/>
      <w:szCs w:val="24"/>
      <w:u w:val="none"/>
    </w:rPr>
  </w:style>
  <w:style w:type="character" w:customStyle="1" w:styleId="77">
    <w:name w:val="font41"/>
    <w:basedOn w:val="30"/>
    <w:qFormat/>
    <w:uiPriority w:val="0"/>
    <w:rPr>
      <w:rFonts w:ascii="Calibri" w:hAnsi="Calibri" w:cs="Calibri"/>
      <w:color w:val="000000"/>
      <w:sz w:val="24"/>
      <w:szCs w:val="24"/>
      <w:u w:val="none"/>
    </w:rPr>
  </w:style>
  <w:style w:type="character" w:customStyle="1" w:styleId="78">
    <w:name w:val="标题 1 字符"/>
    <w:link w:val="5"/>
    <w:qFormat/>
    <w:uiPriority w:val="9"/>
    <w:rPr>
      <w:b/>
      <w:bCs/>
      <w:kern w:val="44"/>
      <w:sz w:val="44"/>
      <w:szCs w:val="44"/>
    </w:rPr>
  </w:style>
  <w:style w:type="paragraph" w:customStyle="1" w:styleId="79">
    <w:name w:val="Other|1"/>
    <w:basedOn w:val="1"/>
    <w:qFormat/>
    <w:uiPriority w:val="0"/>
    <w:rPr>
      <w:rFonts w:ascii="宋体" w:hAnsi="宋体" w:eastAsia="宋体" w:cs="宋体"/>
      <w:sz w:val="19"/>
      <w:szCs w:val="19"/>
      <w:lang w:val="zh-TW" w:eastAsia="zh-TW" w:bidi="zh-TW"/>
    </w:rPr>
  </w:style>
  <w:style w:type="paragraph" w:customStyle="1" w:styleId="80">
    <w:name w:val="纯文本1"/>
    <w:basedOn w:val="1"/>
    <w:qFormat/>
    <w:uiPriority w:val="0"/>
    <w:pPr>
      <w:adjustRightInd w:val="0"/>
    </w:pPr>
    <w:rPr>
      <w:rFonts w:ascii="宋体" w:hAnsi="Courier New" w:eastAsia="楷体_GB2312"/>
      <w:sz w:val="26"/>
    </w:rPr>
  </w:style>
  <w:style w:type="paragraph" w:customStyle="1" w:styleId="81">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82">
    <w:name w:val="正文缩进1"/>
    <w:basedOn w:val="1"/>
    <w:next w:val="11"/>
    <w:autoRedefine/>
    <w:qFormat/>
    <w:uiPriority w:val="0"/>
    <w:pPr>
      <w:spacing w:line="360" w:lineRule="atLeast"/>
      <w:ind w:firstLine="482"/>
    </w:pPr>
    <w:rPr>
      <w:rFonts w:ascii="Times New Roman" w:eastAsia="宋体"/>
      <w:sz w:val="24"/>
    </w:rPr>
  </w:style>
  <w:style w:type="paragraph" w:customStyle="1" w:styleId="83">
    <w:name w:val="_Style 3"/>
    <w:basedOn w:val="1"/>
    <w:autoRedefine/>
    <w:qFormat/>
    <w:uiPriority w:val="0"/>
    <w:pPr>
      <w:ind w:firstLine="420" w:firstLineChars="200"/>
    </w:pPr>
    <w:rPr>
      <w:sz w:val="20"/>
    </w:rPr>
  </w:style>
  <w:style w:type="paragraph" w:customStyle="1" w:styleId="84">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character" w:customStyle="1" w:styleId="85">
    <w:name w:val="hover"/>
    <w:basedOn w:val="30"/>
    <w:qFormat/>
    <w:uiPriority w:val="0"/>
    <w:rPr>
      <w:color w:val="2590EB"/>
      <w:shd w:val="clear" w:color="auto" w:fill="E9F4FD"/>
    </w:rPr>
  </w:style>
  <w:style w:type="character" w:customStyle="1" w:styleId="86">
    <w:name w:val="hover1"/>
    <w:basedOn w:val="30"/>
    <w:qFormat/>
    <w:uiPriority w:val="0"/>
    <w:rPr>
      <w:color w:val="2590EB"/>
    </w:rPr>
  </w:style>
  <w:style w:type="character" w:customStyle="1" w:styleId="87">
    <w:name w:val="hover2"/>
    <w:basedOn w:val="30"/>
    <w:qFormat/>
    <w:uiPriority w:val="0"/>
    <w:rPr>
      <w:color w:val="2590EB"/>
    </w:rPr>
  </w:style>
  <w:style w:type="character" w:customStyle="1" w:styleId="88">
    <w:name w:val="hover3"/>
    <w:basedOn w:val="30"/>
    <w:qFormat/>
    <w:uiPriority w:val="0"/>
  </w:style>
  <w:style w:type="character" w:customStyle="1" w:styleId="89">
    <w:name w:val="标题 2 字符"/>
    <w:basedOn w:val="30"/>
    <w:link w:val="6"/>
    <w:qFormat/>
    <w:uiPriority w:val="0"/>
    <w:rPr>
      <w:rFonts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74</Pages>
  <Words>5623</Words>
  <Characters>6142</Characters>
  <Lines>306</Lines>
  <Paragraphs>86</Paragraphs>
  <TotalTime>41</TotalTime>
  <ScaleCrop>false</ScaleCrop>
  <LinksUpToDate>false</LinksUpToDate>
  <CharactersWithSpaces>6217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Pim Pom丶</cp:lastModifiedBy>
  <cp:lastPrinted>2019-12-07T15:18:00Z</cp:lastPrinted>
  <dcterms:modified xsi:type="dcterms:W3CDTF">2025-08-12T03:35:49Z</dcterms:modified>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AD377D5D98C64026BAA26DA6AB34C016_13</vt:lpwstr>
  </property>
  <property fmtid="{D5CDD505-2E9C-101B-9397-08002B2CF9AE}" pid="4" name="KSOTemplateDocerSaveRecord">
    <vt:lpwstr>eyJoZGlkIjoiOTk1OGJkZDZlMmJiZjgxZThhZWQ4YzE0YWIxYTUyMmQiLCJ1c2VySWQiOiI0MDkyMjI1MTkifQ==</vt:lpwstr>
  </property>
</Properties>
</file>