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91309">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68383EE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738EEF18">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eastAsia="zh-CN"/>
        </w:rPr>
      </w:pPr>
      <w:bookmarkStart w:id="0" w:name="_Hlk9544796"/>
      <w:r>
        <w:rPr>
          <w:rFonts w:hint="eastAsia" w:asciiTheme="minorEastAsia" w:hAnsiTheme="minorEastAsia" w:eastAsiaTheme="minorEastAsia"/>
          <w:b/>
          <w:bCs/>
          <w:color w:val="auto"/>
          <w:sz w:val="52"/>
          <w:szCs w:val="52"/>
          <w:highlight w:val="none"/>
          <w:lang w:eastAsia="zh-CN"/>
        </w:rPr>
        <w:t>安徽省</w:t>
      </w:r>
      <w:r>
        <w:rPr>
          <w:rFonts w:hint="eastAsia" w:asciiTheme="minorEastAsia" w:hAnsiTheme="minorEastAsia" w:eastAsiaTheme="minorEastAsia"/>
          <w:b/>
          <w:bCs/>
          <w:color w:val="auto"/>
          <w:sz w:val="52"/>
          <w:szCs w:val="52"/>
          <w:highlight w:val="none"/>
        </w:rPr>
        <w:t>政府采购</w:t>
      </w:r>
      <w:r>
        <w:rPr>
          <w:rFonts w:hint="eastAsia" w:asciiTheme="minorEastAsia" w:hAnsiTheme="minorEastAsia" w:eastAsiaTheme="minorEastAsia"/>
          <w:b/>
          <w:bCs/>
          <w:color w:val="auto"/>
          <w:sz w:val="52"/>
          <w:szCs w:val="52"/>
          <w:highlight w:val="none"/>
          <w:lang w:eastAsia="zh-CN"/>
        </w:rPr>
        <w:t>项目</w:t>
      </w:r>
    </w:p>
    <w:p w14:paraId="5B8E5158">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rPr>
        <w:t>单一来源采购文件示范文本</w:t>
      </w:r>
    </w:p>
    <w:p w14:paraId="7ABF1074">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rPr>
        <w:t>（服务类）</w:t>
      </w:r>
    </w:p>
    <w:p w14:paraId="557D3474">
      <w:pPr>
        <w:tabs>
          <w:tab w:val="left" w:pos="315"/>
          <w:tab w:val="left" w:pos="8820"/>
        </w:tabs>
        <w:spacing w:before="240" w:beforeLines="100" w:after="120" w:afterLines="50" w:line="500" w:lineRule="exact"/>
        <w:ind w:right="267" w:rightChars="127"/>
        <w:jc w:val="center"/>
        <w:rPr>
          <w:color w:val="auto"/>
          <w:highlight w:val="none"/>
        </w:rPr>
      </w:pPr>
      <w:r>
        <w:rPr>
          <w:rFonts w:hint="eastAsia" w:asciiTheme="minorEastAsia" w:hAnsiTheme="minorEastAsia" w:eastAsiaTheme="minorEastAsia"/>
          <w:b/>
          <w:bCs/>
          <w:color w:val="auto"/>
          <w:sz w:val="52"/>
          <w:szCs w:val="52"/>
          <w:highlight w:val="none"/>
          <w:lang w:eastAsia="zh-CN"/>
        </w:rPr>
        <w:t>（</w:t>
      </w:r>
      <w:r>
        <w:rPr>
          <w:rFonts w:hint="eastAsia" w:asciiTheme="minorEastAsia" w:hAnsiTheme="minorEastAsia" w:eastAsiaTheme="minorEastAsia"/>
          <w:b/>
          <w:bCs/>
          <w:color w:val="auto"/>
          <w:sz w:val="52"/>
          <w:szCs w:val="52"/>
          <w:highlight w:val="none"/>
          <w:lang w:val="en-US" w:eastAsia="zh-CN"/>
        </w:rPr>
        <w:t>2024年版</w:t>
      </w:r>
      <w:r>
        <w:rPr>
          <w:rFonts w:hint="eastAsia" w:asciiTheme="minorEastAsia" w:hAnsiTheme="minorEastAsia" w:eastAsiaTheme="minorEastAsia"/>
          <w:b/>
          <w:bCs/>
          <w:color w:val="auto"/>
          <w:sz w:val="52"/>
          <w:szCs w:val="52"/>
          <w:highlight w:val="none"/>
          <w:lang w:eastAsia="zh-CN"/>
        </w:rPr>
        <w:t>）</w:t>
      </w:r>
    </w:p>
    <w:bookmarkEnd w:id="0"/>
    <w:p w14:paraId="1E2E7983">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Cs/>
          <w:color w:val="auto"/>
          <w:sz w:val="44"/>
          <w:szCs w:val="44"/>
          <w:highlight w:val="none"/>
        </w:rPr>
      </w:pPr>
    </w:p>
    <w:p w14:paraId="2B050204">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292C809">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D7E5C06">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4B383D0">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239A0940">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6E115ADE">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b/>
          <w:color w:val="auto"/>
          <w:sz w:val="32"/>
          <w:szCs w:val="32"/>
          <w:highlight w:val="none"/>
          <w:u w:val="single"/>
          <w:lang w:val="en-US" w:eastAsia="zh-CN"/>
        </w:rPr>
      </w:pPr>
      <w:r>
        <w:rPr>
          <w:rFonts w:hint="eastAsia" w:asciiTheme="minorEastAsia" w:hAnsiTheme="minorEastAsia" w:eastAsiaTheme="minorEastAsia"/>
          <w:b/>
          <w:color w:val="auto"/>
          <w:spacing w:val="20"/>
          <w:kern w:val="0"/>
          <w:sz w:val="32"/>
          <w:szCs w:val="32"/>
          <w:highlight w:val="none"/>
        </w:rPr>
        <w:t>项目名称：</w:t>
      </w:r>
      <w:r>
        <w:rPr>
          <w:rFonts w:hint="eastAsia" w:asciiTheme="minorEastAsia" w:hAnsiTheme="minorEastAsia" w:eastAsiaTheme="minorEastAsia"/>
          <w:b/>
          <w:color w:val="auto"/>
          <w:spacing w:val="20"/>
          <w:kern w:val="0"/>
          <w:sz w:val="32"/>
          <w:szCs w:val="32"/>
          <w:highlight w:val="none"/>
          <w:u w:val="single"/>
        </w:rPr>
        <w:t>2026-2028年度全国会计专业技术资格无纸化考试滁州考点服务</w:t>
      </w:r>
      <w:r>
        <w:rPr>
          <w:rFonts w:hint="eastAsia" w:asciiTheme="minorEastAsia" w:hAnsiTheme="minorEastAsia" w:eastAsiaTheme="minorEastAsia"/>
          <w:b/>
          <w:color w:val="auto"/>
          <w:spacing w:val="20"/>
          <w:kern w:val="0"/>
          <w:sz w:val="32"/>
          <w:szCs w:val="32"/>
          <w:highlight w:val="none"/>
          <w:u w:val="single"/>
          <w:lang w:eastAsia="zh-CN"/>
        </w:rPr>
        <w:t>（</w:t>
      </w:r>
      <w:r>
        <w:rPr>
          <w:rFonts w:hint="eastAsia" w:asciiTheme="minorEastAsia" w:hAnsiTheme="minorEastAsia" w:eastAsiaTheme="minorEastAsia"/>
          <w:b/>
          <w:color w:val="auto"/>
          <w:spacing w:val="20"/>
          <w:kern w:val="0"/>
          <w:sz w:val="32"/>
          <w:szCs w:val="32"/>
          <w:highlight w:val="none"/>
          <w:u w:val="single"/>
          <w:lang w:val="en-US" w:eastAsia="zh-CN"/>
        </w:rPr>
        <w:t>三次</w:t>
      </w:r>
      <w:r>
        <w:rPr>
          <w:rFonts w:hint="eastAsia" w:asciiTheme="minorEastAsia" w:hAnsiTheme="minorEastAsia" w:eastAsiaTheme="minorEastAsia"/>
          <w:b/>
          <w:color w:val="auto"/>
          <w:spacing w:val="20"/>
          <w:kern w:val="0"/>
          <w:sz w:val="32"/>
          <w:szCs w:val="32"/>
          <w:highlight w:val="none"/>
          <w:u w:val="single"/>
          <w:lang w:eastAsia="zh-CN"/>
        </w:rPr>
        <w:t>）</w:t>
      </w:r>
    </w:p>
    <w:p w14:paraId="7237F73B">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b/>
          <w:color w:val="auto"/>
          <w:spacing w:val="20"/>
          <w:kern w:val="0"/>
          <w:sz w:val="32"/>
          <w:szCs w:val="32"/>
          <w:highlight w:val="none"/>
          <w:lang w:val="en-US" w:eastAsia="zh-CN"/>
        </w:rPr>
      </w:pPr>
      <w:r>
        <w:rPr>
          <w:rFonts w:hint="eastAsia" w:asciiTheme="minorEastAsia" w:hAnsiTheme="minorEastAsia" w:eastAsiaTheme="minorEastAsia"/>
          <w:b/>
          <w:color w:val="auto"/>
          <w:spacing w:val="20"/>
          <w:kern w:val="0"/>
          <w:sz w:val="32"/>
          <w:szCs w:val="32"/>
          <w:highlight w:val="none"/>
        </w:rPr>
        <w:t>项目编号：</w:t>
      </w:r>
      <w:r>
        <w:rPr>
          <w:rFonts w:hint="eastAsia" w:asciiTheme="minorEastAsia" w:hAnsiTheme="minorEastAsia" w:eastAsiaTheme="minorEastAsia"/>
          <w:b/>
          <w:color w:val="auto"/>
          <w:sz w:val="32"/>
          <w:szCs w:val="32"/>
          <w:highlight w:val="none"/>
          <w:u w:val="single"/>
        </w:rPr>
        <w:t xml:space="preserve"> czsjcg202512-023</w:t>
      </w:r>
      <w:r>
        <w:rPr>
          <w:rFonts w:hint="eastAsia" w:asciiTheme="minorEastAsia" w:hAnsiTheme="minorEastAsia" w:eastAsiaTheme="minorEastAsia"/>
          <w:b/>
          <w:color w:val="auto"/>
          <w:sz w:val="32"/>
          <w:szCs w:val="32"/>
          <w:highlight w:val="none"/>
          <w:u w:val="single"/>
          <w:lang w:val="en-US" w:eastAsia="zh-CN"/>
        </w:rPr>
        <w:t xml:space="preserve"> </w:t>
      </w:r>
    </w:p>
    <w:p w14:paraId="19A62C1B">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 购 人：</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u w:val="single"/>
          <w:lang w:val="en-US" w:eastAsia="zh-CN"/>
        </w:rPr>
        <w:t>滁州市财政局 </w:t>
      </w:r>
      <w:r>
        <w:rPr>
          <w:rFonts w:hint="eastAsia" w:asciiTheme="minorEastAsia" w:hAnsiTheme="minorEastAsia" w:eastAsiaTheme="minorEastAsia"/>
          <w:b/>
          <w:color w:val="auto"/>
          <w:sz w:val="32"/>
          <w:szCs w:val="32"/>
          <w:highlight w:val="none"/>
          <w:u w:val="single"/>
        </w:rPr>
        <w:t xml:space="preserve"> </w:t>
      </w:r>
    </w:p>
    <w:p w14:paraId="6922ACCB">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b/>
          <w:color w:val="auto"/>
          <w:spacing w:val="20"/>
          <w:kern w:val="0"/>
          <w:sz w:val="32"/>
          <w:szCs w:val="32"/>
          <w:highlight w:val="none"/>
          <w:lang w:eastAsia="zh-CN"/>
        </w:rPr>
      </w:pPr>
      <w:r>
        <w:rPr>
          <w:rFonts w:hint="eastAsia" w:asciiTheme="minorEastAsia" w:hAnsiTheme="minorEastAsia" w:eastAsiaTheme="minorEastAsia"/>
          <w:b/>
          <w:color w:val="auto"/>
          <w:spacing w:val="20"/>
          <w:kern w:val="0"/>
          <w:sz w:val="32"/>
          <w:szCs w:val="32"/>
          <w:highlight w:val="none"/>
        </w:rPr>
        <w:t>采购代理机构：</w:t>
      </w:r>
      <w:r>
        <w:rPr>
          <w:rFonts w:hint="eastAsia" w:asciiTheme="minorEastAsia" w:hAnsiTheme="minorEastAsia" w:eastAsiaTheme="minorEastAsia"/>
          <w:b/>
          <w:color w:val="auto"/>
          <w:sz w:val="32"/>
          <w:szCs w:val="32"/>
          <w:highlight w:val="none"/>
          <w:u w:val="single"/>
          <w:lang w:eastAsia="zh-CN"/>
        </w:rPr>
        <w:t>滁州市城投工程咨询管理有限公司</w:t>
      </w:r>
    </w:p>
    <w:p w14:paraId="7086AE9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3F4FC9EC">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2025</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12</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271E2317">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42481FD1">
      <w:pPr>
        <w:pStyle w:val="18"/>
        <w:keepNext w:val="0"/>
        <w:keepLines w:val="0"/>
        <w:pageBreakBefore w:val="0"/>
        <w:tabs>
          <w:tab w:val="right" w:leader="dot" w:pos="8279"/>
        </w:tabs>
        <w:kinsoku/>
        <w:wordWrap/>
        <w:overflowPunct/>
        <w:topLinePunct w:val="0"/>
        <w:autoSpaceDE/>
        <w:autoSpaceDN/>
        <w:bidi w:val="0"/>
        <w:adjustRightInd/>
        <w:snapToGrid/>
        <w:spacing w:after="0" w:line="720" w:lineRule="exact"/>
        <w:textAlignment w:val="auto"/>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_Toc22016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单一来源采购</w:t>
      </w:r>
      <w:r>
        <w:rPr>
          <w:rFonts w:asciiTheme="minorEastAsia" w:hAnsiTheme="minorEastAsia" w:eastAsiaTheme="minorEastAsia"/>
          <w:color w:val="auto"/>
          <w:highlight w:val="none"/>
        </w:rPr>
        <w:t>邀请</w:t>
      </w:r>
      <w:r>
        <w:rPr>
          <w:color w:val="auto"/>
          <w:highlight w:val="none"/>
        </w:rPr>
        <w:tab/>
      </w:r>
      <w:r>
        <w:rPr>
          <w:color w:val="auto"/>
          <w:highlight w:val="none"/>
        </w:rPr>
        <w:fldChar w:fldCharType="begin"/>
      </w:r>
      <w:r>
        <w:rPr>
          <w:color w:val="auto"/>
          <w:highlight w:val="none"/>
        </w:rPr>
        <w:instrText xml:space="preserve"> PAGEREF _Toc22016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eastAsiaTheme="minorEastAsia"/>
          <w:color w:val="auto"/>
          <w:szCs w:val="24"/>
          <w:highlight w:val="none"/>
        </w:rPr>
        <w:fldChar w:fldCharType="end"/>
      </w:r>
    </w:p>
    <w:p w14:paraId="4B512862">
      <w:pPr>
        <w:pStyle w:val="18"/>
        <w:keepNext w:val="0"/>
        <w:keepLines w:val="0"/>
        <w:pageBreakBefore w:val="0"/>
        <w:tabs>
          <w:tab w:val="right" w:leader="dot" w:pos="8279"/>
        </w:tabs>
        <w:kinsoku/>
        <w:wordWrap/>
        <w:overflowPunct/>
        <w:topLinePunct w:val="0"/>
        <w:autoSpaceDE/>
        <w:autoSpaceDN/>
        <w:bidi w:val="0"/>
        <w:adjustRightInd/>
        <w:snapToGrid/>
        <w:spacing w:after="0" w:line="720" w:lineRule="exact"/>
        <w:textAlignment w:val="auto"/>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_Toc23855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供应商</w:t>
      </w:r>
      <w:r>
        <w:rPr>
          <w:rFonts w:asciiTheme="minorEastAsia" w:hAnsiTheme="minorEastAsia" w:eastAsia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_Toc23855 \h </w:instrText>
      </w:r>
      <w:r>
        <w:rPr>
          <w:color w:val="auto"/>
          <w:highlight w:val="none"/>
        </w:rPr>
        <w:fldChar w:fldCharType="separate"/>
      </w:r>
      <w:r>
        <w:rPr>
          <w:color w:val="auto"/>
          <w:highlight w:val="none"/>
        </w:rPr>
        <w:t>4</w:t>
      </w:r>
      <w:r>
        <w:rPr>
          <w:color w:val="auto"/>
          <w:highlight w:val="none"/>
        </w:rPr>
        <w:fldChar w:fldCharType="end"/>
      </w:r>
      <w:r>
        <w:rPr>
          <w:rFonts w:asciiTheme="minorEastAsia" w:hAnsiTheme="minorEastAsia" w:eastAsiaTheme="minorEastAsia"/>
          <w:color w:val="auto"/>
          <w:szCs w:val="24"/>
          <w:highlight w:val="none"/>
        </w:rPr>
        <w:fldChar w:fldCharType="end"/>
      </w:r>
    </w:p>
    <w:p w14:paraId="089635EE">
      <w:pPr>
        <w:pStyle w:val="18"/>
        <w:keepNext w:val="0"/>
        <w:keepLines w:val="0"/>
        <w:pageBreakBefore w:val="0"/>
        <w:tabs>
          <w:tab w:val="right" w:leader="dot" w:pos="8279"/>
        </w:tabs>
        <w:kinsoku/>
        <w:wordWrap/>
        <w:overflowPunct/>
        <w:topLinePunct w:val="0"/>
        <w:autoSpaceDE/>
        <w:autoSpaceDN/>
        <w:bidi w:val="0"/>
        <w:adjustRightInd/>
        <w:snapToGrid/>
        <w:spacing w:after="0" w:line="720" w:lineRule="exact"/>
        <w:textAlignment w:val="auto"/>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_Toc25641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rFonts w:hint="eastAsia"/>
          <w:color w:val="auto"/>
          <w:highlight w:val="none"/>
          <w:lang w:val="en-US" w:eastAsia="zh-CN"/>
        </w:rPr>
        <w:t>1</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3</w:t>
      </w:r>
    </w:p>
    <w:p w14:paraId="598D06CA">
      <w:pPr>
        <w:pStyle w:val="18"/>
        <w:keepNext w:val="0"/>
        <w:keepLines w:val="0"/>
        <w:pageBreakBefore w:val="0"/>
        <w:tabs>
          <w:tab w:val="right" w:leader="dot" w:pos="8279"/>
        </w:tabs>
        <w:kinsoku/>
        <w:wordWrap/>
        <w:overflowPunct/>
        <w:topLinePunct w:val="0"/>
        <w:autoSpaceDE/>
        <w:autoSpaceDN/>
        <w:bidi w:val="0"/>
        <w:adjustRightInd/>
        <w:snapToGrid/>
        <w:spacing w:after="0" w:line="720" w:lineRule="exact"/>
        <w:textAlignment w:val="auto"/>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_Toc18944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第四章  协商程序和评审标准</w:t>
      </w:r>
      <w:r>
        <w:rPr>
          <w:color w:val="auto"/>
          <w:highlight w:val="none"/>
        </w:rPr>
        <w:tab/>
      </w:r>
      <w:r>
        <w:rPr>
          <w:rFonts w:hint="eastAsia"/>
          <w:color w:val="auto"/>
          <w:highlight w:val="none"/>
          <w:lang w:val="en-US" w:eastAsia="zh-CN"/>
        </w:rPr>
        <w:t>1</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5</w:t>
      </w:r>
    </w:p>
    <w:p w14:paraId="7C46E8F9">
      <w:pPr>
        <w:pStyle w:val="18"/>
        <w:keepNext w:val="0"/>
        <w:keepLines w:val="0"/>
        <w:pageBreakBefore w:val="0"/>
        <w:tabs>
          <w:tab w:val="right" w:leader="dot" w:pos="8279"/>
        </w:tabs>
        <w:kinsoku/>
        <w:wordWrap/>
        <w:overflowPunct/>
        <w:topLinePunct w:val="0"/>
        <w:autoSpaceDE/>
        <w:autoSpaceDN/>
        <w:bidi w:val="0"/>
        <w:adjustRightInd/>
        <w:snapToGrid/>
        <w:spacing w:after="0" w:line="720" w:lineRule="exact"/>
        <w:textAlignment w:val="auto"/>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_Toc2510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第五章  政府采购合同</w:t>
      </w:r>
      <w:r>
        <w:rPr>
          <w:color w:val="auto"/>
          <w:highlight w:val="none"/>
        </w:rPr>
        <w:tab/>
      </w:r>
      <w:r>
        <w:rPr>
          <w:rFonts w:hint="eastAsia"/>
          <w:color w:val="auto"/>
          <w:highlight w:val="none"/>
          <w:lang w:val="en-US" w:eastAsia="zh-CN"/>
        </w:rPr>
        <w:t>1</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9</w:t>
      </w:r>
    </w:p>
    <w:p w14:paraId="1534EA2D">
      <w:pPr>
        <w:pStyle w:val="18"/>
        <w:keepNext w:val="0"/>
        <w:keepLines w:val="0"/>
        <w:pageBreakBefore w:val="0"/>
        <w:tabs>
          <w:tab w:val="right" w:leader="dot" w:pos="8279"/>
        </w:tabs>
        <w:kinsoku/>
        <w:wordWrap/>
        <w:overflowPunct/>
        <w:topLinePunct w:val="0"/>
        <w:autoSpaceDE/>
        <w:autoSpaceDN/>
        <w:bidi w:val="0"/>
        <w:adjustRightInd/>
        <w:snapToGrid/>
        <w:spacing w:after="0" w:line="720" w:lineRule="exact"/>
        <w:textAlignment w:val="auto"/>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_Toc3480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第六章  响应文件格式</w:t>
      </w:r>
      <w:r>
        <w:rPr>
          <w:color w:val="auto"/>
          <w:highlight w:val="none"/>
        </w:rPr>
        <w:tab/>
      </w:r>
      <w:r>
        <w:rPr>
          <w:rFonts w:hint="eastAsia"/>
          <w:color w:val="auto"/>
          <w:highlight w:val="none"/>
          <w:lang w:val="en-US" w:eastAsia="zh-CN"/>
        </w:rPr>
        <w:t>2</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9</w:t>
      </w:r>
    </w:p>
    <w:p w14:paraId="468A458C">
      <w:pPr>
        <w:keepNext w:val="0"/>
        <w:keepLines w:val="0"/>
        <w:pageBreakBefore w:val="0"/>
        <w:kinsoku/>
        <w:wordWrap/>
        <w:overflowPunct/>
        <w:topLinePunct w:val="0"/>
        <w:autoSpaceDE/>
        <w:autoSpaceDN/>
        <w:bidi w:val="0"/>
        <w:adjustRightInd/>
        <w:snapToGrid/>
        <w:spacing w:line="720" w:lineRule="exact"/>
        <w:textAlignment w:val="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16E3B6C4">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851" w:gutter="0"/>
          <w:cols w:space="720" w:num="1"/>
          <w:docGrid w:linePitch="462" w:charSpace="0"/>
        </w:sectPr>
      </w:pPr>
    </w:p>
    <w:p w14:paraId="1A32655C">
      <w:pPr>
        <w:spacing w:line="360" w:lineRule="auto"/>
        <w:jc w:val="center"/>
        <w:outlineLvl w:val="0"/>
        <w:rPr>
          <w:rFonts w:asciiTheme="minorEastAsia" w:hAnsiTheme="minorEastAsia" w:eastAsiaTheme="minorEastAsia"/>
          <w:b/>
          <w:color w:val="auto"/>
          <w:sz w:val="28"/>
          <w:highlight w:val="none"/>
        </w:rPr>
      </w:pPr>
      <w:bookmarkStart w:id="1" w:name="_Toc22016"/>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单一来源采购</w:t>
      </w:r>
      <w:r>
        <w:rPr>
          <w:rFonts w:asciiTheme="minorEastAsia" w:hAnsiTheme="minorEastAsia" w:eastAsiaTheme="minorEastAsia"/>
          <w:b/>
          <w:color w:val="auto"/>
          <w:sz w:val="28"/>
          <w:highlight w:val="none"/>
        </w:rPr>
        <w:t>邀请</w:t>
      </w:r>
      <w:bookmarkEnd w:id="1"/>
    </w:p>
    <w:p w14:paraId="3541D186">
      <w:pPr>
        <w:keepNext w:val="0"/>
        <w:keepLines w:val="0"/>
        <w:pageBreakBefore w:val="0"/>
        <w:widowControl w:val="0"/>
        <w:kinsoku/>
        <w:wordWrap/>
        <w:overflowPunct/>
        <w:topLinePunct w:val="0"/>
        <w:autoSpaceDE/>
        <w:autoSpaceDN/>
        <w:bidi w:val="0"/>
        <w:adjustRightInd/>
        <w:snapToGrid/>
        <w:spacing w:line="500" w:lineRule="exact"/>
        <w:ind w:left="-420" w:leftChars="-200" w:firstLine="436" w:firstLineChars="181"/>
        <w:textAlignment w:val="auto"/>
        <w:outlineLvl w:val="1"/>
        <w:rPr>
          <w:rFonts w:hint="eastAsia" w:ascii="宋体" w:hAnsi="宋体" w:eastAsia="宋体" w:cs="宋体"/>
          <w:b/>
          <w:bCs/>
          <w:color w:val="auto"/>
          <w:sz w:val="24"/>
          <w:szCs w:val="24"/>
          <w:highlight w:val="none"/>
        </w:rPr>
      </w:pPr>
      <w:bookmarkStart w:id="2" w:name="_Toc18247"/>
      <w:bookmarkStart w:id="3" w:name="_Hlk24379207"/>
      <w:bookmarkStart w:id="4" w:name="_Toc16126"/>
      <w:bookmarkStart w:id="5" w:name="_Toc1215"/>
      <w:r>
        <w:rPr>
          <w:rFonts w:hint="eastAsia" w:ascii="宋体" w:hAnsi="宋体" w:eastAsia="宋体" w:cs="宋体"/>
          <w:b/>
          <w:bCs/>
          <w:color w:val="auto"/>
          <w:sz w:val="24"/>
          <w:szCs w:val="24"/>
          <w:highlight w:val="none"/>
        </w:rPr>
        <w:t>一</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项目名称及内容</w:t>
      </w:r>
    </w:p>
    <w:p w14:paraId="5D39DD7A">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1.项目编号：</w:t>
      </w:r>
      <w:r>
        <w:rPr>
          <w:rFonts w:hint="eastAsia" w:ascii="宋体" w:hAnsi="宋体" w:eastAsia="宋体" w:cs="宋体"/>
          <w:color w:val="auto"/>
          <w:sz w:val="24"/>
          <w:szCs w:val="24"/>
          <w:highlight w:val="none"/>
          <w:lang w:val="en-US" w:eastAsia="zh-CN"/>
        </w:rPr>
        <w:t>czsjcg202512-023</w:t>
      </w:r>
    </w:p>
    <w:p w14:paraId="554A4769">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2.项目名称：2026-2028年度全国会计专业技术资格无纸化考试滁州考点服务（</w:t>
      </w:r>
      <w:r>
        <w:rPr>
          <w:rFonts w:hint="eastAsia" w:ascii="宋体" w:hAnsi="宋体" w:eastAsia="宋体" w:cs="宋体"/>
          <w:color w:val="auto"/>
          <w:sz w:val="24"/>
          <w:szCs w:val="24"/>
          <w:highlight w:val="none"/>
          <w:lang w:val="en-US" w:eastAsia="zh-CN"/>
        </w:rPr>
        <w:t>三次</w:t>
      </w:r>
      <w:r>
        <w:rPr>
          <w:rFonts w:hint="eastAsia" w:ascii="宋体" w:hAnsi="宋体" w:eastAsia="宋体" w:cs="宋体"/>
          <w:color w:val="auto"/>
          <w:sz w:val="24"/>
          <w:szCs w:val="24"/>
          <w:highlight w:val="none"/>
          <w:lang w:eastAsia="zh-CN"/>
        </w:rPr>
        <w:t>）</w:t>
      </w:r>
    </w:p>
    <w:p w14:paraId="5B2594E2">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.项目概况</w:t>
      </w:r>
      <w:r>
        <w:rPr>
          <w:rFonts w:hint="eastAsia" w:ascii="宋体" w:hAnsi="宋体" w:eastAsia="宋体" w:cs="宋体"/>
          <w:color w:val="auto"/>
          <w:sz w:val="24"/>
          <w:highlight w:val="none"/>
        </w:rPr>
        <w:t>全国会计专业技术资格无纸化考试滁州考点服务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 xml:space="preserve">          </w:t>
      </w:r>
    </w:p>
    <w:p w14:paraId="1C441F55">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.项目</w:t>
      </w:r>
      <w:bookmarkStart w:id="266" w:name="_GoBack"/>
      <w:r>
        <w:rPr>
          <w:rFonts w:hint="eastAsia" w:ascii="宋体" w:hAnsi="宋体" w:eastAsia="宋体" w:cs="宋体"/>
          <w:color w:val="auto"/>
          <w:sz w:val="24"/>
          <w:szCs w:val="24"/>
          <w:highlight w:val="none"/>
          <w:lang w:eastAsia="zh-CN"/>
        </w:rPr>
        <w:t>预算</w:t>
      </w:r>
      <w:bookmarkEnd w:id="266"/>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100万元/年</w:t>
      </w:r>
    </w:p>
    <w:p w14:paraId="3EE47854">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.标段（包别）划分：共分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个包，本次采购第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包</w:t>
      </w:r>
    </w:p>
    <w:p w14:paraId="0AE61E89">
      <w:pPr>
        <w:keepNext w:val="0"/>
        <w:keepLines w:val="0"/>
        <w:pageBreakBefore w:val="0"/>
        <w:widowControl w:val="0"/>
        <w:kinsoku/>
        <w:wordWrap/>
        <w:overflowPunct/>
        <w:topLinePunct w:val="0"/>
        <w:autoSpaceDE/>
        <w:autoSpaceDN/>
        <w:bidi w:val="0"/>
        <w:adjustRightInd/>
        <w:snapToGrid/>
        <w:spacing w:line="500" w:lineRule="exact"/>
        <w:ind w:left="-420" w:leftChars="-200" w:firstLine="436" w:firstLineChars="181"/>
        <w:textAlignment w:val="auto"/>
        <w:outlineLvl w:val="1"/>
        <w:rPr>
          <w:rFonts w:hint="eastAsia" w:ascii="宋体" w:hAnsi="宋体" w:eastAsia="宋体" w:cs="宋体"/>
          <w:b/>
          <w:bCs/>
          <w:color w:val="auto"/>
          <w:sz w:val="24"/>
          <w:szCs w:val="24"/>
          <w:highlight w:val="none"/>
        </w:rPr>
      </w:pPr>
      <w:bookmarkStart w:id="6" w:name="_Toc1306"/>
      <w:bookmarkStart w:id="7" w:name="_Toc10262"/>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采购文件的获取</w:t>
      </w:r>
      <w:bookmarkEnd w:id="6"/>
      <w:bookmarkEnd w:id="7"/>
    </w:p>
    <w:p w14:paraId="4BF08B4C">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1.获取时间：</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日至</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日</w:t>
      </w:r>
    </w:p>
    <w:p w14:paraId="573BA7B6">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2.获取方式及地点：滁州市公共资源交易中心网</w:t>
      </w:r>
      <w:r>
        <w:rPr>
          <w:rFonts w:hint="eastAsia" w:ascii="宋体" w:hAnsi="宋体" w:eastAsia="宋体" w:cs="宋体"/>
          <w:color w:val="auto"/>
          <w:sz w:val="24"/>
          <w:szCs w:val="24"/>
          <w:highlight w:val="none"/>
          <w:lang w:val="en-US" w:eastAsia="zh-CN"/>
        </w:rPr>
        <w:t>网上下载</w:t>
      </w:r>
    </w:p>
    <w:p w14:paraId="751BF827">
      <w:pPr>
        <w:keepNext w:val="0"/>
        <w:keepLines w:val="0"/>
        <w:pageBreakBefore w:val="0"/>
        <w:widowControl w:val="0"/>
        <w:kinsoku/>
        <w:wordWrap/>
        <w:overflowPunct/>
        <w:topLinePunct w:val="0"/>
        <w:autoSpaceDE/>
        <w:autoSpaceDN/>
        <w:bidi w:val="0"/>
        <w:adjustRightInd/>
        <w:snapToGrid/>
        <w:spacing w:line="500" w:lineRule="exact"/>
        <w:ind w:left="-420" w:leftChars="-200" w:firstLine="436" w:firstLineChars="181"/>
        <w:textAlignment w:val="auto"/>
        <w:outlineLvl w:val="1"/>
        <w:rPr>
          <w:rFonts w:hint="eastAsia" w:ascii="宋体" w:hAnsi="宋体" w:eastAsia="宋体" w:cs="宋体"/>
          <w:b/>
          <w:bCs/>
          <w:color w:val="auto"/>
          <w:sz w:val="24"/>
          <w:szCs w:val="24"/>
          <w:highlight w:val="none"/>
        </w:rPr>
      </w:pPr>
      <w:bookmarkStart w:id="8" w:name="_Toc8662"/>
      <w:bookmarkStart w:id="9" w:name="_Toc26864"/>
      <w:r>
        <w:rPr>
          <w:rFonts w:hint="eastAsia" w:ascii="宋体" w:hAnsi="宋体" w:eastAsia="宋体" w:cs="宋体"/>
          <w:b/>
          <w:bCs/>
          <w:color w:val="auto"/>
          <w:sz w:val="24"/>
          <w:szCs w:val="24"/>
          <w:highlight w:val="none"/>
        </w:rPr>
        <w:t>三</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协商时间及地点</w:t>
      </w:r>
      <w:bookmarkEnd w:id="8"/>
      <w:bookmarkEnd w:id="9"/>
    </w:p>
    <w:p w14:paraId="3CAA071B">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1.时间：</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分</w:t>
      </w:r>
    </w:p>
    <w:p w14:paraId="469936E0">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2.地点：网上开</w:t>
      </w:r>
      <w:r>
        <w:rPr>
          <w:rFonts w:hint="eastAsia" w:ascii="宋体" w:hAnsi="宋体" w:eastAsia="宋体" w:cs="宋体"/>
          <w:color w:val="auto"/>
          <w:sz w:val="24"/>
          <w:szCs w:val="24"/>
          <w:highlight w:val="none"/>
          <w:lang w:val="en-US" w:eastAsia="zh-CN"/>
        </w:rPr>
        <w:t>启</w:t>
      </w:r>
    </w:p>
    <w:p w14:paraId="72944A20">
      <w:pPr>
        <w:keepNext w:val="0"/>
        <w:keepLines w:val="0"/>
        <w:pageBreakBefore w:val="0"/>
        <w:widowControl w:val="0"/>
        <w:kinsoku/>
        <w:wordWrap/>
        <w:overflowPunct/>
        <w:topLinePunct w:val="0"/>
        <w:autoSpaceDE/>
        <w:autoSpaceDN/>
        <w:bidi w:val="0"/>
        <w:adjustRightInd/>
        <w:snapToGrid/>
        <w:spacing w:line="500" w:lineRule="exact"/>
        <w:ind w:left="-420" w:leftChars="-200" w:firstLine="436" w:firstLineChars="181"/>
        <w:textAlignment w:val="auto"/>
        <w:outlineLvl w:val="1"/>
        <w:rPr>
          <w:rFonts w:hint="eastAsia" w:ascii="宋体" w:hAnsi="宋体" w:eastAsia="宋体" w:cs="宋体"/>
          <w:b/>
          <w:bCs/>
          <w:color w:val="auto"/>
          <w:sz w:val="24"/>
          <w:szCs w:val="24"/>
          <w:highlight w:val="none"/>
        </w:rPr>
      </w:pPr>
      <w:bookmarkStart w:id="10" w:name="_Toc22190"/>
      <w:bookmarkStart w:id="11" w:name="_Toc26484"/>
      <w:r>
        <w:rPr>
          <w:rFonts w:hint="eastAsia" w:ascii="宋体" w:hAnsi="宋体" w:eastAsia="宋体" w:cs="宋体"/>
          <w:b/>
          <w:bCs/>
          <w:color w:val="auto"/>
          <w:sz w:val="24"/>
          <w:szCs w:val="24"/>
          <w:highlight w:val="none"/>
        </w:rPr>
        <w:t>四</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响应文件提交截止时间及提交地点</w:t>
      </w:r>
      <w:bookmarkEnd w:id="10"/>
      <w:bookmarkEnd w:id="11"/>
    </w:p>
    <w:p w14:paraId="69182E15">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同协商时间及地点</w:t>
      </w:r>
    </w:p>
    <w:p w14:paraId="1811D24B">
      <w:pPr>
        <w:keepNext w:val="0"/>
        <w:keepLines w:val="0"/>
        <w:pageBreakBefore w:val="0"/>
        <w:widowControl w:val="0"/>
        <w:kinsoku/>
        <w:wordWrap/>
        <w:overflowPunct/>
        <w:topLinePunct w:val="0"/>
        <w:autoSpaceDE/>
        <w:autoSpaceDN/>
        <w:bidi w:val="0"/>
        <w:adjustRightInd/>
        <w:snapToGrid/>
        <w:spacing w:line="500" w:lineRule="exact"/>
        <w:ind w:left="-420" w:leftChars="-200" w:firstLine="436" w:firstLineChars="181"/>
        <w:textAlignment w:val="auto"/>
        <w:outlineLvl w:val="1"/>
        <w:rPr>
          <w:rFonts w:hint="eastAsia" w:ascii="宋体" w:hAnsi="宋体" w:eastAsia="宋体" w:cs="宋体"/>
          <w:b/>
          <w:bCs/>
          <w:color w:val="auto"/>
          <w:sz w:val="24"/>
          <w:szCs w:val="24"/>
          <w:highlight w:val="none"/>
        </w:rPr>
      </w:pPr>
      <w:bookmarkStart w:id="12" w:name="_Toc10200"/>
      <w:bookmarkStart w:id="13" w:name="_Toc20096"/>
      <w:r>
        <w:rPr>
          <w:rFonts w:hint="eastAsia" w:ascii="宋体" w:hAnsi="宋体" w:eastAsia="宋体" w:cs="宋体"/>
          <w:b/>
          <w:bCs/>
          <w:color w:val="auto"/>
          <w:sz w:val="24"/>
          <w:szCs w:val="24"/>
          <w:highlight w:val="none"/>
          <w:lang w:val="en-US" w:eastAsia="zh-CN"/>
        </w:rPr>
        <w:t>五、</w:t>
      </w:r>
      <w:bookmarkStart w:id="14" w:name="_Toc35393635"/>
      <w:bookmarkStart w:id="15" w:name="_Toc35393804"/>
      <w:r>
        <w:rPr>
          <w:rFonts w:hint="eastAsia" w:ascii="宋体" w:hAnsi="宋体" w:eastAsia="宋体" w:cs="宋体"/>
          <w:b/>
          <w:bCs/>
          <w:color w:val="auto"/>
          <w:sz w:val="24"/>
          <w:szCs w:val="24"/>
          <w:highlight w:val="none"/>
        </w:rPr>
        <w:t>其他补充事宜</w:t>
      </w:r>
      <w:bookmarkEnd w:id="12"/>
      <w:bookmarkEnd w:id="13"/>
      <w:bookmarkEnd w:id="14"/>
      <w:bookmarkEnd w:id="15"/>
    </w:p>
    <w:p w14:paraId="01105FC1">
      <w:pPr>
        <w:keepNext w:val="0"/>
        <w:keepLines w:val="0"/>
        <w:pageBreakBefore w:val="0"/>
        <w:widowControl w:val="0"/>
        <w:kinsoku/>
        <w:wordWrap w:val="0"/>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项目只接受在安徽省公共资源交易市场主体库（http://ggzy.ah.gov.cn/ahggfwpt-zhutiku/dengludenglu）登记并进行信息确认提交的供应商投标，未登记的供应商请及时办理CA数字证书并登录安徽省公共资源交易市场主体库进行信息填写及确认提交；已办理过CA数字证书视为已在省库登记，进行信息更新及确认提交即可。办理流程为登</w:t>
      </w:r>
      <w:r>
        <w:rPr>
          <w:rFonts w:hint="eastAsia" w:ascii="宋体" w:hAnsi="宋体" w:eastAsia="宋体" w:cs="宋体"/>
          <w:color w:val="auto"/>
          <w:sz w:val="24"/>
          <w:szCs w:val="24"/>
          <w:highlight w:val="none"/>
          <w:lang w:val="en-US" w:eastAsia="zh-CN"/>
        </w:rPr>
        <w:t>录</w:t>
      </w:r>
      <w:r>
        <w:rPr>
          <w:rFonts w:hint="eastAsia" w:ascii="宋体" w:hAnsi="宋体" w:eastAsia="宋体" w:cs="宋体"/>
          <w:color w:val="auto"/>
          <w:sz w:val="24"/>
          <w:szCs w:val="24"/>
          <w:highlight w:val="none"/>
          <w:lang w:eastAsia="zh-CN"/>
        </w:rPr>
        <w:t>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4BE081E5">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2.请供应商登录滁州市公共资源交易中心网站查看参加本项目的程序。（具体操作步骤和程序请参见服务指南&gt;交易须知&gt;投标人填写投标信息、下载文件及网上提问操作手册）。</w:t>
      </w:r>
    </w:p>
    <w:p w14:paraId="22B0EEEA">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采用不见面开标（远程解密)方式，开标时供应商无须至开标现场进行解密，开标采取远程解密方式解密投标文件，解密方式为：供应商在开标时间前使用CA数字证书登录滁州市“不见面开标系统”，网址为https：//ggzy.chuzhou.gov.cn/BidOpening,等待开标并按系统提示进行相应的供应商解密等事项，无需到开标现场。采用本方式可以观看开标现场音视频直播并进行互动交流。具体操作方法见中心网站&gt;服务指南&gt;交易须知中的《滁州市不见面开标系统操作手册》；</w:t>
      </w:r>
    </w:p>
    <w:p w14:paraId="2704508A">
      <w:pPr>
        <w:pStyle w:val="8"/>
        <w:keepNext w:val="0"/>
        <w:keepLines w:val="0"/>
        <w:pageBreakBefore w:val="0"/>
        <w:widowControl w:val="0"/>
        <w:kinsoku/>
        <w:wordWrap/>
        <w:overflowPunct/>
        <w:topLinePunct w:val="0"/>
        <w:autoSpaceDE/>
        <w:autoSpaceDN/>
        <w:bidi w:val="0"/>
        <w:adjustRightInd/>
        <w:snapToGrid/>
        <w:spacing w:after="0" w:line="500" w:lineRule="exact"/>
        <w:ind w:left="-420" w:leftChars="-200" w:firstLine="434" w:firstLineChars="181"/>
        <w:jc w:val="both"/>
        <w:textAlignment w:val="auto"/>
        <w:rPr>
          <w:rFonts w:hint="eastAsia" w:ascii="宋体" w:hAnsi="宋体" w:eastAsia="宋体" w:cs="宋体"/>
          <w:b w:val="0"/>
          <w:bCs w:val="0"/>
          <w:i/>
          <w:iCs/>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4.供应商接到远程解密指令后，须在规定时间内解密。因供应商自身原因导致投标文件在规定时间内未能解密、解密失败或解密超时，投标文件无效；因采购代理机构原因或网上平台发生故障，导致无法按时完成投标文件解密的，经采购代理机构申请后可延迟解密时间。</w:t>
      </w:r>
    </w:p>
    <w:p w14:paraId="6F04666D">
      <w:pPr>
        <w:keepNext w:val="0"/>
        <w:keepLines w:val="0"/>
        <w:pageBreakBefore w:val="0"/>
        <w:widowControl w:val="0"/>
        <w:kinsoku/>
        <w:wordWrap/>
        <w:overflowPunct/>
        <w:topLinePunct w:val="0"/>
        <w:autoSpaceDE/>
        <w:autoSpaceDN/>
        <w:bidi w:val="0"/>
        <w:adjustRightInd/>
        <w:snapToGrid/>
        <w:spacing w:line="500" w:lineRule="exact"/>
        <w:ind w:left="-420" w:leftChars="-200" w:firstLine="436" w:firstLineChars="181"/>
        <w:textAlignment w:val="auto"/>
        <w:outlineLvl w:val="1"/>
        <w:rPr>
          <w:rFonts w:hint="eastAsia" w:ascii="宋体" w:hAnsi="宋体" w:eastAsia="宋体" w:cs="宋体"/>
          <w:b/>
          <w:bCs/>
          <w:color w:val="auto"/>
          <w:sz w:val="24"/>
          <w:szCs w:val="24"/>
          <w:highlight w:val="none"/>
          <w:lang w:val="en-US" w:eastAsia="zh-CN"/>
        </w:rPr>
      </w:pPr>
      <w:bookmarkStart w:id="16" w:name="_Toc28181"/>
      <w:bookmarkStart w:id="17" w:name="_Toc17641"/>
      <w:bookmarkStart w:id="18" w:name="_Toc4317"/>
      <w:r>
        <w:rPr>
          <w:rFonts w:hint="eastAsia" w:ascii="宋体" w:hAnsi="宋体" w:eastAsia="宋体" w:cs="宋体"/>
          <w:b/>
          <w:bCs/>
          <w:color w:val="auto"/>
          <w:sz w:val="24"/>
          <w:szCs w:val="24"/>
          <w:highlight w:val="none"/>
          <w:lang w:val="en-US" w:eastAsia="zh-CN"/>
        </w:rPr>
        <w:t>六、联系方式</w:t>
      </w:r>
      <w:bookmarkEnd w:id="16"/>
      <w:bookmarkEnd w:id="17"/>
      <w:bookmarkEnd w:id="18"/>
    </w:p>
    <w:p w14:paraId="611BE06F">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1.采购人</w:t>
      </w:r>
      <w:r>
        <w:rPr>
          <w:rFonts w:hint="eastAsia" w:ascii="宋体" w:hAnsi="宋体" w:eastAsia="宋体" w:cs="宋体"/>
          <w:color w:val="auto"/>
          <w:sz w:val="24"/>
          <w:szCs w:val="24"/>
          <w:highlight w:val="none"/>
          <w:lang w:val="en-US" w:eastAsia="zh-CN"/>
        </w:rPr>
        <w:t>信息</w:t>
      </w:r>
    </w:p>
    <w:p w14:paraId="79A80002">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 称：</w:t>
      </w:r>
      <w:r>
        <w:rPr>
          <w:rFonts w:hint="eastAsia" w:ascii="宋体" w:hAnsi="宋体" w:eastAsia="宋体" w:cs="宋体"/>
          <w:color w:val="auto"/>
          <w:sz w:val="24"/>
          <w:szCs w:val="18"/>
          <w:highlight w:val="none"/>
        </w:rPr>
        <w:t>滁州市财政局</w:t>
      </w:r>
      <w:r>
        <w:rPr>
          <w:rFonts w:hint="eastAsia" w:ascii="宋体" w:hAnsi="宋体" w:eastAsia="宋体" w:cs="宋体"/>
          <w:color w:val="auto"/>
          <w:sz w:val="24"/>
          <w:szCs w:val="24"/>
          <w:highlight w:val="none"/>
          <w:lang w:val="en-US" w:eastAsia="zh-CN"/>
        </w:rPr>
        <w:t> </w:t>
      </w:r>
    </w:p>
    <w:p w14:paraId="483E7B46">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ascii="宋体" w:hAnsi="宋体" w:eastAsia="宋体" w:cs="宋体"/>
          <w:color w:val="auto"/>
          <w:sz w:val="24"/>
          <w:szCs w:val="18"/>
          <w:highlight w:val="none"/>
          <w:lang w:val="en-US" w:eastAsia="zh-CN"/>
        </w:rPr>
        <w:t>滁州市龙蟠大道99号政务中心东4楼</w:t>
      </w:r>
    </w:p>
    <w:p w14:paraId="6D78789D">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18"/>
          <w:highlight w:val="none"/>
          <w:lang w:val="en-US" w:eastAsia="zh-CN"/>
        </w:rPr>
        <w:t>陈伟</w:t>
      </w:r>
      <w:r>
        <w:rPr>
          <w:rFonts w:hint="eastAsia" w:ascii="宋体" w:hAnsi="宋体" w:eastAsia="宋体" w:cs="宋体"/>
          <w:color w:val="auto"/>
          <w:sz w:val="24"/>
          <w:szCs w:val="24"/>
          <w:highlight w:val="none"/>
          <w:lang w:eastAsia="zh-CN"/>
        </w:rPr>
        <w:t xml:space="preserve"> </w:t>
      </w:r>
    </w:p>
    <w:p w14:paraId="264A2D60">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18"/>
          <w:highlight w:val="none"/>
        </w:rPr>
        <w:t>0550-</w:t>
      </w:r>
      <w:r>
        <w:rPr>
          <w:rFonts w:hint="eastAsia" w:ascii="宋体" w:hAnsi="宋体" w:eastAsia="宋体" w:cs="宋体"/>
          <w:color w:val="auto"/>
          <w:sz w:val="24"/>
          <w:szCs w:val="18"/>
          <w:highlight w:val="none"/>
          <w:lang w:val="en-US" w:eastAsia="zh-CN"/>
        </w:rPr>
        <w:t>3216511、3216205</w:t>
      </w:r>
    </w:p>
    <w:p w14:paraId="512E4D14">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2.采购代理机构</w:t>
      </w:r>
      <w:r>
        <w:rPr>
          <w:rFonts w:hint="eastAsia" w:ascii="宋体" w:hAnsi="宋体" w:eastAsia="宋体" w:cs="宋体"/>
          <w:color w:val="auto"/>
          <w:sz w:val="24"/>
          <w:szCs w:val="24"/>
          <w:highlight w:val="none"/>
          <w:lang w:val="en-US" w:eastAsia="zh-CN"/>
        </w:rPr>
        <w:t>信息</w:t>
      </w:r>
    </w:p>
    <w:p w14:paraId="26C74C25">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名称：滁州市城投工程咨询管理有限公司　</w:t>
      </w:r>
    </w:p>
    <w:p w14:paraId="1D04B5FA">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地址：滁州市龙蟠大道109号房产大厦6楼</w:t>
      </w:r>
    </w:p>
    <w:p w14:paraId="213E3B3A">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联系人：关勤勤</w:t>
      </w:r>
      <w:r>
        <w:rPr>
          <w:rFonts w:hint="eastAsia" w:ascii="宋体" w:hAnsi="宋体" w:eastAsia="宋体" w:cs="宋体"/>
          <w:color w:val="auto"/>
          <w:sz w:val="24"/>
          <w:szCs w:val="24"/>
          <w:highlight w:val="none"/>
          <w:lang w:eastAsia="zh-CN"/>
        </w:rPr>
        <w:t xml:space="preserve"> </w:t>
      </w:r>
    </w:p>
    <w:p w14:paraId="4CF4953E">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lang w:eastAsia="zh-CN"/>
        </w:rPr>
        <w:t>：0550-35195</w:t>
      </w:r>
      <w:r>
        <w:rPr>
          <w:rFonts w:hint="eastAsia" w:ascii="宋体" w:hAnsi="宋体" w:eastAsia="宋体" w:cs="宋体"/>
          <w:color w:val="auto"/>
          <w:sz w:val="24"/>
          <w:szCs w:val="24"/>
          <w:highlight w:val="none"/>
          <w:lang w:val="en-US" w:eastAsia="zh-CN"/>
        </w:rPr>
        <w:t>90</w:t>
      </w:r>
    </w:p>
    <w:p w14:paraId="34FA3D95">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3.政府采购监督管理部门信息</w:t>
      </w:r>
    </w:p>
    <w:p w14:paraId="4BAA920C">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  称：滁州市公共资源交易监督管理局</w:t>
      </w:r>
    </w:p>
    <w:p w14:paraId="2D15FB7D">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址：滁州市龙蟠大道109号房产大厦三楼</w:t>
      </w:r>
    </w:p>
    <w:p w14:paraId="1BDF6A01">
      <w:pPr>
        <w:keepNext w:val="0"/>
        <w:keepLines w:val="0"/>
        <w:pageBreakBefore w:val="0"/>
        <w:widowControl w:val="0"/>
        <w:kinsoku/>
        <w:wordWrap/>
        <w:overflowPunct/>
        <w:topLinePunct w:val="0"/>
        <w:autoSpaceDE/>
        <w:autoSpaceDN/>
        <w:bidi w:val="0"/>
        <w:adjustRightInd/>
        <w:snapToGrid/>
        <w:spacing w:line="500" w:lineRule="exact"/>
        <w:ind w:left="-420" w:leftChars="-200" w:firstLine="434" w:firstLineChars="18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联系方式：0550-3801656</w:t>
      </w:r>
    </w:p>
    <w:p w14:paraId="3A86D04D">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bookmarkEnd w:id="2"/>
    <w:bookmarkEnd w:id="3"/>
    <w:bookmarkEnd w:id="4"/>
    <w:bookmarkEnd w:id="5"/>
    <w:p w14:paraId="2E209CDB">
      <w:pPr>
        <w:spacing w:line="360" w:lineRule="auto"/>
        <w:jc w:val="center"/>
        <w:outlineLvl w:val="0"/>
        <w:rPr>
          <w:rFonts w:asciiTheme="minorEastAsia" w:hAnsiTheme="minorEastAsia" w:eastAsiaTheme="minorEastAsia"/>
          <w:b/>
          <w:color w:val="auto"/>
          <w:sz w:val="28"/>
          <w:highlight w:val="none"/>
        </w:rPr>
      </w:pPr>
      <w:bookmarkStart w:id="19" w:name="_Toc2385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19"/>
    </w:p>
    <w:p w14:paraId="5EEAC5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ascii="宋体" w:hAnsi="宋体" w:eastAsia="宋体" w:cs="宋体"/>
          <w:b/>
          <w:color w:val="auto"/>
          <w:sz w:val="24"/>
          <w:szCs w:val="24"/>
          <w:highlight w:val="none"/>
        </w:rPr>
      </w:pPr>
      <w:bookmarkStart w:id="20" w:name="_Toc18850"/>
      <w:bookmarkStart w:id="21" w:name="_Toc26462"/>
      <w:r>
        <w:rPr>
          <w:rFonts w:hint="eastAsia" w:ascii="宋体" w:hAnsi="宋体" w:eastAsia="宋体" w:cs="宋体"/>
          <w:b/>
          <w:color w:val="auto"/>
          <w:sz w:val="24"/>
          <w:szCs w:val="24"/>
          <w:highlight w:val="none"/>
        </w:rPr>
        <w:t>一、供应商须知前附表</w:t>
      </w:r>
      <w:bookmarkEnd w:id="20"/>
      <w:bookmarkEnd w:id="21"/>
    </w:p>
    <w:p w14:paraId="61B3997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4"/>
          <w:highlight w:val="none"/>
        </w:rPr>
        <w:t>本表是本项目的具体要求，是对供应商须知的具体补充和修改，如有不一致，以本表为准。</w:t>
      </w:r>
    </w:p>
    <w:tbl>
      <w:tblPr>
        <w:tblStyle w:val="26"/>
        <w:tblW w:w="52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983"/>
        <w:gridCol w:w="7072"/>
      </w:tblGrid>
      <w:tr w14:paraId="34CB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29" w:type="pct"/>
            <w:vAlign w:val="center"/>
          </w:tcPr>
          <w:p w14:paraId="3F82CE31">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979" w:type="pct"/>
            <w:vAlign w:val="center"/>
          </w:tcPr>
          <w:p w14:paraId="5FF842BF">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491" w:type="pct"/>
            <w:vAlign w:val="center"/>
          </w:tcPr>
          <w:p w14:paraId="722CDE48">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3BB2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29" w:type="pct"/>
            <w:vAlign w:val="center"/>
          </w:tcPr>
          <w:p w14:paraId="272E08BE">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SA"/>
              </w:rPr>
              <w:t>10.1</w:t>
            </w:r>
          </w:p>
        </w:tc>
        <w:tc>
          <w:tcPr>
            <w:tcW w:w="979" w:type="pct"/>
            <w:vAlign w:val="center"/>
          </w:tcPr>
          <w:p w14:paraId="21D6E52A">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响应文件</w:t>
            </w:r>
            <w:r>
              <w:rPr>
                <w:rFonts w:hint="eastAsia" w:ascii="宋体" w:hAnsi="宋体" w:eastAsia="宋体" w:cs="宋体"/>
                <w:b w:val="0"/>
                <w:color w:val="auto"/>
                <w:sz w:val="24"/>
                <w:szCs w:val="24"/>
                <w:highlight w:val="none"/>
              </w:rPr>
              <w:t>有效期</w:t>
            </w:r>
          </w:p>
        </w:tc>
        <w:tc>
          <w:tcPr>
            <w:tcW w:w="3491" w:type="pct"/>
            <w:vAlign w:val="center"/>
          </w:tcPr>
          <w:p w14:paraId="4B5034C7">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60</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日历日</w:t>
            </w:r>
          </w:p>
        </w:tc>
      </w:tr>
      <w:tr w14:paraId="3A4D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9" w:type="pct"/>
            <w:vAlign w:val="center"/>
          </w:tcPr>
          <w:p w14:paraId="421E1E5E">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19</w:t>
            </w:r>
            <w:r>
              <w:rPr>
                <w:rFonts w:hint="eastAsia" w:ascii="宋体" w:hAnsi="宋体" w:eastAsia="宋体" w:cs="宋体"/>
                <w:bCs/>
                <w:color w:val="auto"/>
                <w:kern w:val="2"/>
                <w:sz w:val="24"/>
                <w:szCs w:val="24"/>
                <w:highlight w:val="none"/>
              </w:rPr>
              <w:t>.1</w:t>
            </w:r>
          </w:p>
        </w:tc>
        <w:tc>
          <w:tcPr>
            <w:tcW w:w="979" w:type="pct"/>
            <w:vAlign w:val="center"/>
          </w:tcPr>
          <w:p w14:paraId="395482E1">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成交通知书发出的形式</w:t>
            </w:r>
          </w:p>
        </w:tc>
        <w:tc>
          <w:tcPr>
            <w:tcW w:w="3491" w:type="pct"/>
            <w:vAlign w:val="center"/>
          </w:tcPr>
          <w:p w14:paraId="691A3549">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w:char="00A8"/>
            </w:r>
            <w:r>
              <w:rPr>
                <w:rFonts w:hint="eastAsia" w:ascii="宋体" w:hAnsi="宋体" w:eastAsia="宋体" w:cs="宋体"/>
                <w:b w:val="0"/>
                <w:color w:val="auto"/>
                <w:sz w:val="24"/>
                <w:szCs w:val="24"/>
                <w:highlight w:val="none"/>
              </w:rPr>
              <w:t xml:space="preserve">书面     </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数据电文</w:t>
            </w:r>
          </w:p>
        </w:tc>
      </w:tr>
      <w:tr w14:paraId="7EB5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29" w:type="pct"/>
            <w:vAlign w:val="center"/>
          </w:tcPr>
          <w:p w14:paraId="6B7A2E5B">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.1</w:t>
            </w:r>
          </w:p>
        </w:tc>
        <w:tc>
          <w:tcPr>
            <w:tcW w:w="979" w:type="pct"/>
            <w:vAlign w:val="center"/>
          </w:tcPr>
          <w:p w14:paraId="4BDD1005">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履约保证金</w:t>
            </w:r>
          </w:p>
        </w:tc>
        <w:tc>
          <w:tcPr>
            <w:tcW w:w="3491" w:type="pct"/>
            <w:vAlign w:val="top"/>
          </w:tcPr>
          <w:p w14:paraId="33F00F3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Cs/>
                <w:color w:val="auto"/>
                <w:kern w:val="0"/>
                <w:sz w:val="24"/>
                <w:szCs w:val="24"/>
                <w:highlight w:val="none"/>
              </w:rPr>
              <w:t>免收</w:t>
            </w:r>
          </w:p>
        </w:tc>
      </w:tr>
      <w:tr w14:paraId="0481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9" w:type="pct"/>
            <w:vAlign w:val="center"/>
          </w:tcPr>
          <w:p w14:paraId="42CD2C4F">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21.1</w:t>
            </w:r>
          </w:p>
        </w:tc>
        <w:tc>
          <w:tcPr>
            <w:tcW w:w="979" w:type="pct"/>
            <w:vAlign w:val="center"/>
          </w:tcPr>
          <w:p w14:paraId="00746F77">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签订合同和合同公告时间</w:t>
            </w:r>
          </w:p>
        </w:tc>
        <w:tc>
          <w:tcPr>
            <w:tcW w:w="3491" w:type="pct"/>
            <w:vAlign w:val="center"/>
          </w:tcPr>
          <w:p w14:paraId="554460EC">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（1）采购人与成交供应商应当自发出成交通知书之日起7个工作日内签订合同，采购合同签订之日起2个工作日内完成政府采购合同公开。</w:t>
            </w:r>
          </w:p>
          <w:p w14:paraId="27B377DF">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sz w:val="24"/>
                <w:szCs w:val="24"/>
                <w:highlight w:val="none"/>
              </w:rPr>
              <w:t>（2）采购人与</w:t>
            </w:r>
            <w:r>
              <w:rPr>
                <w:rFonts w:hint="eastAsia" w:ascii="宋体" w:hAnsi="宋体" w:eastAsia="宋体" w:cs="宋体"/>
                <w:b w:val="0"/>
                <w:bCs/>
                <w:color w:val="auto"/>
                <w:sz w:val="24"/>
                <w:szCs w:val="24"/>
                <w:highlight w:val="none"/>
                <w:lang w:val="en-US" w:eastAsia="zh-CN"/>
              </w:rPr>
              <w:t>成交供应商</w:t>
            </w:r>
            <w:r>
              <w:rPr>
                <w:rFonts w:hint="eastAsia" w:ascii="宋体" w:hAnsi="宋体" w:eastAsia="宋体" w:cs="宋体"/>
                <w:b w:val="0"/>
                <w:bCs/>
                <w:color w:val="auto"/>
                <w:sz w:val="24"/>
                <w:szCs w:val="24"/>
                <w:highlight w:val="none"/>
              </w:rPr>
              <w:t>不得擅自变更合同，依照政府采购法确需变更政府采购合同内容的，采购人应当自合同变更之日起2个工作日内在安徽省政府采购网</w:t>
            </w:r>
            <w:r>
              <w:rPr>
                <w:rFonts w:hint="eastAsia" w:ascii="宋体" w:hAnsi="宋体" w:eastAsia="宋体" w:cs="宋体"/>
                <w:b w:val="0"/>
                <w:bCs/>
                <w:color w:val="auto"/>
                <w:sz w:val="24"/>
                <w:szCs w:val="24"/>
                <w:highlight w:val="none"/>
                <w:lang w:val="en-US" w:eastAsia="zh-CN"/>
              </w:rPr>
              <w:t>和滁州市公共资源交易中心网站</w:t>
            </w:r>
            <w:r>
              <w:rPr>
                <w:rFonts w:hint="eastAsia" w:ascii="宋体" w:hAnsi="宋体" w:eastAsia="宋体" w:cs="宋体"/>
                <w:b w:val="0"/>
                <w:bCs/>
                <w:color w:val="auto"/>
                <w:sz w:val="24"/>
                <w:szCs w:val="24"/>
                <w:highlight w:val="none"/>
              </w:rPr>
              <w:t>（https://ggzy.chuzhou.gov.cn/）发布政府采购合同变更公告，但涉及国家秘密、商业秘密的信息和其他依法不得公开的信息除外。</w:t>
            </w:r>
          </w:p>
        </w:tc>
      </w:tr>
      <w:tr w14:paraId="54FF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9" w:type="pct"/>
            <w:vAlign w:val="center"/>
          </w:tcPr>
          <w:p w14:paraId="2591E1D4">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rPr>
              <w:t>.1</w:t>
            </w:r>
          </w:p>
        </w:tc>
        <w:tc>
          <w:tcPr>
            <w:tcW w:w="979" w:type="pct"/>
            <w:vAlign w:val="center"/>
          </w:tcPr>
          <w:p w14:paraId="271F1DEF">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代理费用</w:t>
            </w:r>
          </w:p>
        </w:tc>
        <w:tc>
          <w:tcPr>
            <w:tcW w:w="3491" w:type="pct"/>
            <w:vAlign w:val="center"/>
          </w:tcPr>
          <w:p w14:paraId="4B870A9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color w:val="auto"/>
                <w:spacing w:val="14"/>
                <w:sz w:val="24"/>
                <w:szCs w:val="24"/>
                <w:highlight w:val="none"/>
              </w:rPr>
              <w:t>中标人</w:t>
            </w:r>
          </w:p>
          <w:p w14:paraId="33ABCE8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2"/>
                <w:sz w:val="24"/>
                <w:szCs w:val="24"/>
                <w:highlight w:val="none"/>
                <w:u w:val="single" w:color="auto"/>
                <w:lang w:val="en-US" w:eastAsia="zh-CN" w:bidi="ar-SA"/>
              </w:rPr>
            </w:pPr>
            <w:r>
              <w:rPr>
                <w:rFonts w:hint="eastAsia" w:ascii="宋体" w:hAnsi="宋体" w:eastAsia="宋体" w:cs="宋体"/>
                <w:bCs/>
                <w:color w:val="auto"/>
                <w:kern w:val="0"/>
                <w:sz w:val="24"/>
                <w:szCs w:val="24"/>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银行转账</w:t>
            </w:r>
          </w:p>
          <w:p w14:paraId="0A339A91">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default" w:ascii="宋体" w:hAnsi="宋体" w:eastAsia="宋体" w:cs="宋体"/>
                <w:b w:val="0"/>
                <w:color w:val="auto"/>
                <w:sz w:val="24"/>
                <w:szCs w:val="24"/>
                <w:highlight w:val="none"/>
                <w:lang w:val="en-US"/>
              </w:rPr>
            </w:pPr>
            <w:r>
              <w:rPr>
                <w:rFonts w:hint="eastAsia" w:ascii="宋体" w:hAnsi="宋体" w:eastAsia="宋体" w:cs="宋体"/>
                <w:b w:val="0"/>
                <w:bCs w:val="0"/>
                <w:color w:val="auto"/>
                <w:kern w:val="0"/>
                <w:sz w:val="24"/>
                <w:szCs w:val="24"/>
                <w:highlight w:val="none"/>
              </w:rPr>
              <w:t>（3）</w:t>
            </w:r>
            <w:r>
              <w:rPr>
                <w:rFonts w:hint="eastAsia" w:ascii="宋体" w:hAnsi="宋体" w:eastAsia="宋体" w:cs="宋体"/>
                <w:b w:val="0"/>
                <w:bCs/>
                <w:color w:val="auto"/>
                <w:kern w:val="0"/>
                <w:sz w:val="24"/>
                <w:szCs w:val="24"/>
                <w:highlight w:val="none"/>
                <w:lang w:val="en-US" w:eastAsia="zh-CN" w:bidi="ar-SA"/>
              </w:rPr>
              <w:t>收费标准：</w:t>
            </w:r>
            <w:r>
              <w:rPr>
                <w:rFonts w:hint="eastAsia" w:ascii="宋体" w:hAnsi="宋体" w:eastAsia="宋体" w:cs="宋体"/>
                <w:b w:val="0"/>
                <w:color w:val="auto"/>
                <w:sz w:val="24"/>
                <w:highlight w:val="none"/>
                <w:u w:val="single"/>
                <w:lang w:eastAsia="zh-CN"/>
              </w:rPr>
              <w:t>代理费服务费</w:t>
            </w:r>
            <w:r>
              <w:rPr>
                <w:rFonts w:hint="eastAsia" w:ascii="宋体" w:hAnsi="宋体" w:eastAsia="宋体" w:cs="宋体"/>
                <w:b w:val="0"/>
                <w:color w:val="auto"/>
                <w:sz w:val="24"/>
                <w:highlight w:val="none"/>
                <w:u w:val="single"/>
                <w:lang w:val="en-US" w:eastAsia="zh-CN"/>
              </w:rPr>
              <w:t>7500元。参考《关于进一步明确代理费计取标准的通知》（滁公管综〔2023〕19号）标准。</w:t>
            </w:r>
          </w:p>
        </w:tc>
      </w:tr>
      <w:tr w14:paraId="7E46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9" w:type="pct"/>
            <w:vAlign w:val="center"/>
          </w:tcPr>
          <w:p w14:paraId="2B10CBD2">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3</w:t>
            </w:r>
          </w:p>
        </w:tc>
        <w:tc>
          <w:tcPr>
            <w:tcW w:w="979" w:type="pct"/>
            <w:vAlign w:val="center"/>
          </w:tcPr>
          <w:p w14:paraId="2DC1B21E">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其他内容</w:t>
            </w:r>
          </w:p>
        </w:tc>
        <w:tc>
          <w:tcPr>
            <w:tcW w:w="3491" w:type="pct"/>
            <w:vAlign w:val="center"/>
          </w:tcPr>
          <w:p w14:paraId="76BBA5B8">
            <w:pPr>
              <w:pStyle w:val="4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1.解释权：</w:t>
            </w:r>
          </w:p>
          <w:p w14:paraId="74013DE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（1）构成本单一来源采购文件的各个组成文件应互为解释，互为说明；</w:t>
            </w:r>
          </w:p>
          <w:p w14:paraId="13DAB85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204DEA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660EC3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（4）除单一来源采购文件中有特别规定外，仅适用于协商和响应文件提交阶段的规定，按单一来源采购邀请、供应商须知、协商程序和评审标准、响应文件格式的先后顺序解释；</w:t>
            </w:r>
          </w:p>
          <w:p w14:paraId="21A1261B">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（5）按本款前述规定仍不能形成结论的，由采购人负责解释。</w:t>
            </w:r>
          </w:p>
          <w:p w14:paraId="1E58E0D5">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政采贷</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融资指引：</w:t>
            </w:r>
            <w:r>
              <w:rPr>
                <w:rFonts w:hint="eastAsia" w:ascii="宋体" w:hAnsi="宋体" w:eastAsia="宋体" w:cs="宋体"/>
                <w:b w:val="0"/>
                <w:color w:val="auto"/>
                <w:sz w:val="24"/>
                <w:szCs w:val="24"/>
                <w:highlight w:val="none"/>
              </w:rPr>
              <w:t>有融资需求的供应商在取得政府采购中标或成交通知书后，可访问安徽省政府采购网“政</w:t>
            </w:r>
            <w:r>
              <w:rPr>
                <w:rFonts w:hint="eastAsia" w:ascii="宋体" w:hAnsi="宋体" w:eastAsia="宋体" w:cs="宋体"/>
                <w:b w:val="0"/>
                <w:color w:val="auto"/>
                <w:sz w:val="24"/>
                <w:szCs w:val="24"/>
                <w:highlight w:val="none"/>
                <w:lang w:val="en-US" w:eastAsia="zh-CN"/>
              </w:rPr>
              <w:t>采</w:t>
            </w:r>
            <w:r>
              <w:rPr>
                <w:rFonts w:hint="eastAsia" w:ascii="宋体" w:hAnsi="宋体" w:eastAsia="宋体" w:cs="宋体"/>
                <w:b w:val="0"/>
                <w:color w:val="auto"/>
                <w:sz w:val="24"/>
                <w:szCs w:val="24"/>
                <w:highlight w:val="none"/>
              </w:rPr>
              <w:t>贷”栏目，查看和联系第三方平台或者金融机构，商洽融资事项，确定融资意向。供应商签署政府采购中标（成交）合同后，登录“徽采云”金融服务模块，选择意向产品进行申请，并填写相关信息，“徽采云”金融服务模块将供应商融资申请信息推送第三方平台、意向金融机构。</w:t>
            </w:r>
          </w:p>
          <w:p w14:paraId="12E1F3E8">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3.</w:t>
            </w:r>
            <w:r>
              <w:rPr>
                <w:rFonts w:hint="eastAsia" w:ascii="宋体" w:hAnsi="宋体" w:eastAsia="宋体" w:cs="宋体"/>
                <w:b w:val="0"/>
                <w:bCs/>
                <w:color w:val="auto"/>
                <w:kern w:val="2"/>
                <w:sz w:val="24"/>
                <w:szCs w:val="24"/>
                <w:highlight w:val="none"/>
                <w:lang w:val="en-US" w:eastAsia="zh-CN" w:bidi="ar-SA"/>
              </w:rPr>
              <w:t>电子保函指引：成交供应商可访问安徽省政府采购网“融资/保函”栏目，申请办理电子保函（包括：履约保函、预付款保函）。</w:t>
            </w:r>
          </w:p>
          <w:p w14:paraId="1AE70136">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eastAsia="宋体" w:cs="宋体"/>
                <w:b w:val="0"/>
                <w:bCs/>
                <w:color w:val="auto"/>
                <w:kern w:val="2"/>
                <w:sz w:val="24"/>
                <w:szCs w:val="24"/>
                <w:highlight w:val="none"/>
                <w:lang w:val="en-US" w:eastAsia="zh-CN" w:bidi="ar"/>
              </w:rPr>
              <w:t>部分可提供线下政采贷的金融机构：</w:t>
            </w:r>
          </w:p>
          <w:p w14:paraId="00C8D286">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市本级</w:t>
            </w:r>
          </w:p>
          <w:p w14:paraId="137A0B93">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金融机构名称：兴业银行滁州分行</w:t>
            </w:r>
          </w:p>
          <w:p w14:paraId="27DE7582">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安徽省滁州市琅琊区丰乐大道1090号</w:t>
            </w:r>
          </w:p>
          <w:p w14:paraId="207962A3">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伏庚：17755080811</w:t>
            </w:r>
          </w:p>
          <w:p w14:paraId="459587DF">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5.特别提示：</w:t>
            </w:r>
          </w:p>
          <w:p w14:paraId="010301DD">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（1）供应商应填写投标信息并下载招标文件，否则无法上传投标文件。</w:t>
            </w:r>
          </w:p>
          <w:p w14:paraId="4C053E9F">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注：供应商如为联合体的，牵头人必须完善供应商信息，并在上传投标文件环节添加联合体投标信息。</w:t>
            </w:r>
          </w:p>
          <w:p w14:paraId="3FAF0B32">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2）本项目采用电子招标投标，请供应商在滁州市公共资源交易中心网&gt;服务指南&gt;软件下载栏目点击下载投标文件制作工具。供应商需采用最新版投标文件制作工具。软件运行需在国际互联网络通畅状态，供应商需注意更新，以免造成投标文件制作错误，如因此导致评标委员会否决其投标，责任自负。如有技术问题请联系0550-3801701，4009980000。</w:t>
            </w:r>
          </w:p>
          <w:p w14:paraId="6119D0E3">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（3）如果过程中出现招标文件更改，应以最后发布的招标答疑澄清文件中的模板制作本项目最新投标文件。</w:t>
            </w:r>
          </w:p>
          <w:p w14:paraId="3EAE1547">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 xml:space="preserve">（4）供应商应当用本单位CA数字证书制作投标文件，制作成功后进行投标文件上传。 </w:t>
            </w:r>
          </w:p>
          <w:p w14:paraId="28CCEF6F">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5）供应商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22FB8DAC">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（6）请供应商注意加密投标文件CA数字证书的有效期，不在有效期的CA数字证书无法解密投标文件。</w:t>
            </w:r>
          </w:p>
          <w:p w14:paraId="64E19A33">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（7）供应商投标MAC地址或供应商联系人或联系电话相同的，由评审委员会否决其投标，并报告监管部门作不良行为处理和进一步调查。</w:t>
            </w:r>
          </w:p>
          <w:p w14:paraId="6292984B">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（8）供应商单方面出现其他供应商材料的，由评审委员会否决其投标。</w:t>
            </w:r>
          </w:p>
          <w:p w14:paraId="350DA12E">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9）评审时查询投标文件制作机器码、文件创建标识码及造价软件加密锁号。若存在投标文件制作机器码或创建标识码或造价软件加密锁号信息与其他供应商雷同的，由评审委员会否决其投标，依法依规予以处理。</w:t>
            </w:r>
          </w:p>
          <w:p w14:paraId="08B4CA32">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10）电子加密投标文件上传到系统后，需要供应商和代理公司到协商截止时间后共同解锁，不存在商务报价等投标信息通过系统泄密的风险；协商截止时间前，已上传的响应文件也可以撤回修改。集中到协商截止时间前上传电子加密投标文件，可能出现由于投标企业制作电子投标文件不熟练、网络拥堵等不可预知的情况而且无法及时解决，丧失协商机会，请各供应商提前制作、上传电子加密响应文件，否则由于无法及时上传电子加密响应文件而废标或无效协商的情况，责任自负！</w:t>
            </w:r>
          </w:p>
          <w:p w14:paraId="644C13AE">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6.评审过程中的澄清、说明或补正：</w:t>
            </w:r>
          </w:p>
          <w:p w14:paraId="3A916F78">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（1）评审委员会通过网上招投标系统将需要澄清、说明或补正的内容以询标函的形式发送给供应商，供应商应安排专人登录网上招投标系统并保持在线状态，以便及时接收评审委员会可能发出的询标函。</w:t>
            </w:r>
          </w:p>
          <w:p w14:paraId="5DEF2B30">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2）因供应商未登录网上招投标系统导致无法及时接收询标函（远程网上询标）或未在规定时间内按评审委员会要求进行澄清、说明或补正内容的视同供应商放弃澄清、说明或补正内容的权利，评审委员会可按对供应商不利的解释进行判定。</w:t>
            </w:r>
          </w:p>
          <w:p w14:paraId="7301CAD9">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7.同义词语：响应文件第六章  投标文件格式、附件1“关于联合惩戒失信行为 加强信用查询管理的通知”等章节中 “招标人”、“供应商”，等同于“采购人”、“投标人”。</w:t>
            </w:r>
          </w:p>
          <w:p w14:paraId="69AE8B9E">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color w:val="auto"/>
                <w:kern w:val="2"/>
                <w:sz w:val="24"/>
                <w:szCs w:val="24"/>
                <w:highlight w:val="none"/>
                <w:lang w:val="en-US" w:eastAsia="zh-CN" w:bidi="ar"/>
              </w:rPr>
              <w:t>8.落实政府采购支持节能产品、环境标志产品政策。</w:t>
            </w:r>
          </w:p>
        </w:tc>
      </w:tr>
    </w:tbl>
    <w:p w14:paraId="6B54F320">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2" w:name="_Toc11128"/>
      <w:bookmarkStart w:id="23" w:name="_Toc2729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2"/>
      <w:bookmarkEnd w:id="23"/>
    </w:p>
    <w:p w14:paraId="5C115D02">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.采购人、采购代理机构及供应商</w:t>
      </w:r>
    </w:p>
    <w:p w14:paraId="7630BC10">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54EFE830">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61CA83A0">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32F7503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.4供应商：是指向采购人提供货物、工程或者服务的法人、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w:t>
      </w:r>
    </w:p>
    <w:p w14:paraId="2A6490FC">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.资金</w:t>
      </w:r>
      <w:r>
        <w:rPr>
          <w:rFonts w:hint="eastAsia" w:ascii="宋体" w:hAnsi="宋体" w:eastAsia="宋体" w:cs="宋体"/>
          <w:b/>
          <w:color w:val="auto"/>
          <w:sz w:val="24"/>
          <w:highlight w:val="none"/>
          <w:lang w:val="en-US" w:eastAsia="zh-CN"/>
        </w:rPr>
        <w:t>落实情况</w:t>
      </w:r>
    </w:p>
    <w:p w14:paraId="6BD9240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.1本项目的采购人已获得足以支付本次单一来源采购后所签订的合同项下的资金。</w:t>
      </w:r>
    </w:p>
    <w:p w14:paraId="21C6AD92">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.费用</w:t>
      </w:r>
    </w:p>
    <w:p w14:paraId="6AB0EF6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不论单一来源采购的结果如何，供应商应承担所有与准备和参加单一来源采购有关的费用。</w:t>
      </w:r>
    </w:p>
    <w:p w14:paraId="6AA62AF2">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.适用法律</w:t>
      </w:r>
    </w:p>
    <w:p w14:paraId="02F2023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供应商、采购人员的相关行为均受《中华人民共和国政府采购法》、《中华人民共和国政府采购法实施条例》及本项目本级和上级财政部门、政府采购监督管理部门的政府采购有关规定的约束，其权利受到上述法律法规的保护。</w:t>
      </w:r>
    </w:p>
    <w:p w14:paraId="4E84135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.采购文件构成</w:t>
      </w:r>
    </w:p>
    <w:p w14:paraId="1416D5F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.1采购文件包括下列内容：</w:t>
      </w:r>
    </w:p>
    <w:p w14:paraId="2A4E8525">
      <w:pPr>
        <w:keepNext w:val="0"/>
        <w:keepLines w:val="0"/>
        <w:pageBreakBefore w:val="0"/>
        <w:widowControl w:val="0"/>
        <w:kinsoku/>
        <w:wordWrap/>
        <w:overflowPunct/>
        <w:topLinePunct w:val="0"/>
        <w:autoSpaceDE/>
        <w:autoSpaceDN/>
        <w:bidi w:val="0"/>
        <w:adjustRightInd/>
        <w:snapToGrid/>
        <w:spacing w:line="50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单一来源采购邀请</w:t>
      </w:r>
    </w:p>
    <w:p w14:paraId="2C6EC186">
      <w:pPr>
        <w:keepNext w:val="0"/>
        <w:keepLines w:val="0"/>
        <w:pageBreakBefore w:val="0"/>
        <w:widowControl w:val="0"/>
        <w:kinsoku/>
        <w:wordWrap/>
        <w:overflowPunct/>
        <w:topLinePunct w:val="0"/>
        <w:autoSpaceDE/>
        <w:autoSpaceDN/>
        <w:bidi w:val="0"/>
        <w:adjustRightInd/>
        <w:snapToGrid/>
        <w:spacing w:line="50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14:paraId="34C42726">
      <w:pPr>
        <w:keepNext w:val="0"/>
        <w:keepLines w:val="0"/>
        <w:pageBreakBefore w:val="0"/>
        <w:widowControl w:val="0"/>
        <w:kinsoku/>
        <w:wordWrap/>
        <w:overflowPunct/>
        <w:topLinePunct w:val="0"/>
        <w:autoSpaceDE/>
        <w:autoSpaceDN/>
        <w:bidi w:val="0"/>
        <w:adjustRightInd/>
        <w:snapToGrid/>
        <w:spacing w:line="50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20AF7EBC">
      <w:pPr>
        <w:keepNext w:val="0"/>
        <w:keepLines w:val="0"/>
        <w:pageBreakBefore w:val="0"/>
        <w:widowControl w:val="0"/>
        <w:kinsoku/>
        <w:wordWrap/>
        <w:overflowPunct/>
        <w:topLinePunct w:val="0"/>
        <w:autoSpaceDE/>
        <w:autoSpaceDN/>
        <w:bidi w:val="0"/>
        <w:adjustRightInd/>
        <w:snapToGrid/>
        <w:spacing w:line="50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协商程序和评审标准</w:t>
      </w:r>
    </w:p>
    <w:p w14:paraId="59CBCC4F">
      <w:pPr>
        <w:keepNext w:val="0"/>
        <w:keepLines w:val="0"/>
        <w:pageBreakBefore w:val="0"/>
        <w:widowControl w:val="0"/>
        <w:kinsoku/>
        <w:wordWrap/>
        <w:overflowPunct/>
        <w:topLinePunct w:val="0"/>
        <w:autoSpaceDE/>
        <w:autoSpaceDN/>
        <w:bidi w:val="0"/>
        <w:adjustRightInd/>
        <w:snapToGrid/>
        <w:spacing w:line="50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0866660F">
      <w:pPr>
        <w:keepNext w:val="0"/>
        <w:keepLines w:val="0"/>
        <w:pageBreakBefore w:val="0"/>
        <w:widowControl w:val="0"/>
        <w:kinsoku/>
        <w:wordWrap/>
        <w:overflowPunct/>
        <w:topLinePunct w:val="0"/>
        <w:autoSpaceDE/>
        <w:autoSpaceDN/>
        <w:bidi w:val="0"/>
        <w:adjustRightInd/>
        <w:snapToGrid/>
        <w:spacing w:line="50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14:paraId="235D0749">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.采购文件的澄清与修改</w:t>
      </w:r>
    </w:p>
    <w:p w14:paraId="1B8D76C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.1供应商如对采购文件内容有疑问，以书面形式提交给采购代理机构。</w:t>
      </w:r>
    </w:p>
    <w:p w14:paraId="11F8472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答复供应商</w:t>
      </w:r>
      <w:r>
        <w:rPr>
          <w:rFonts w:hint="eastAsia" w:ascii="宋体" w:hAnsi="宋体" w:eastAsia="宋体" w:cs="宋体"/>
          <w:color w:val="auto"/>
          <w:sz w:val="24"/>
          <w:highlight w:val="none"/>
        </w:rPr>
        <w:t>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文件进行澄清与修改。采购代理机构对已发出的采购文件进行必要澄清或者修改的，将以书面形式通知供应商。澄清或者修改文件作为单一来源采购文件的组成部分。</w:t>
      </w:r>
    </w:p>
    <w:p w14:paraId="6986704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.3任何人或任何组织向供应商提供的任何书面或口头资料，未经采购代理机构书面通知，均作无效处理，不得作为采购文件的组成部分。采购代理机构对供应商由此而做出的推论、理解和结论概不负责。</w:t>
      </w:r>
    </w:p>
    <w:p w14:paraId="10FB8AB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.4对于没有提出疑问又参与了本项目的供应商将被视为完全认同本采购文件（含澄清或修改的内容）</w:t>
      </w:r>
      <w:r>
        <w:rPr>
          <w:rFonts w:hint="eastAsia" w:ascii="宋体" w:hAnsi="宋体" w:eastAsia="宋体" w:cs="宋体"/>
          <w:i/>
          <w:color w:val="auto"/>
          <w:sz w:val="24"/>
          <w:highlight w:val="none"/>
        </w:rPr>
        <w:t>。</w:t>
      </w:r>
    </w:p>
    <w:p w14:paraId="7204037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.采购范围及响应文件中标准和计量单位的使用</w:t>
      </w:r>
    </w:p>
    <w:p w14:paraId="3DDBD3E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24"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.1供应商应当对所参与的分包采购文件中“采购需求”所列的所有内容进行响应，如仅响应所参与包别中的部分内容，其所参与包别的响应文件将被认定为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01197482">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.2无论采购文件中是否要求，供应商所提供的服务及伴随的货物和工程均应符合国家强制性标准。</w:t>
      </w:r>
    </w:p>
    <w:bookmarkEnd w:id="24"/>
    <w:p w14:paraId="7F4C924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供应商与采购代理机构之间与单一来源采购有关的所有往来通知、函件和响应文件均用中文表述。供应商随响应文件提供的证明文件和资料可以为其它语言，但必须附中文译文。翻译的中文资料与外文资料出现差异时，以中文为准。</w:t>
      </w:r>
    </w:p>
    <w:p w14:paraId="075A79EF">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.4除采购文件中有特殊要求外，响应文件中所使用的计量单位，应采用中华人民共和国法定计量单位。</w:t>
      </w:r>
    </w:p>
    <w:p w14:paraId="454F806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.响应文件构成</w:t>
      </w:r>
    </w:p>
    <w:p w14:paraId="7E26D80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.1供应商应完整地按采购文件提供的响应文件格式及要求编写响应文件，具体内容详见本项目第六章响应文件格式的相关内容。</w:t>
      </w:r>
    </w:p>
    <w:p w14:paraId="0E4D410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供应商应提交证明文件，证明其响应内容符合采购文件规定。该证明文件是响应文件的一部分。证明文件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p>
    <w:p w14:paraId="0260AF6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.报价</w:t>
      </w:r>
    </w:p>
    <w:p w14:paraId="4404DD7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.1供应商的报价应当包括满足本次采购文件的全部采购需求所应提供的服务，以及伴随的货物和工程。除单一来源采购文件中</w:t>
      </w:r>
      <w:r>
        <w:rPr>
          <w:rFonts w:hint="eastAsia" w:ascii="宋体" w:hAnsi="宋体" w:eastAsia="宋体" w:cs="宋体"/>
          <w:color w:val="auto"/>
          <w:sz w:val="24"/>
          <w:highlight w:val="none"/>
          <w:lang w:eastAsia="zh-CN"/>
        </w:rPr>
        <w:t>另有规定</w:t>
      </w:r>
      <w:r>
        <w:rPr>
          <w:rFonts w:hint="eastAsia" w:ascii="宋体" w:hAnsi="宋体" w:eastAsia="宋体" w:cs="宋体"/>
          <w:color w:val="auto"/>
          <w:sz w:val="24"/>
          <w:highlight w:val="none"/>
        </w:rPr>
        <w:t>外，供应商的报价均应以人民币报价，应遵守《中华人民共和国价格法》。</w:t>
      </w:r>
    </w:p>
    <w:p w14:paraId="6D842D1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本项目按单价进行报价，</w:t>
      </w:r>
      <w:r>
        <w:rPr>
          <w:rFonts w:hint="eastAsia" w:ascii="宋体" w:hAnsi="宋体" w:eastAsia="宋体" w:cs="宋体"/>
          <w:color w:val="auto"/>
          <w:sz w:val="24"/>
          <w:highlight w:val="none"/>
        </w:rPr>
        <w:t>供应商最终报价超过</w:t>
      </w:r>
      <w:r>
        <w:rPr>
          <w:rFonts w:hint="eastAsia" w:ascii="宋体" w:hAnsi="宋体" w:eastAsia="宋体" w:cs="宋体"/>
          <w:color w:val="auto"/>
          <w:sz w:val="24"/>
          <w:highlight w:val="none"/>
          <w:lang w:val="en-US" w:eastAsia="zh-CN"/>
        </w:rPr>
        <w:t>40元/考生(科目次）</w:t>
      </w:r>
      <w:r>
        <w:rPr>
          <w:rFonts w:hint="eastAsia" w:ascii="宋体" w:hAnsi="宋体" w:eastAsia="宋体" w:cs="宋体"/>
          <w:color w:val="auto"/>
          <w:sz w:val="24"/>
          <w:highlight w:val="none"/>
        </w:rPr>
        <w:t>的</w:t>
      </w:r>
      <w:r>
        <w:rPr>
          <w:rFonts w:hint="eastAsia" w:ascii="宋体" w:hAnsi="宋体" w:eastAsia="宋体" w:cs="宋体"/>
          <w:b/>
          <w:bCs/>
          <w:color w:val="auto"/>
          <w:sz w:val="24"/>
          <w:highlight w:val="none"/>
          <w:lang w:val="en-US" w:eastAsia="zh-CN"/>
        </w:rPr>
        <w:t>按</w:t>
      </w:r>
      <w:r>
        <w:rPr>
          <w:rFonts w:hint="eastAsia" w:ascii="宋体" w:hAnsi="宋体" w:eastAsia="宋体" w:cs="宋体"/>
          <w:b/>
          <w:bCs/>
          <w:color w:val="auto"/>
          <w:sz w:val="24"/>
          <w:highlight w:val="none"/>
        </w:rPr>
        <w:t>响应</w:t>
      </w:r>
      <w:r>
        <w:rPr>
          <w:rFonts w:hint="eastAsia" w:ascii="宋体" w:hAnsi="宋体" w:eastAsia="宋体" w:cs="宋体"/>
          <w:b/>
          <w:color w:val="auto"/>
          <w:sz w:val="24"/>
          <w:highlight w:val="none"/>
        </w:rPr>
        <w:t>无效</w:t>
      </w:r>
      <w:r>
        <w:rPr>
          <w:rFonts w:hint="eastAsia" w:ascii="宋体" w:hAnsi="宋体" w:eastAsia="宋体" w:cs="宋体"/>
          <w:b/>
          <w:color w:val="auto"/>
          <w:sz w:val="24"/>
          <w:highlight w:val="none"/>
          <w:lang w:val="en-US" w:eastAsia="zh-CN"/>
        </w:rPr>
        <w:t>处理</w:t>
      </w:r>
      <w:r>
        <w:rPr>
          <w:rFonts w:hint="eastAsia" w:ascii="宋体" w:hAnsi="宋体" w:eastAsia="宋体" w:cs="宋体"/>
          <w:color w:val="auto"/>
          <w:sz w:val="24"/>
          <w:highlight w:val="none"/>
        </w:rPr>
        <w:t>。</w:t>
      </w:r>
    </w:p>
    <w:p w14:paraId="09A01825">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报价在合同履行过程中是固定不变的，不得以任何理由予以变更。任何包含价格调整要求的响应文件，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6F2D9BE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采购人不接受具有附加条件的报价。</w:t>
      </w:r>
    </w:p>
    <w:p w14:paraId="0FC0EBBB">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10.</w:t>
      </w:r>
      <w:r>
        <w:rPr>
          <w:rFonts w:hint="eastAsia" w:ascii="宋体" w:hAnsi="宋体" w:eastAsia="宋体" w:cs="宋体"/>
          <w:b/>
          <w:color w:val="auto"/>
          <w:sz w:val="24"/>
          <w:highlight w:val="none"/>
        </w:rPr>
        <w:t>响应文件有效期</w:t>
      </w:r>
    </w:p>
    <w:p w14:paraId="635B4F7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w:t>
      </w:r>
      <w:r>
        <w:rPr>
          <w:rFonts w:hint="eastAsia" w:ascii="宋体" w:hAnsi="宋体" w:eastAsia="宋体" w:cs="宋体"/>
          <w:color w:val="auto"/>
          <w:sz w:val="24"/>
          <w:highlight w:val="none"/>
        </w:rPr>
        <w:t>1响应文件有效期为从响应文件提交截止之日算起的日历天数，响应文件有效期详见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307EF41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w:t>
      </w:r>
      <w:r>
        <w:rPr>
          <w:rFonts w:hint="eastAsia" w:ascii="宋体" w:hAnsi="宋体" w:eastAsia="宋体" w:cs="宋体"/>
          <w:color w:val="auto"/>
          <w:sz w:val="24"/>
          <w:highlight w:val="none"/>
        </w:rPr>
        <w:t>2在响应文件有效期内，供应商的响应文件保持有效，供应商不得要求撤销或修改其响应文件。响应文件有效期不满足要求的</w:t>
      </w:r>
      <w:r>
        <w:rPr>
          <w:rFonts w:hint="eastAsia" w:ascii="宋体" w:hAnsi="宋体" w:eastAsia="宋体" w:cs="宋体"/>
          <w:b/>
          <w:bCs/>
          <w:color w:val="auto"/>
          <w:sz w:val="24"/>
          <w:highlight w:val="none"/>
        </w:rPr>
        <w:t>响应无效</w:t>
      </w:r>
      <w:r>
        <w:rPr>
          <w:rFonts w:hint="eastAsia" w:ascii="宋体" w:hAnsi="宋体" w:eastAsia="宋体" w:cs="宋体"/>
          <w:color w:val="auto"/>
          <w:sz w:val="24"/>
          <w:highlight w:val="none"/>
        </w:rPr>
        <w:t>。</w:t>
      </w:r>
    </w:p>
    <w:p w14:paraId="2658CC8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w:t>
      </w:r>
      <w:r>
        <w:rPr>
          <w:rFonts w:hint="eastAsia" w:ascii="宋体" w:hAnsi="宋体" w:eastAsia="宋体" w:cs="宋体"/>
          <w:color w:val="auto"/>
          <w:sz w:val="24"/>
          <w:highlight w:val="none"/>
        </w:rPr>
        <w:t>3因特殊原因，采购人或采购代理机构可在原响应文件有效期截止之前，要求供应商延长响应文件的有效期。接受该要求的供应商将不会被要求和允许修正其响应文件。供应商也可以拒绝延长响应文件有效期的要求，且不承担任何责任。上述要求和答复都应以书面形式提交。</w:t>
      </w:r>
    </w:p>
    <w:p w14:paraId="063470DB">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.响应文件的提交、修改与撤回</w:t>
      </w:r>
    </w:p>
    <w:p w14:paraId="0D9D8AB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.1供应商应在</w:t>
      </w:r>
      <w:r>
        <w:rPr>
          <w:rFonts w:hint="eastAsia" w:ascii="宋体" w:hAnsi="宋体" w:eastAsia="宋体" w:cs="宋体"/>
          <w:color w:val="auto"/>
          <w:sz w:val="24"/>
          <w:highlight w:val="none"/>
          <w:lang w:eastAsia="zh-CN"/>
        </w:rPr>
        <w:t>第一章“单一来源采购邀请”</w:t>
      </w:r>
      <w:r>
        <w:rPr>
          <w:rFonts w:hint="eastAsia" w:ascii="宋体" w:hAnsi="宋体" w:eastAsia="宋体" w:cs="宋体"/>
          <w:color w:val="auto"/>
          <w:sz w:val="24"/>
          <w:highlight w:val="none"/>
        </w:rPr>
        <w:t>规定的响应文件提交截止时间前，将加密的响应文件在电子交易系统上传。</w:t>
      </w:r>
    </w:p>
    <w:p w14:paraId="24C1BBA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人和采购代理机构有权按本采购文件的规定，延迟响应文件提交截止时间。在此情况下，采购人、采购代理机构和供应商受响应文件提交截止时间制约的所有权利和义务均应延长至新的响应文件提交截止时间。</w:t>
      </w:r>
    </w:p>
    <w:p w14:paraId="7C1EF425">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.3在响应文件提交截止时间前，供应商可以修改或撤回已提交的响应文件。</w:t>
      </w:r>
    </w:p>
    <w:p w14:paraId="2F31637A">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.采购小组</w:t>
      </w:r>
    </w:p>
    <w:p w14:paraId="0DAD159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采购人、采购代理机构按照《中华人民共和国政府采购法》、《中华人民共和国政府采购法实施条例》、《政府采购非招标采购方式管理办法》及本项目本级和上级财政部门、政府采购监督管理部门的有关规定依法组建采购小组，负责对响应文件进行审查，与供应商商定合理的成交价格并保证采购项目质量。</w:t>
      </w:r>
    </w:p>
    <w:p w14:paraId="0A44B090">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.响应文件评审与澄清</w:t>
      </w:r>
    </w:p>
    <w:p w14:paraId="20EE33BF">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lang w:val="en-US" w:eastAsia="zh-CN"/>
        </w:rPr>
        <w:t>13.1</w:t>
      </w: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1797C4C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单一来源</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单一来源</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6D9BE04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单一来源采购文件</w:t>
      </w:r>
      <w:r>
        <w:rPr>
          <w:rFonts w:hint="eastAsia" w:ascii="宋体" w:hAnsi="宋体" w:eastAsia="宋体" w:cs="宋体"/>
          <w:color w:val="auto"/>
          <w:sz w:val="24"/>
          <w:szCs w:val="24"/>
          <w:highlight w:val="none"/>
        </w:rPr>
        <w:t>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bookmarkEnd w:id="25"/>
    <w:p w14:paraId="1E23C1B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.2采购小组依据采购文件的规定，从响应文件的有效性和完整性对采购文件的响应程度进行评审，以确定是否对采购文件的实质性要求做出响应。响应文件有下列情况之一的将导致</w:t>
      </w:r>
      <w:r>
        <w:rPr>
          <w:rFonts w:hint="eastAsia" w:ascii="宋体" w:hAnsi="宋体" w:eastAsia="宋体" w:cs="宋体"/>
          <w:b/>
          <w:bCs/>
          <w:color w:val="auto"/>
          <w:sz w:val="24"/>
          <w:highlight w:val="none"/>
        </w:rPr>
        <w:t>响应无效</w:t>
      </w:r>
      <w:r>
        <w:rPr>
          <w:rFonts w:hint="eastAsia" w:ascii="宋体" w:hAnsi="宋体" w:eastAsia="宋体" w:cs="宋体"/>
          <w:color w:val="auto"/>
          <w:sz w:val="24"/>
          <w:highlight w:val="none"/>
        </w:rPr>
        <w:t>，供应商应进行补充或修改，使之符合单一来源采购文件要求：</w:t>
      </w:r>
    </w:p>
    <w:p w14:paraId="6C975C35">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（1）未按照单一来源采购文件规定要求签署、盖章的</w:t>
      </w:r>
    </w:p>
    <w:p w14:paraId="005689B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（2）响应文件有效期不足的；</w:t>
      </w:r>
    </w:p>
    <w:p w14:paraId="2C4B86C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（3）不符合法律、法规、规范性文件和单一来源采购文件规定的。</w:t>
      </w:r>
    </w:p>
    <w:p w14:paraId="79CCE3CF">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.3响应文件的澄清</w:t>
      </w:r>
    </w:p>
    <w:p w14:paraId="2BF1503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3.1为有助于响应文件的审查、评价和比较，在评审过程中，采购小组将以书面方式（询标）要求供应商对其响应文件中含义不明确、对同类问题表述不一致或者有明显文字和计算错误的内容作必要的澄清、说明或补正。供应商的澄清、说明或补正应在采购小组规定的时间内以书面方式进行。</w:t>
      </w:r>
    </w:p>
    <w:p w14:paraId="1F4110E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如有询标，供应商授权代表（或法定代表人）应携带本人有效身份证明原件参加询标。因供应商授权代表联系不上、未到现场等情形而无法接受询标的，供应商自行承担相关风险。</w:t>
      </w:r>
    </w:p>
    <w:p w14:paraId="2E845EE6">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.3.2供应商的澄清、说明或补正将作为响应文件的一部分。</w:t>
      </w:r>
    </w:p>
    <w:p w14:paraId="124144D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.3.3采购小组对供应商提交的澄清、说明或补正有疑问的，可以要求供应商进一步澄清、说明或补正，直至满足采购小组的要求。</w:t>
      </w:r>
    </w:p>
    <w:p w14:paraId="3FC13C77">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.协商与确定成交供应商</w:t>
      </w:r>
    </w:p>
    <w:p w14:paraId="6A42F20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.1在协商过程中，采购文件若有实质性变动，采购小组将以书面形式通知参加协商的供应商。</w:t>
      </w:r>
    </w:p>
    <w:p w14:paraId="562CD68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本项目按单价报价，</w:t>
      </w:r>
      <w:r>
        <w:rPr>
          <w:rFonts w:hint="eastAsia" w:ascii="宋体" w:hAnsi="宋体" w:eastAsia="宋体" w:cs="宋体"/>
          <w:color w:val="auto"/>
          <w:sz w:val="24"/>
          <w:highlight w:val="none"/>
        </w:rPr>
        <w:t>在协商过程中，供应商可以进行多轮报价，供应商的最终报价不得超过</w:t>
      </w:r>
      <w:r>
        <w:rPr>
          <w:rFonts w:hint="eastAsia" w:ascii="宋体" w:hAnsi="宋体" w:eastAsia="宋体" w:cs="宋体"/>
          <w:b/>
          <w:bCs/>
          <w:color w:val="auto"/>
          <w:sz w:val="24"/>
          <w:highlight w:val="none"/>
          <w:lang w:val="en-US" w:eastAsia="zh-CN"/>
        </w:rPr>
        <w:t>40元/考生(科目次）</w:t>
      </w:r>
      <w:r>
        <w:rPr>
          <w:rFonts w:hint="eastAsia" w:ascii="宋体" w:hAnsi="宋体" w:eastAsia="宋体" w:cs="宋体"/>
          <w:color w:val="auto"/>
          <w:sz w:val="24"/>
          <w:highlight w:val="none"/>
        </w:rPr>
        <w:t>。</w:t>
      </w:r>
    </w:p>
    <w:p w14:paraId="50A6804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.3采购小组应与供应商商定合理的成交价格并保证采购项目质量，并确定成交供应商。</w:t>
      </w:r>
    </w:p>
    <w:p w14:paraId="22953CC9">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.采购终止</w:t>
      </w:r>
    </w:p>
    <w:p w14:paraId="776CB86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.1出现下列情形之一的，采购人或者采购代理机构应当终止采购活动，发布项目终止公告并说明原因，重新开展采购活动：</w:t>
      </w:r>
    </w:p>
    <w:p w14:paraId="6AE07586">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（1）因情况变化，不再符合规定的单一来源采购方式适用情形的；</w:t>
      </w:r>
    </w:p>
    <w:p w14:paraId="037B4446">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74EF15E0">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（3）报价超过采购预算的。</w:t>
      </w:r>
    </w:p>
    <w:p w14:paraId="57585E38">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16</w:t>
      </w:r>
      <w:r>
        <w:rPr>
          <w:rFonts w:hint="eastAsia" w:ascii="宋体" w:hAnsi="宋体" w:eastAsia="宋体" w:cs="宋体"/>
          <w:b/>
          <w:color w:val="auto"/>
          <w:sz w:val="24"/>
          <w:highlight w:val="none"/>
        </w:rPr>
        <w:t>.保密要求</w:t>
      </w:r>
    </w:p>
    <w:p w14:paraId="38B574C6">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.1协商过程将在严格保密的情况下进行。</w:t>
      </w:r>
    </w:p>
    <w:p w14:paraId="05874A96">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.2采购小组成员以及与协商工作有关的人员对协商情况以及协商过程中获悉的国家秘密、商业秘密应当保密。</w:t>
      </w:r>
    </w:p>
    <w:p w14:paraId="18407EBC">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17</w:t>
      </w:r>
      <w:r>
        <w:rPr>
          <w:rFonts w:hint="eastAsia" w:ascii="宋体" w:hAnsi="宋体" w:eastAsia="宋体" w:cs="宋体"/>
          <w:b/>
          <w:color w:val="auto"/>
          <w:sz w:val="24"/>
          <w:highlight w:val="none"/>
        </w:rPr>
        <w:t>.编写协商情况记录</w:t>
      </w:r>
    </w:p>
    <w:p w14:paraId="7B1ABFD5">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协商情况记录是根据单一来源采购活动的协商记录和协商结果编写的报告，应当由采购全体人员签字认可。对记录有异议的采购人员，应当签署不同意见并说明理由。采购人员拒绝在记录上签字又不书面说明其不同意见和理由的，视为同意。</w:t>
      </w:r>
    </w:p>
    <w:p w14:paraId="6BE11EDF">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18.</w:t>
      </w:r>
      <w:r>
        <w:rPr>
          <w:rFonts w:hint="eastAsia" w:ascii="宋体" w:hAnsi="宋体" w:eastAsia="宋体" w:cs="宋体"/>
          <w:b/>
          <w:color w:val="auto"/>
          <w:sz w:val="24"/>
          <w:highlight w:val="none"/>
        </w:rPr>
        <w:t>成交结果公告</w:t>
      </w:r>
    </w:p>
    <w:p w14:paraId="3F97DD92">
      <w:pPr>
        <w:keepNext w:val="0"/>
        <w:keepLines w:val="0"/>
        <w:pageBreakBefore w:val="0"/>
        <w:widowControl w:val="0"/>
        <w:kinsoku/>
        <w:wordWrap w:val="0"/>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18.</w:t>
      </w:r>
      <w:r>
        <w:rPr>
          <w:rFonts w:hint="eastAsia" w:ascii="宋体" w:hAnsi="宋体" w:eastAsia="宋体" w:cs="宋体"/>
          <w:color w:val="auto"/>
          <w:sz w:val="24"/>
          <w:highlight w:val="none"/>
        </w:rPr>
        <w:t>1自成交供应商确定之日起2个工作日内，采购代理机构将在</w:t>
      </w:r>
      <w:r>
        <w:rPr>
          <w:rFonts w:hint="eastAsia" w:ascii="宋体" w:hAnsi="宋体" w:eastAsia="宋体" w:cs="宋体"/>
          <w:color w:val="auto"/>
          <w:sz w:val="24"/>
          <w:szCs w:val="18"/>
          <w:highlight w:val="none"/>
          <w:lang w:val="en-US" w:eastAsia="zh-CN"/>
        </w:rPr>
        <w:t>安徽省政府采购网（www.ccgp-anhui.gov.cn）和滁州市公共资源交易中心网</w:t>
      </w:r>
      <w:r>
        <w:rPr>
          <w:rFonts w:hint="eastAsia" w:ascii="宋体" w:hAnsi="宋体" w:eastAsia="宋体" w:cs="宋体"/>
          <w:color w:val="auto"/>
          <w:sz w:val="24"/>
          <w:szCs w:val="18"/>
          <w:highlight w:val="none"/>
          <w:u w:val="none"/>
          <w:lang w:val="en-US" w:eastAsia="zh-CN"/>
        </w:rPr>
        <w:t>站</w:t>
      </w:r>
      <w:r>
        <w:rPr>
          <w:rFonts w:hint="eastAsia" w:asciiTheme="minorEastAsia" w:hAnsiTheme="minorEastAsia" w:eastAsiaTheme="minorEastAsia"/>
          <w:color w:val="auto"/>
          <w:sz w:val="24"/>
          <w:highlight w:val="none"/>
        </w:rPr>
        <w:t>（https://ggzy.chuzhou.gov.cn/）</w:t>
      </w:r>
      <w:r>
        <w:rPr>
          <w:rFonts w:hint="eastAsia" w:asciiTheme="minorEastAsia" w:hAnsiTheme="minorEastAsia" w:eastAsiaTheme="minorEastAsia"/>
          <w:color w:val="auto"/>
          <w:sz w:val="24"/>
          <w:highlight w:val="none"/>
          <w:lang w:val="en-US" w:eastAsia="zh-CN"/>
        </w:rPr>
        <w:t>上</w:t>
      </w:r>
      <w:r>
        <w:rPr>
          <w:rFonts w:hint="eastAsia" w:ascii="宋体" w:hAnsi="宋体" w:eastAsia="宋体" w:cs="宋体"/>
          <w:color w:val="auto"/>
          <w:sz w:val="24"/>
          <w:highlight w:val="none"/>
        </w:rPr>
        <w:t>发布成交结果公告。</w:t>
      </w:r>
    </w:p>
    <w:p w14:paraId="57DF3DC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18.</w:t>
      </w:r>
      <w:r>
        <w:rPr>
          <w:rFonts w:hint="eastAsia" w:ascii="宋体" w:hAnsi="宋体" w:eastAsia="宋体" w:cs="宋体"/>
          <w:color w:val="auto"/>
          <w:sz w:val="24"/>
          <w:highlight w:val="none"/>
        </w:rPr>
        <w:t>2成交结果公告应当包括以下内容：</w:t>
      </w:r>
    </w:p>
    <w:p w14:paraId="5387219F">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（1）采购人和采购代理机构的名称、地址和联系方式；</w:t>
      </w:r>
    </w:p>
    <w:p w14:paraId="3EA8DD8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（2）项目名称和项目编号；</w:t>
      </w:r>
    </w:p>
    <w:p w14:paraId="27221BC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（3）成交供应商名称、地址和成交金额；</w:t>
      </w:r>
    </w:p>
    <w:p w14:paraId="5E2E705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（4）单一来源采购人员名单；</w:t>
      </w:r>
    </w:p>
    <w:p w14:paraId="6B67B6AF">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中约定进行公告的其他内容。</w:t>
      </w:r>
    </w:p>
    <w:p w14:paraId="17DC36ED">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.成交通知书</w:t>
      </w:r>
    </w:p>
    <w:p w14:paraId="287E18B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.1采购代理机构发布成交结果公告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规定的形式向成交供应商发出成交通知书。</w:t>
      </w:r>
    </w:p>
    <w:p w14:paraId="50FB11E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.2成交通知书对采购人和成交供应商具有同等法律效力。成交通知书发出以后，采购人改变成交结果或者成交供应商放弃成交，应当承担相应的法律责任。</w:t>
      </w:r>
    </w:p>
    <w:p w14:paraId="1D1751D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.3成交通知书是合同的组成部分。</w:t>
      </w:r>
    </w:p>
    <w:p w14:paraId="4ED01C40">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.履约保证金</w:t>
      </w:r>
    </w:p>
    <w:p w14:paraId="64F93796">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.1成交供应商应按照</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规定缴纳履约保证金。</w:t>
      </w:r>
    </w:p>
    <w:p w14:paraId="2F88947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.2如果成交供应商没有按照上述履约保证金的规定执行，将视为放弃成交资格。</w:t>
      </w:r>
    </w:p>
    <w:p w14:paraId="7F496632">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.签订合同</w:t>
      </w:r>
    </w:p>
    <w:p w14:paraId="56C4FE06">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02532F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.2采购文件、成交供应商的响应文件及其澄清文件等，均为签订合同的依据。</w:t>
      </w:r>
    </w:p>
    <w:p w14:paraId="13DCBAC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3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7D41D5D6">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.4除不可抗力等因素外，成交通知书发出后，采购人改变成交结果，或者成交供应商拒绝签订政府采购合同的，应当承担相应的法律责任。</w:t>
      </w:r>
    </w:p>
    <w:p w14:paraId="773377E8">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.成交服务费</w:t>
      </w:r>
    </w:p>
    <w:p w14:paraId="38AEA10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.1本项目成交服务费的收取按</w:t>
      </w:r>
      <w:r>
        <w:rPr>
          <w:rFonts w:hint="eastAsia" w:ascii="宋体" w:hAnsi="宋体" w:eastAsia="宋体" w:cs="宋体"/>
          <w:color w:val="auto"/>
          <w:sz w:val="24"/>
          <w:highlight w:val="none"/>
          <w:u w:val="single"/>
        </w:rPr>
        <w:t>供应商须知前附表的</w:t>
      </w:r>
      <w:r>
        <w:rPr>
          <w:rFonts w:hint="eastAsia" w:ascii="宋体" w:hAnsi="宋体" w:eastAsia="宋体" w:cs="宋体"/>
          <w:color w:val="auto"/>
          <w:sz w:val="24"/>
          <w:highlight w:val="none"/>
        </w:rPr>
        <w:t>规定执行。</w:t>
      </w:r>
    </w:p>
    <w:p w14:paraId="297E87A8">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.需要补充的其他内容</w:t>
      </w:r>
    </w:p>
    <w:p w14:paraId="61D6848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14A7EAB6">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1C5AC486">
      <w:pPr>
        <w:spacing w:line="360" w:lineRule="auto"/>
        <w:jc w:val="center"/>
        <w:outlineLvl w:val="0"/>
        <w:rPr>
          <w:rFonts w:asciiTheme="minorEastAsia" w:hAnsiTheme="minorEastAsia" w:eastAsiaTheme="minorEastAsia"/>
          <w:b/>
          <w:color w:val="auto"/>
          <w:sz w:val="28"/>
          <w:highlight w:val="none"/>
        </w:rPr>
      </w:pPr>
      <w:bookmarkStart w:id="26" w:name="_Toc25641"/>
      <w:r>
        <w:rPr>
          <w:rFonts w:hint="eastAsia" w:asciiTheme="minorEastAsia" w:hAnsiTheme="minorEastAsia" w:eastAsiaTheme="minorEastAsia"/>
          <w:b/>
          <w:color w:val="auto"/>
          <w:sz w:val="28"/>
          <w:highlight w:val="none"/>
        </w:rPr>
        <w:t>第三章  采购需求</w:t>
      </w:r>
      <w:bookmarkEnd w:id="26"/>
    </w:p>
    <w:p w14:paraId="730409F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前注：</w:t>
      </w:r>
    </w:p>
    <w:p w14:paraId="333F9B45">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本采购需求中提出的服务方案仅为参考，如无明确限制，供应商可以进行优化，提供满足采购人实际需要的更优（或者性能实质上不低于的）服务方案，且此方案须经采购小组评审认可。</w:t>
      </w:r>
    </w:p>
    <w:p w14:paraId="6D0861A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DF18AEB">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val="en-US" w:eastAsia="zh-CN"/>
        </w:rPr>
        <w:t>供应商在响应文件中提供</w:t>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供</w:t>
      </w:r>
      <w:r>
        <w:rPr>
          <w:rFonts w:hint="eastAsia" w:ascii="宋体" w:hAnsi="宋体" w:eastAsia="宋体" w:cs="宋体"/>
          <w:color w:val="auto"/>
          <w:sz w:val="24"/>
          <w:szCs w:val="24"/>
          <w:highlight w:val="none"/>
        </w:rPr>
        <w:t>产品须具有市场监管总局公布的《参与实施政府采购节能产品认证机构目录》中的认证机构出具的、处于有效期内的节能产品认证证书。</w:t>
      </w:r>
    </w:p>
    <w:p w14:paraId="1CC11D4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8C7984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如采购人允许采用分包方式履行合同的，应当明确可以分包履行的相关内容。</w:t>
      </w:r>
    </w:p>
    <w:p w14:paraId="5CFD5880">
      <w:pPr>
        <w:keepNext w:val="0"/>
        <w:keepLines w:val="0"/>
        <w:pageBreakBefore w:val="0"/>
        <w:widowControl w:val="0"/>
        <w:kinsoku/>
        <w:wordWrap/>
        <w:overflowPunct/>
        <w:topLinePunct w:val="0"/>
        <w:autoSpaceDE/>
        <w:autoSpaceDN/>
        <w:bidi w:val="0"/>
        <w:adjustRightInd/>
        <w:snapToGrid/>
        <w:spacing w:line="500" w:lineRule="exact"/>
        <w:ind w:firstLine="435"/>
        <w:textAlignment w:val="auto"/>
        <w:outlineLvl w:val="1"/>
        <w:rPr>
          <w:rFonts w:hint="eastAsia" w:ascii="宋体" w:hAnsi="宋体" w:eastAsia="宋体" w:cs="宋体"/>
          <w:b/>
          <w:color w:val="auto"/>
          <w:sz w:val="24"/>
          <w:szCs w:val="24"/>
          <w:highlight w:val="none"/>
        </w:rPr>
      </w:pPr>
      <w:bookmarkStart w:id="27" w:name="_Toc8608"/>
      <w:bookmarkStart w:id="28" w:name="_Toc25679"/>
      <w:r>
        <w:rPr>
          <w:rFonts w:hint="eastAsia" w:ascii="宋体" w:hAnsi="宋体" w:eastAsia="宋体" w:cs="宋体"/>
          <w:b/>
          <w:color w:val="auto"/>
          <w:sz w:val="24"/>
          <w:szCs w:val="24"/>
          <w:highlight w:val="none"/>
        </w:rPr>
        <w:t>一、采购需求前附表</w:t>
      </w:r>
      <w:bookmarkEnd w:id="27"/>
      <w:bookmarkEnd w:id="28"/>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2307"/>
        <w:gridCol w:w="6227"/>
      </w:tblGrid>
      <w:tr w14:paraId="2452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2D48A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192" w:type="pct"/>
            <w:vAlign w:val="center"/>
          </w:tcPr>
          <w:p w14:paraId="15E3B2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3217" w:type="pct"/>
            <w:vAlign w:val="center"/>
          </w:tcPr>
          <w:p w14:paraId="79FEC1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内容、说明与要求</w:t>
            </w:r>
          </w:p>
        </w:tc>
      </w:tr>
      <w:tr w14:paraId="7716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CF54B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192" w:type="pct"/>
            <w:vAlign w:val="center"/>
          </w:tcPr>
          <w:p w14:paraId="6BFB0F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付款方式</w:t>
            </w:r>
          </w:p>
        </w:tc>
        <w:tc>
          <w:tcPr>
            <w:tcW w:w="3217" w:type="pct"/>
            <w:vAlign w:val="center"/>
          </w:tcPr>
          <w:p w14:paraId="05F297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color w:val="auto"/>
                <w:sz w:val="24"/>
                <w:szCs w:val="24"/>
                <w:highlight w:val="none"/>
                <w:u w:val="none"/>
                <w:lang w:val="en-US" w:eastAsia="zh-CN"/>
              </w:rPr>
            </w:pPr>
            <w:r>
              <w:rPr>
                <w:rFonts w:hint="eastAsia" w:ascii="宋体" w:hAnsi="宋体" w:eastAsia="宋体" w:cs="宋体"/>
                <w:bCs/>
                <w:color w:val="auto"/>
                <w:sz w:val="24"/>
                <w:szCs w:val="24"/>
                <w:highlight w:val="none"/>
                <w:u w:val="none"/>
                <w:lang w:val="en-US" w:eastAsia="zh-CN"/>
              </w:rPr>
              <w:t>本项目为预采购项目无预付款。最终按照会计类无纸化考试实际报名人数（科目次）在考试结束后，待省财政厅拨付资金到位后付清。</w:t>
            </w:r>
          </w:p>
          <w:p w14:paraId="759C6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none"/>
                <w:lang w:val="en-US" w:eastAsia="zh-CN"/>
              </w:rPr>
              <w:t>最终合同价按中标单价*实际报考人数（科目次）</w:t>
            </w:r>
            <w:r>
              <w:rPr>
                <w:rFonts w:hint="eastAsia" w:ascii="宋体" w:hAnsi="宋体" w:eastAsia="宋体" w:cs="宋体"/>
                <w:bCs/>
                <w:color w:val="auto"/>
                <w:sz w:val="24"/>
                <w:szCs w:val="24"/>
                <w:highlight w:val="none"/>
                <w:u w:val="none"/>
              </w:rPr>
              <w:t>。</w:t>
            </w:r>
          </w:p>
        </w:tc>
      </w:tr>
      <w:tr w14:paraId="55B1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46183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192" w:type="pct"/>
            <w:vAlign w:val="center"/>
          </w:tcPr>
          <w:p w14:paraId="05B629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服务地点</w:t>
            </w:r>
          </w:p>
        </w:tc>
        <w:tc>
          <w:tcPr>
            <w:tcW w:w="3217" w:type="pct"/>
            <w:vAlign w:val="center"/>
          </w:tcPr>
          <w:p w14:paraId="7B870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color w:val="auto"/>
                <w:sz w:val="24"/>
                <w:szCs w:val="24"/>
                <w:highlight w:val="none"/>
                <w:u w:val="none"/>
                <w:lang w:eastAsia="zh-CN"/>
              </w:rPr>
            </w:pPr>
            <w:r>
              <w:rPr>
                <w:rFonts w:hint="eastAsia" w:ascii="宋体" w:hAnsi="宋体" w:eastAsia="宋体" w:cs="宋体"/>
                <w:bCs/>
                <w:color w:val="auto"/>
                <w:sz w:val="24"/>
                <w:szCs w:val="24"/>
                <w:highlight w:val="none"/>
                <w:u w:val="none"/>
                <w:lang w:val="en-US" w:eastAsia="zh-CN"/>
              </w:rPr>
              <w:t>滁州市</w:t>
            </w:r>
            <w:r>
              <w:rPr>
                <w:rFonts w:hint="eastAsia" w:ascii="宋体" w:hAnsi="宋体" w:eastAsia="宋体" w:cs="宋体"/>
                <w:bCs/>
                <w:color w:val="auto"/>
                <w:sz w:val="24"/>
                <w:szCs w:val="24"/>
                <w:highlight w:val="none"/>
                <w:u w:val="none"/>
              </w:rPr>
              <w:t>，采购人指定地点</w:t>
            </w:r>
            <w:r>
              <w:rPr>
                <w:rFonts w:hint="eastAsia" w:ascii="宋体" w:hAnsi="宋体" w:eastAsia="宋体" w:cs="宋体"/>
                <w:bCs/>
                <w:color w:val="auto"/>
                <w:sz w:val="24"/>
                <w:szCs w:val="24"/>
                <w:highlight w:val="none"/>
                <w:u w:val="none"/>
                <w:lang w:eastAsia="zh-CN"/>
              </w:rPr>
              <w:t>。</w:t>
            </w:r>
          </w:p>
        </w:tc>
      </w:tr>
      <w:tr w14:paraId="00A3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90" w:type="pct"/>
            <w:vAlign w:val="center"/>
          </w:tcPr>
          <w:p w14:paraId="2A11EE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192" w:type="pct"/>
            <w:vAlign w:val="center"/>
          </w:tcPr>
          <w:p w14:paraId="2E0E7A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服务期限</w:t>
            </w:r>
          </w:p>
        </w:tc>
        <w:tc>
          <w:tcPr>
            <w:tcW w:w="3217" w:type="pct"/>
            <w:vAlign w:val="center"/>
          </w:tcPr>
          <w:p w14:paraId="72F5C6D3">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kern w:val="2"/>
                <w:sz w:val="24"/>
                <w:szCs w:val="24"/>
                <w:highlight w:val="none"/>
                <w:u w:val="none"/>
                <w:lang w:val="en-US" w:eastAsia="zh-CN" w:bidi="ar-SA"/>
              </w:rPr>
              <w:t>服务期三年，合同一年一签。</w:t>
            </w:r>
          </w:p>
        </w:tc>
      </w:tr>
    </w:tbl>
    <w:p w14:paraId="1D7E6AE2">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195" w:leftChars="0" w:firstLine="435" w:firstLineChars="0"/>
        <w:textAlignment w:val="auto"/>
        <w:outlineLvl w:val="1"/>
        <w:rPr>
          <w:rFonts w:hint="eastAsia" w:ascii="宋体" w:hAnsi="宋体" w:eastAsia="宋体" w:cs="宋体"/>
          <w:b/>
          <w:color w:val="auto"/>
          <w:sz w:val="24"/>
          <w:szCs w:val="24"/>
          <w:highlight w:val="none"/>
          <w:lang w:val="en-US" w:eastAsia="zh-CN"/>
        </w:rPr>
      </w:pPr>
      <w:bookmarkStart w:id="29" w:name="_Hlk16461016"/>
      <w:r>
        <w:rPr>
          <w:rFonts w:hint="eastAsia" w:ascii="宋体" w:hAnsi="宋体" w:eastAsia="宋体" w:cs="宋体"/>
          <w:b/>
          <w:color w:val="auto"/>
          <w:sz w:val="24"/>
          <w:szCs w:val="18"/>
          <w:highlight w:val="none"/>
        </w:rPr>
        <w:t>项目概况</w:t>
      </w:r>
    </w:p>
    <w:bookmarkEnd w:id="29"/>
    <w:p w14:paraId="3312F428">
      <w:pPr>
        <w:pStyle w:val="43"/>
        <w:widowControl w:val="0"/>
        <w:spacing w:before="0" w:beforeAutospacing="0" w:after="0" w:afterAutospacing="0" w:line="440" w:lineRule="exact"/>
        <w:ind w:firstLine="480" w:firstLineChars="200"/>
        <w:jc w:val="both"/>
        <w:rPr>
          <w:rFonts w:hint="default" w:ascii="宋体" w:hAnsi="宋体" w:eastAsia="宋体" w:cs="宋体"/>
          <w:b w:val="0"/>
          <w:color w:val="auto"/>
          <w:sz w:val="24"/>
          <w:highlight w:val="none"/>
          <w:u w:val="single"/>
          <w:lang w:val="en-US"/>
        </w:rPr>
      </w:pPr>
      <w:bookmarkStart w:id="30" w:name="_Toc18944"/>
      <w:r>
        <w:rPr>
          <w:rFonts w:hint="eastAsia" w:ascii="宋体" w:hAnsi="宋体" w:eastAsia="宋体" w:cs="宋体"/>
          <w:b w:val="0"/>
          <w:color w:val="auto"/>
          <w:sz w:val="24"/>
          <w:highlight w:val="none"/>
          <w:lang w:val="en-US" w:eastAsia="zh-CN"/>
        </w:rPr>
        <w:t>滁州市会计类无纸化考试根据财政部（全国会计考办）、省财政厅（省会计考办）相关规定和要求举办，具体包括会计专业技术初级资格考试（每年1次，一般在上半年，连续考试天数至少8天）和会计专业技术中级资格考试（每年1次，一般在下半年，连续考试天数至少4天）。具体要求如下，未尽事宜按安徽省会计专业技术资格考试领导小组办公室关于印发《2025年度全省会计专业技术资格无纸化考试工作方案》的通知执行。</w:t>
      </w:r>
    </w:p>
    <w:p w14:paraId="792D63A4">
      <w:pPr>
        <w:spacing w:line="440" w:lineRule="exact"/>
        <w:ind w:left="437"/>
        <w:outlineLvl w:val="1"/>
        <w:rPr>
          <w:rFonts w:ascii="宋体" w:hAnsi="宋体" w:eastAsia="宋体" w:cs="宋体"/>
          <w:b/>
          <w:color w:val="auto"/>
          <w:sz w:val="24"/>
          <w:szCs w:val="18"/>
          <w:highlight w:val="none"/>
        </w:rPr>
      </w:pPr>
      <w:bookmarkStart w:id="31" w:name="_Toc13016"/>
      <w:bookmarkStart w:id="32" w:name="_Toc27920"/>
      <w:r>
        <w:rPr>
          <w:rFonts w:hint="eastAsia" w:ascii="宋体" w:hAnsi="宋体" w:eastAsia="宋体" w:cs="宋体"/>
          <w:b/>
          <w:color w:val="auto"/>
          <w:sz w:val="24"/>
          <w:szCs w:val="18"/>
          <w:highlight w:val="none"/>
        </w:rPr>
        <w:t>三、服务需求</w:t>
      </w:r>
      <w:bookmarkEnd w:id="31"/>
      <w:bookmarkEnd w:id="32"/>
    </w:p>
    <w:p w14:paraId="5789A8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bookmarkStart w:id="33" w:name="_Toc20717"/>
      <w:bookmarkStart w:id="34" w:name="_Toc16414"/>
      <w:r>
        <w:rPr>
          <w:rFonts w:hint="eastAsia" w:asciiTheme="majorEastAsia" w:hAnsiTheme="majorEastAsia" w:eastAsiaTheme="majorEastAsia" w:cstheme="majorEastAsia"/>
          <w:b/>
          <w:bCs w:val="0"/>
          <w:color w:val="auto"/>
          <w:sz w:val="24"/>
          <w:szCs w:val="24"/>
          <w:highlight w:val="none"/>
          <w:lang w:val="en-US" w:eastAsia="zh-CN"/>
        </w:rPr>
        <w:t>（一）考点考场设置一般性要求</w:t>
      </w:r>
    </w:p>
    <w:p w14:paraId="1454E6E6">
      <w:pPr>
        <w:pStyle w:val="72"/>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Theme="majorEastAsia" w:hAnsiTheme="majorEastAsia" w:eastAsiaTheme="majorEastAsia" w:cstheme="majorEastAsia"/>
          <w:b w:val="0"/>
          <w:bCs/>
          <w:color w:val="auto"/>
          <w:kern w:val="2"/>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  </w:t>
      </w:r>
      <w:r>
        <w:rPr>
          <w:rFonts w:hint="eastAsia" w:asciiTheme="majorEastAsia" w:hAnsiTheme="majorEastAsia" w:eastAsiaTheme="majorEastAsia" w:cstheme="majorEastAsia"/>
          <w:b w:val="0"/>
          <w:bCs/>
          <w:color w:val="auto"/>
          <w:kern w:val="2"/>
          <w:sz w:val="24"/>
          <w:szCs w:val="24"/>
          <w:highlight w:val="none"/>
          <w:lang w:val="en-US" w:eastAsia="zh-CN"/>
        </w:rPr>
        <w:t xml:space="preserve"> 1、考点设置：满足财政部（全国会计考办）、省财政厅（省会计考办）相关文件中考生必须在其报名所在地市进行考试。</w:t>
      </w:r>
    </w:p>
    <w:p w14:paraId="45084BD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kern w:val="2"/>
          <w:sz w:val="24"/>
          <w:szCs w:val="24"/>
          <w:highlight w:val="none"/>
          <w:lang w:val="en-US" w:eastAsia="zh-CN"/>
        </w:rPr>
      </w:pPr>
      <w:r>
        <w:rPr>
          <w:rFonts w:hint="eastAsia" w:asciiTheme="majorEastAsia" w:hAnsiTheme="majorEastAsia" w:eastAsiaTheme="majorEastAsia" w:cstheme="majorEastAsia"/>
          <w:b w:val="0"/>
          <w:bCs/>
          <w:color w:val="auto"/>
          <w:kern w:val="2"/>
          <w:sz w:val="24"/>
          <w:szCs w:val="24"/>
          <w:highlight w:val="none"/>
          <w:lang w:val="en-US" w:eastAsia="zh-CN"/>
        </w:rPr>
        <w:t>2、考点环境：考点周边交通便捷，安全安静，具有考试应急处置能力，考试期间考点实行封闭，除考生和相关会务人员，其他人员不得进入，以确保考试的正常进行。</w:t>
      </w:r>
    </w:p>
    <w:p w14:paraId="7FC950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3、硬件要求：考点拥有备用发电设备、独立的电子考场、服务器机房、网络传输、远程监控系统、考务办公室、应考人员候考区、卫生间等设施。具体为至少拥有900个以上机位和相应考场，考场配备专用摄像头，每两个机位间有隔断隔开，符合省安徽省会计考办无纸化考试配置规定要求。【</w:t>
      </w:r>
      <w:r>
        <w:rPr>
          <w:rFonts w:hint="eastAsia" w:asciiTheme="majorEastAsia" w:hAnsiTheme="majorEastAsia" w:eastAsiaTheme="majorEastAsia" w:cstheme="majorEastAsia"/>
          <w:b/>
          <w:bCs w:val="0"/>
          <w:color w:val="auto"/>
          <w:sz w:val="24"/>
          <w:szCs w:val="24"/>
          <w:highlight w:val="none"/>
          <w:lang w:val="en-US" w:eastAsia="zh-CN"/>
        </w:rPr>
        <w:t>响应文件中须提供900个以上机位现状(可按考场拍摄)、摄像头、备用发电设备、机位隔断的照片和符合上述要求的承诺函（格式自拟），采购人保留现场核查的权利，如发现提供虚假材料的，采购人将上报有关部门按规定处理</w:t>
      </w:r>
      <w:r>
        <w:rPr>
          <w:rFonts w:hint="eastAsia" w:asciiTheme="majorEastAsia" w:hAnsiTheme="majorEastAsia" w:eastAsiaTheme="majorEastAsia" w:cstheme="majorEastAsia"/>
          <w:b w:val="0"/>
          <w:bCs/>
          <w:color w:val="auto"/>
          <w:sz w:val="24"/>
          <w:szCs w:val="24"/>
          <w:highlight w:val="none"/>
          <w:lang w:val="en-US" w:eastAsia="zh-CN"/>
        </w:rPr>
        <w:t>】</w:t>
      </w:r>
    </w:p>
    <w:p w14:paraId="4E6D478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    4、软件要求：考点拥有满足考试需要的技术力量，能有效组织考试、考务管理。</w:t>
      </w:r>
    </w:p>
    <w:p w14:paraId="212F4D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    5、考试模式：会计类无纸化考试主要包括全国会计专业技术资格（初、中级）考试等，采用无纸化考试模式，考试时间、场次、科目设置等根据安徽省会计考办相关通知要求和规定办理，考试日程安排按照安徽省会计考办要求，结合滁州考区相关考试考生报名情况确定。</w:t>
      </w:r>
    </w:p>
    <w:p w14:paraId="7B59DA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    6、考试时间：考试一般分别安排在5月份和9月份，考点考场计划连续封闭使用至少4-8天左右，考试期间需提供满足上述考试要求的考场、技术人员、网络传输、供电保障和其他设施条件。</w:t>
      </w:r>
    </w:p>
    <w:p w14:paraId="7BAC0E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    7、中标单位不得自行变更考点位置和机房。</w:t>
      </w:r>
    </w:p>
    <w:p w14:paraId="7F20F323">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（二）考点考场设置及技术服务保障具体要求</w:t>
      </w:r>
    </w:p>
    <w:p w14:paraId="59AA8F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1、中标单位主要领导担任考试主考，中标单位分管领导担任考试副主考，中标单位必须安排本单位人员具体负责各项考务工作。考点考务工作应接受招标人的管理和监督。</w:t>
      </w:r>
    </w:p>
    <w:p w14:paraId="516C2A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2、会计类无纸化考试日期及考试天数安排由招标人按照上级会计考办要求，根据本考区会计类无纸化考试考生实际报名情况提出，且提前与中标单位商定、部署。中标单位须无条件服从招标人关于考试日期及正常工作日内连续考试天数的安排，考试日程及时间安排按照省会计考办通知执行。</w:t>
      </w:r>
    </w:p>
    <w:p w14:paraId="1D32FD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3、考场设置应按照便利、集中的原则，根据报考人数情况合理确定。</w:t>
      </w:r>
    </w:p>
    <w:p w14:paraId="58242C9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4、考点及考场应安全、安静、宽敞明亮，具有良好的通风性能；考点要达到消防要求，并具有防热、防火、防雷、防电击等保护措施以及应急处置能力，有具体完善的供电保障方案。考场内应加强对老鼠等生物的防害措施，应由专人检查及防治。</w:t>
      </w:r>
    </w:p>
    <w:p w14:paraId="354D01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5、考点应具备独立的备用发电设备【</w:t>
      </w:r>
      <w:r>
        <w:rPr>
          <w:rFonts w:hint="eastAsia" w:asciiTheme="majorEastAsia" w:hAnsiTheme="majorEastAsia" w:eastAsiaTheme="majorEastAsia" w:cstheme="majorEastAsia"/>
          <w:b/>
          <w:bCs w:val="0"/>
          <w:color w:val="auto"/>
          <w:sz w:val="24"/>
          <w:szCs w:val="24"/>
          <w:highlight w:val="none"/>
          <w:lang w:val="en-US" w:eastAsia="zh-CN"/>
        </w:rPr>
        <w:t>响应文件须提供照片和承诺函（格式自拟），采购人保留现场核查的权利，如发现提供虚假材料的，采购人将上报有关部门按规定处理</w:t>
      </w:r>
      <w:r>
        <w:rPr>
          <w:rFonts w:hint="eastAsia" w:asciiTheme="majorEastAsia" w:hAnsiTheme="majorEastAsia" w:eastAsiaTheme="majorEastAsia" w:cstheme="majorEastAsia"/>
          <w:b w:val="0"/>
          <w:bCs/>
          <w:color w:val="auto"/>
          <w:sz w:val="24"/>
          <w:szCs w:val="24"/>
          <w:highlight w:val="none"/>
          <w:lang w:val="en-US" w:eastAsia="zh-CN"/>
        </w:rPr>
        <w:t>】，考场应全部安装空调设施，以便保持适宜的温度和湿度，考试时温度控制在18度至28度。考场内应确保适度的照明条件，但需避免直射显示器屏幕引起眩光，向阳的考场应加装窗帘以遮挡强光。考场应加强门窗的密闭性能，保持室内清洁和卫生，考生进退场时不能有扬尘。</w:t>
      </w:r>
    </w:p>
    <w:p w14:paraId="4C1411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6、考点应有独立的计算机考场、服务器、考务办公室、应考人员候考区和候考室等。应考人员候考区、候考室需配置适当的便民服务设施。考场应远离强电磁场源（如无线发射机等），机房内的工作台、工作椅、地面等材料尽量选用防静电材料，做好考场静电防护。</w:t>
      </w:r>
    </w:p>
    <w:p w14:paraId="49D86F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7、考场应配置考试服务器、考试计算机、备用计算机、不间断电源、局域网络等无纸化考试必要的软硬件设备，确保考场满足无纸化考试要求。考场服务器和考试计算机通过100M及以上局域网互联，每个考场考试用计算机至少应配置50台以上，每考场启用考试机位数根据报考人数确定，最多不超过80台（含备用机），每考场按考试人数的5%预留备用考试计算机位以应急使用。考点应预留一个配备至少70台以上考试计算机的备用考场以应急使用。</w:t>
      </w:r>
    </w:p>
    <w:p w14:paraId="435F18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8、考场应配置身份识别设备、监控设备等必要的防舞弊设备，防范替考、抄袭、交头接耳、传接物品、使用通讯设备等作弊行为。监控设备应以宽带固定IP接入因特网，能够实现远程监控。</w:t>
      </w:r>
    </w:p>
    <w:p w14:paraId="105E35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9、全国会计专业技术资格无纸化统一考试期间，中标单位在非考试时段应将已确定的会计专业技术资格考试考场全部保持封场状态，不得安排其他用途。考场内机器设备维护必须由考点考办安排相关技术人员进行。考场内计算机只能安装符合会计类无纸化考试规定的相关软件，不得安装或存有其他任何与会计专业相关的软件、文件和资料等内容。</w:t>
      </w:r>
    </w:p>
    <w:p w14:paraId="6E6546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10、人员配备：考点应配备主考、副主考、考点考办负责人、技术负责人、机房管理员及相应的监考人员，确保考点技术管理和考场监考人员在数量和能力两方面均达到要求。考试考点应配备专业技术人员，负责考场软硬件设备的维护以及突发故障的处理，200台考试机以下的考点，至少配备1名技术保障人员；200台考试机以上的考点，每增加200台考试机至少增配1名技术保障人员。严禁聘用考点机房管理员为考点技术服务人员，严格落实考点技术人员与机房管理员之间互相协作、制衡与监督的工作机制；考场按考生人数配备监考人员，考生人数在50人及以下考场应配备2名监考人员；每增加25名考生应增加配备1至2名监考人员。</w:t>
      </w:r>
    </w:p>
    <w:p w14:paraId="20C3AA6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11、考点应在考点入口处等显著位置悬挂横幅、广告牌等显著标识，标明考点名称，考试类别等考试基本情况，并提前张贴考场示意图、考试时间表和考场规则等。各考场应在考场入口处张贴考场号及各考场准考证起止号，方便考生快速定位考试位置。</w:t>
      </w:r>
    </w:p>
    <w:p w14:paraId="78278E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12、考试信息管理。考试系统日志、应考人员信息、考试答题数据库及考试期间考场监控录像等所有与考试相关的数据信息资料保管期限为1年，上述资料须由考点单位负责备份后单独保管备查并按要求出具复查复核证明。</w:t>
      </w:r>
    </w:p>
    <w:p w14:paraId="5D34D2D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 xml:space="preserve">（三）考场软硬件设备最低配置要求 </w:t>
      </w:r>
    </w:p>
    <w:p w14:paraId="4522377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部署B/S（浏览器/服务器）架构考试系统的要求</w:t>
      </w:r>
    </w:p>
    <w:p w14:paraId="482F28B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1.考场要求</w:t>
      </w:r>
    </w:p>
    <w:p w14:paraId="4B43CA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1）每个考生分配1台考试机，每个考场应配备考场人数5%的备用考试机，有条件的考点可配备1个备用考场。每个考点或考场根据签到方式和考生规模至少配备1台监考机（考务操作用）和1台备用机，提供电子签到相关设备（如身份识别设备、摄像头等）。每台服务器至少配备1台备用机。 </w:t>
      </w:r>
    </w:p>
    <w:p w14:paraId="167908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（2）考试机、监考机、服务器操作系统干净、无病毒，并确保操作系统已经安装最新的更新及必备的软件。 </w:t>
      </w:r>
    </w:p>
    <w:p w14:paraId="26B659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（3）考试机、监考机、管理机需安装杀毒软件及最新病毒库，并启用防火墙。 </w:t>
      </w:r>
    </w:p>
    <w:p w14:paraId="39AE0B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（4）监考机、服务器尽量不安装还原卡或将还原卡设置为无效模式，考试机在设置好后可加上还原卡等保护措施以便于管理,但考试期间数据存放盘需要去掉还原卡保护。 </w:t>
      </w:r>
    </w:p>
    <w:p w14:paraId="04F4089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（5）考场应达到有关消防要求，有稳定的电源。每个考点应有备用供电途径，每台服务器应配备可提供1小时以上供电时长的不间断电源（UPS）。</w:t>
      </w:r>
    </w:p>
    <w:p w14:paraId="2B4BBB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（6）若使用摄像头等签到设备，应重点测试与考试系统的兼容性。 </w:t>
      </w:r>
    </w:p>
    <w:p w14:paraId="4C8909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（7）应充分考虑由于考试设备（考试机、监考机、服务器等）老化造成的设备标识技术参数（CPU、内存及硬盘技术参数等）与实际性能不一致的情况，在进行考场测试时对使用时间较长的设备进行重点测试。</w:t>
      </w:r>
    </w:p>
    <w:p w14:paraId="4E47F3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2.网络要求</w:t>
      </w:r>
    </w:p>
    <w:p w14:paraId="025381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（1）网络交换机应稳定可靠。</w:t>
      </w:r>
    </w:p>
    <w:p w14:paraId="35BEB8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（2）考点至少配备1台能够接入互联网的计算机，互联网接入网络带宽应达到5M独享。考点局域网应为TCP/IP协议的有线网络。</w:t>
      </w:r>
    </w:p>
    <w:p w14:paraId="7340BE7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（3）考场内计算机应设为同一IP段。考试机、监考机、服务器之间连接带宽达到100M，考试机之间不得建立共享，每台考试机必须有独立管理员权限的登录用户。</w:t>
      </w:r>
    </w:p>
    <w:p w14:paraId="659C1D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（4）考试过程中，所有设备严禁访问互联网。</w:t>
      </w:r>
    </w:p>
    <w:p w14:paraId="63129B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3.服务器配置要求（数量要求均已包括1台备用机）</w:t>
      </w:r>
    </w:p>
    <w:tbl>
      <w:tblPr>
        <w:tblStyle w:val="26"/>
        <w:tblW w:w="9691"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1177"/>
        <w:gridCol w:w="5630"/>
        <w:gridCol w:w="799"/>
      </w:tblGrid>
      <w:tr w14:paraId="5415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5" w:type="dxa"/>
            <w:shd w:val="clear" w:color="auto" w:fill="auto"/>
            <w:vAlign w:val="center"/>
          </w:tcPr>
          <w:p w14:paraId="37DB00CC">
            <w:pPr>
              <w:jc w:val="center"/>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考点规模（考试机数量）</w:t>
            </w:r>
          </w:p>
        </w:tc>
        <w:tc>
          <w:tcPr>
            <w:tcW w:w="1177" w:type="dxa"/>
            <w:shd w:val="clear" w:color="auto" w:fill="auto"/>
            <w:vAlign w:val="center"/>
          </w:tcPr>
          <w:p w14:paraId="2C30624D">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设备名称</w:t>
            </w:r>
          </w:p>
        </w:tc>
        <w:tc>
          <w:tcPr>
            <w:tcW w:w="5630" w:type="dxa"/>
            <w:shd w:val="clear" w:color="auto" w:fill="auto"/>
            <w:vAlign w:val="center"/>
          </w:tcPr>
          <w:p w14:paraId="516E0575">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配置要求</w:t>
            </w:r>
          </w:p>
        </w:tc>
        <w:tc>
          <w:tcPr>
            <w:tcW w:w="799" w:type="dxa"/>
            <w:shd w:val="clear" w:color="auto" w:fill="auto"/>
            <w:vAlign w:val="center"/>
          </w:tcPr>
          <w:p w14:paraId="2B7E8C2D">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数量</w:t>
            </w:r>
          </w:p>
        </w:tc>
      </w:tr>
      <w:tr w14:paraId="7E5B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085" w:type="dxa"/>
            <w:shd w:val="clear" w:color="auto" w:fill="auto"/>
            <w:vAlign w:val="center"/>
          </w:tcPr>
          <w:p w14:paraId="5C6CDF17">
            <w:pPr>
              <w:jc w:val="center"/>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1000-2000台</w:t>
            </w:r>
          </w:p>
        </w:tc>
        <w:tc>
          <w:tcPr>
            <w:tcW w:w="1177" w:type="dxa"/>
            <w:shd w:val="clear" w:color="auto" w:fill="auto"/>
            <w:vAlign w:val="center"/>
          </w:tcPr>
          <w:p w14:paraId="35F66F38">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服务器</w:t>
            </w:r>
          </w:p>
        </w:tc>
        <w:tc>
          <w:tcPr>
            <w:tcW w:w="5630" w:type="dxa"/>
            <w:shd w:val="clear" w:color="auto" w:fill="auto"/>
            <w:vAlign w:val="center"/>
          </w:tcPr>
          <w:p w14:paraId="2553CCC8">
            <w:pP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val="en-US" w:eastAsia="zh-CN"/>
              </w:rPr>
              <w:t>优于或相当于：</w:t>
            </w:r>
            <w:r>
              <w:rPr>
                <w:rFonts w:hint="eastAsia" w:asciiTheme="majorEastAsia" w:hAnsiTheme="majorEastAsia" w:eastAsiaTheme="majorEastAsia" w:cstheme="majorEastAsia"/>
                <w:color w:val="auto"/>
                <w:sz w:val="24"/>
                <w:highlight w:val="none"/>
              </w:rPr>
              <w:t>CPU</w:t>
            </w:r>
            <w:r>
              <w:rPr>
                <w:rFonts w:hint="eastAsia" w:asciiTheme="majorEastAsia" w:hAnsiTheme="majorEastAsia" w:eastAsiaTheme="majorEastAsia" w:cstheme="majorEastAsia"/>
                <w:color w:val="auto"/>
                <w:sz w:val="24"/>
                <w:highlight w:val="none"/>
                <w:lang w:val="en-US" w:eastAsia="zh-CN"/>
              </w:rPr>
              <w:t>12</w:t>
            </w:r>
            <w:r>
              <w:rPr>
                <w:rFonts w:hint="eastAsia" w:asciiTheme="majorEastAsia" w:hAnsiTheme="majorEastAsia" w:eastAsiaTheme="majorEastAsia" w:cstheme="majorEastAsia"/>
                <w:color w:val="auto"/>
                <w:sz w:val="24"/>
                <w:highlight w:val="none"/>
              </w:rPr>
              <w:t>核2.4GHz，2颗以上</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rPr>
              <w:t>内存</w:t>
            </w:r>
            <w:r>
              <w:rPr>
                <w:rFonts w:hint="eastAsia" w:asciiTheme="majorEastAsia" w:hAnsiTheme="majorEastAsia" w:eastAsiaTheme="majorEastAsia" w:cstheme="majorEastAsia"/>
                <w:color w:val="auto"/>
                <w:sz w:val="24"/>
                <w:highlight w:val="none"/>
                <w:lang w:val="en-US" w:eastAsia="zh-CN"/>
              </w:rPr>
              <w:t>64</w:t>
            </w:r>
            <w:r>
              <w:rPr>
                <w:rFonts w:hint="eastAsia" w:asciiTheme="majorEastAsia" w:hAnsiTheme="majorEastAsia" w:eastAsiaTheme="majorEastAsia" w:cstheme="majorEastAsia"/>
                <w:color w:val="auto"/>
                <w:sz w:val="24"/>
                <w:highlight w:val="none"/>
              </w:rPr>
              <w:t>G以上</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rPr>
              <w:t xml:space="preserve">Windows Server 2012 </w:t>
            </w:r>
            <w:r>
              <w:rPr>
                <w:rFonts w:hint="eastAsia" w:asciiTheme="majorEastAsia" w:hAnsiTheme="majorEastAsia" w:eastAsiaTheme="majorEastAsia" w:cstheme="majorEastAsia"/>
                <w:color w:val="auto"/>
                <w:sz w:val="24"/>
                <w:highlight w:val="none"/>
                <w:lang w:val="en-US" w:eastAsia="zh-CN"/>
              </w:rPr>
              <w:t>及以上64位操作系统</w:t>
            </w:r>
          </w:p>
        </w:tc>
        <w:tc>
          <w:tcPr>
            <w:tcW w:w="799" w:type="dxa"/>
            <w:shd w:val="clear" w:color="auto" w:fill="auto"/>
            <w:vAlign w:val="center"/>
          </w:tcPr>
          <w:p w14:paraId="118AD7EB">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w:t>
            </w:r>
          </w:p>
        </w:tc>
      </w:tr>
      <w:tr w14:paraId="5C24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085" w:type="dxa"/>
            <w:shd w:val="clear" w:color="auto" w:fill="auto"/>
            <w:vAlign w:val="center"/>
          </w:tcPr>
          <w:p w14:paraId="2A874AAF">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val="en-US" w:eastAsia="zh-CN"/>
              </w:rPr>
              <w:t>200-1000台</w:t>
            </w:r>
          </w:p>
        </w:tc>
        <w:tc>
          <w:tcPr>
            <w:tcW w:w="1177" w:type="dxa"/>
            <w:shd w:val="clear" w:color="auto" w:fill="auto"/>
            <w:vAlign w:val="center"/>
          </w:tcPr>
          <w:p w14:paraId="098CC9CA">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服务器</w:t>
            </w:r>
          </w:p>
        </w:tc>
        <w:tc>
          <w:tcPr>
            <w:tcW w:w="5630" w:type="dxa"/>
            <w:shd w:val="clear" w:color="auto" w:fill="auto"/>
            <w:vAlign w:val="center"/>
          </w:tcPr>
          <w:p w14:paraId="6B4EDA5C">
            <w:pP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val="en-US" w:eastAsia="zh-CN"/>
              </w:rPr>
              <w:t>优于或相当于：</w:t>
            </w:r>
            <w:r>
              <w:rPr>
                <w:rFonts w:hint="eastAsia" w:asciiTheme="majorEastAsia" w:hAnsiTheme="majorEastAsia" w:eastAsiaTheme="majorEastAsia" w:cstheme="majorEastAsia"/>
                <w:color w:val="auto"/>
                <w:sz w:val="24"/>
                <w:highlight w:val="none"/>
              </w:rPr>
              <w:t>CPU</w:t>
            </w:r>
            <w:r>
              <w:rPr>
                <w:rFonts w:hint="eastAsia" w:asciiTheme="majorEastAsia" w:hAnsiTheme="majorEastAsia" w:eastAsiaTheme="majorEastAsia" w:cstheme="majorEastAsia"/>
                <w:color w:val="auto"/>
                <w:sz w:val="24"/>
                <w:highlight w:val="none"/>
                <w:lang w:val="en-US" w:eastAsia="zh-CN"/>
              </w:rPr>
              <w:t>8</w:t>
            </w:r>
            <w:r>
              <w:rPr>
                <w:rFonts w:hint="eastAsia" w:asciiTheme="majorEastAsia" w:hAnsiTheme="majorEastAsia" w:eastAsiaTheme="majorEastAsia" w:cstheme="majorEastAsia"/>
                <w:color w:val="auto"/>
                <w:sz w:val="24"/>
                <w:highlight w:val="none"/>
              </w:rPr>
              <w:t>核2.4GHz，2颗以上</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rPr>
              <w:t>内存</w:t>
            </w:r>
            <w:r>
              <w:rPr>
                <w:rFonts w:hint="eastAsia" w:asciiTheme="majorEastAsia" w:hAnsiTheme="majorEastAsia" w:eastAsiaTheme="majorEastAsia" w:cstheme="majorEastAsia"/>
                <w:color w:val="auto"/>
                <w:sz w:val="24"/>
                <w:highlight w:val="none"/>
                <w:lang w:val="en-US" w:eastAsia="zh-CN"/>
              </w:rPr>
              <w:t>32</w:t>
            </w:r>
            <w:r>
              <w:rPr>
                <w:rFonts w:hint="eastAsia" w:asciiTheme="majorEastAsia" w:hAnsiTheme="majorEastAsia" w:eastAsiaTheme="majorEastAsia" w:cstheme="majorEastAsia"/>
                <w:color w:val="auto"/>
                <w:sz w:val="24"/>
                <w:highlight w:val="none"/>
              </w:rPr>
              <w:t>G以上</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rPr>
              <w:t>硬盘300GB×4</w:t>
            </w:r>
            <w:r>
              <w:rPr>
                <w:rFonts w:hint="eastAsia" w:asciiTheme="majorEastAsia" w:hAnsiTheme="majorEastAsia" w:eastAsiaTheme="majorEastAsia" w:cstheme="majorEastAsia"/>
                <w:color w:val="auto"/>
                <w:sz w:val="24"/>
                <w:highlight w:val="none"/>
                <w:lang w:val="en-US" w:eastAsia="zh-CN"/>
              </w:rPr>
              <w:t>以上</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rPr>
              <w:t xml:space="preserve">Windows Server 2012 </w:t>
            </w:r>
            <w:r>
              <w:rPr>
                <w:rFonts w:hint="eastAsia" w:asciiTheme="majorEastAsia" w:hAnsiTheme="majorEastAsia" w:eastAsiaTheme="majorEastAsia" w:cstheme="majorEastAsia"/>
                <w:color w:val="auto"/>
                <w:sz w:val="24"/>
                <w:highlight w:val="none"/>
                <w:lang w:val="en-US" w:eastAsia="zh-CN"/>
              </w:rPr>
              <w:t>及以上64位操作系统</w:t>
            </w:r>
          </w:p>
        </w:tc>
        <w:tc>
          <w:tcPr>
            <w:tcW w:w="799" w:type="dxa"/>
            <w:shd w:val="clear" w:color="auto" w:fill="auto"/>
            <w:vAlign w:val="center"/>
          </w:tcPr>
          <w:p w14:paraId="764806FF">
            <w:pPr>
              <w:jc w:val="center"/>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highlight w:val="none"/>
                <w:lang w:val="en-US" w:eastAsia="zh-CN"/>
              </w:rPr>
              <w:t>2</w:t>
            </w:r>
          </w:p>
        </w:tc>
      </w:tr>
    </w:tbl>
    <w:p w14:paraId="3A47966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kern w:val="2"/>
          <w:sz w:val="24"/>
          <w:szCs w:val="24"/>
          <w:highlight w:val="none"/>
          <w:lang w:val="en-US" w:eastAsia="zh-CN" w:bidi="ar-SA"/>
        </w:rPr>
        <w:t>4.</w:t>
      </w:r>
      <w:r>
        <w:rPr>
          <w:rFonts w:hint="eastAsia" w:asciiTheme="majorEastAsia" w:hAnsiTheme="majorEastAsia" w:eastAsiaTheme="majorEastAsia" w:cstheme="majorEastAsia"/>
          <w:b w:val="0"/>
          <w:bCs/>
          <w:color w:val="auto"/>
          <w:sz w:val="24"/>
          <w:szCs w:val="24"/>
          <w:highlight w:val="none"/>
          <w:lang w:val="en-US" w:eastAsia="zh-CN"/>
        </w:rPr>
        <w:t>监考机要求</w:t>
      </w:r>
    </w:p>
    <w:tbl>
      <w:tblPr>
        <w:tblStyle w:val="26"/>
        <w:tblW w:w="9663"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4"/>
        <w:gridCol w:w="7579"/>
      </w:tblGrid>
      <w:tr w14:paraId="13CC5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blHeader/>
        </w:trPr>
        <w:tc>
          <w:tcPr>
            <w:tcW w:w="2084" w:type="dxa"/>
            <w:shd w:val="clear" w:color="auto" w:fill="auto"/>
            <w:vAlign w:val="center"/>
          </w:tcPr>
          <w:p w14:paraId="16D950F0">
            <w:pPr>
              <w:keepNext w:val="0"/>
              <w:keepLines w:val="0"/>
              <w:pageBreakBefore w:val="0"/>
              <w:widowControl w:val="0"/>
              <w:kinsoku/>
              <w:wordWrap/>
              <w:overflowPunct/>
              <w:topLinePunct w:val="0"/>
              <w:autoSpaceDE/>
              <w:autoSpaceDN/>
              <w:bidi w:val="0"/>
              <w:adjustRightInd/>
              <w:snapToGrid/>
              <w:spacing w:line="320" w:lineRule="exact"/>
              <w:ind w:firstLine="160" w:firstLineChars="50"/>
              <w:textAlignment w:val="auto"/>
              <w:rPr>
                <w:rFonts w:hint="eastAsia" w:ascii="宋体" w:hAnsi="宋体" w:eastAsia="宋体" w:cs="宋体"/>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设备名称</w:t>
            </w:r>
          </w:p>
        </w:tc>
        <w:tc>
          <w:tcPr>
            <w:tcW w:w="7579" w:type="dxa"/>
            <w:shd w:val="clear" w:color="auto" w:fill="auto"/>
            <w:vAlign w:val="center"/>
          </w:tcPr>
          <w:p w14:paraId="5DBA0B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配置要求</w:t>
            </w:r>
          </w:p>
        </w:tc>
      </w:tr>
      <w:tr w14:paraId="767AE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2084" w:type="dxa"/>
            <w:shd w:val="clear" w:color="auto" w:fill="auto"/>
            <w:vAlign w:val="center"/>
          </w:tcPr>
          <w:p w14:paraId="4D9649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CPU</w:t>
            </w:r>
          </w:p>
        </w:tc>
        <w:tc>
          <w:tcPr>
            <w:tcW w:w="7579" w:type="dxa"/>
            <w:shd w:val="clear" w:color="auto" w:fill="auto"/>
            <w:vAlign w:val="center"/>
          </w:tcPr>
          <w:p w14:paraId="3E2229D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Theme="majorEastAsia" w:hAnsiTheme="majorEastAsia" w:eastAsiaTheme="majorEastAsia" w:cstheme="majorEastAsia"/>
                <w:color w:val="auto"/>
                <w:sz w:val="24"/>
                <w:highlight w:val="none"/>
                <w:lang w:val="en-US" w:eastAsia="zh-CN"/>
              </w:rPr>
              <w:t>优于或相当于：</w:t>
            </w:r>
            <w:r>
              <w:rPr>
                <w:rFonts w:hint="eastAsia" w:ascii="宋体" w:hAnsi="宋体" w:eastAsia="宋体" w:cs="宋体"/>
                <w:color w:val="auto"/>
                <w:sz w:val="24"/>
                <w:highlight w:val="none"/>
              </w:rPr>
              <w:t>双核，主频2GHz以上</w:t>
            </w:r>
          </w:p>
        </w:tc>
      </w:tr>
      <w:tr w14:paraId="757E3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2084" w:type="dxa"/>
            <w:shd w:val="clear" w:color="auto" w:fill="auto"/>
            <w:vAlign w:val="center"/>
          </w:tcPr>
          <w:p w14:paraId="6BD34A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内存</w:t>
            </w:r>
          </w:p>
        </w:tc>
        <w:tc>
          <w:tcPr>
            <w:tcW w:w="7579" w:type="dxa"/>
            <w:shd w:val="clear" w:color="auto" w:fill="auto"/>
            <w:vAlign w:val="center"/>
          </w:tcPr>
          <w:p w14:paraId="5EA219C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GB以上</w:t>
            </w:r>
          </w:p>
        </w:tc>
      </w:tr>
      <w:tr w14:paraId="0A681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084" w:type="dxa"/>
            <w:shd w:val="clear" w:color="auto" w:fill="auto"/>
            <w:vAlign w:val="center"/>
          </w:tcPr>
          <w:p w14:paraId="334031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硬盘</w:t>
            </w:r>
          </w:p>
        </w:tc>
        <w:tc>
          <w:tcPr>
            <w:tcW w:w="7579" w:type="dxa"/>
            <w:shd w:val="clear" w:color="auto" w:fill="auto"/>
            <w:vAlign w:val="center"/>
          </w:tcPr>
          <w:p w14:paraId="4FD0A7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系统盘10GB以上空闲空间</w:t>
            </w:r>
          </w:p>
        </w:tc>
      </w:tr>
      <w:tr w14:paraId="4104F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084" w:type="dxa"/>
            <w:shd w:val="clear" w:color="auto" w:fill="auto"/>
            <w:vAlign w:val="center"/>
          </w:tcPr>
          <w:p w14:paraId="582804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显示器</w:t>
            </w:r>
          </w:p>
        </w:tc>
        <w:tc>
          <w:tcPr>
            <w:tcW w:w="7579" w:type="dxa"/>
            <w:shd w:val="clear" w:color="auto" w:fill="auto"/>
            <w:vAlign w:val="center"/>
          </w:tcPr>
          <w:p w14:paraId="0C9EADB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分辨率1024×768以上，彩色</w:t>
            </w:r>
          </w:p>
        </w:tc>
      </w:tr>
      <w:tr w14:paraId="7CEFC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2084" w:type="dxa"/>
            <w:shd w:val="clear" w:color="auto" w:fill="auto"/>
            <w:vAlign w:val="center"/>
          </w:tcPr>
          <w:p w14:paraId="5E6435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网卡</w:t>
            </w:r>
          </w:p>
        </w:tc>
        <w:tc>
          <w:tcPr>
            <w:tcW w:w="7579" w:type="dxa"/>
            <w:shd w:val="clear" w:color="auto" w:fill="auto"/>
            <w:vAlign w:val="center"/>
          </w:tcPr>
          <w:p w14:paraId="3B0BF6A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带宽</w:t>
            </w:r>
            <w:r>
              <w:rPr>
                <w:rFonts w:hint="eastAsia" w:ascii="宋体" w:hAnsi="宋体" w:eastAsia="宋体" w:cs="宋体"/>
                <w:color w:val="auto"/>
                <w:sz w:val="24"/>
                <w:highlight w:val="none"/>
              </w:rPr>
              <w:t>100M</w:t>
            </w:r>
            <w:r>
              <w:rPr>
                <w:rFonts w:hint="eastAsia" w:ascii="宋体" w:hAnsi="宋体" w:eastAsia="宋体" w:cs="宋体"/>
                <w:color w:val="auto"/>
                <w:sz w:val="24"/>
                <w:highlight w:val="none"/>
                <w:lang w:val="en-US" w:eastAsia="zh-CN"/>
              </w:rPr>
              <w:t>以上</w:t>
            </w:r>
          </w:p>
        </w:tc>
      </w:tr>
      <w:tr w14:paraId="4B6D0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2084" w:type="dxa"/>
            <w:shd w:val="clear" w:color="auto" w:fill="auto"/>
            <w:vAlign w:val="center"/>
          </w:tcPr>
          <w:p w14:paraId="3CD858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USB接口</w:t>
            </w:r>
          </w:p>
        </w:tc>
        <w:tc>
          <w:tcPr>
            <w:tcW w:w="7579" w:type="dxa"/>
            <w:shd w:val="clear" w:color="auto" w:fill="auto"/>
            <w:vAlign w:val="center"/>
          </w:tcPr>
          <w:p w14:paraId="7DD95A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至少有1个空闲备用</w:t>
            </w:r>
          </w:p>
        </w:tc>
      </w:tr>
      <w:tr w14:paraId="5FC3C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084" w:type="dxa"/>
            <w:shd w:val="clear" w:color="auto" w:fill="auto"/>
            <w:vAlign w:val="center"/>
          </w:tcPr>
          <w:p w14:paraId="128CCF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操作系统</w:t>
            </w:r>
          </w:p>
        </w:tc>
        <w:tc>
          <w:tcPr>
            <w:tcW w:w="7579" w:type="dxa"/>
            <w:shd w:val="clear" w:color="auto" w:fill="auto"/>
            <w:vAlign w:val="center"/>
          </w:tcPr>
          <w:p w14:paraId="4BE0BA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Windows 7、Windows 8、Windows 10、Windows 1</w:t>
            </w:r>
            <w:r>
              <w:rPr>
                <w:rFonts w:hint="eastAsia" w:ascii="宋体" w:hAnsi="宋体" w:eastAsia="宋体" w:cs="宋体"/>
                <w:color w:val="auto"/>
                <w:sz w:val="24"/>
                <w:highlight w:val="none"/>
                <w:lang w:val="en-US" w:eastAsia="zh-CN"/>
              </w:rPr>
              <w:t>1之一</w:t>
            </w:r>
          </w:p>
        </w:tc>
      </w:tr>
      <w:tr w14:paraId="6FA58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2084" w:type="dxa"/>
            <w:shd w:val="clear" w:color="auto" w:fill="auto"/>
            <w:vAlign w:val="center"/>
          </w:tcPr>
          <w:p w14:paraId="132293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局域网要求</w:t>
            </w:r>
          </w:p>
        </w:tc>
        <w:tc>
          <w:tcPr>
            <w:tcW w:w="7579" w:type="dxa"/>
            <w:shd w:val="clear" w:color="auto" w:fill="auto"/>
            <w:vAlign w:val="center"/>
          </w:tcPr>
          <w:p w14:paraId="6AFBC6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和本考场考生考试机在一个局域网内</w:t>
            </w:r>
          </w:p>
        </w:tc>
      </w:tr>
    </w:tbl>
    <w:p w14:paraId="47B73F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kern w:val="2"/>
          <w:sz w:val="24"/>
          <w:szCs w:val="24"/>
          <w:highlight w:val="none"/>
          <w:lang w:val="en-US" w:eastAsia="zh-CN" w:bidi="ar-SA"/>
        </w:rPr>
        <w:t>5.</w:t>
      </w:r>
      <w:r>
        <w:rPr>
          <w:rFonts w:hint="eastAsia" w:asciiTheme="majorEastAsia" w:hAnsiTheme="majorEastAsia" w:eastAsiaTheme="majorEastAsia" w:cstheme="majorEastAsia"/>
          <w:b w:val="0"/>
          <w:bCs/>
          <w:color w:val="auto"/>
          <w:sz w:val="24"/>
          <w:szCs w:val="24"/>
          <w:highlight w:val="none"/>
          <w:lang w:val="en-US" w:eastAsia="zh-CN"/>
        </w:rPr>
        <w:t>考试机要求</w:t>
      </w:r>
    </w:p>
    <w:tbl>
      <w:tblPr>
        <w:tblStyle w:val="26"/>
        <w:tblW w:w="9358"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5"/>
        <w:gridCol w:w="7263"/>
      </w:tblGrid>
      <w:tr w14:paraId="76BF2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blHeader/>
        </w:trPr>
        <w:tc>
          <w:tcPr>
            <w:tcW w:w="2095" w:type="dxa"/>
            <w:shd w:val="clear" w:color="auto" w:fill="auto"/>
            <w:vAlign w:val="center"/>
          </w:tcPr>
          <w:p w14:paraId="031AB2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设备名称</w:t>
            </w:r>
          </w:p>
        </w:tc>
        <w:tc>
          <w:tcPr>
            <w:tcW w:w="7263" w:type="dxa"/>
            <w:shd w:val="clear" w:color="auto" w:fill="auto"/>
            <w:vAlign w:val="center"/>
          </w:tcPr>
          <w:p w14:paraId="468E2C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配置要求</w:t>
            </w:r>
          </w:p>
        </w:tc>
      </w:tr>
      <w:tr w14:paraId="51C62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95" w:type="dxa"/>
            <w:shd w:val="clear" w:color="auto" w:fill="auto"/>
            <w:vAlign w:val="center"/>
          </w:tcPr>
          <w:p w14:paraId="6EC825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CPU</w:t>
            </w:r>
          </w:p>
        </w:tc>
        <w:tc>
          <w:tcPr>
            <w:tcW w:w="7263" w:type="dxa"/>
            <w:shd w:val="clear" w:color="auto" w:fill="auto"/>
            <w:vAlign w:val="center"/>
          </w:tcPr>
          <w:p w14:paraId="405C5E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Theme="majorEastAsia" w:hAnsiTheme="majorEastAsia" w:eastAsiaTheme="majorEastAsia" w:cstheme="majorEastAsia"/>
                <w:color w:val="auto"/>
                <w:sz w:val="24"/>
                <w:highlight w:val="none"/>
                <w:lang w:val="en-US" w:eastAsia="zh-CN"/>
              </w:rPr>
              <w:t>优于或相当于：</w:t>
            </w:r>
            <w:r>
              <w:rPr>
                <w:rFonts w:hint="eastAsia" w:ascii="宋体" w:hAnsi="宋体" w:eastAsia="宋体" w:cs="宋体"/>
                <w:color w:val="auto"/>
                <w:sz w:val="24"/>
                <w:highlight w:val="none"/>
              </w:rPr>
              <w:t>双核，主频2GHz以上</w:t>
            </w:r>
          </w:p>
        </w:tc>
      </w:tr>
      <w:tr w14:paraId="09AEF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95" w:type="dxa"/>
            <w:shd w:val="clear" w:color="auto" w:fill="auto"/>
            <w:vAlign w:val="center"/>
          </w:tcPr>
          <w:p w14:paraId="334704B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内存</w:t>
            </w:r>
          </w:p>
        </w:tc>
        <w:tc>
          <w:tcPr>
            <w:tcW w:w="7263" w:type="dxa"/>
            <w:shd w:val="clear" w:color="auto" w:fill="auto"/>
            <w:vAlign w:val="center"/>
          </w:tcPr>
          <w:p w14:paraId="533C5AA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GB以上</w:t>
            </w:r>
          </w:p>
        </w:tc>
      </w:tr>
      <w:tr w14:paraId="116A4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95" w:type="dxa"/>
            <w:shd w:val="clear" w:color="auto" w:fill="auto"/>
            <w:vAlign w:val="center"/>
          </w:tcPr>
          <w:p w14:paraId="1102D57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硬盘</w:t>
            </w:r>
          </w:p>
        </w:tc>
        <w:tc>
          <w:tcPr>
            <w:tcW w:w="7263" w:type="dxa"/>
            <w:shd w:val="clear" w:color="auto" w:fill="auto"/>
            <w:vAlign w:val="center"/>
          </w:tcPr>
          <w:p w14:paraId="5546D1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系统盘</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GB以上空闲空间</w:t>
            </w:r>
          </w:p>
        </w:tc>
      </w:tr>
      <w:tr w14:paraId="1F76E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95" w:type="dxa"/>
            <w:shd w:val="clear" w:color="auto" w:fill="auto"/>
            <w:vAlign w:val="center"/>
          </w:tcPr>
          <w:p w14:paraId="2BA3389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显示器</w:t>
            </w:r>
          </w:p>
        </w:tc>
        <w:tc>
          <w:tcPr>
            <w:tcW w:w="7263" w:type="dxa"/>
            <w:shd w:val="clear" w:color="auto" w:fill="auto"/>
            <w:vAlign w:val="center"/>
          </w:tcPr>
          <w:p w14:paraId="64E49B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分辨率1024×768以上，彩色</w:t>
            </w:r>
          </w:p>
        </w:tc>
      </w:tr>
      <w:tr w14:paraId="7DD69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95" w:type="dxa"/>
            <w:shd w:val="clear" w:color="auto" w:fill="auto"/>
            <w:vAlign w:val="center"/>
          </w:tcPr>
          <w:p w14:paraId="1299FEA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网卡</w:t>
            </w:r>
          </w:p>
        </w:tc>
        <w:tc>
          <w:tcPr>
            <w:tcW w:w="7263" w:type="dxa"/>
            <w:shd w:val="clear" w:color="auto" w:fill="auto"/>
            <w:vAlign w:val="center"/>
          </w:tcPr>
          <w:p w14:paraId="1CC8491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带宽</w:t>
            </w:r>
            <w:r>
              <w:rPr>
                <w:rFonts w:hint="eastAsia" w:ascii="宋体" w:hAnsi="宋体" w:eastAsia="宋体" w:cs="宋体"/>
                <w:color w:val="auto"/>
                <w:sz w:val="24"/>
                <w:highlight w:val="none"/>
              </w:rPr>
              <w:t>100M</w:t>
            </w:r>
            <w:r>
              <w:rPr>
                <w:rFonts w:hint="eastAsia" w:ascii="宋体" w:hAnsi="宋体" w:eastAsia="宋体" w:cs="宋体"/>
                <w:color w:val="auto"/>
                <w:sz w:val="24"/>
                <w:highlight w:val="none"/>
                <w:lang w:val="en-US" w:eastAsia="zh-CN"/>
              </w:rPr>
              <w:t>以上</w:t>
            </w:r>
          </w:p>
        </w:tc>
      </w:tr>
      <w:tr w14:paraId="6D448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95" w:type="dxa"/>
            <w:shd w:val="clear" w:color="auto" w:fill="auto"/>
            <w:vAlign w:val="center"/>
          </w:tcPr>
          <w:p w14:paraId="77186D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USB接口</w:t>
            </w:r>
          </w:p>
        </w:tc>
        <w:tc>
          <w:tcPr>
            <w:tcW w:w="7263" w:type="dxa"/>
            <w:shd w:val="clear" w:color="auto" w:fill="auto"/>
            <w:vAlign w:val="center"/>
          </w:tcPr>
          <w:p w14:paraId="76B3DD3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至少有1个空闲备用</w:t>
            </w:r>
          </w:p>
        </w:tc>
      </w:tr>
      <w:tr w14:paraId="2524B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95" w:type="dxa"/>
            <w:shd w:val="clear" w:color="auto" w:fill="auto"/>
            <w:vAlign w:val="center"/>
          </w:tcPr>
          <w:p w14:paraId="3295A4E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操作系统</w:t>
            </w:r>
          </w:p>
        </w:tc>
        <w:tc>
          <w:tcPr>
            <w:tcW w:w="7263" w:type="dxa"/>
            <w:shd w:val="clear" w:color="auto" w:fill="auto"/>
            <w:vAlign w:val="center"/>
          </w:tcPr>
          <w:p w14:paraId="11295BB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Windows 7、Windows 8、Windows 10、Windows 1</w:t>
            </w:r>
            <w:r>
              <w:rPr>
                <w:rFonts w:hint="eastAsia" w:ascii="宋体" w:hAnsi="宋体" w:eastAsia="宋体" w:cs="宋体"/>
                <w:color w:val="auto"/>
                <w:sz w:val="24"/>
                <w:highlight w:val="none"/>
                <w:lang w:val="en-US" w:eastAsia="zh-CN"/>
              </w:rPr>
              <w:t>1之一</w:t>
            </w:r>
          </w:p>
        </w:tc>
      </w:tr>
      <w:tr w14:paraId="5F494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95" w:type="dxa"/>
            <w:shd w:val="clear" w:color="auto" w:fill="auto"/>
            <w:vAlign w:val="center"/>
          </w:tcPr>
          <w:p w14:paraId="71D6367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局域网要求</w:t>
            </w:r>
          </w:p>
        </w:tc>
        <w:tc>
          <w:tcPr>
            <w:tcW w:w="7263" w:type="dxa"/>
            <w:shd w:val="clear" w:color="auto" w:fill="auto"/>
            <w:vAlign w:val="center"/>
          </w:tcPr>
          <w:p w14:paraId="052110F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和本考场</w:t>
            </w:r>
            <w:r>
              <w:rPr>
                <w:rFonts w:hint="eastAsia" w:ascii="宋体" w:hAnsi="宋体" w:eastAsia="宋体" w:cs="宋体"/>
                <w:color w:val="auto"/>
                <w:sz w:val="24"/>
                <w:highlight w:val="none"/>
                <w:lang w:val="en-US" w:eastAsia="zh-CN"/>
              </w:rPr>
              <w:t>监考机</w:t>
            </w:r>
            <w:r>
              <w:rPr>
                <w:rFonts w:hint="eastAsia" w:ascii="宋体" w:hAnsi="宋体" w:eastAsia="宋体" w:cs="宋体"/>
                <w:color w:val="auto"/>
                <w:sz w:val="24"/>
                <w:highlight w:val="none"/>
              </w:rPr>
              <w:t>在一个局域网内</w:t>
            </w:r>
          </w:p>
        </w:tc>
      </w:tr>
    </w:tbl>
    <w:p w14:paraId="0D07AF6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视频监控要求</w:t>
      </w:r>
    </w:p>
    <w:p w14:paraId="3E8272BD">
      <w:pPr>
        <w:spacing w:line="440" w:lineRule="exact"/>
        <w:ind w:firstLine="480" w:firstLineChars="200"/>
        <w:rPr>
          <w:rFonts w:hint="eastAsia"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lang w:val="en-US" w:eastAsia="zh-CN"/>
        </w:rPr>
        <w:t>1. 各考场须配置视频监控设备。</w:t>
      </w:r>
    </w:p>
    <w:p w14:paraId="055BC9E3">
      <w:pPr>
        <w:spacing w:line="440" w:lineRule="exact"/>
        <w:ind w:firstLine="480" w:firstLineChars="200"/>
        <w:rPr>
          <w:rFonts w:hint="eastAsia"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lang w:val="en-US" w:eastAsia="zh-CN"/>
        </w:rPr>
        <w:t>2．调整考场内各摄像头的监控范围，确保考场无盲区，调节摄像头图像，使得清晰度达到设备最佳。如果条件允许，每个考场每 100 台（及以下）考试机可配置一台带云台、360 度旋转、650 线高速摄像头，实时监控、抓拍考场情况；每台考试机可配置一对一的监控摄像头进行考试的全程录像。</w:t>
      </w:r>
    </w:p>
    <w:p w14:paraId="5D7232C1">
      <w:pPr>
        <w:spacing w:line="440" w:lineRule="exact"/>
        <w:ind w:firstLine="480" w:firstLineChars="200"/>
        <w:rPr>
          <w:rFonts w:hint="eastAsia"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lang w:val="en-US" w:eastAsia="zh-CN"/>
        </w:rPr>
        <w:t>3．做好考试期间监控设备的录像工作，并由考点妥善保存录像文件 4 个月，以备事后回放。</w:t>
      </w:r>
    </w:p>
    <w:p w14:paraId="5EBFE8E1">
      <w:pPr>
        <w:spacing w:line="440" w:lineRule="exact"/>
        <w:ind w:firstLine="480" w:firstLineChars="200"/>
        <w:rPr>
          <w:rFonts w:hint="eastAsia"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lang w:val="en-US" w:eastAsia="zh-CN"/>
        </w:rPr>
        <w:t>4．监控设备显示器应放在考场外的其他适当地点。如果条件允许，配置专用考点总控室，可同时监控所有考场的实时情况，能切换每个考场的声图信息到主画面，能手动锁定到每个考生的细节情况。声图信号稳定、清晰、同步。</w:t>
      </w:r>
    </w:p>
    <w:p w14:paraId="4DACD3B5">
      <w:pPr>
        <w:spacing w:line="440" w:lineRule="exact"/>
        <w:ind w:firstLine="480" w:firstLineChars="200"/>
        <w:rPr>
          <w:rFonts w:hint="eastAsia"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lang w:val="en-US" w:eastAsia="zh-CN"/>
        </w:rPr>
        <w:t>5．在信息安全前提下，监控设备应能够接入外网，可授权外网用户对每个考场进行巡考、录像。考点应安装防火墙,确保考点硬盘录像机接在本考点防火墙内，并做好相应安全措施，防止他人非法盗取、篡改或删除监控录像数据。每个省（区、市）至少有1个考点能按此项要求接入部级监控平台。</w:t>
      </w:r>
    </w:p>
    <w:p w14:paraId="68E62093">
      <w:pPr>
        <w:pStyle w:val="43"/>
        <w:widowControl w:val="0"/>
        <w:spacing w:before="0" w:beforeAutospacing="0" w:after="0" w:afterAutospacing="0" w:line="440" w:lineRule="exact"/>
        <w:ind w:firstLine="482" w:firstLineChars="200"/>
        <w:jc w:val="both"/>
        <w:rPr>
          <w:rFonts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四</w:t>
      </w:r>
      <w:r>
        <w:rPr>
          <w:rFonts w:hint="eastAsia" w:ascii="宋体" w:hAnsi="宋体" w:eastAsia="宋体" w:cs="宋体"/>
          <w:color w:val="auto"/>
          <w:sz w:val="24"/>
          <w:szCs w:val="18"/>
          <w:highlight w:val="none"/>
        </w:rPr>
        <w:t>、报价要</w:t>
      </w:r>
      <w:bookmarkEnd w:id="33"/>
      <w:bookmarkEnd w:id="34"/>
      <w:r>
        <w:rPr>
          <w:rFonts w:hint="eastAsia" w:ascii="宋体" w:hAnsi="宋体" w:eastAsia="宋体" w:cs="宋体"/>
          <w:color w:val="auto"/>
          <w:sz w:val="24"/>
          <w:szCs w:val="18"/>
          <w:highlight w:val="none"/>
        </w:rPr>
        <w:t>求及说明</w:t>
      </w:r>
    </w:p>
    <w:p w14:paraId="5F7C8523">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firstLineChars="200"/>
        <w:jc w:val="both"/>
        <w:rPr>
          <w:rFonts w:hint="default" w:ascii="宋体" w:hAnsi="宋体" w:eastAsia="宋体" w:cs="宋体"/>
          <w:bCs w:val="0"/>
          <w:color w:val="auto"/>
          <w:sz w:val="24"/>
          <w:highlight w:val="none"/>
          <w:lang w:val="en-US" w:eastAsia="zh-CN"/>
        </w:rPr>
      </w:pPr>
      <w:r>
        <w:rPr>
          <w:rFonts w:hint="eastAsia" w:ascii="宋体" w:hAnsi="宋体" w:eastAsia="宋体" w:cs="宋体"/>
          <w:bCs w:val="0"/>
          <w:color w:val="auto"/>
          <w:sz w:val="24"/>
          <w:highlight w:val="none"/>
        </w:rPr>
        <w:t>（一）本项目服务期三年，合同一年一签。</w:t>
      </w:r>
      <w:r>
        <w:rPr>
          <w:rFonts w:hint="eastAsia" w:ascii="宋体" w:hAnsi="宋体" w:eastAsia="宋体" w:cs="宋体"/>
          <w:bCs w:val="0"/>
          <w:color w:val="auto"/>
          <w:sz w:val="24"/>
          <w:highlight w:val="none"/>
          <w:lang w:val="en-US" w:eastAsia="zh-CN"/>
        </w:rPr>
        <w:t>本项目报价采用单价报价，按每场（批）次最高限价40元/考生(科目次）。投标报价不得高于最高限价，否则按无效标处理。</w:t>
      </w:r>
    </w:p>
    <w:p w14:paraId="0943109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center"/>
        <w:rPr>
          <w:rFonts w:hint="eastAsia" w:ascii="仿宋_GB2312" w:eastAsia="仿宋_GB2312"/>
          <w:sz w:val="24"/>
          <w:szCs w:val="24"/>
          <w:highlight w:val="none"/>
          <w:lang w:eastAsia="zh-CN"/>
        </w:rPr>
      </w:pPr>
      <w:r>
        <w:rPr>
          <w:rFonts w:hint="eastAsia" w:ascii="宋体" w:hAnsi="宋体" w:eastAsia="宋体" w:cs="宋体"/>
          <w:bCs w:val="0"/>
          <w:color w:val="auto"/>
          <w:sz w:val="24"/>
          <w:highlight w:val="none"/>
        </w:rPr>
        <w:t>（</w:t>
      </w:r>
      <w:r>
        <w:rPr>
          <w:rFonts w:hint="eastAsia" w:ascii="宋体" w:hAnsi="宋体" w:eastAsia="宋体" w:cs="宋体"/>
          <w:bCs w:val="0"/>
          <w:color w:val="auto"/>
          <w:sz w:val="24"/>
          <w:highlight w:val="none"/>
          <w:lang w:val="en-US" w:eastAsia="zh-CN"/>
        </w:rPr>
        <w:t>二</w:t>
      </w:r>
      <w:r>
        <w:rPr>
          <w:rFonts w:hint="eastAsia" w:ascii="宋体" w:hAnsi="宋体" w:eastAsia="宋体" w:cs="宋体"/>
          <w:bCs w:val="0"/>
          <w:color w:val="auto"/>
          <w:sz w:val="24"/>
          <w:highlight w:val="none"/>
        </w:rPr>
        <w:t>）本项目投标</w:t>
      </w:r>
      <w:r>
        <w:rPr>
          <w:rFonts w:hint="eastAsia" w:ascii="宋体" w:hAnsi="宋体" w:eastAsia="宋体" w:cs="宋体"/>
          <w:bCs w:val="0"/>
          <w:color w:val="auto"/>
          <w:sz w:val="24"/>
          <w:highlight w:val="none"/>
          <w:lang w:val="en-US" w:eastAsia="zh-CN"/>
        </w:rPr>
        <w:t>单价</w:t>
      </w:r>
      <w:r>
        <w:rPr>
          <w:rFonts w:hint="eastAsia" w:ascii="宋体" w:hAnsi="宋体" w:eastAsia="宋体" w:cs="宋体"/>
          <w:bCs w:val="0"/>
          <w:color w:val="auto"/>
          <w:sz w:val="24"/>
          <w:highlight w:val="none"/>
        </w:rPr>
        <w:t>为完成本次招标</w:t>
      </w:r>
      <w:r>
        <w:rPr>
          <w:rFonts w:hint="eastAsia" w:ascii="宋体" w:hAnsi="宋体" w:eastAsia="宋体" w:cs="宋体"/>
          <w:bCs w:val="0"/>
          <w:color w:val="auto"/>
          <w:sz w:val="24"/>
          <w:highlight w:val="none"/>
          <w:lang w:val="en-US" w:eastAsia="zh-CN"/>
        </w:rPr>
        <w:t>服务所必需的全部</w:t>
      </w:r>
      <w:r>
        <w:rPr>
          <w:rFonts w:hint="eastAsia" w:ascii="宋体" w:hAnsi="宋体" w:eastAsia="宋体" w:cs="宋体"/>
          <w:bCs w:val="0"/>
          <w:color w:val="auto"/>
          <w:sz w:val="24"/>
          <w:highlight w:val="none"/>
        </w:rPr>
        <w:t>费用</w:t>
      </w:r>
      <w:r>
        <w:rPr>
          <w:rFonts w:hint="eastAsia" w:ascii="宋体" w:hAnsi="宋体" w:eastAsia="宋体" w:cs="宋体"/>
          <w:bCs w:val="0"/>
          <w:color w:val="auto"/>
          <w:sz w:val="24"/>
          <w:highlight w:val="none"/>
          <w:lang w:eastAsia="zh-CN"/>
        </w:rPr>
        <w:t>，</w:t>
      </w:r>
      <w:r>
        <w:rPr>
          <w:rFonts w:hint="eastAsia" w:ascii="宋体" w:hAnsi="宋体" w:eastAsia="宋体" w:cs="宋体"/>
          <w:bCs w:val="0"/>
          <w:color w:val="auto"/>
          <w:sz w:val="24"/>
          <w:highlight w:val="none"/>
          <w:lang w:val="en-US" w:eastAsia="zh-CN"/>
        </w:rPr>
        <w:t>包括但不限于</w:t>
      </w:r>
      <w:r>
        <w:rPr>
          <w:rFonts w:hint="eastAsia" w:ascii="宋体" w:hAnsi="宋体" w:eastAsia="宋体" w:cs="宋体"/>
          <w:bCs w:val="0"/>
          <w:color w:val="auto"/>
          <w:sz w:val="24"/>
          <w:highlight w:val="none"/>
        </w:rPr>
        <w:t>考场场地费、全部计算机及网络设备使用费、服务器及UPS电源运维费、考试期间标准电力保障费、规定期限内的数据存储备份费、</w:t>
      </w:r>
      <w:r>
        <w:rPr>
          <w:rFonts w:hint="eastAsia" w:ascii="宋体" w:hAnsi="宋体" w:eastAsia="宋体" w:cs="宋体"/>
          <w:bCs w:val="0"/>
          <w:color w:val="auto"/>
          <w:sz w:val="24"/>
          <w:highlight w:val="none"/>
          <w:lang w:val="en-US" w:eastAsia="zh-CN"/>
        </w:rPr>
        <w:t>考务服务费、招标代理服务费等。请投标综合考虑上述费用，合理报价</w:t>
      </w:r>
      <w:r>
        <w:rPr>
          <w:rFonts w:hint="eastAsia" w:ascii="仿宋_GB2312" w:hAnsi="Times New Roman" w:eastAsia="仿宋_GB2312"/>
          <w:sz w:val="24"/>
          <w:szCs w:val="24"/>
          <w:highlight w:val="none"/>
          <w:lang w:eastAsia="zh-CN"/>
        </w:rPr>
        <w:t>。</w:t>
      </w:r>
    </w:p>
    <w:p w14:paraId="6375EB3D">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协商程序和评审标准</w:t>
      </w:r>
      <w:bookmarkEnd w:id="30"/>
    </w:p>
    <w:p w14:paraId="10D08C8A">
      <w:pPr>
        <w:keepNext w:val="0"/>
        <w:keepLines w:val="0"/>
        <w:pageBreakBefore w:val="0"/>
        <w:widowControl w:val="0"/>
        <w:kinsoku/>
        <w:wordWrap/>
        <w:overflowPunct/>
        <w:topLinePunct w:val="0"/>
        <w:autoSpaceDE/>
        <w:autoSpaceDN/>
        <w:bidi w:val="0"/>
        <w:spacing w:line="500" w:lineRule="exact"/>
        <w:ind w:firstLine="437"/>
        <w:textAlignment w:val="auto"/>
        <w:outlineLvl w:val="1"/>
        <w:rPr>
          <w:rFonts w:hint="eastAsia" w:ascii="宋体" w:hAnsi="宋体" w:eastAsia="宋体" w:cs="宋体"/>
          <w:b/>
          <w:color w:val="auto"/>
          <w:sz w:val="24"/>
          <w:szCs w:val="24"/>
          <w:highlight w:val="none"/>
        </w:rPr>
      </w:pPr>
      <w:bookmarkStart w:id="35" w:name="_Toc25359"/>
      <w:bookmarkStart w:id="36" w:name="_Toc5362"/>
      <w:r>
        <w:rPr>
          <w:rFonts w:hint="eastAsia" w:ascii="宋体" w:hAnsi="宋体" w:eastAsia="宋体" w:cs="宋体"/>
          <w:b/>
          <w:color w:val="auto"/>
          <w:sz w:val="24"/>
          <w:szCs w:val="24"/>
          <w:highlight w:val="none"/>
        </w:rPr>
        <w:t>一、总则</w:t>
      </w:r>
      <w:bookmarkEnd w:id="35"/>
      <w:bookmarkEnd w:id="36"/>
    </w:p>
    <w:p w14:paraId="1C78E5A0">
      <w:pPr>
        <w:keepNext w:val="0"/>
        <w:keepLines w:val="0"/>
        <w:pageBreakBefore w:val="0"/>
        <w:widowControl w:val="0"/>
        <w:kinsoku/>
        <w:wordWrap/>
        <w:overflowPunct/>
        <w:topLinePunct w:val="0"/>
        <w:autoSpaceDE/>
        <w:autoSpaceDN/>
        <w:bidi w:val="0"/>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本项目将按照采购文件第二章 供应商须知的相关要求及本章的规定评审。</w:t>
      </w:r>
    </w:p>
    <w:p w14:paraId="7E6BA5F4">
      <w:pPr>
        <w:keepNext w:val="0"/>
        <w:keepLines w:val="0"/>
        <w:pageBreakBefore w:val="0"/>
        <w:widowControl w:val="0"/>
        <w:kinsoku/>
        <w:wordWrap/>
        <w:overflowPunct/>
        <w:topLinePunct w:val="0"/>
        <w:autoSpaceDE/>
        <w:autoSpaceDN/>
        <w:bidi w:val="0"/>
        <w:spacing w:line="500" w:lineRule="exact"/>
        <w:ind w:firstLine="437"/>
        <w:textAlignment w:val="auto"/>
        <w:outlineLvl w:val="1"/>
        <w:rPr>
          <w:rFonts w:hint="eastAsia" w:ascii="宋体" w:hAnsi="宋体" w:eastAsia="宋体" w:cs="宋体"/>
          <w:b/>
          <w:color w:val="auto"/>
          <w:sz w:val="24"/>
          <w:szCs w:val="24"/>
          <w:highlight w:val="none"/>
        </w:rPr>
      </w:pPr>
      <w:bookmarkStart w:id="37" w:name="_Toc2322"/>
      <w:bookmarkStart w:id="38" w:name="_Toc6172"/>
      <w:r>
        <w:rPr>
          <w:rFonts w:hint="eastAsia" w:ascii="宋体" w:hAnsi="宋体" w:eastAsia="宋体" w:cs="宋体"/>
          <w:b/>
          <w:color w:val="auto"/>
          <w:sz w:val="24"/>
          <w:szCs w:val="24"/>
          <w:highlight w:val="none"/>
        </w:rPr>
        <w:t>二、协商程序</w:t>
      </w:r>
      <w:bookmarkEnd w:id="37"/>
      <w:bookmarkEnd w:id="38"/>
    </w:p>
    <w:p w14:paraId="595EC600">
      <w:pPr>
        <w:keepNext w:val="0"/>
        <w:keepLines w:val="0"/>
        <w:pageBreakBefore w:val="0"/>
        <w:widowControl w:val="0"/>
        <w:kinsoku/>
        <w:wordWrap/>
        <w:overflowPunct/>
        <w:topLinePunct w:val="0"/>
        <w:autoSpaceDE/>
        <w:autoSpaceDN/>
        <w:bidi w:val="0"/>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采购小组对通过供应商的响应文件进行评审，以确定其是否满足采购文件的实质性要求。评审表如下：</w:t>
      </w:r>
    </w:p>
    <w:tbl>
      <w:tblPr>
        <w:tblStyle w:val="26"/>
        <w:tblW w:w="53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516"/>
        <w:gridCol w:w="4993"/>
        <w:gridCol w:w="2958"/>
      </w:tblGrid>
      <w:tr w14:paraId="4082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D8D3484">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hint="eastAsia" w:ascii="宋体" w:hAnsi="宋体" w:eastAsia="宋体" w:cs="宋体"/>
                <w:color w:val="auto"/>
                <w:sz w:val="24"/>
                <w:szCs w:val="24"/>
                <w:highlight w:val="none"/>
              </w:rPr>
            </w:pPr>
            <w:bookmarkStart w:id="39" w:name="_Hlk60612144"/>
            <w:r>
              <w:rPr>
                <w:rFonts w:hint="eastAsia" w:ascii="宋体" w:hAnsi="宋体" w:eastAsia="宋体" w:cs="宋体"/>
                <w:b/>
                <w:color w:val="auto"/>
                <w:sz w:val="24"/>
                <w:szCs w:val="24"/>
                <w:highlight w:val="none"/>
              </w:rPr>
              <w:t>评审表</w:t>
            </w:r>
          </w:p>
        </w:tc>
      </w:tr>
      <w:tr w14:paraId="2D7B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bottom w:val="single" w:color="auto" w:sz="4" w:space="0"/>
            </w:tcBorders>
            <w:vAlign w:val="center"/>
          </w:tcPr>
          <w:p w14:paraId="678C18D0">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39" w:type="pct"/>
            <w:tcBorders>
              <w:bottom w:val="single" w:color="auto" w:sz="4" w:space="0"/>
            </w:tcBorders>
            <w:vAlign w:val="center"/>
          </w:tcPr>
          <w:p w14:paraId="5DEDE9C7">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500" w:lineRule="exact"/>
              <w:ind w:right="-1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审查</w:t>
            </w:r>
            <w:r>
              <w:rPr>
                <w:rFonts w:hint="eastAsia" w:ascii="宋体" w:hAnsi="宋体" w:eastAsia="宋体" w:cs="宋体"/>
                <w:color w:val="auto"/>
                <w:kern w:val="2"/>
                <w:sz w:val="24"/>
                <w:szCs w:val="24"/>
                <w:highlight w:val="none"/>
              </w:rPr>
              <w:t>指标</w:t>
            </w:r>
          </w:p>
        </w:tc>
        <w:tc>
          <w:tcPr>
            <w:tcW w:w="2434" w:type="pct"/>
            <w:tcBorders>
              <w:bottom w:val="single" w:color="auto" w:sz="4" w:space="0"/>
            </w:tcBorders>
            <w:vAlign w:val="center"/>
          </w:tcPr>
          <w:p w14:paraId="4C56DF10">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标准</w:t>
            </w:r>
          </w:p>
        </w:tc>
        <w:tc>
          <w:tcPr>
            <w:tcW w:w="1440" w:type="pct"/>
            <w:tcBorders>
              <w:bottom w:val="single" w:color="auto" w:sz="4" w:space="0"/>
            </w:tcBorders>
            <w:vAlign w:val="center"/>
          </w:tcPr>
          <w:p w14:paraId="7E9E37CA">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格式要求</w:t>
            </w:r>
          </w:p>
        </w:tc>
      </w:tr>
      <w:tr w14:paraId="2740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85" w:type="pct"/>
            <w:tcBorders>
              <w:bottom w:val="single" w:color="auto" w:sz="4" w:space="0"/>
            </w:tcBorders>
            <w:vAlign w:val="center"/>
          </w:tcPr>
          <w:p w14:paraId="322F2ACA">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739" w:type="pct"/>
            <w:tcBorders>
              <w:bottom w:val="single" w:color="auto" w:sz="4" w:space="0"/>
            </w:tcBorders>
            <w:vAlign w:val="center"/>
          </w:tcPr>
          <w:p w14:paraId="667F48EC">
            <w:pPr>
              <w:keepNext w:val="0"/>
              <w:keepLines w:val="0"/>
              <w:pageBreakBefore w:val="0"/>
              <w:widowControl w:val="0"/>
              <w:kinsoku/>
              <w:wordWrap/>
              <w:overflowPunct/>
              <w:topLinePunct w:val="0"/>
              <w:autoSpaceDE/>
              <w:autoSpaceDN/>
              <w:bidi w:val="0"/>
              <w:spacing w:line="500" w:lineRule="exact"/>
              <w:ind w:right="-1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434" w:type="pct"/>
            <w:tcBorders>
              <w:bottom w:val="single" w:color="auto" w:sz="4" w:space="0"/>
            </w:tcBorders>
            <w:vAlign w:val="center"/>
          </w:tcPr>
          <w:p w14:paraId="0AE73F14">
            <w:pPr>
              <w:keepNext w:val="0"/>
              <w:keepLines w:val="0"/>
              <w:pageBreakBefore w:val="0"/>
              <w:widowControl w:val="0"/>
              <w:kinsoku/>
              <w:wordWrap/>
              <w:overflowPunct/>
              <w:topLinePunct w:val="0"/>
              <w:autoSpaceDE/>
              <w:autoSpaceDN/>
              <w:bidi w:val="0"/>
              <w:spacing w:line="500" w:lineRule="exact"/>
              <w:ind w:right="-1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供有效的营业执照；</w:t>
            </w:r>
          </w:p>
          <w:p w14:paraId="754DE67E">
            <w:pPr>
              <w:keepNext w:val="0"/>
              <w:keepLines w:val="0"/>
              <w:pageBreakBefore w:val="0"/>
              <w:widowControl w:val="0"/>
              <w:kinsoku/>
              <w:wordWrap/>
              <w:overflowPunct/>
              <w:topLinePunct w:val="0"/>
              <w:autoSpaceDE/>
              <w:autoSpaceDN/>
              <w:bidi w:val="0"/>
              <w:spacing w:line="500" w:lineRule="exact"/>
              <w:ind w:right="-1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供有效的事业单位法人证书；</w:t>
            </w:r>
          </w:p>
          <w:p w14:paraId="7E00709A">
            <w:pPr>
              <w:keepNext w:val="0"/>
              <w:keepLines w:val="0"/>
              <w:pageBreakBefore w:val="0"/>
              <w:widowControl w:val="0"/>
              <w:kinsoku/>
              <w:wordWrap/>
              <w:overflowPunct/>
              <w:topLinePunct w:val="0"/>
              <w:autoSpaceDE/>
              <w:autoSpaceDN/>
              <w:bidi w:val="0"/>
              <w:spacing w:line="500" w:lineRule="exact"/>
              <w:ind w:right="-1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登记证书等证明文件；</w:t>
            </w:r>
          </w:p>
          <w:p w14:paraId="655EE2C6">
            <w:pPr>
              <w:keepNext w:val="0"/>
              <w:keepLines w:val="0"/>
              <w:pageBreakBefore w:val="0"/>
              <w:widowControl w:val="0"/>
              <w:kinsoku/>
              <w:wordWrap/>
              <w:overflowPunct/>
              <w:topLinePunct w:val="0"/>
              <w:autoSpaceDE/>
              <w:autoSpaceDN/>
              <w:bidi w:val="0"/>
              <w:spacing w:line="500" w:lineRule="exact"/>
              <w:ind w:right="-1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供有效的个体工商户营业执照；</w:t>
            </w:r>
          </w:p>
          <w:p w14:paraId="7B4D9EC1">
            <w:pPr>
              <w:keepNext w:val="0"/>
              <w:keepLines w:val="0"/>
              <w:pageBreakBefore w:val="0"/>
              <w:widowControl w:val="0"/>
              <w:kinsoku/>
              <w:wordWrap/>
              <w:overflowPunct/>
              <w:topLinePunct w:val="0"/>
              <w:autoSpaceDE/>
              <w:autoSpaceDN/>
              <w:bidi w:val="0"/>
              <w:spacing w:line="500" w:lineRule="exact"/>
              <w:ind w:right="-1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tc>
        <w:tc>
          <w:tcPr>
            <w:tcW w:w="1440" w:type="pct"/>
            <w:vAlign w:val="center"/>
          </w:tcPr>
          <w:p w14:paraId="4103958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3EFE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bottom w:val="single" w:color="auto" w:sz="4" w:space="0"/>
            </w:tcBorders>
            <w:vAlign w:val="center"/>
          </w:tcPr>
          <w:p w14:paraId="376B7F58">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39" w:type="pct"/>
            <w:tcBorders>
              <w:bottom w:val="single" w:color="auto" w:sz="4" w:space="0"/>
            </w:tcBorders>
            <w:vAlign w:val="center"/>
          </w:tcPr>
          <w:p w14:paraId="00B69373">
            <w:pPr>
              <w:keepNext w:val="0"/>
              <w:keepLines w:val="0"/>
              <w:pageBreakBefore w:val="0"/>
              <w:widowControl w:val="0"/>
              <w:kinsoku/>
              <w:wordWrap/>
              <w:overflowPunct/>
              <w:topLinePunct w:val="0"/>
              <w:autoSpaceDE/>
              <w:autoSpaceDN/>
              <w:bidi w:val="0"/>
              <w:spacing w:line="500" w:lineRule="exact"/>
              <w:ind w:right="-1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供应商资格声明书</w:t>
            </w:r>
          </w:p>
        </w:tc>
        <w:tc>
          <w:tcPr>
            <w:tcW w:w="2434" w:type="pct"/>
            <w:tcBorders>
              <w:bottom w:val="single" w:color="auto" w:sz="4" w:space="0"/>
            </w:tcBorders>
            <w:vAlign w:val="center"/>
          </w:tcPr>
          <w:p w14:paraId="704A4AE9">
            <w:pPr>
              <w:keepNext w:val="0"/>
              <w:keepLines w:val="0"/>
              <w:pageBreakBefore w:val="0"/>
              <w:widowControl w:val="0"/>
              <w:kinsoku/>
              <w:wordWrap/>
              <w:overflowPunct/>
              <w:topLinePunct w:val="0"/>
              <w:autoSpaceDE/>
              <w:autoSpaceDN/>
              <w:bidi w:val="0"/>
              <w:spacing w:line="500" w:lineRule="exact"/>
              <w:ind w:right="-1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单一来源采购文件</w:t>
            </w:r>
            <w:r>
              <w:rPr>
                <w:rFonts w:hint="eastAsia" w:ascii="宋体" w:hAnsi="宋体" w:eastAsia="宋体" w:cs="宋体"/>
                <w:color w:val="auto"/>
                <w:sz w:val="24"/>
                <w:szCs w:val="24"/>
                <w:highlight w:val="none"/>
              </w:rPr>
              <w:t>要求的《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440" w:type="pct"/>
            <w:tcBorders>
              <w:bottom w:val="single" w:color="auto" w:sz="4" w:space="0"/>
            </w:tcBorders>
            <w:vAlign w:val="center"/>
          </w:tcPr>
          <w:p w14:paraId="4A9FC6D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1BFD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tcBorders>
              <w:bottom w:val="single" w:color="auto" w:sz="4" w:space="0"/>
            </w:tcBorders>
            <w:vAlign w:val="center"/>
          </w:tcPr>
          <w:p w14:paraId="42E4FDBA">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739" w:type="pct"/>
            <w:tcBorders>
              <w:bottom w:val="single" w:color="auto" w:sz="4" w:space="0"/>
            </w:tcBorders>
            <w:vAlign w:val="center"/>
          </w:tcPr>
          <w:p w14:paraId="779DFD15">
            <w:pPr>
              <w:keepNext w:val="0"/>
              <w:keepLines w:val="0"/>
              <w:pageBreakBefore w:val="0"/>
              <w:widowControl w:val="0"/>
              <w:kinsoku/>
              <w:wordWrap/>
              <w:overflowPunct/>
              <w:topLinePunct w:val="0"/>
              <w:autoSpaceDE/>
              <w:autoSpaceDN/>
              <w:bidi w:val="0"/>
              <w:spacing w:line="500" w:lineRule="exact"/>
              <w:ind w:right="-1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434" w:type="pct"/>
            <w:tcBorders>
              <w:bottom w:val="single" w:color="auto" w:sz="4" w:space="0"/>
            </w:tcBorders>
            <w:vAlign w:val="center"/>
          </w:tcPr>
          <w:p w14:paraId="1DA05DD7">
            <w:pPr>
              <w:keepNext w:val="0"/>
              <w:keepLines w:val="0"/>
              <w:pageBreakBefore w:val="0"/>
              <w:widowControl w:val="0"/>
              <w:kinsoku/>
              <w:wordWrap/>
              <w:overflowPunct/>
              <w:topLinePunct w:val="0"/>
              <w:autoSpaceDE/>
              <w:autoSpaceDN/>
              <w:bidi w:val="0"/>
              <w:spacing w:line="500" w:lineRule="exact"/>
              <w:ind w:right="-1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w:t>
            </w:r>
            <w:r>
              <w:rPr>
                <w:rFonts w:hint="eastAsia" w:ascii="宋体" w:hAnsi="宋体" w:eastAsia="宋体" w:cs="宋体"/>
                <w:color w:val="auto"/>
                <w:sz w:val="24"/>
                <w:szCs w:val="24"/>
                <w:highlight w:val="none"/>
                <w:lang w:val="en-US" w:eastAsia="zh-CN"/>
              </w:rPr>
              <w:t>13.1条中</w:t>
            </w:r>
            <w:r>
              <w:rPr>
                <w:rFonts w:hint="eastAsia" w:ascii="宋体" w:hAnsi="宋体" w:eastAsia="宋体" w:cs="宋体"/>
                <w:color w:val="auto"/>
                <w:sz w:val="24"/>
                <w:szCs w:val="24"/>
                <w:highlight w:val="none"/>
              </w:rPr>
              <w:t>的不良信用记录情形</w:t>
            </w:r>
          </w:p>
        </w:tc>
        <w:tc>
          <w:tcPr>
            <w:tcW w:w="1440" w:type="pct"/>
            <w:tcBorders>
              <w:bottom w:val="single" w:color="auto" w:sz="4" w:space="0"/>
            </w:tcBorders>
            <w:vAlign w:val="center"/>
          </w:tcPr>
          <w:p w14:paraId="05EBD3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1FEB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DFF06E8">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739" w:type="pct"/>
            <w:vAlign w:val="center"/>
          </w:tcPr>
          <w:p w14:paraId="60E45B02">
            <w:pPr>
              <w:keepNext w:val="0"/>
              <w:keepLines w:val="0"/>
              <w:pageBreakBefore w:val="0"/>
              <w:widowControl w:val="0"/>
              <w:kinsoku/>
              <w:wordWrap/>
              <w:overflowPunct/>
              <w:topLinePunct w:val="0"/>
              <w:autoSpaceDE/>
              <w:autoSpaceDN/>
              <w:bidi w:val="0"/>
              <w:spacing w:line="500" w:lineRule="exact"/>
              <w:ind w:right="-1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函</w:t>
            </w:r>
          </w:p>
        </w:tc>
        <w:tc>
          <w:tcPr>
            <w:tcW w:w="2434" w:type="pct"/>
            <w:vAlign w:val="center"/>
          </w:tcPr>
          <w:p w14:paraId="3FBF6F91">
            <w:pPr>
              <w:keepNext w:val="0"/>
              <w:keepLines w:val="0"/>
              <w:pageBreakBefore w:val="0"/>
              <w:widowControl w:val="0"/>
              <w:kinsoku/>
              <w:wordWrap/>
              <w:overflowPunct/>
              <w:topLinePunct w:val="0"/>
              <w:autoSpaceDE/>
              <w:autoSpaceDN/>
              <w:bidi w:val="0"/>
              <w:spacing w:line="500" w:lineRule="exact"/>
              <w:ind w:right="-1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格式、填写要求符合</w:t>
            </w:r>
            <w:r>
              <w:rPr>
                <w:rFonts w:hint="eastAsia" w:ascii="宋体" w:hAnsi="宋体" w:eastAsia="宋体" w:cs="宋体"/>
                <w:color w:val="auto"/>
                <w:sz w:val="24"/>
                <w:szCs w:val="24"/>
                <w:highlight w:val="none"/>
                <w:lang w:val="en-US" w:eastAsia="zh-CN"/>
              </w:rPr>
              <w:t>单一来源采购文件</w:t>
            </w:r>
            <w:r>
              <w:rPr>
                <w:rFonts w:hint="eastAsia" w:ascii="宋体" w:hAnsi="宋体" w:eastAsia="宋体" w:cs="宋体"/>
                <w:color w:val="auto"/>
                <w:sz w:val="24"/>
                <w:szCs w:val="24"/>
                <w:highlight w:val="none"/>
              </w:rPr>
              <w:t>规定并加盖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电子签章</w:t>
            </w:r>
          </w:p>
        </w:tc>
        <w:tc>
          <w:tcPr>
            <w:tcW w:w="1440" w:type="pct"/>
            <w:vAlign w:val="center"/>
          </w:tcPr>
          <w:p w14:paraId="1F97331F">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54B6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2C9D03C">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739" w:type="pct"/>
            <w:vAlign w:val="center"/>
          </w:tcPr>
          <w:p w14:paraId="0CBE01F5">
            <w:pPr>
              <w:keepNext w:val="0"/>
              <w:keepLines w:val="0"/>
              <w:pageBreakBefore w:val="0"/>
              <w:widowControl w:val="0"/>
              <w:kinsoku/>
              <w:wordWrap/>
              <w:overflowPunct/>
              <w:topLinePunct w:val="0"/>
              <w:autoSpaceDE/>
              <w:autoSpaceDN/>
              <w:bidi w:val="0"/>
              <w:spacing w:line="500" w:lineRule="exact"/>
              <w:ind w:right="-1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授权书</w:t>
            </w:r>
          </w:p>
        </w:tc>
        <w:tc>
          <w:tcPr>
            <w:tcW w:w="2434" w:type="pct"/>
            <w:vAlign w:val="center"/>
          </w:tcPr>
          <w:p w14:paraId="53A9BC45">
            <w:pPr>
              <w:keepNext w:val="0"/>
              <w:keepLines w:val="0"/>
              <w:pageBreakBefore w:val="0"/>
              <w:widowControl w:val="0"/>
              <w:kinsoku/>
              <w:wordWrap/>
              <w:overflowPunct/>
              <w:topLinePunct w:val="0"/>
              <w:autoSpaceDE/>
              <w:autoSpaceDN/>
              <w:bidi w:val="0"/>
              <w:spacing w:line="500" w:lineRule="exact"/>
              <w:ind w:right="-1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格式、填写要求符合</w:t>
            </w:r>
            <w:r>
              <w:rPr>
                <w:rFonts w:hint="eastAsia" w:ascii="宋体" w:hAnsi="宋体" w:eastAsia="宋体" w:cs="宋体"/>
                <w:color w:val="auto"/>
                <w:sz w:val="24"/>
                <w:szCs w:val="24"/>
                <w:highlight w:val="none"/>
                <w:lang w:val="en-US" w:eastAsia="zh-CN"/>
              </w:rPr>
              <w:t>单一来源采购文件</w:t>
            </w:r>
            <w:r>
              <w:rPr>
                <w:rFonts w:hint="eastAsia" w:ascii="宋体" w:hAnsi="宋体" w:eastAsia="宋体" w:cs="宋体"/>
                <w:color w:val="auto"/>
                <w:sz w:val="24"/>
                <w:szCs w:val="24"/>
                <w:highlight w:val="none"/>
              </w:rPr>
              <w:t>规定并加盖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电子签章</w:t>
            </w:r>
          </w:p>
        </w:tc>
        <w:tc>
          <w:tcPr>
            <w:tcW w:w="1440" w:type="pct"/>
            <w:vAlign w:val="center"/>
          </w:tcPr>
          <w:p w14:paraId="4259ABAF">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法定代表人参加</w:t>
            </w:r>
            <w:r>
              <w:rPr>
                <w:rFonts w:hint="eastAsia" w:ascii="宋体" w:hAnsi="宋体" w:eastAsia="宋体" w:cs="宋体"/>
                <w:color w:val="auto"/>
                <w:sz w:val="24"/>
                <w:szCs w:val="24"/>
                <w:highlight w:val="none"/>
                <w:lang w:val="en-US" w:eastAsia="zh-CN"/>
              </w:rPr>
              <w:t>单一来源采购</w:t>
            </w:r>
            <w:r>
              <w:rPr>
                <w:rFonts w:hint="eastAsia" w:ascii="宋体" w:hAnsi="宋体" w:eastAsia="宋体" w:cs="宋体"/>
                <w:color w:val="auto"/>
                <w:sz w:val="24"/>
                <w:szCs w:val="24"/>
                <w:highlight w:val="none"/>
              </w:rPr>
              <w:t>的无需此件，提供身份证明即可。详见第六章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543D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57E158F4">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739" w:type="pct"/>
            <w:vAlign w:val="center"/>
          </w:tcPr>
          <w:p w14:paraId="1FCAFFEF">
            <w:pPr>
              <w:keepNext w:val="0"/>
              <w:keepLines w:val="0"/>
              <w:pageBreakBefore w:val="0"/>
              <w:widowControl w:val="0"/>
              <w:kinsoku/>
              <w:wordWrap/>
              <w:overflowPunct/>
              <w:topLinePunct w:val="0"/>
              <w:autoSpaceDE/>
              <w:autoSpaceDN/>
              <w:bidi w:val="0"/>
              <w:spacing w:line="500" w:lineRule="exact"/>
              <w:ind w:right="-1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报价</w:t>
            </w:r>
          </w:p>
        </w:tc>
        <w:tc>
          <w:tcPr>
            <w:tcW w:w="2434" w:type="pct"/>
            <w:vAlign w:val="center"/>
          </w:tcPr>
          <w:p w14:paraId="11A6B869">
            <w:pPr>
              <w:keepNext w:val="0"/>
              <w:keepLines w:val="0"/>
              <w:pageBreakBefore w:val="0"/>
              <w:widowControl w:val="0"/>
              <w:kinsoku/>
              <w:wordWrap/>
              <w:overflowPunct/>
              <w:topLinePunct w:val="0"/>
              <w:autoSpaceDE/>
              <w:autoSpaceDN/>
              <w:bidi w:val="0"/>
              <w:spacing w:line="500" w:lineRule="exact"/>
              <w:ind w:right="-1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单一来源采购文件供应商</w:t>
            </w:r>
            <w:r>
              <w:rPr>
                <w:rFonts w:hint="eastAsia" w:ascii="宋体" w:hAnsi="宋体" w:eastAsia="宋体" w:cs="宋体"/>
                <w:color w:val="auto"/>
                <w:sz w:val="24"/>
                <w:szCs w:val="24"/>
                <w:highlight w:val="none"/>
              </w:rPr>
              <w:t>须知正文第</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条要求</w:t>
            </w:r>
          </w:p>
        </w:tc>
        <w:tc>
          <w:tcPr>
            <w:tcW w:w="1440" w:type="pct"/>
            <w:vAlign w:val="center"/>
          </w:tcPr>
          <w:p w14:paraId="1A9C3EA8">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29DE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9085897">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739" w:type="pct"/>
            <w:vAlign w:val="center"/>
          </w:tcPr>
          <w:p w14:paraId="51231E34">
            <w:pPr>
              <w:keepNext w:val="0"/>
              <w:keepLines w:val="0"/>
              <w:pageBreakBefore w:val="0"/>
              <w:widowControl w:val="0"/>
              <w:kinsoku/>
              <w:wordWrap/>
              <w:overflowPunct/>
              <w:topLinePunct w:val="0"/>
              <w:autoSpaceDE/>
              <w:autoSpaceDN/>
              <w:bidi w:val="0"/>
              <w:spacing w:line="500" w:lineRule="exact"/>
              <w:ind w:right="-1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响应表</w:t>
            </w:r>
          </w:p>
        </w:tc>
        <w:tc>
          <w:tcPr>
            <w:tcW w:w="2434" w:type="pct"/>
            <w:vAlign w:val="center"/>
          </w:tcPr>
          <w:p w14:paraId="5163A068">
            <w:pPr>
              <w:keepNext w:val="0"/>
              <w:keepLines w:val="0"/>
              <w:pageBreakBefore w:val="0"/>
              <w:widowControl w:val="0"/>
              <w:kinsoku/>
              <w:wordWrap/>
              <w:overflowPunct/>
              <w:topLinePunct w:val="0"/>
              <w:autoSpaceDE/>
              <w:autoSpaceDN/>
              <w:bidi w:val="0"/>
              <w:spacing w:line="500" w:lineRule="exact"/>
              <w:ind w:right="-1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格式、填写要求符合</w:t>
            </w:r>
            <w:r>
              <w:rPr>
                <w:rFonts w:hint="eastAsia" w:ascii="宋体" w:hAnsi="宋体" w:eastAsia="宋体" w:cs="宋体"/>
                <w:color w:val="auto"/>
                <w:sz w:val="24"/>
                <w:szCs w:val="24"/>
                <w:highlight w:val="none"/>
                <w:lang w:val="en-US" w:eastAsia="zh-CN"/>
              </w:rPr>
              <w:t>单一来源采购文件</w:t>
            </w:r>
            <w:r>
              <w:rPr>
                <w:rFonts w:hint="eastAsia" w:ascii="宋体" w:hAnsi="宋体" w:eastAsia="宋体" w:cs="宋体"/>
                <w:color w:val="auto"/>
                <w:sz w:val="24"/>
                <w:szCs w:val="24"/>
                <w:highlight w:val="none"/>
              </w:rPr>
              <w:t>规定并加盖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电子签章</w:t>
            </w:r>
          </w:p>
        </w:tc>
        <w:tc>
          <w:tcPr>
            <w:tcW w:w="1440" w:type="pct"/>
            <w:vAlign w:val="center"/>
          </w:tcPr>
          <w:p w14:paraId="5C7BB53E">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443B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8D04499">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739" w:type="pct"/>
            <w:vAlign w:val="center"/>
          </w:tcPr>
          <w:p w14:paraId="09AF2F97">
            <w:pPr>
              <w:keepNext w:val="0"/>
              <w:keepLines w:val="0"/>
              <w:pageBreakBefore w:val="0"/>
              <w:widowControl w:val="0"/>
              <w:kinsoku/>
              <w:wordWrap/>
              <w:overflowPunct/>
              <w:topLinePunct w:val="0"/>
              <w:autoSpaceDE/>
              <w:autoSpaceDN/>
              <w:bidi w:val="0"/>
              <w:spacing w:line="500" w:lineRule="exact"/>
              <w:ind w:right="-1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诚信履约承诺函</w:t>
            </w:r>
          </w:p>
        </w:tc>
        <w:tc>
          <w:tcPr>
            <w:tcW w:w="2434" w:type="pct"/>
            <w:vAlign w:val="center"/>
          </w:tcPr>
          <w:p w14:paraId="0ACF1F0A">
            <w:pPr>
              <w:keepNext w:val="0"/>
              <w:keepLines w:val="0"/>
              <w:pageBreakBefore w:val="0"/>
              <w:widowControl w:val="0"/>
              <w:kinsoku/>
              <w:wordWrap/>
              <w:overflowPunct/>
              <w:topLinePunct w:val="0"/>
              <w:autoSpaceDE/>
              <w:autoSpaceDN/>
              <w:bidi w:val="0"/>
              <w:spacing w:line="500" w:lineRule="exact"/>
              <w:ind w:right="-1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格式、填写要求符合</w:t>
            </w:r>
            <w:r>
              <w:rPr>
                <w:rFonts w:hint="eastAsia" w:ascii="宋体" w:hAnsi="宋体" w:eastAsia="宋体" w:cs="宋体"/>
                <w:color w:val="auto"/>
                <w:sz w:val="24"/>
                <w:szCs w:val="24"/>
                <w:highlight w:val="none"/>
                <w:lang w:val="en-US" w:eastAsia="zh-CN"/>
              </w:rPr>
              <w:t>单一来源采购文件</w:t>
            </w:r>
            <w:r>
              <w:rPr>
                <w:rFonts w:hint="eastAsia" w:ascii="宋体" w:hAnsi="宋体" w:eastAsia="宋体" w:cs="宋体"/>
                <w:color w:val="auto"/>
                <w:sz w:val="24"/>
                <w:szCs w:val="24"/>
                <w:highlight w:val="none"/>
              </w:rPr>
              <w:t>规定并加盖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电子签章</w:t>
            </w:r>
          </w:p>
        </w:tc>
        <w:tc>
          <w:tcPr>
            <w:tcW w:w="1440" w:type="pct"/>
            <w:vAlign w:val="center"/>
          </w:tcPr>
          <w:p w14:paraId="6ED78431">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520A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2A74D9D">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739" w:type="pct"/>
            <w:vAlign w:val="center"/>
          </w:tcPr>
          <w:p w14:paraId="25A5022E">
            <w:pPr>
              <w:keepNext w:val="0"/>
              <w:keepLines w:val="0"/>
              <w:pageBreakBefore w:val="0"/>
              <w:widowControl w:val="0"/>
              <w:kinsoku/>
              <w:wordWrap/>
              <w:overflowPunct/>
              <w:topLinePunct w:val="0"/>
              <w:autoSpaceDE/>
              <w:autoSpaceDN/>
              <w:bidi w:val="0"/>
              <w:spacing w:line="500" w:lineRule="exact"/>
              <w:ind w:right="-1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诚信响应承诺书</w:t>
            </w:r>
          </w:p>
        </w:tc>
        <w:tc>
          <w:tcPr>
            <w:tcW w:w="2434" w:type="pct"/>
            <w:vAlign w:val="center"/>
          </w:tcPr>
          <w:p w14:paraId="4C39F01E">
            <w:pPr>
              <w:keepNext w:val="0"/>
              <w:keepLines w:val="0"/>
              <w:pageBreakBefore w:val="0"/>
              <w:widowControl w:val="0"/>
              <w:kinsoku/>
              <w:wordWrap/>
              <w:overflowPunct/>
              <w:topLinePunct w:val="0"/>
              <w:autoSpaceDE/>
              <w:autoSpaceDN/>
              <w:bidi w:val="0"/>
              <w:spacing w:line="500" w:lineRule="exact"/>
              <w:ind w:right="-1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格式、填写要求符合</w:t>
            </w:r>
            <w:r>
              <w:rPr>
                <w:rFonts w:hint="eastAsia" w:ascii="宋体" w:hAnsi="宋体" w:eastAsia="宋体" w:cs="宋体"/>
                <w:color w:val="auto"/>
                <w:sz w:val="24"/>
                <w:szCs w:val="24"/>
                <w:highlight w:val="none"/>
                <w:lang w:val="en-US" w:eastAsia="zh-CN"/>
              </w:rPr>
              <w:t>单一来源采购文件</w:t>
            </w:r>
            <w:r>
              <w:rPr>
                <w:rFonts w:hint="eastAsia" w:ascii="宋体" w:hAnsi="宋体" w:eastAsia="宋体" w:cs="宋体"/>
                <w:color w:val="auto"/>
                <w:sz w:val="24"/>
                <w:szCs w:val="24"/>
                <w:highlight w:val="none"/>
              </w:rPr>
              <w:t>规定并加盖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电子签章</w:t>
            </w:r>
          </w:p>
        </w:tc>
        <w:tc>
          <w:tcPr>
            <w:tcW w:w="1440" w:type="pct"/>
            <w:vAlign w:val="center"/>
          </w:tcPr>
          <w:p w14:paraId="6F20463B">
            <w:pPr>
              <w:keepNext w:val="0"/>
              <w:keepLines w:val="0"/>
              <w:pageBreakBefore w:val="0"/>
              <w:widowControl w:val="0"/>
              <w:kinsoku/>
              <w:wordWrap/>
              <w:overflowPunct/>
              <w:topLinePunct w:val="0"/>
              <w:autoSpaceDE/>
              <w:autoSpaceDN/>
              <w:bidi w:val="0"/>
              <w:adjustRightInd w:val="0"/>
              <w:snapToGrid w:val="0"/>
              <w:spacing w:line="500" w:lineRule="exact"/>
              <w:ind w:right="-1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bookmarkEnd w:id="39"/>
    </w:tbl>
    <w:p w14:paraId="4C3AD04E">
      <w:pPr>
        <w:keepNext w:val="0"/>
        <w:keepLines w:val="0"/>
        <w:pageBreakBefore w:val="0"/>
        <w:widowControl w:val="0"/>
        <w:kinsoku/>
        <w:wordWrap/>
        <w:overflowPunct/>
        <w:topLinePunct w:val="0"/>
        <w:autoSpaceDE/>
        <w:autoSpaceDN/>
        <w:bidi w:val="0"/>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评审指标通过标准：</w:t>
      </w:r>
      <w:r>
        <w:rPr>
          <w:rFonts w:hint="eastAsia" w:ascii="宋体" w:hAnsi="宋体" w:eastAsia="宋体" w:cs="宋体"/>
          <w:color w:val="auto"/>
          <w:sz w:val="24"/>
          <w:szCs w:val="24"/>
          <w:highlight w:val="none"/>
        </w:rPr>
        <w:t>供应商必须通过评审表中的全部评审指标。</w:t>
      </w:r>
    </w:p>
    <w:p w14:paraId="13A22576">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Theme="minorEastAsia" w:hAnsiTheme="minorEastAsia" w:eastAsiaTheme="minorEastAsia"/>
          <w:b/>
          <w:bCs w:val="0"/>
          <w:color w:val="auto"/>
          <w:sz w:val="24"/>
          <w:highlight w:val="none"/>
          <w:lang w:val="en-US" w:eastAsia="zh-CN"/>
        </w:rPr>
      </w:pPr>
      <w:r>
        <w:rPr>
          <w:rFonts w:hint="eastAsia" w:asciiTheme="minorEastAsia" w:hAnsiTheme="minorEastAsia" w:eastAsiaTheme="minorEastAsia"/>
          <w:b/>
          <w:bCs w:val="0"/>
          <w:color w:val="auto"/>
          <w:sz w:val="24"/>
          <w:highlight w:val="none"/>
          <w:lang w:val="en-US" w:eastAsia="zh-CN"/>
        </w:rPr>
        <w:t xml:space="preserve">注：项目供应商提供服务等均须符合采购要求。成交供应商的成交价格：采用两次报价形式，以有效报价的最低价，确定成交价格。提交的响应文件中价格作为第一次报价，第二次报价在响应文件通过评审后，由采购小组通过评标系统以询标方式，向供应商进行询标，供应商应在评标系统询标规定的时间内，通过“评标澄清回复”进行二次报价。供应商应及时查看系统质询问题并及时进行二次报价，第二次报价即为最后报价，若供应商未在系统询标规定的时间内进行二次报价（最后报价）或二次报价被采购小组认为不符合要求的，采购小组默认其响应文件中填报的价格为供应商的最后报价。二次报价（最后报价）不得高于其一次报价，否则取消其响应资格。望供应商务必全程在线，及时进行回复，否则，因此给其造成相关后果，自行承担。 </w:t>
      </w:r>
    </w:p>
    <w:p w14:paraId="3047FF0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三、无效投标条款</w:t>
      </w:r>
    </w:p>
    <w:p w14:paraId="78E0FA9D">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3.1</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文件有下列情形之一的,其</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文件拒收:</w:t>
      </w:r>
    </w:p>
    <w:p w14:paraId="45DF304B">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 未在</w:t>
      </w:r>
      <w:r>
        <w:rPr>
          <w:rFonts w:hint="eastAsia" w:asciiTheme="minorEastAsia" w:hAnsiTheme="minorEastAsia" w:eastAsiaTheme="minorEastAsia"/>
          <w:color w:val="auto"/>
          <w:sz w:val="24"/>
          <w:szCs w:val="24"/>
          <w:highlight w:val="none"/>
          <w:lang w:val="en-US" w:eastAsia="zh-CN"/>
        </w:rPr>
        <w:t>协商</w:t>
      </w:r>
      <w:r>
        <w:rPr>
          <w:rFonts w:hint="eastAsia" w:asciiTheme="minorEastAsia" w:hAnsiTheme="minorEastAsia" w:eastAsiaTheme="minorEastAsia"/>
          <w:color w:val="auto"/>
          <w:sz w:val="24"/>
          <w:szCs w:val="24"/>
          <w:highlight w:val="none"/>
        </w:rPr>
        <w:t>截止时间前通过网上招标投标系统递交有效电子</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文件的，开标系统不予接收，</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将被拒绝。</w:t>
      </w:r>
    </w:p>
    <w:p w14:paraId="39F2F3B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val="en-US" w:eastAsia="zh-CN"/>
        </w:rPr>
        <w:t>供应商</w:t>
      </w:r>
      <w:r>
        <w:rPr>
          <w:rFonts w:hint="eastAsia" w:asciiTheme="minorEastAsia" w:hAnsiTheme="minorEastAsia" w:eastAsiaTheme="minorEastAsia"/>
          <w:color w:val="auto"/>
          <w:sz w:val="24"/>
          <w:szCs w:val="24"/>
          <w:highlight w:val="none"/>
        </w:rPr>
        <w:t>接到远程解密指令后，须在规定时间内解密。因</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自身原因导致</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文件在规定时间内未能解密、解密失败或解密超时，</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文件无效；解密时间：从本项目解密程序开始时计时，至完成</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文件解密时间，不得超过60分钟，否则</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文件将被拒绝。</w:t>
      </w:r>
    </w:p>
    <w:p w14:paraId="1ADEF56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3.2</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有下列情形之一的,资格审查后其</w:t>
      </w:r>
      <w:r>
        <w:rPr>
          <w:rFonts w:hint="eastAsia" w:asciiTheme="minorEastAsia" w:hAnsiTheme="minorEastAsia" w:eastAsiaTheme="minorEastAsia"/>
          <w:color w:val="auto"/>
          <w:sz w:val="24"/>
          <w:szCs w:val="24"/>
          <w:highlight w:val="none"/>
          <w:lang w:val="en-US" w:eastAsia="zh-CN"/>
        </w:rPr>
        <w:t>响应</w:t>
      </w:r>
      <w:r>
        <w:rPr>
          <w:rFonts w:hint="eastAsia" w:asciiTheme="minorEastAsia" w:hAnsiTheme="minorEastAsia" w:eastAsiaTheme="minorEastAsia"/>
          <w:color w:val="auto"/>
          <w:sz w:val="24"/>
          <w:szCs w:val="24"/>
          <w:highlight w:val="none"/>
        </w:rPr>
        <w:t>作无效处理：</w:t>
      </w:r>
    </w:p>
    <w:p w14:paraId="6658E23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2D398E1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44B7B48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31E9369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）要求供应商以联合体形式参加采购活动，供应商非联合体或者联合协议中中小企业合同金额未达到应当达到的比例；</w:t>
      </w:r>
    </w:p>
    <w:p w14:paraId="4EA8683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）要求获得采购合同的供应商向中小企业分包，供应商未提供分包意向协议或者分包意向协议中中小企业合同金额未达到应当达到的比例；</w:t>
      </w:r>
    </w:p>
    <w:p w14:paraId="6830A65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）无法查看并检验电子响应文件中相关资料的；</w:t>
      </w:r>
    </w:p>
    <w:p w14:paraId="7AC4DC00">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）责令停产停业</w:t>
      </w:r>
      <w:r>
        <w:rPr>
          <w:rFonts w:hint="eastAsia" w:asciiTheme="minorEastAsia" w:hAnsiTheme="minorEastAsia" w:eastAsiaTheme="minorEastAsia"/>
          <w:color w:val="auto"/>
          <w:sz w:val="24"/>
          <w:highlight w:val="none"/>
          <w:lang w:val="en-US" w:eastAsia="zh-CN"/>
        </w:rPr>
        <w:t>的；</w:t>
      </w:r>
    </w:p>
    <w:p w14:paraId="0D55DDE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暂停或者取消参与政府采购项目资格的；</w:t>
      </w:r>
    </w:p>
    <w:p w14:paraId="0625FD0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）单位负责人为同一人或者存在</w:t>
      </w:r>
      <w:r>
        <w:rPr>
          <w:rFonts w:hint="eastAsia" w:asciiTheme="minorEastAsia" w:hAnsiTheme="minorEastAsia" w:eastAsiaTheme="minorEastAsia"/>
          <w:color w:val="auto"/>
          <w:sz w:val="24"/>
          <w:highlight w:val="none"/>
          <w:lang w:val="en-US" w:eastAsia="zh-CN"/>
        </w:rPr>
        <w:t>直接</w:t>
      </w:r>
      <w:r>
        <w:rPr>
          <w:rFonts w:hint="eastAsia" w:asciiTheme="minorEastAsia" w:hAnsiTheme="minorEastAsia" w:eastAsiaTheme="minorEastAsia"/>
          <w:color w:val="auto"/>
          <w:sz w:val="24"/>
          <w:highlight w:val="none"/>
        </w:rPr>
        <w:t>控股、管理关系的不同</w:t>
      </w:r>
      <w:r>
        <w:rPr>
          <w:rFonts w:hint="eastAsia" w:asciiTheme="minorEastAsia" w:hAnsiTheme="minorEastAsia" w:eastAsiaTheme="minorEastAsia"/>
          <w:color w:val="auto"/>
          <w:sz w:val="24"/>
          <w:highlight w:val="none"/>
          <w:lang w:val="en-US" w:eastAsia="zh-CN"/>
        </w:rPr>
        <w:t>单位</w:t>
      </w:r>
      <w:r>
        <w:rPr>
          <w:rFonts w:hint="eastAsia" w:asciiTheme="minorEastAsia" w:hAnsiTheme="minorEastAsia" w:eastAsiaTheme="minorEastAsia"/>
          <w:color w:val="auto"/>
          <w:sz w:val="24"/>
          <w:highlight w:val="none"/>
        </w:rPr>
        <w:t>的；</w:t>
      </w:r>
    </w:p>
    <w:p w14:paraId="50CA40F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）供应商基本资格条件和特定资格条件中有一项及以上不符合要求的；</w:t>
      </w:r>
    </w:p>
    <w:p w14:paraId="6D7BF33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6A5FB0A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）其它情形按无效响应处理，并经公共资源交易监督部门核准的；</w:t>
      </w:r>
    </w:p>
    <w:p w14:paraId="0711921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13</w:t>
      </w:r>
      <w:r>
        <w:rPr>
          <w:rFonts w:hint="eastAsia" w:asciiTheme="minorEastAsia" w:hAnsiTheme="minorEastAsia" w:eastAsiaTheme="minorEastAsia"/>
          <w:color w:val="auto"/>
          <w:sz w:val="24"/>
          <w:highlight w:val="none"/>
        </w:rPr>
        <w:t>）供应商响应MAC地址或供应商联系人或联系电话相同的，由</w:t>
      </w:r>
      <w:r>
        <w:rPr>
          <w:rFonts w:hint="eastAsia" w:asciiTheme="minorEastAsia" w:hAnsiTheme="minorEastAsia" w:eastAsiaTheme="minorEastAsia"/>
          <w:color w:val="auto"/>
          <w:sz w:val="24"/>
          <w:highlight w:val="none"/>
          <w:lang w:val="en-US" w:eastAsia="zh-CN"/>
        </w:rPr>
        <w:t>评审</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否决其响应，并报告监管部门作不良行为处理和进一步调查；</w:t>
      </w:r>
    </w:p>
    <w:p w14:paraId="1EAA449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）供应商单方面出现其他供应商材料的</w:t>
      </w:r>
      <w:r>
        <w:rPr>
          <w:rFonts w:hint="eastAsia" w:cs="@仿宋_GB2312" w:asciiTheme="minorEastAsia" w:hAnsiTheme="minorEastAsia" w:eastAsiaTheme="minorEastAsia"/>
          <w:b w:val="0"/>
          <w:bCs/>
          <w:color w:val="auto"/>
          <w:kern w:val="2"/>
          <w:sz w:val="24"/>
          <w:szCs w:val="24"/>
          <w:highlight w:val="none"/>
          <w:u w:val="none"/>
          <w:lang w:val="en-US" w:eastAsia="zh-CN" w:bidi="ar-SA"/>
        </w:rPr>
        <w:t>（组成联合体响应的除外）</w:t>
      </w:r>
      <w:r>
        <w:rPr>
          <w:rFonts w:hint="eastAsia" w:asciiTheme="minorEastAsia" w:hAnsiTheme="minorEastAsia" w:eastAsiaTheme="minorEastAsia"/>
          <w:color w:val="auto"/>
          <w:sz w:val="24"/>
          <w:highlight w:val="none"/>
        </w:rPr>
        <w:t>；</w:t>
      </w:r>
    </w:p>
    <w:p w14:paraId="39C85EF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规定的其它无效情形。</w:t>
      </w:r>
    </w:p>
    <w:p w14:paraId="61D9F8F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 供应商有下列情形之一的,符合性审查后其按无效响应处理：</w:t>
      </w:r>
    </w:p>
    <w:p w14:paraId="770553C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w:t>
      </w:r>
      <w:r>
        <w:rPr>
          <w:rFonts w:hint="eastAsia" w:asciiTheme="minorEastAsia" w:hAnsiTheme="minorEastAsia" w:eastAsiaTheme="minorEastAsia"/>
          <w:color w:val="auto"/>
          <w:sz w:val="24"/>
          <w:highlight w:val="none"/>
          <w:lang w:val="en-US" w:eastAsia="zh-CN"/>
        </w:rPr>
        <w:t>评审</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一致认定对响应内容有实质性影响并经公共资源交易监督部门核准的；</w:t>
      </w:r>
    </w:p>
    <w:p w14:paraId="5B4F3F7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（2）未按规定的格式填写导致实质性内容不全以及实质上不响应，或者关键字迹模糊、无法辨认；经公共资源交易监督部门核准的；</w:t>
      </w:r>
    </w:p>
    <w:p w14:paraId="149B6C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w:t>
      </w:r>
      <w:r>
        <w:rPr>
          <w:rFonts w:hint="eastAsia" w:asciiTheme="minorEastAsia" w:hAnsiTheme="minorEastAsia" w:eastAsiaTheme="minorEastAsia"/>
          <w:color w:val="auto"/>
          <w:sz w:val="24"/>
          <w:highlight w:val="none"/>
          <w:lang w:val="en-US" w:eastAsia="zh-CN"/>
        </w:rPr>
        <w:t>单一来源采购</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规定提交备选方案的除外；</w:t>
      </w:r>
    </w:p>
    <w:p w14:paraId="230662B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w:t>
      </w:r>
      <w:r>
        <w:rPr>
          <w:rFonts w:hint="eastAsia" w:asciiTheme="minorEastAsia" w:hAnsiTheme="minorEastAsia" w:eastAsiaTheme="minorEastAsia"/>
          <w:color w:val="auto"/>
          <w:sz w:val="24"/>
          <w:highlight w:val="none"/>
          <w:lang w:val="en-US" w:eastAsia="zh-CN"/>
        </w:rPr>
        <w:t>单一来源采购</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的实质性要求和条件作出响应；</w:t>
      </w:r>
    </w:p>
    <w:p w14:paraId="3378071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w:t>
      </w:r>
      <w:r>
        <w:rPr>
          <w:rFonts w:hint="eastAsia" w:asciiTheme="minorEastAsia" w:hAnsiTheme="minorEastAsia" w:eastAsiaTheme="minorEastAsia"/>
          <w:color w:val="auto"/>
          <w:sz w:val="24"/>
          <w:highlight w:val="none"/>
          <w:lang w:val="en-US" w:eastAsia="zh-CN"/>
        </w:rPr>
        <w:t>单一来源采购</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给定的单价最高限价；</w:t>
      </w:r>
    </w:p>
    <w:p w14:paraId="72E9199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w:t>
      </w:r>
      <w:r>
        <w:rPr>
          <w:rFonts w:hint="eastAsia" w:asciiTheme="minorEastAsia" w:hAnsiTheme="minorEastAsia" w:eastAsiaTheme="minorEastAsia"/>
          <w:color w:val="auto"/>
          <w:sz w:val="24"/>
          <w:highlight w:val="none"/>
          <w:lang w:val="en-US" w:eastAsia="zh-CN"/>
        </w:rPr>
        <w:t>评审</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要求澄清、说明或补正的，或者</w:t>
      </w:r>
      <w:r>
        <w:rPr>
          <w:rFonts w:hint="eastAsia" w:asciiTheme="minorEastAsia" w:hAnsiTheme="minorEastAsia" w:eastAsiaTheme="minorEastAsia"/>
          <w:color w:val="auto"/>
          <w:sz w:val="24"/>
          <w:highlight w:val="none"/>
          <w:lang w:val="en-US" w:eastAsia="zh-CN"/>
        </w:rPr>
        <w:t>评审</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根据</w:t>
      </w:r>
      <w:r>
        <w:rPr>
          <w:rFonts w:hint="eastAsia" w:asciiTheme="minorEastAsia" w:hAnsiTheme="minorEastAsia" w:eastAsiaTheme="minorEastAsia"/>
          <w:color w:val="auto"/>
          <w:sz w:val="24"/>
          <w:highlight w:val="none"/>
          <w:lang w:val="en-US" w:eastAsia="zh-CN"/>
        </w:rPr>
        <w:t>单一来源采购</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的规定对</w:t>
      </w:r>
      <w:r>
        <w:rPr>
          <w:rFonts w:hint="eastAsia" w:asciiTheme="minorEastAsia" w:hAnsiTheme="minorEastAsia" w:eastAsiaTheme="minorEastAsia"/>
          <w:color w:val="auto"/>
          <w:sz w:val="24"/>
          <w:highlight w:val="none"/>
          <w:lang w:val="en-US" w:eastAsia="zh-CN"/>
        </w:rPr>
        <w:t>单一来源采购</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的计算错误进行修正后，供应商不接受修正的报价的。</w:t>
      </w:r>
    </w:p>
    <w:p w14:paraId="1B01A23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w:t>
      </w:r>
      <w:r>
        <w:rPr>
          <w:rFonts w:hint="eastAsia" w:asciiTheme="minorEastAsia" w:hAnsiTheme="minorEastAsia" w:eastAsiaTheme="minorEastAsia"/>
          <w:color w:val="auto"/>
          <w:sz w:val="24"/>
          <w:highlight w:val="none"/>
          <w:lang w:val="en-US" w:eastAsia="zh-CN"/>
        </w:rPr>
        <w:t>评审</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提出按无效响应处理，并经公共资源交易监督部门核准的；</w:t>
      </w:r>
    </w:p>
    <w:p w14:paraId="6404EE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60263A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lang w:val="en-US" w:eastAsia="zh-CN"/>
        </w:rPr>
        <w:t>单一来源采购</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规定的其它无效响应情形。</w:t>
      </w:r>
    </w:p>
    <w:p w14:paraId="0A9AE5D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.4 供应商有下列情形之一的, 详细评审后其按无效响应处理：</w:t>
      </w:r>
    </w:p>
    <w:p w14:paraId="1C7F461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128F60F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3853FCC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3CA969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46C046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w:t>
      </w:r>
      <w:r>
        <w:rPr>
          <w:rFonts w:hint="eastAsia" w:asciiTheme="minorEastAsia" w:hAnsiTheme="minorEastAsia" w:eastAsiaTheme="minorEastAsia"/>
          <w:color w:val="auto"/>
          <w:sz w:val="24"/>
          <w:highlight w:val="none"/>
          <w:lang w:val="en-US" w:eastAsia="zh-CN"/>
        </w:rPr>
        <w:t>评审</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评审修正的响应无效；</w:t>
      </w:r>
    </w:p>
    <w:p w14:paraId="25882B1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w:t>
      </w:r>
      <w:r>
        <w:rPr>
          <w:rFonts w:hint="eastAsia" w:asciiTheme="minorEastAsia" w:hAnsiTheme="minorEastAsia" w:eastAsiaTheme="minorEastAsia"/>
          <w:color w:val="auto"/>
          <w:sz w:val="24"/>
          <w:highlight w:val="none"/>
          <w:lang w:val="en-US" w:eastAsia="zh-CN"/>
        </w:rPr>
        <w:t>评审</w:t>
      </w:r>
      <w:r>
        <w:rPr>
          <w:rFonts w:hint="eastAsia" w:asciiTheme="minorEastAsia" w:hAnsiTheme="minorEastAsia" w:eastAsiaTheme="minorEastAsia"/>
          <w:color w:val="auto"/>
          <w:sz w:val="24"/>
          <w:highlight w:val="none"/>
          <w:lang w:eastAsia="zh-CN"/>
        </w:rPr>
        <w:t>小组</w:t>
      </w:r>
      <w:r>
        <w:rPr>
          <w:rFonts w:hint="eastAsia" w:asciiTheme="minorEastAsia" w:hAnsiTheme="minorEastAsia" w:eastAsiaTheme="minorEastAsia"/>
          <w:color w:val="auto"/>
          <w:sz w:val="24"/>
          <w:highlight w:val="none"/>
        </w:rPr>
        <w:t>提出按无效响应处理，并经公共资源交易监督部门核准的；</w:t>
      </w:r>
    </w:p>
    <w:p w14:paraId="6C3FE4F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val="en-US" w:eastAsia="zh-CN"/>
        </w:rPr>
        <w:t>单一来源采购</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规定的其它无效响应情形。</w:t>
      </w:r>
    </w:p>
    <w:p w14:paraId="761B7A55">
      <w:pP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br w:type="page"/>
      </w:r>
    </w:p>
    <w:p w14:paraId="589F36B6">
      <w:pPr>
        <w:widowControl/>
        <w:jc w:val="left"/>
        <w:rPr>
          <w:rFonts w:hint="eastAsia" w:asciiTheme="minorEastAsia" w:hAnsiTheme="minorEastAsia" w:eastAsiaTheme="minorEastAsia"/>
          <w:color w:val="auto"/>
          <w:sz w:val="24"/>
          <w:szCs w:val="24"/>
          <w:highlight w:val="none"/>
        </w:rPr>
      </w:pPr>
    </w:p>
    <w:p w14:paraId="0158C3FE">
      <w:pPr>
        <w:spacing w:line="360" w:lineRule="auto"/>
        <w:jc w:val="center"/>
        <w:outlineLvl w:val="0"/>
        <w:rPr>
          <w:rFonts w:hint="eastAsia" w:asciiTheme="minorEastAsia" w:hAnsiTheme="minorEastAsia" w:eastAsiaTheme="minorEastAsia"/>
          <w:b/>
          <w:color w:val="auto"/>
          <w:sz w:val="28"/>
          <w:highlight w:val="none"/>
        </w:rPr>
      </w:pPr>
      <w:bookmarkStart w:id="40" w:name="_Toc2510"/>
      <w:bookmarkStart w:id="41" w:name="_Toc40732784"/>
      <w:r>
        <w:rPr>
          <w:rFonts w:hint="eastAsia" w:asciiTheme="minorEastAsia" w:hAnsiTheme="minorEastAsia" w:eastAsiaTheme="minorEastAsia"/>
          <w:b/>
          <w:color w:val="auto"/>
          <w:sz w:val="28"/>
          <w:highlight w:val="none"/>
        </w:rPr>
        <w:t>第五章  政府采购合同</w:t>
      </w:r>
      <w:bookmarkEnd w:id="40"/>
      <w:bookmarkEnd w:id="41"/>
      <w:bookmarkStart w:id="42" w:name="_Hlk11711914"/>
    </w:p>
    <w:bookmarkEnd w:id="42"/>
    <w:p w14:paraId="1ADABD69">
      <w:pPr>
        <w:spacing w:line="480" w:lineRule="auto"/>
        <w:jc w:val="center"/>
        <w:rPr>
          <w:rFonts w:asciiTheme="minorEastAsia" w:hAnsiTheme="minorEastAsia" w:eastAsiaTheme="minorEastAsia"/>
          <w:b/>
          <w:color w:val="auto"/>
          <w:sz w:val="24"/>
          <w:highlight w:val="none"/>
        </w:rPr>
      </w:pPr>
    </w:p>
    <w:p w14:paraId="11377C7D">
      <w:pPr>
        <w:spacing w:line="480" w:lineRule="auto"/>
        <w:jc w:val="center"/>
        <w:rPr>
          <w:rFonts w:asciiTheme="minorEastAsia" w:hAnsiTheme="minorEastAsia" w:eastAsiaTheme="minorEastAsia"/>
          <w:b/>
          <w:color w:val="auto"/>
          <w:sz w:val="24"/>
          <w:highlight w:val="none"/>
        </w:rPr>
      </w:pPr>
    </w:p>
    <w:p w14:paraId="5BC91595">
      <w:pPr>
        <w:spacing w:line="480" w:lineRule="auto"/>
        <w:jc w:val="center"/>
        <w:rPr>
          <w:rFonts w:asciiTheme="minorEastAsia" w:hAnsiTheme="minorEastAsia" w:eastAsiaTheme="minorEastAsia"/>
          <w:b/>
          <w:color w:val="auto"/>
          <w:sz w:val="32"/>
          <w:szCs w:val="32"/>
          <w:highlight w:val="none"/>
        </w:rPr>
      </w:pPr>
      <w:r>
        <w:rPr>
          <w:rFonts w:asciiTheme="minorEastAsia" w:hAnsiTheme="minorEastAsia" w:eastAsiaTheme="minorEastAsia"/>
          <w:b/>
          <w:color w:val="auto"/>
          <w:sz w:val="32"/>
          <w:szCs w:val="32"/>
          <w:highlight w:val="none"/>
        </w:rPr>
        <w:t>政府采购合同</w:t>
      </w:r>
      <w:r>
        <w:rPr>
          <w:rFonts w:hint="eastAsia" w:asciiTheme="minorEastAsia" w:hAnsiTheme="minorEastAsia" w:eastAsiaTheme="minorEastAsia"/>
          <w:b/>
          <w:color w:val="auto"/>
          <w:sz w:val="32"/>
          <w:szCs w:val="32"/>
          <w:highlight w:val="none"/>
        </w:rPr>
        <w:t>参考范本</w:t>
      </w:r>
    </w:p>
    <w:p w14:paraId="41CF2729">
      <w:pPr>
        <w:spacing w:line="48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（服务类）</w:t>
      </w:r>
    </w:p>
    <w:p w14:paraId="2426BA59">
      <w:pPr>
        <w:spacing w:line="480" w:lineRule="auto"/>
        <w:jc w:val="center"/>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供参考，</w:t>
      </w:r>
      <w:r>
        <w:rPr>
          <w:rFonts w:ascii="宋体" w:hAnsi="宋体" w:eastAsia="宋体" w:cs="宋体"/>
          <w:bCs/>
          <w:sz w:val="24"/>
          <w:szCs w:val="24"/>
          <w:highlight w:val="none"/>
        </w:rPr>
        <w:t>《合同文本》的内容可以根据《民典法》和合同签订双方的实际要求进行修改</w:t>
      </w:r>
      <w:r>
        <w:rPr>
          <w:rFonts w:hint="eastAsia" w:asciiTheme="minorEastAsia" w:hAnsiTheme="minorEastAsia" w:eastAsiaTheme="minorEastAsia"/>
          <w:b/>
          <w:color w:val="auto"/>
          <w:sz w:val="24"/>
          <w:highlight w:val="none"/>
          <w:lang w:eastAsia="zh-CN"/>
        </w:rPr>
        <w:t>）</w:t>
      </w:r>
    </w:p>
    <w:p w14:paraId="431A73A2">
      <w:pPr>
        <w:spacing w:line="480" w:lineRule="auto"/>
        <w:jc w:val="center"/>
        <w:rPr>
          <w:rFonts w:asciiTheme="minorEastAsia" w:hAnsiTheme="minorEastAsia" w:eastAsiaTheme="minorEastAsia"/>
          <w:b/>
          <w:color w:val="auto"/>
          <w:sz w:val="24"/>
          <w:highlight w:val="none"/>
        </w:rPr>
      </w:pPr>
    </w:p>
    <w:p w14:paraId="0807E30D">
      <w:pPr>
        <w:spacing w:line="480" w:lineRule="auto"/>
        <w:jc w:val="center"/>
        <w:rPr>
          <w:rFonts w:asciiTheme="minorEastAsia" w:hAnsiTheme="minorEastAsia" w:eastAsiaTheme="minorEastAsia"/>
          <w:b/>
          <w:color w:val="auto"/>
          <w:sz w:val="24"/>
          <w:highlight w:val="none"/>
        </w:rPr>
      </w:pPr>
    </w:p>
    <w:p w14:paraId="58E26035">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第一部分 合同书</w:t>
      </w:r>
    </w:p>
    <w:p w14:paraId="09DECF60">
      <w:pPr>
        <w:spacing w:line="480" w:lineRule="auto"/>
        <w:jc w:val="center"/>
        <w:rPr>
          <w:rFonts w:asciiTheme="minorEastAsia" w:hAnsiTheme="minorEastAsia" w:eastAsiaTheme="minorEastAsia"/>
          <w:b/>
          <w:color w:val="auto"/>
          <w:sz w:val="24"/>
          <w:highlight w:val="none"/>
        </w:rPr>
      </w:pPr>
    </w:p>
    <w:p w14:paraId="14153F11">
      <w:pPr>
        <w:spacing w:line="480" w:lineRule="auto"/>
        <w:jc w:val="center"/>
        <w:rPr>
          <w:rFonts w:asciiTheme="minorEastAsia" w:hAnsiTheme="minorEastAsia" w:eastAsiaTheme="minorEastAsia"/>
          <w:b/>
          <w:color w:val="auto"/>
          <w:sz w:val="24"/>
          <w:highlight w:val="none"/>
        </w:rPr>
      </w:pPr>
    </w:p>
    <w:p w14:paraId="0982322A">
      <w:pPr>
        <w:spacing w:line="480" w:lineRule="auto"/>
        <w:jc w:val="center"/>
        <w:rPr>
          <w:rFonts w:asciiTheme="minorEastAsia" w:hAnsiTheme="minorEastAsia" w:eastAsiaTheme="minorEastAsia"/>
          <w:b/>
          <w:color w:val="auto"/>
          <w:sz w:val="24"/>
          <w:highlight w:val="none"/>
        </w:rPr>
      </w:pPr>
    </w:p>
    <w:p w14:paraId="1BABB4D7">
      <w:pPr>
        <w:spacing w:before="120" w:line="480" w:lineRule="auto"/>
        <w:ind w:left="960"/>
        <w:rPr>
          <w:rFonts w:hint="eastAsia" w:cs="Times New Roman" w:asciiTheme="minorEastAsia" w:hAnsiTheme="minorEastAsia" w:eastAsiaTheme="minorEastAsia"/>
          <w:color w:val="auto"/>
          <w:sz w:val="24"/>
          <w:szCs w:val="24"/>
          <w:highlight w:val="none"/>
          <w:u w:val="single"/>
          <w:lang w:val="en-US" w:eastAsia="zh-CN"/>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rPr>
        <w:t>2026-2028年度全国会计专业技术资格无纸化考试滁州考点服务</w:t>
      </w:r>
      <w:r>
        <w:rPr>
          <w:rFonts w:hint="eastAsia" w:cs="Times New Roman" w:asciiTheme="minorEastAsia" w:hAnsiTheme="minorEastAsia" w:eastAsiaTheme="minorEastAsia"/>
          <w:color w:val="auto"/>
          <w:sz w:val="24"/>
          <w:szCs w:val="24"/>
          <w:highlight w:val="none"/>
          <w:u w:val="single"/>
          <w:lang w:eastAsia="zh-CN"/>
        </w:rPr>
        <w:t>（</w:t>
      </w:r>
      <w:r>
        <w:rPr>
          <w:rFonts w:hint="eastAsia" w:cs="Times New Roman" w:asciiTheme="minorEastAsia" w:hAnsiTheme="minorEastAsia" w:eastAsiaTheme="minorEastAsia"/>
          <w:color w:val="auto"/>
          <w:sz w:val="24"/>
          <w:szCs w:val="24"/>
          <w:highlight w:val="none"/>
          <w:u w:val="single"/>
          <w:lang w:val="en-US" w:eastAsia="zh-CN"/>
        </w:rPr>
        <w:t>三次</w:t>
      </w:r>
      <w:r>
        <w:rPr>
          <w:rFonts w:hint="eastAsia" w:cs="Times New Roman" w:asciiTheme="minorEastAsia" w:hAnsiTheme="minorEastAsia" w:eastAsiaTheme="minorEastAsia"/>
          <w:color w:val="auto"/>
          <w:sz w:val="24"/>
          <w:szCs w:val="24"/>
          <w:highlight w:val="none"/>
          <w:u w:val="single"/>
          <w:lang w:eastAsia="zh-CN"/>
        </w:rPr>
        <w:t>）</w:t>
      </w:r>
    </w:p>
    <w:p w14:paraId="6CB3DE4A">
      <w:pPr>
        <w:spacing w:before="120" w:line="480" w:lineRule="auto"/>
        <w:ind w:left="960"/>
        <w:rPr>
          <w:rFonts w:hint="default"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rPr>
        <w:t>项目编号：</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 xml:space="preserve">                            </w:t>
      </w:r>
    </w:p>
    <w:p w14:paraId="3DE635E2">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u w:val="single"/>
        </w:rPr>
        <w:t xml:space="preserve">   </w:t>
      </w:r>
    </w:p>
    <w:p w14:paraId="1A3CDBF6">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w:t>
      </w:r>
      <w:r>
        <w:rPr>
          <w:rFonts w:hint="eastAsia" w:cs="Times New Roman" w:asciiTheme="minorEastAsia" w:hAnsiTheme="minorEastAsia" w:eastAsiaTheme="minorEastAsia"/>
          <w:color w:val="auto"/>
          <w:sz w:val="24"/>
          <w:szCs w:val="24"/>
          <w:highlight w:val="none"/>
          <w:lang w:val="en-US" w:eastAsia="zh-CN"/>
        </w:rPr>
        <w:t>成交</w:t>
      </w:r>
      <w:r>
        <w:rPr>
          <w:rFonts w:hint="eastAsia" w:cs="Times New Roman" w:asciiTheme="minorEastAsia" w:hAnsiTheme="minorEastAsia" w:eastAsiaTheme="minorEastAsia"/>
          <w:color w:val="auto"/>
          <w:sz w:val="24"/>
          <w:szCs w:val="24"/>
          <w:highlight w:val="none"/>
        </w:rPr>
        <w:t>人）：</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u w:val="single"/>
        </w:rPr>
        <w:t xml:space="preserve">            </w:t>
      </w:r>
    </w:p>
    <w:p w14:paraId="27EDA212">
      <w:pPr>
        <w:spacing w:before="120" w:line="480" w:lineRule="auto"/>
        <w:ind w:firstLine="960" w:firstLineChars="4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u w:val="single"/>
        </w:rPr>
        <w:t xml:space="preserve">             </w:t>
      </w:r>
    </w:p>
    <w:p w14:paraId="1D72939C">
      <w:pPr>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日</w:t>
      </w:r>
    </w:p>
    <w:p w14:paraId="60CBFBE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B6DA068">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组织的单一来源采购方式采购活动，经采购小组评定，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）为本项目成交供应商，现按照采购文件确定的事项签订本合同。</w:t>
      </w:r>
    </w:p>
    <w:p w14:paraId="34FF07CA">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30BA550B">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43" w:name="_Toc2232"/>
      <w:bookmarkStart w:id="44" w:name="_Toc24059"/>
      <w:bookmarkStart w:id="45" w:name="_Toc3029"/>
      <w:r>
        <w:rPr>
          <w:rFonts w:hint="eastAsia" w:ascii="宋体" w:hAnsi="宋体" w:eastAsia="宋体" w:cs="宋体"/>
          <w:b/>
          <w:bCs/>
          <w:color w:val="auto"/>
          <w:sz w:val="24"/>
          <w:szCs w:val="24"/>
          <w:highlight w:val="none"/>
          <w:lang w:val="zh-CN"/>
        </w:rPr>
        <w:t>1.1 合同组成部分</w:t>
      </w:r>
      <w:bookmarkEnd w:id="43"/>
      <w:bookmarkEnd w:id="44"/>
      <w:bookmarkEnd w:id="45"/>
    </w:p>
    <w:p w14:paraId="729A6B31">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A96BAE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18A3135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1.1.2成交通知书；</w:t>
      </w:r>
    </w:p>
    <w:p w14:paraId="10D65BBE">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1.1.3响应文件（含澄清或者说明文件）；</w:t>
      </w:r>
    </w:p>
    <w:p w14:paraId="1E27A3C1">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1.1.4单一来源采购文件（含澄清或者修改文件）；</w:t>
      </w:r>
    </w:p>
    <w:p w14:paraId="0A1F3A9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4E661DD1">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46" w:name="_Toc6773"/>
      <w:bookmarkStart w:id="47" w:name="_Toc6311"/>
      <w:bookmarkStart w:id="48" w:name="_Toc18585"/>
      <w:bookmarkStart w:id="49" w:name="_Toc22185"/>
      <w:bookmarkStart w:id="50" w:name="_Toc2918"/>
      <w:r>
        <w:rPr>
          <w:rFonts w:hint="eastAsia" w:ascii="宋体" w:hAnsi="宋体" w:eastAsia="宋体" w:cs="宋体"/>
          <w:b/>
          <w:bCs/>
          <w:color w:val="auto"/>
          <w:sz w:val="24"/>
          <w:szCs w:val="24"/>
          <w:highlight w:val="none"/>
          <w:lang w:val="zh-CN"/>
        </w:rPr>
        <w:t xml:space="preserve">1.2 </w:t>
      </w:r>
      <w:bookmarkEnd w:id="46"/>
      <w:bookmarkEnd w:id="47"/>
      <w:bookmarkEnd w:id="48"/>
      <w:bookmarkEnd w:id="49"/>
      <w:bookmarkEnd w:id="50"/>
      <w:r>
        <w:rPr>
          <w:rFonts w:hint="eastAsia" w:ascii="宋体" w:hAnsi="宋体" w:eastAsia="宋体" w:cs="宋体"/>
          <w:b/>
          <w:bCs/>
          <w:color w:val="auto"/>
          <w:sz w:val="24"/>
          <w:szCs w:val="24"/>
          <w:highlight w:val="none"/>
          <w:lang w:val="zh-CN"/>
        </w:rPr>
        <w:t>服务</w:t>
      </w:r>
    </w:p>
    <w:p w14:paraId="2403902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rPr>
        <w:t>2026-2028年度全国会计专业技术资格无纸化考试滁州考点服务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三次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0F3EFF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30549C">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DF5D57C">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51" w:name="_Toc23292"/>
      <w:bookmarkStart w:id="52" w:name="_Toc21631"/>
      <w:bookmarkStart w:id="53" w:name="_Toc21551"/>
      <w:r>
        <w:rPr>
          <w:rFonts w:hint="eastAsia" w:ascii="宋体" w:hAnsi="宋体" w:eastAsia="宋体" w:cs="宋体"/>
          <w:b/>
          <w:bCs/>
          <w:color w:val="auto"/>
          <w:sz w:val="24"/>
          <w:szCs w:val="24"/>
          <w:highlight w:val="none"/>
          <w:lang w:val="zh-CN"/>
        </w:rPr>
        <w:t>1.3 价款</w:t>
      </w:r>
      <w:bookmarkEnd w:id="51"/>
      <w:bookmarkEnd w:id="52"/>
      <w:bookmarkEnd w:id="53"/>
    </w:p>
    <w:p w14:paraId="5CFD08A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0D573DC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4900"/>
        <w:gridCol w:w="14"/>
        <w:gridCol w:w="3661"/>
        <w:gridCol w:w="14"/>
      </w:tblGrid>
      <w:tr w14:paraId="2AD9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2A893E04">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2532" w:type="pct"/>
            <w:vAlign w:val="center"/>
          </w:tcPr>
          <w:p w14:paraId="2E8C51E4">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1899" w:type="pct"/>
            <w:gridSpan w:val="2"/>
            <w:vAlign w:val="center"/>
          </w:tcPr>
          <w:p w14:paraId="2DB4BC75">
            <w:pPr>
              <w:pStyle w:val="56"/>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097C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1E9DD11">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2532" w:type="pct"/>
            <w:vAlign w:val="center"/>
          </w:tcPr>
          <w:p w14:paraId="501BCF91">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028F8A0D">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r>
      <w:tr w14:paraId="0A65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9546F7D">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2532" w:type="pct"/>
            <w:vAlign w:val="center"/>
          </w:tcPr>
          <w:p w14:paraId="3F110085">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5990E1DF">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r>
      <w:tr w14:paraId="12EF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35BB3DE">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2532" w:type="pct"/>
            <w:vAlign w:val="center"/>
          </w:tcPr>
          <w:p w14:paraId="1473D027">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1750E2FB">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r>
      <w:tr w14:paraId="7C90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4F3E055">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2532" w:type="pct"/>
            <w:vAlign w:val="center"/>
          </w:tcPr>
          <w:p w14:paraId="60E0D965">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21CD48D9">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r>
      <w:tr w14:paraId="1672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2021E6DB">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899" w:type="pct"/>
            <w:gridSpan w:val="2"/>
            <w:vAlign w:val="center"/>
          </w:tcPr>
          <w:p w14:paraId="287DF4BC">
            <w:pPr>
              <w:pStyle w:val="56"/>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highlight w:val="none"/>
              </w:rPr>
            </w:pPr>
          </w:p>
        </w:tc>
      </w:tr>
    </w:tbl>
    <w:p w14:paraId="004F25F3">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54" w:name="_Toc10340"/>
      <w:bookmarkStart w:id="55" w:name="_Toc1814"/>
      <w:bookmarkStart w:id="56" w:name="_Toc22618"/>
      <w:r>
        <w:rPr>
          <w:rFonts w:hint="eastAsia" w:ascii="宋体" w:hAnsi="宋体" w:eastAsia="宋体" w:cs="宋体"/>
          <w:b/>
          <w:bCs/>
          <w:color w:val="auto"/>
          <w:sz w:val="24"/>
          <w:szCs w:val="24"/>
          <w:highlight w:val="none"/>
          <w:lang w:val="zh-CN"/>
        </w:rPr>
        <w:t>1.4 付款方式和发票开具方式</w:t>
      </w:r>
      <w:bookmarkEnd w:id="54"/>
      <w:bookmarkEnd w:id="55"/>
      <w:bookmarkEnd w:id="56"/>
    </w:p>
    <w:p w14:paraId="2AF1BE6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E2B203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增值税专用发票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20ACA10">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57" w:name="_Toc32071"/>
      <w:bookmarkStart w:id="58" w:name="_Toc2846"/>
      <w:bookmarkStart w:id="59" w:name="_Toc19304"/>
      <w:r>
        <w:rPr>
          <w:rFonts w:hint="eastAsia" w:ascii="宋体" w:hAnsi="宋体" w:eastAsia="宋体" w:cs="宋体"/>
          <w:b/>
          <w:bCs/>
          <w:color w:val="auto"/>
          <w:sz w:val="24"/>
          <w:szCs w:val="24"/>
          <w:highlight w:val="none"/>
          <w:lang w:val="zh-CN"/>
        </w:rPr>
        <w:t>1.5 服务期限、地点和方式</w:t>
      </w:r>
      <w:bookmarkEnd w:id="57"/>
      <w:bookmarkEnd w:id="58"/>
      <w:bookmarkEnd w:id="59"/>
    </w:p>
    <w:p w14:paraId="7CACD403">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1.5.1服务期限：</w:t>
      </w:r>
      <w:r>
        <w:rPr>
          <w:rFonts w:hint="eastAsia" w:ascii="宋体" w:hAnsi="宋体" w:eastAsia="宋体" w:cs="宋体"/>
          <w:bCs/>
          <w:color w:val="auto"/>
          <w:kern w:val="2"/>
          <w:sz w:val="24"/>
          <w:szCs w:val="24"/>
          <w:highlight w:val="none"/>
          <w:u w:val="single"/>
          <w:lang w:val="en-US" w:eastAsia="zh-CN" w:bidi="ar-SA"/>
        </w:rPr>
        <w:t xml:space="preserve">                                 ；</w:t>
      </w:r>
    </w:p>
    <w:p w14:paraId="6736D18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956ACC7">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FD01B8">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60" w:name="_Toc19554"/>
      <w:bookmarkStart w:id="61" w:name="_Toc27250"/>
      <w:bookmarkStart w:id="62" w:name="_Toc21423"/>
      <w:r>
        <w:rPr>
          <w:rFonts w:hint="eastAsia" w:ascii="宋体" w:hAnsi="宋体" w:eastAsia="宋体" w:cs="宋体"/>
          <w:b/>
          <w:bCs/>
          <w:color w:val="auto"/>
          <w:sz w:val="24"/>
          <w:szCs w:val="24"/>
          <w:highlight w:val="none"/>
          <w:lang w:val="zh-CN"/>
        </w:rPr>
        <w:t>1.6 违约责任</w:t>
      </w:r>
      <w:bookmarkEnd w:id="60"/>
      <w:bookmarkEnd w:id="61"/>
      <w:bookmarkEnd w:id="62"/>
    </w:p>
    <w:p w14:paraId="3B98FBA8">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4058D67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30D13993">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0B3ABED">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A71DDB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DC6E74C">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0B064D87">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7B6608A7">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63" w:name="_Toc15583"/>
      <w:bookmarkStart w:id="64" w:name="_Toc28375"/>
      <w:bookmarkStart w:id="65" w:name="_Toc16021"/>
      <w:r>
        <w:rPr>
          <w:rFonts w:hint="eastAsia" w:ascii="宋体" w:hAnsi="宋体" w:eastAsia="宋体" w:cs="宋体"/>
          <w:b/>
          <w:bCs/>
          <w:color w:val="auto"/>
          <w:sz w:val="24"/>
          <w:szCs w:val="24"/>
          <w:highlight w:val="none"/>
          <w:lang w:val="zh-CN"/>
        </w:rPr>
        <w:t>1.7 合同争议的解决</w:t>
      </w:r>
      <w:bookmarkEnd w:id="63"/>
      <w:bookmarkEnd w:id="64"/>
      <w:bookmarkEnd w:id="65"/>
    </w:p>
    <w:p w14:paraId="2970B31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1.7.2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7663CAB">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滁州</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5FC0924C">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滁州市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3EB9348D">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66" w:name="_Toc15322"/>
      <w:bookmarkStart w:id="67" w:name="_Toc7245"/>
      <w:bookmarkStart w:id="68" w:name="_Toc11173"/>
      <w:r>
        <w:rPr>
          <w:rFonts w:hint="eastAsia" w:ascii="宋体" w:hAnsi="宋体" w:eastAsia="宋体" w:cs="宋体"/>
          <w:b/>
          <w:bCs/>
          <w:color w:val="auto"/>
          <w:sz w:val="24"/>
          <w:szCs w:val="24"/>
          <w:highlight w:val="none"/>
          <w:lang w:val="zh-CN"/>
        </w:rPr>
        <w:t>1.8 合同生效</w:t>
      </w:r>
      <w:bookmarkEnd w:id="66"/>
      <w:bookmarkEnd w:id="67"/>
      <w:bookmarkEnd w:id="68"/>
    </w:p>
    <w:p w14:paraId="4A462E32">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034A846B">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235EC9CD">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47A925AA">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177FE608">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bookmarkStart w:id="69"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1B4DE17E">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乙方账户信息</w:t>
      </w:r>
    </w:p>
    <w:p w14:paraId="60CAC92E">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户名：</w:t>
      </w:r>
      <w:r>
        <w:rPr>
          <w:rFonts w:hint="eastAsia" w:ascii="宋体" w:hAnsi="宋体" w:eastAsia="宋体" w:cs="宋体"/>
          <w:bCs/>
          <w:color w:val="auto"/>
          <w:sz w:val="24"/>
          <w:szCs w:val="24"/>
          <w:highlight w:val="none"/>
          <w:u w:val="single"/>
        </w:rPr>
        <w:t xml:space="preserve">            </w:t>
      </w:r>
    </w:p>
    <w:p w14:paraId="05C9C342">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账号：</w:t>
      </w:r>
      <w:r>
        <w:rPr>
          <w:rFonts w:hint="eastAsia" w:ascii="宋体" w:hAnsi="宋体" w:eastAsia="宋体" w:cs="宋体"/>
          <w:bCs/>
          <w:color w:val="auto"/>
          <w:sz w:val="24"/>
          <w:szCs w:val="24"/>
          <w:highlight w:val="none"/>
          <w:u w:val="single"/>
        </w:rPr>
        <w:t xml:space="preserve">            </w:t>
      </w:r>
    </w:p>
    <w:p w14:paraId="26E9C626">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开户银行：</w:t>
      </w:r>
      <w:r>
        <w:rPr>
          <w:rFonts w:hint="eastAsia" w:ascii="宋体" w:hAnsi="宋体" w:eastAsia="宋体" w:cs="宋体"/>
          <w:bCs/>
          <w:color w:val="auto"/>
          <w:sz w:val="24"/>
          <w:szCs w:val="24"/>
          <w:highlight w:val="none"/>
          <w:u w:val="single"/>
        </w:rPr>
        <w:t xml:space="preserve">        </w:t>
      </w:r>
    </w:p>
    <w:p w14:paraId="7A2A5254">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3E75F06">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69"/>
    </w:p>
    <w:p w14:paraId="37039D7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70" w:name="_Ref467379101"/>
      <w:bookmarkStart w:id="71" w:name="_Ref467379205"/>
      <w:bookmarkStart w:id="72" w:name="_Toc259093669"/>
      <w:bookmarkStart w:id="73" w:name="_Toc487900349"/>
      <w:bookmarkStart w:id="74" w:name="_Toc16917"/>
      <w:bookmarkStart w:id="75" w:name="_Toc28763"/>
      <w:bookmarkStart w:id="76" w:name="_Ref467378404"/>
      <w:bookmarkStart w:id="77" w:name="_Ref467378499"/>
      <w:bookmarkStart w:id="78" w:name="_Ref467378463"/>
      <w:bookmarkStart w:id="79" w:name="_Ref467379094"/>
      <w:bookmarkStart w:id="80" w:name="_Ref467379225"/>
      <w:bookmarkStart w:id="81" w:name="_Toc19614"/>
      <w:bookmarkStart w:id="82" w:name="_Toc279701240"/>
      <w:bookmarkStart w:id="83" w:name="_Ref467379195"/>
      <w:bookmarkStart w:id="84" w:name="_Ref467379109"/>
      <w:bookmarkStart w:id="85" w:name="_Ref467379214"/>
      <w:r>
        <w:rPr>
          <w:rFonts w:hint="eastAsia" w:ascii="宋体" w:hAnsi="宋体" w:eastAsia="宋体" w:cs="宋体"/>
          <w:b/>
          <w:bCs/>
          <w:color w:val="auto"/>
          <w:sz w:val="24"/>
          <w:highlight w:val="none"/>
          <w:lang w:val="zh-CN"/>
        </w:rPr>
        <w:t>2.1 定义</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768491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1D6C58C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2.1.1“合同”系指采购人和成交供应商签订的载明双方当事人所达成的协议，并包括所有的附件、附录和构成合同的其他文件。</w:t>
      </w:r>
    </w:p>
    <w:p w14:paraId="7C78A59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2.1.2“合同价”系指根据合同约定，成交供应商在完全履行合同义务后，采购人应支付给成交供应商的价格。</w:t>
      </w:r>
    </w:p>
    <w:p w14:paraId="76B8B4F5">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2.1.3“服务”系指成交供应商根据合同约定应向采购人履行的除货物和工程以外的其他政府采购对象，包括采购人自身需要的服务和向社会公众提供的公共服务。</w:t>
      </w:r>
    </w:p>
    <w:p w14:paraId="3E50816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86" w:name="_Ref467378840"/>
      <w:r>
        <w:rPr>
          <w:rFonts w:hint="eastAsia" w:ascii="宋体" w:hAnsi="宋体" w:eastAsia="宋体" w:cs="宋体"/>
          <w:color w:val="auto"/>
          <w:sz w:val="24"/>
          <w:highlight w:val="none"/>
        </w:rPr>
        <w:t>2.1.4“甲方”系指与成交供应商签署合同的采购人</w:t>
      </w:r>
      <w:bookmarkEnd w:id="86"/>
      <w:r>
        <w:rPr>
          <w:rFonts w:hint="eastAsia" w:ascii="宋体" w:hAnsi="宋体" w:eastAsia="宋体" w:cs="宋体"/>
          <w:color w:val="auto"/>
          <w:sz w:val="24"/>
          <w:highlight w:val="none"/>
        </w:rPr>
        <w:t>；采购人委托采购代理机构代表其与乙方签订合同的，采购人的授权委托书作为合同附件。</w:t>
      </w:r>
    </w:p>
    <w:p w14:paraId="11F5A8A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87" w:name="_Ref467379400"/>
      <w:r>
        <w:rPr>
          <w:rFonts w:hint="eastAsia" w:ascii="宋体" w:hAnsi="宋体" w:eastAsia="宋体" w:cs="宋体"/>
          <w:color w:val="auto"/>
          <w:sz w:val="24"/>
          <w:highlight w:val="none"/>
        </w:rPr>
        <w:t>2.1.5“乙方”系指根据合同约定提供服务的成交供应商</w:t>
      </w:r>
      <w:bookmarkEnd w:id="87"/>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1831835">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88" w:name="_Ref467379436"/>
      <w:r>
        <w:rPr>
          <w:rFonts w:hint="eastAsia" w:ascii="宋体" w:hAnsi="宋体" w:eastAsia="宋体" w:cs="宋体"/>
          <w:color w:val="auto"/>
          <w:sz w:val="24"/>
          <w:highlight w:val="none"/>
        </w:rPr>
        <w:t>2.1.6“现场”系指合同约定提供服务的地点。</w:t>
      </w:r>
      <w:bookmarkEnd w:id="88"/>
    </w:p>
    <w:p w14:paraId="46F2E0E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89" w:name="_Toc27635"/>
      <w:bookmarkStart w:id="90" w:name="_Toc487900350"/>
      <w:bookmarkStart w:id="91" w:name="_Toc32504"/>
      <w:bookmarkStart w:id="92" w:name="_Toc259093670"/>
      <w:bookmarkStart w:id="93" w:name="_Toc13336"/>
      <w:bookmarkStart w:id="94" w:name="_Toc279701241"/>
      <w:r>
        <w:rPr>
          <w:rFonts w:hint="eastAsia" w:ascii="宋体" w:hAnsi="宋体" w:eastAsia="宋体" w:cs="宋体"/>
          <w:b/>
          <w:bCs/>
          <w:color w:val="auto"/>
          <w:sz w:val="24"/>
          <w:highlight w:val="none"/>
          <w:lang w:val="zh-CN"/>
        </w:rPr>
        <w:t>2.2 技术规范</w:t>
      </w:r>
      <w:bookmarkEnd w:id="89"/>
      <w:bookmarkEnd w:id="90"/>
      <w:bookmarkEnd w:id="91"/>
      <w:bookmarkEnd w:id="92"/>
      <w:bookmarkEnd w:id="93"/>
      <w:bookmarkEnd w:id="94"/>
    </w:p>
    <w:p w14:paraId="22C4C06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4E994C0">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95" w:name="_Toc9829"/>
      <w:bookmarkStart w:id="96" w:name="_Toc487900351"/>
      <w:bookmarkStart w:id="97" w:name="_Toc279701242"/>
      <w:bookmarkStart w:id="98" w:name="_Toc27853"/>
      <w:bookmarkStart w:id="99" w:name="_Toc31634"/>
      <w:bookmarkStart w:id="100" w:name="_Toc259093671"/>
      <w:r>
        <w:rPr>
          <w:rFonts w:hint="eastAsia" w:ascii="宋体" w:hAnsi="宋体" w:eastAsia="宋体" w:cs="宋体"/>
          <w:b/>
          <w:bCs/>
          <w:color w:val="auto"/>
          <w:sz w:val="24"/>
          <w:highlight w:val="none"/>
          <w:lang w:val="zh-CN"/>
        </w:rPr>
        <w:t>2.3 知识产权</w:t>
      </w:r>
      <w:bookmarkEnd w:id="95"/>
      <w:bookmarkEnd w:id="96"/>
      <w:bookmarkEnd w:id="97"/>
      <w:bookmarkEnd w:id="98"/>
      <w:bookmarkEnd w:id="99"/>
      <w:bookmarkEnd w:id="100"/>
    </w:p>
    <w:p w14:paraId="1604F97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747647D6">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43E7BC9">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01" w:name="_Ref467379542"/>
      <w:bookmarkStart w:id="102" w:name="_Ref467379527"/>
      <w:bookmarkStart w:id="103" w:name="_Toc487900354"/>
      <w:bookmarkStart w:id="104" w:name="_Ref467378591"/>
      <w:bookmarkStart w:id="105" w:name="_Toc259093674"/>
      <w:bookmarkStart w:id="106" w:name="_Toc279701245"/>
      <w:bookmarkStart w:id="107" w:name="_Ref467378541"/>
      <w:bookmarkStart w:id="108" w:name="_Ref467379536"/>
      <w:bookmarkStart w:id="109" w:name="_Toc26182"/>
      <w:bookmarkStart w:id="110" w:name="_Toc19074"/>
      <w:bookmarkStart w:id="111" w:name="_Toc30272"/>
      <w:r>
        <w:rPr>
          <w:rFonts w:hint="eastAsia" w:ascii="宋体" w:hAnsi="宋体" w:eastAsia="宋体" w:cs="宋体"/>
          <w:b/>
          <w:bCs/>
          <w:color w:val="auto"/>
          <w:sz w:val="24"/>
          <w:highlight w:val="none"/>
          <w:lang w:val="zh-CN"/>
        </w:rPr>
        <w:t>2.</w:t>
      </w:r>
      <w:bookmarkEnd w:id="101"/>
      <w:bookmarkEnd w:id="102"/>
      <w:bookmarkEnd w:id="103"/>
      <w:bookmarkEnd w:id="104"/>
      <w:bookmarkEnd w:id="105"/>
      <w:bookmarkEnd w:id="106"/>
      <w:bookmarkEnd w:id="107"/>
      <w:bookmarkEnd w:id="108"/>
      <w:r>
        <w:rPr>
          <w:rFonts w:hint="eastAsia" w:ascii="宋体" w:hAnsi="宋体" w:eastAsia="宋体" w:cs="宋体"/>
          <w:b/>
          <w:bCs/>
          <w:color w:val="auto"/>
          <w:sz w:val="24"/>
          <w:highlight w:val="none"/>
          <w:lang w:val="zh-CN"/>
        </w:rPr>
        <w:t>4 履约检查和问题反馈</w:t>
      </w:r>
      <w:bookmarkEnd w:id="109"/>
      <w:bookmarkEnd w:id="110"/>
      <w:bookmarkEnd w:id="111"/>
    </w:p>
    <w:p w14:paraId="579F697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12" w:name="_Toc186431854"/>
      <w:bookmarkStart w:id="113" w:name="_Toc279701247"/>
      <w:bookmarkStart w:id="114" w:name="_Ref467379793"/>
      <w:bookmarkStart w:id="115" w:name="_Toc259093676"/>
      <w:bookmarkStart w:id="116" w:name="_Toc487900357"/>
      <w:bookmarkStart w:id="117" w:name="_Ref467379807"/>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6EA04185">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bookmarkEnd w:id="112"/>
      <w:bookmarkStart w:id="118" w:name="_Toc186431855"/>
      <w:r>
        <w:rPr>
          <w:rFonts w:hint="eastAsia" w:ascii="宋体" w:hAnsi="宋体" w:eastAsia="宋体" w:cs="宋体"/>
          <w:color w:val="auto"/>
          <w:sz w:val="24"/>
          <w:highlight w:val="none"/>
        </w:rPr>
        <w:t>。</w:t>
      </w:r>
    </w:p>
    <w:bookmarkEnd w:id="118"/>
    <w:p w14:paraId="2DE7321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19" w:name="_Toc7836"/>
      <w:bookmarkStart w:id="120" w:name="_Toc19219"/>
      <w:bookmarkStart w:id="121" w:name="_Toc28451"/>
      <w:r>
        <w:rPr>
          <w:rFonts w:hint="eastAsia" w:ascii="宋体" w:hAnsi="宋体" w:eastAsia="宋体" w:cs="宋体"/>
          <w:b/>
          <w:bCs/>
          <w:color w:val="auto"/>
          <w:sz w:val="24"/>
          <w:highlight w:val="none"/>
          <w:lang w:val="zh-CN"/>
        </w:rPr>
        <w:t>2.5 结算方式和付款条件</w:t>
      </w:r>
      <w:bookmarkEnd w:id="113"/>
      <w:bookmarkEnd w:id="114"/>
      <w:bookmarkEnd w:id="115"/>
      <w:bookmarkEnd w:id="116"/>
      <w:bookmarkEnd w:id="117"/>
      <w:bookmarkEnd w:id="119"/>
      <w:bookmarkEnd w:id="120"/>
      <w:bookmarkEnd w:id="121"/>
    </w:p>
    <w:p w14:paraId="1DEDAF26">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34927C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22" w:name="_Toc259093677"/>
      <w:bookmarkStart w:id="123" w:name="_Toc487900358"/>
      <w:bookmarkStart w:id="124" w:name="_Toc279701248"/>
      <w:bookmarkStart w:id="125" w:name="_Ref467379923"/>
      <w:bookmarkStart w:id="126" w:name="_Ref467379863"/>
      <w:bookmarkStart w:id="127" w:name="_Ref467379852"/>
      <w:bookmarkStart w:id="128" w:name="_Toc16110"/>
      <w:bookmarkStart w:id="129" w:name="_Toc774"/>
      <w:bookmarkStart w:id="130" w:name="_Toc3225"/>
      <w:r>
        <w:rPr>
          <w:rFonts w:hint="eastAsia" w:ascii="宋体" w:hAnsi="宋体" w:eastAsia="宋体" w:cs="宋体"/>
          <w:b/>
          <w:bCs/>
          <w:color w:val="auto"/>
          <w:sz w:val="24"/>
          <w:highlight w:val="none"/>
          <w:lang w:val="zh-CN"/>
        </w:rPr>
        <w:t>2.6 技术资料</w:t>
      </w:r>
      <w:bookmarkEnd w:id="122"/>
      <w:bookmarkEnd w:id="123"/>
      <w:bookmarkEnd w:id="124"/>
      <w:bookmarkEnd w:id="125"/>
      <w:bookmarkEnd w:id="126"/>
      <w:bookmarkEnd w:id="127"/>
      <w:r>
        <w:rPr>
          <w:rFonts w:hint="eastAsia" w:ascii="宋体" w:hAnsi="宋体" w:eastAsia="宋体" w:cs="宋体"/>
          <w:b/>
          <w:bCs/>
          <w:color w:val="auto"/>
          <w:sz w:val="24"/>
          <w:highlight w:val="none"/>
          <w:lang w:val="zh-CN"/>
        </w:rPr>
        <w:t>和保密义务</w:t>
      </w:r>
      <w:bookmarkEnd w:id="128"/>
      <w:bookmarkEnd w:id="129"/>
      <w:bookmarkEnd w:id="130"/>
    </w:p>
    <w:p w14:paraId="73596C5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14:paraId="512B1BD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14:paraId="3598C9B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B3F406B">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31" w:name="_Toc7860"/>
      <w:r>
        <w:rPr>
          <w:rFonts w:hint="eastAsia" w:ascii="宋体" w:hAnsi="宋体" w:eastAsia="宋体" w:cs="宋体"/>
          <w:b/>
          <w:bCs/>
          <w:color w:val="auto"/>
          <w:sz w:val="24"/>
          <w:highlight w:val="none"/>
          <w:lang w:val="zh-CN"/>
        </w:rPr>
        <w:t>2.7 质量保证</w:t>
      </w:r>
      <w:bookmarkEnd w:id="131"/>
    </w:p>
    <w:p w14:paraId="35D91CE2">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14:paraId="2CFD577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14:paraId="181D651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32" w:name="_Toc22267"/>
      <w:r>
        <w:rPr>
          <w:rFonts w:hint="eastAsia" w:ascii="宋体" w:hAnsi="宋体" w:eastAsia="宋体" w:cs="宋体"/>
          <w:b/>
          <w:color w:val="auto"/>
          <w:sz w:val="24"/>
          <w:highlight w:val="none"/>
        </w:rPr>
        <w:t>2.8 延迟履行</w:t>
      </w:r>
      <w:bookmarkEnd w:id="132"/>
    </w:p>
    <w:p w14:paraId="0A67F41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44271CB">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33" w:name="_Toc7502"/>
      <w:bookmarkStart w:id="134" w:name="_Toc259093683"/>
      <w:bookmarkStart w:id="135" w:name="_Toc487900364"/>
      <w:bookmarkStart w:id="136" w:name="_Toc279701254"/>
      <w:bookmarkStart w:id="137" w:name="_Ref467378121"/>
      <w:r>
        <w:rPr>
          <w:rFonts w:hint="eastAsia" w:ascii="宋体" w:hAnsi="宋体" w:eastAsia="宋体" w:cs="宋体"/>
          <w:b/>
          <w:bCs/>
          <w:color w:val="auto"/>
          <w:sz w:val="24"/>
          <w:highlight w:val="none"/>
          <w:lang w:val="zh-CN"/>
        </w:rPr>
        <w:t>2.9 合同变更</w:t>
      </w:r>
      <w:bookmarkEnd w:id="133"/>
    </w:p>
    <w:p w14:paraId="4D231EA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14:paraId="1ECBF5B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38" w:name="_Toc279701259"/>
      <w:bookmarkStart w:id="139" w:name="_Toc487900369"/>
      <w:bookmarkStart w:id="140" w:name="_Toc259093688"/>
    </w:p>
    <w:p w14:paraId="56DCAAA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41" w:name="_Toc15237"/>
      <w:bookmarkStart w:id="142" w:name="_Toc22955"/>
      <w:bookmarkStart w:id="143" w:name="_Toc10366"/>
      <w:r>
        <w:rPr>
          <w:rFonts w:hint="eastAsia" w:ascii="宋体" w:hAnsi="宋体" w:eastAsia="宋体" w:cs="宋体"/>
          <w:b/>
          <w:bCs/>
          <w:color w:val="auto"/>
          <w:sz w:val="24"/>
          <w:highlight w:val="none"/>
          <w:lang w:val="zh-CN"/>
        </w:rPr>
        <w:t>2.10 合同转让</w:t>
      </w:r>
      <w:bookmarkEnd w:id="138"/>
      <w:bookmarkEnd w:id="139"/>
      <w:bookmarkEnd w:id="140"/>
      <w:r>
        <w:rPr>
          <w:rFonts w:hint="eastAsia" w:ascii="宋体" w:hAnsi="宋体" w:eastAsia="宋体" w:cs="宋体"/>
          <w:b/>
          <w:bCs/>
          <w:color w:val="auto"/>
          <w:sz w:val="24"/>
          <w:highlight w:val="none"/>
          <w:lang w:val="zh-CN"/>
        </w:rPr>
        <w:t>和分包</w:t>
      </w:r>
      <w:bookmarkEnd w:id="141"/>
      <w:bookmarkEnd w:id="142"/>
      <w:bookmarkEnd w:id="143"/>
    </w:p>
    <w:p w14:paraId="751F5DF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13E43DB">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44" w:name="_Toc16508"/>
      <w:bookmarkStart w:id="145" w:name="_Toc13566"/>
      <w:bookmarkStart w:id="146" w:name="_Toc14066"/>
      <w:r>
        <w:rPr>
          <w:rFonts w:hint="eastAsia" w:ascii="宋体" w:hAnsi="宋体" w:eastAsia="宋体" w:cs="宋体"/>
          <w:b/>
          <w:bCs/>
          <w:color w:val="auto"/>
          <w:sz w:val="24"/>
          <w:highlight w:val="none"/>
          <w:lang w:val="zh-CN"/>
        </w:rPr>
        <w:t>2.11 不可抗力</w:t>
      </w:r>
      <w:bookmarkEnd w:id="144"/>
      <w:bookmarkEnd w:id="145"/>
      <w:bookmarkEnd w:id="146"/>
    </w:p>
    <w:p w14:paraId="4C4AD142">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0C73F880">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14:paraId="5A2983D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263F3D2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2BB30B0A">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47" w:name="_Toc30676"/>
      <w:bookmarkStart w:id="148" w:name="_Toc279701255"/>
      <w:bookmarkStart w:id="149" w:name="_Toc259093684"/>
      <w:bookmarkStart w:id="150" w:name="_Toc689"/>
      <w:bookmarkStart w:id="151" w:name="_Toc6969"/>
      <w:bookmarkStart w:id="152" w:name="_Toc487900365"/>
      <w:r>
        <w:rPr>
          <w:rFonts w:hint="eastAsia" w:ascii="宋体" w:hAnsi="宋体" w:eastAsia="宋体" w:cs="宋体"/>
          <w:b/>
          <w:bCs/>
          <w:color w:val="auto"/>
          <w:sz w:val="24"/>
          <w:highlight w:val="none"/>
          <w:lang w:val="zh-CN"/>
        </w:rPr>
        <w:t>2.12 税费</w:t>
      </w:r>
      <w:bookmarkEnd w:id="147"/>
      <w:bookmarkEnd w:id="148"/>
      <w:bookmarkEnd w:id="149"/>
      <w:bookmarkEnd w:id="150"/>
      <w:bookmarkEnd w:id="151"/>
      <w:bookmarkEnd w:id="152"/>
    </w:p>
    <w:p w14:paraId="6264E82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22DE091C">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53" w:name="_Toc279701258"/>
      <w:bookmarkStart w:id="154" w:name="_Toc8298"/>
      <w:bookmarkStart w:id="155" w:name="_Toc259093687"/>
      <w:bookmarkStart w:id="156" w:name="_Toc487900368"/>
      <w:bookmarkStart w:id="157" w:name="_Toc7102"/>
      <w:bookmarkStart w:id="158" w:name="_Toc16959"/>
      <w:r>
        <w:rPr>
          <w:rFonts w:hint="eastAsia" w:ascii="宋体" w:hAnsi="宋体" w:eastAsia="宋体" w:cs="宋体"/>
          <w:b/>
          <w:bCs/>
          <w:color w:val="auto"/>
          <w:sz w:val="24"/>
          <w:highlight w:val="none"/>
          <w:lang w:val="zh-CN"/>
        </w:rPr>
        <w:t>2.13 乙方破产</w:t>
      </w:r>
      <w:bookmarkEnd w:id="153"/>
      <w:bookmarkEnd w:id="154"/>
      <w:bookmarkEnd w:id="155"/>
      <w:bookmarkEnd w:id="156"/>
      <w:bookmarkEnd w:id="157"/>
      <w:bookmarkEnd w:id="158"/>
    </w:p>
    <w:p w14:paraId="67A5B52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A95487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59" w:name="_Toc29333"/>
      <w:bookmarkStart w:id="160" w:name="_Toc6134"/>
      <w:bookmarkStart w:id="161" w:name="_Toc15387"/>
      <w:r>
        <w:rPr>
          <w:rFonts w:hint="eastAsia" w:ascii="宋体" w:hAnsi="宋体" w:eastAsia="宋体" w:cs="宋体"/>
          <w:b/>
          <w:bCs/>
          <w:color w:val="auto"/>
          <w:sz w:val="24"/>
          <w:highlight w:val="none"/>
          <w:lang w:val="zh-CN"/>
        </w:rPr>
        <w:t>2.14 合同中止、终止</w:t>
      </w:r>
      <w:bookmarkEnd w:id="159"/>
      <w:bookmarkEnd w:id="160"/>
      <w:bookmarkEnd w:id="161"/>
    </w:p>
    <w:p w14:paraId="34A063B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14:paraId="709235F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C4507AC">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62" w:name="_Toc14563"/>
      <w:bookmarkStart w:id="163" w:name="_Toc6596"/>
      <w:bookmarkStart w:id="164" w:name="_Toc1125"/>
      <w:r>
        <w:rPr>
          <w:rFonts w:hint="eastAsia" w:ascii="宋体" w:hAnsi="宋体" w:eastAsia="宋体" w:cs="宋体"/>
          <w:b/>
          <w:bCs/>
          <w:color w:val="auto"/>
          <w:sz w:val="24"/>
          <w:highlight w:val="none"/>
          <w:lang w:val="zh-CN"/>
        </w:rPr>
        <w:t>2.15 检验和验收</w:t>
      </w:r>
      <w:bookmarkEnd w:id="162"/>
      <w:bookmarkEnd w:id="163"/>
      <w:bookmarkEnd w:id="164"/>
    </w:p>
    <w:p w14:paraId="6E986C42">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3F9B6BD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3123C8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34"/>
    <w:bookmarkEnd w:id="135"/>
    <w:bookmarkEnd w:id="136"/>
    <w:bookmarkEnd w:id="137"/>
    <w:p w14:paraId="6073C40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rPr>
      </w:pPr>
      <w:bookmarkStart w:id="165" w:name="_Toc279701263"/>
      <w:bookmarkStart w:id="166" w:name="_Toc10330"/>
      <w:bookmarkStart w:id="167" w:name="_Toc259093692"/>
      <w:bookmarkStart w:id="168" w:name="_Toc18567"/>
      <w:bookmarkStart w:id="169" w:name="_Toc12773"/>
      <w:bookmarkStart w:id="170" w:name="_Toc487900373"/>
      <w:r>
        <w:rPr>
          <w:rFonts w:hint="eastAsia" w:ascii="宋体" w:hAnsi="宋体" w:eastAsia="宋体" w:cs="宋体"/>
          <w:b/>
          <w:bCs/>
          <w:color w:val="auto"/>
          <w:sz w:val="24"/>
          <w:highlight w:val="none"/>
        </w:rPr>
        <w:t xml:space="preserve">2.16 </w:t>
      </w:r>
      <w:r>
        <w:rPr>
          <w:rFonts w:hint="eastAsia" w:ascii="宋体" w:hAnsi="宋体" w:eastAsia="宋体" w:cs="宋体"/>
          <w:b/>
          <w:bCs/>
          <w:color w:val="auto"/>
          <w:sz w:val="24"/>
          <w:highlight w:val="none"/>
          <w:lang w:val="zh-CN"/>
        </w:rPr>
        <w:t>合同使用的文字和适用的法律</w:t>
      </w:r>
      <w:bookmarkEnd w:id="165"/>
      <w:bookmarkEnd w:id="166"/>
      <w:bookmarkEnd w:id="167"/>
      <w:bookmarkEnd w:id="168"/>
      <w:bookmarkEnd w:id="169"/>
      <w:bookmarkEnd w:id="170"/>
    </w:p>
    <w:p w14:paraId="616A39A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14:paraId="0B7B6B1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14:paraId="2520D6F9">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71" w:name="_Toc16673"/>
      <w:bookmarkStart w:id="172" w:name="_Toc259093693"/>
      <w:bookmarkStart w:id="173" w:name="_Toc279701264"/>
      <w:bookmarkStart w:id="174" w:name="_Toc3148"/>
      <w:bookmarkStart w:id="175" w:name="_Toc12004"/>
      <w:bookmarkStart w:id="176" w:name="_Toc487900374"/>
      <w:r>
        <w:rPr>
          <w:rFonts w:hint="eastAsia" w:ascii="宋体" w:hAnsi="宋体" w:eastAsia="宋体" w:cs="宋体"/>
          <w:b/>
          <w:bCs/>
          <w:color w:val="auto"/>
          <w:sz w:val="24"/>
          <w:highlight w:val="none"/>
          <w:lang w:val="zh-CN"/>
        </w:rPr>
        <w:t>2.17 履约保证金</w:t>
      </w:r>
      <w:bookmarkEnd w:id="171"/>
      <w:bookmarkEnd w:id="172"/>
      <w:bookmarkEnd w:id="173"/>
      <w:bookmarkEnd w:id="174"/>
      <w:bookmarkEnd w:id="175"/>
    </w:p>
    <w:p w14:paraId="35C91F0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2.17.1采购文件要求乙方提交履约保证金的，乙方应按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w:t>
      </w:r>
    </w:p>
    <w:p w14:paraId="33A7819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2.17.2履约保证金在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逾期退还履约保证金</w:t>
      </w:r>
      <w:r>
        <w:rPr>
          <w:rFonts w:hint="eastAsia" w:ascii="宋体" w:hAnsi="宋体" w:eastAsia="宋体" w:cs="宋体"/>
          <w:color w:val="auto"/>
          <w:sz w:val="24"/>
          <w:szCs w:val="24"/>
          <w:highlight w:val="none"/>
          <w:lang w:val="en-US" w:eastAsia="zh-CN"/>
        </w:rPr>
        <w:t>应承担违约责任。</w:t>
      </w:r>
    </w:p>
    <w:p w14:paraId="21B6280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6"/>
    <w:p w14:paraId="783A4193">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77" w:name="_Toc6885"/>
      <w:bookmarkStart w:id="178" w:name="_Toc19890"/>
      <w:bookmarkStart w:id="179" w:name="_Toc14001"/>
      <w:r>
        <w:rPr>
          <w:rFonts w:hint="eastAsia" w:ascii="宋体" w:hAnsi="宋体" w:eastAsia="宋体" w:cs="宋体"/>
          <w:b/>
          <w:bCs/>
          <w:color w:val="auto"/>
          <w:sz w:val="24"/>
          <w:highlight w:val="none"/>
          <w:lang w:val="zh-CN"/>
        </w:rPr>
        <w:t>2.18 合同份数</w:t>
      </w:r>
      <w:bookmarkEnd w:id="177"/>
      <w:bookmarkEnd w:id="178"/>
      <w:bookmarkEnd w:id="179"/>
    </w:p>
    <w:p w14:paraId="058E7A6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0D31B293">
      <w:pPr>
        <w:spacing w:line="360" w:lineRule="auto"/>
        <w:jc w:val="center"/>
        <w:outlineLvl w:val="2"/>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bookmarkStart w:id="180" w:name="_Toc331685784"/>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180"/>
    </w:p>
    <w:p w14:paraId="1AB702E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02"/>
        <w:gridCol w:w="8614"/>
      </w:tblGrid>
      <w:tr w14:paraId="3B93F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4" w:type="pct"/>
            <w:tcBorders>
              <w:left w:val="single" w:color="auto" w:sz="4" w:space="0"/>
            </w:tcBorders>
            <w:vAlign w:val="center"/>
          </w:tcPr>
          <w:p w14:paraId="089735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4525" w:type="pct"/>
            <w:vAlign w:val="center"/>
          </w:tcPr>
          <w:p w14:paraId="7C4DA3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36B92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902" w:type="dxa"/>
            <w:tcBorders>
              <w:left w:val="single" w:color="auto" w:sz="4" w:space="0"/>
            </w:tcBorders>
            <w:vAlign w:val="center"/>
          </w:tcPr>
          <w:p w14:paraId="050BF6C1">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2.11.3</w:t>
            </w:r>
          </w:p>
        </w:tc>
        <w:tc>
          <w:tcPr>
            <w:tcW w:w="8614" w:type="dxa"/>
            <w:vAlign w:val="center"/>
          </w:tcPr>
          <w:p w14:paraId="4C40A34B">
            <w:pPr>
              <w:keepNext w:val="0"/>
              <w:keepLines w:val="0"/>
              <w:pageBreakBefore w:val="0"/>
              <w:kinsoku/>
              <w:wordWrap/>
              <w:overflowPunct/>
              <w:topLinePunct w:val="0"/>
              <w:bidi w:val="0"/>
              <w:snapToGrid/>
              <w:spacing w:line="440" w:lineRule="exact"/>
              <w:textAlignment w:val="auto"/>
              <w:rPr>
                <w:rFonts w:hint="eastAsia"/>
                <w:highlight w:val="none"/>
              </w:rPr>
            </w:pPr>
            <w:r>
              <w:rPr>
                <w:rFonts w:hint="eastAsia" w:ascii="宋体" w:hAnsi="宋体" w:eastAsia="宋体" w:cs="宋体"/>
                <w:color w:val="auto"/>
                <w:sz w:val="24"/>
                <w:szCs w:val="24"/>
                <w:highlight w:val="none"/>
              </w:rPr>
              <w:t>因不可抗力致使合同有变更必要的，双方当事人应在不可抗力发生的3个工作日内以书面形式变更合同</w:t>
            </w:r>
          </w:p>
        </w:tc>
      </w:tr>
      <w:tr w14:paraId="2AFD1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902" w:type="dxa"/>
            <w:tcBorders>
              <w:left w:val="single" w:color="auto" w:sz="4" w:space="0"/>
            </w:tcBorders>
            <w:vAlign w:val="center"/>
          </w:tcPr>
          <w:p w14:paraId="6C85855B">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2.11.4</w:t>
            </w:r>
          </w:p>
        </w:tc>
        <w:tc>
          <w:tcPr>
            <w:tcW w:w="8614" w:type="dxa"/>
            <w:vAlign w:val="center"/>
          </w:tcPr>
          <w:p w14:paraId="04428937">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7B6A2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902" w:type="dxa"/>
            <w:tcBorders>
              <w:left w:val="single" w:color="auto" w:sz="4" w:space="0"/>
            </w:tcBorders>
            <w:vAlign w:val="center"/>
          </w:tcPr>
          <w:p w14:paraId="389897CD">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w:t>
            </w:r>
          </w:p>
        </w:tc>
        <w:tc>
          <w:tcPr>
            <w:tcW w:w="8614" w:type="dxa"/>
            <w:vAlign w:val="center"/>
          </w:tcPr>
          <w:p w14:paraId="63E5A487">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rPr>
              <w:t>合同一式</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份，甲乙双方各执</w:t>
            </w:r>
            <w:r>
              <w:rPr>
                <w:rFonts w:hint="eastAsia" w:ascii="宋体" w:hAnsi="宋体" w:eastAsia="宋体" w:cs="宋体"/>
                <w:color w:val="auto"/>
                <w:sz w:val="24"/>
                <w:szCs w:val="24"/>
                <w:highlight w:val="none"/>
                <w:u w:val="single"/>
                <w:lang w:val="en-US" w:eastAsia="zh-CN"/>
              </w:rPr>
              <w:t>二</w:t>
            </w:r>
            <w:r>
              <w:rPr>
                <w:rFonts w:hint="eastAsia" w:ascii="宋体" w:hAnsi="宋体" w:eastAsia="宋体" w:cs="宋体"/>
                <w:color w:val="auto"/>
                <w:sz w:val="24"/>
                <w:szCs w:val="24"/>
                <w:highlight w:val="none"/>
                <w:u w:val="single"/>
              </w:rPr>
              <w:t>份。</w:t>
            </w:r>
          </w:p>
        </w:tc>
      </w:tr>
      <w:tr w14:paraId="34D5F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902" w:type="dxa"/>
            <w:tcBorders>
              <w:left w:val="single" w:color="auto" w:sz="4" w:space="0"/>
            </w:tcBorders>
            <w:vAlign w:val="center"/>
          </w:tcPr>
          <w:p w14:paraId="0AD8703A">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auto"/>
                <w:sz w:val="24"/>
                <w:szCs w:val="24"/>
                <w:highlight w:val="none"/>
                <w:lang w:val="en-US" w:eastAsia="zh-CN"/>
              </w:rPr>
            </w:pPr>
          </w:p>
        </w:tc>
        <w:tc>
          <w:tcPr>
            <w:tcW w:w="8614" w:type="dxa"/>
            <w:vAlign w:val="center"/>
          </w:tcPr>
          <w:p w14:paraId="620FFA42">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（签订合同时可补充）</w:t>
            </w:r>
          </w:p>
        </w:tc>
      </w:tr>
      <w:tr w14:paraId="7E253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59A7B1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tc>
        <w:tc>
          <w:tcPr>
            <w:tcW w:w="4525" w:type="pct"/>
            <w:vAlign w:val="center"/>
          </w:tcPr>
          <w:p w14:paraId="17C44D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p>
        </w:tc>
      </w:tr>
      <w:tr w14:paraId="49D99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35F69D3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c>
          <w:tcPr>
            <w:tcW w:w="4525" w:type="pct"/>
            <w:vAlign w:val="center"/>
          </w:tcPr>
          <w:p w14:paraId="0E86A2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u w:val="single"/>
                <w:lang w:eastAsia="zh-CN"/>
              </w:rPr>
            </w:pPr>
          </w:p>
        </w:tc>
      </w:tr>
      <w:tr w14:paraId="3D89A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487A7B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c>
          <w:tcPr>
            <w:tcW w:w="4525" w:type="pct"/>
            <w:vAlign w:val="center"/>
          </w:tcPr>
          <w:p w14:paraId="3BBDD1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r>
      <w:tr w14:paraId="22FEC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364520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c>
          <w:tcPr>
            <w:tcW w:w="4525" w:type="pct"/>
            <w:vAlign w:val="center"/>
          </w:tcPr>
          <w:p w14:paraId="380830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r>
      <w:tr w14:paraId="5749A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11D1DA3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c>
          <w:tcPr>
            <w:tcW w:w="4525" w:type="pct"/>
            <w:vAlign w:val="center"/>
          </w:tcPr>
          <w:p w14:paraId="466625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r>
      <w:tr w14:paraId="65BD9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top w:val="single" w:color="auto" w:sz="6" w:space="0"/>
              <w:left w:val="single" w:color="auto" w:sz="4" w:space="0"/>
              <w:bottom w:val="single" w:color="auto" w:sz="6" w:space="0"/>
              <w:right w:val="single" w:color="auto" w:sz="6" w:space="0"/>
            </w:tcBorders>
            <w:vAlign w:val="center"/>
          </w:tcPr>
          <w:p w14:paraId="73C056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336C50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r>
      <w:tr w14:paraId="1D781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top w:val="single" w:color="auto" w:sz="6" w:space="0"/>
              <w:left w:val="single" w:color="auto" w:sz="4" w:space="0"/>
              <w:bottom w:val="single" w:color="auto" w:sz="6" w:space="0"/>
              <w:right w:val="single" w:color="auto" w:sz="6" w:space="0"/>
            </w:tcBorders>
            <w:vAlign w:val="center"/>
          </w:tcPr>
          <w:p w14:paraId="453BC9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7034DD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tc>
      </w:tr>
    </w:tbl>
    <w:p w14:paraId="3901A182">
      <w:pPr>
        <w:spacing w:line="360" w:lineRule="auto"/>
        <w:rPr>
          <w:rFonts w:asciiTheme="minorEastAsia" w:hAnsiTheme="minorEastAsia" w:eastAsiaTheme="minorEastAsia"/>
          <w:color w:val="auto"/>
          <w:sz w:val="24"/>
          <w:highlight w:val="none"/>
        </w:rPr>
      </w:pPr>
    </w:p>
    <w:p w14:paraId="0078BC5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F4B7645">
      <w:pPr>
        <w:spacing w:line="360" w:lineRule="auto"/>
        <w:jc w:val="center"/>
        <w:outlineLvl w:val="0"/>
        <w:rPr>
          <w:rFonts w:asciiTheme="minorEastAsia" w:hAnsiTheme="minorEastAsia" w:eastAsiaTheme="minorEastAsia"/>
          <w:b/>
          <w:color w:val="auto"/>
          <w:sz w:val="28"/>
          <w:highlight w:val="none"/>
        </w:rPr>
      </w:pPr>
      <w:bookmarkStart w:id="181" w:name="_Toc3480"/>
      <w:r>
        <w:rPr>
          <w:rFonts w:hint="eastAsia" w:asciiTheme="minorEastAsia" w:hAnsiTheme="minorEastAsia" w:eastAsiaTheme="minorEastAsia"/>
          <w:b/>
          <w:color w:val="auto"/>
          <w:sz w:val="28"/>
          <w:highlight w:val="none"/>
        </w:rPr>
        <w:t>第六章  响应文件格式</w:t>
      </w:r>
      <w:bookmarkEnd w:id="181"/>
    </w:p>
    <w:p w14:paraId="6B3D2868">
      <w:pPr>
        <w:spacing w:line="900" w:lineRule="exact"/>
        <w:jc w:val="center"/>
        <w:rPr>
          <w:rFonts w:asciiTheme="minorEastAsia" w:hAnsiTheme="minorEastAsia" w:eastAsiaTheme="minorEastAsia"/>
          <w:b/>
          <w:color w:val="auto"/>
          <w:sz w:val="72"/>
          <w:highlight w:val="none"/>
        </w:rPr>
      </w:pPr>
    </w:p>
    <w:p w14:paraId="3A9A3E3F">
      <w:pPr>
        <w:spacing w:line="900" w:lineRule="exact"/>
        <w:jc w:val="center"/>
        <w:outlineLvl w:val="1"/>
        <w:rPr>
          <w:rFonts w:asciiTheme="minorEastAsia" w:hAnsiTheme="minorEastAsia" w:eastAsiaTheme="minorEastAsia"/>
          <w:b/>
          <w:color w:val="auto"/>
          <w:sz w:val="72"/>
          <w:highlight w:val="none"/>
        </w:rPr>
      </w:pPr>
      <w:bookmarkStart w:id="182" w:name="_Toc22600"/>
      <w:bookmarkStart w:id="183" w:name="_Toc17381"/>
      <w:r>
        <w:rPr>
          <w:rFonts w:hint="eastAsia" w:asciiTheme="minorEastAsia" w:hAnsiTheme="minorEastAsia" w:eastAsiaTheme="minorEastAsia"/>
          <w:b/>
          <w:color w:val="auto"/>
          <w:sz w:val="72"/>
          <w:highlight w:val="none"/>
        </w:rPr>
        <w:t>响</w:t>
      </w:r>
      <w:bookmarkEnd w:id="182"/>
      <w:bookmarkEnd w:id="183"/>
    </w:p>
    <w:p w14:paraId="5246E788">
      <w:pPr>
        <w:spacing w:line="900" w:lineRule="exact"/>
        <w:jc w:val="center"/>
        <w:rPr>
          <w:rFonts w:asciiTheme="minorEastAsia" w:hAnsiTheme="minorEastAsia" w:eastAsiaTheme="minorEastAsia"/>
          <w:b/>
          <w:color w:val="auto"/>
          <w:sz w:val="72"/>
          <w:highlight w:val="none"/>
        </w:rPr>
      </w:pPr>
    </w:p>
    <w:p w14:paraId="75228A4B">
      <w:pPr>
        <w:spacing w:line="900" w:lineRule="exact"/>
        <w:jc w:val="center"/>
        <w:outlineLvl w:val="1"/>
        <w:rPr>
          <w:rFonts w:asciiTheme="minorEastAsia" w:hAnsiTheme="minorEastAsia" w:eastAsiaTheme="minorEastAsia"/>
          <w:b/>
          <w:color w:val="auto"/>
          <w:sz w:val="72"/>
          <w:highlight w:val="none"/>
        </w:rPr>
      </w:pPr>
      <w:bookmarkStart w:id="184" w:name="_Toc17096"/>
      <w:bookmarkStart w:id="185" w:name="_Toc5117"/>
      <w:r>
        <w:rPr>
          <w:rFonts w:hint="eastAsia" w:asciiTheme="minorEastAsia" w:hAnsiTheme="minorEastAsia" w:eastAsiaTheme="minorEastAsia"/>
          <w:b/>
          <w:color w:val="auto"/>
          <w:sz w:val="72"/>
          <w:highlight w:val="none"/>
        </w:rPr>
        <w:t>应</w:t>
      </w:r>
      <w:bookmarkEnd w:id="184"/>
      <w:bookmarkEnd w:id="185"/>
    </w:p>
    <w:p w14:paraId="3E5F6F41">
      <w:pPr>
        <w:spacing w:line="900" w:lineRule="exact"/>
        <w:jc w:val="center"/>
        <w:rPr>
          <w:rFonts w:asciiTheme="minorEastAsia" w:hAnsiTheme="minorEastAsia" w:eastAsiaTheme="minorEastAsia"/>
          <w:b/>
          <w:color w:val="auto"/>
          <w:sz w:val="72"/>
          <w:highlight w:val="none"/>
        </w:rPr>
      </w:pPr>
    </w:p>
    <w:p w14:paraId="5388AD47">
      <w:pPr>
        <w:spacing w:line="900" w:lineRule="exact"/>
        <w:jc w:val="center"/>
        <w:outlineLvl w:val="1"/>
        <w:rPr>
          <w:rFonts w:asciiTheme="minorEastAsia" w:hAnsiTheme="minorEastAsia" w:eastAsiaTheme="minorEastAsia"/>
          <w:b/>
          <w:color w:val="auto"/>
          <w:sz w:val="72"/>
          <w:highlight w:val="none"/>
        </w:rPr>
      </w:pPr>
      <w:bookmarkStart w:id="186" w:name="_Toc29635"/>
      <w:bookmarkStart w:id="187" w:name="_Toc10137"/>
      <w:r>
        <w:rPr>
          <w:rFonts w:hint="eastAsia" w:asciiTheme="minorEastAsia" w:hAnsiTheme="minorEastAsia" w:eastAsiaTheme="minorEastAsia"/>
          <w:b/>
          <w:color w:val="auto"/>
          <w:sz w:val="72"/>
          <w:highlight w:val="none"/>
        </w:rPr>
        <w:t>文</w:t>
      </w:r>
      <w:bookmarkEnd w:id="186"/>
      <w:bookmarkEnd w:id="187"/>
    </w:p>
    <w:p w14:paraId="3FA22D0A">
      <w:pPr>
        <w:spacing w:line="900" w:lineRule="exact"/>
        <w:jc w:val="center"/>
        <w:rPr>
          <w:rFonts w:asciiTheme="minorEastAsia" w:hAnsiTheme="minorEastAsia" w:eastAsiaTheme="minorEastAsia"/>
          <w:b/>
          <w:color w:val="auto"/>
          <w:sz w:val="72"/>
          <w:highlight w:val="none"/>
        </w:rPr>
      </w:pPr>
    </w:p>
    <w:p w14:paraId="0B07D5D3">
      <w:pPr>
        <w:jc w:val="center"/>
        <w:outlineLvl w:val="1"/>
        <w:rPr>
          <w:rFonts w:asciiTheme="minorEastAsia" w:hAnsiTheme="minorEastAsia" w:eastAsiaTheme="minorEastAsia"/>
          <w:b/>
          <w:color w:val="auto"/>
          <w:sz w:val="72"/>
          <w:highlight w:val="none"/>
        </w:rPr>
      </w:pPr>
      <w:bookmarkStart w:id="188" w:name="_Toc10547"/>
      <w:bookmarkStart w:id="189" w:name="_Toc3497"/>
      <w:r>
        <w:rPr>
          <w:rFonts w:hint="eastAsia" w:asciiTheme="minorEastAsia" w:hAnsiTheme="minorEastAsia" w:eastAsiaTheme="minorEastAsia"/>
          <w:b/>
          <w:color w:val="auto"/>
          <w:sz w:val="72"/>
          <w:highlight w:val="none"/>
        </w:rPr>
        <w:t>件</w:t>
      </w:r>
      <w:bookmarkEnd w:id="188"/>
      <w:bookmarkEnd w:id="189"/>
    </w:p>
    <w:p w14:paraId="3BD0964F">
      <w:pPr>
        <w:spacing w:after="156" w:afterLines="50"/>
        <w:jc w:val="center"/>
        <w:rPr>
          <w:rFonts w:asciiTheme="minorEastAsia" w:hAnsiTheme="minorEastAsia" w:eastAsiaTheme="minorEastAsia"/>
          <w:b/>
          <w:color w:val="auto"/>
          <w:sz w:val="72"/>
          <w:highlight w:val="none"/>
        </w:rPr>
      </w:pPr>
    </w:p>
    <w:p w14:paraId="2BA9EAE1">
      <w:pPr>
        <w:spacing w:after="156" w:afterLines="50" w:line="500" w:lineRule="exact"/>
        <w:jc w:val="center"/>
        <w:rPr>
          <w:rFonts w:asciiTheme="majorEastAsia" w:hAnsiTheme="majorEastAsia" w:eastAsiaTheme="majorEastAsia"/>
          <w:b/>
          <w:color w:val="auto"/>
          <w:sz w:val="72"/>
          <w:highlight w:val="none"/>
        </w:rPr>
      </w:pPr>
    </w:p>
    <w:p w14:paraId="3EB652CC">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0CAEB93A">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9E53C97">
      <w:pPr>
        <w:spacing w:after="156" w:afterLines="50" w:line="500" w:lineRule="exact"/>
        <w:ind w:firstLine="643" w:firstLineChars="200"/>
        <w:rPr>
          <w:rFonts w:asciiTheme="majorEastAsia" w:hAnsiTheme="majorEastAsia" w:eastAsiaTheme="maj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05E9C750">
      <w:pPr>
        <w:spacing w:after="156" w:afterLines="50" w:line="500" w:lineRule="exact"/>
        <w:jc w:val="center"/>
        <w:outlineLvl w:val="0"/>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90" w:name="_Toc13087"/>
      <w:bookmarkStart w:id="191" w:name="_Toc878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90"/>
      <w:bookmarkEnd w:id="191"/>
    </w:p>
    <w:p w14:paraId="3EF7C44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056F07A6">
      <w:pPr>
        <w:spacing w:line="360" w:lineRule="auto"/>
        <w:jc w:val="center"/>
        <w:outlineLvl w:val="1"/>
        <w:rPr>
          <w:rFonts w:asciiTheme="minorEastAsia" w:hAnsiTheme="minorEastAsia" w:eastAsiaTheme="minorEastAsia"/>
          <w:b/>
          <w:color w:val="auto"/>
          <w:sz w:val="24"/>
          <w:highlight w:val="none"/>
        </w:rPr>
      </w:pPr>
      <w:bookmarkStart w:id="192" w:name="_Toc25523"/>
      <w:bookmarkStart w:id="193" w:name="_Toc15419"/>
      <w:r>
        <w:rPr>
          <w:rFonts w:hint="eastAsia" w:asciiTheme="minorEastAsia" w:hAnsiTheme="minorEastAsia" w:eastAsiaTheme="minorEastAsia"/>
          <w:b/>
          <w:color w:val="auto"/>
          <w:sz w:val="24"/>
          <w:highlight w:val="none"/>
        </w:rPr>
        <w:t>一、报价表</w:t>
      </w:r>
      <w:bookmarkEnd w:id="192"/>
      <w:bookmarkEnd w:id="193"/>
    </w:p>
    <w:p w14:paraId="0ABC4DC8">
      <w:pPr>
        <w:snapToGrid w:val="0"/>
        <w:spacing w:line="360" w:lineRule="auto"/>
        <w:jc w:val="left"/>
        <w:rPr>
          <w:rFonts w:asciiTheme="minorEastAsia" w:hAnsiTheme="minorEastAsia" w:eastAsiaTheme="minorEastAsia"/>
          <w:b/>
          <w:color w:val="auto"/>
          <w:sz w:val="24"/>
          <w:szCs w:val="28"/>
          <w:highlight w:val="none"/>
        </w:rPr>
      </w:pPr>
      <w:r>
        <w:rPr>
          <w:rFonts w:hint="eastAsia" w:asciiTheme="minorEastAsia" w:hAnsiTheme="minorEastAsia" w:eastAsiaTheme="minorEastAsia"/>
          <w:b/>
          <w:color w:val="auto"/>
          <w:sz w:val="24"/>
          <w:szCs w:val="28"/>
          <w:highlight w:val="none"/>
        </w:rPr>
        <w:t>项目名称：</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p>
    <w:p w14:paraId="02D397F5">
      <w:pPr>
        <w:snapToGrid w:val="0"/>
        <w:spacing w:after="156" w:afterLines="50" w:line="360" w:lineRule="auto"/>
        <w:jc w:val="left"/>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color w:val="auto"/>
          <w:sz w:val="24"/>
          <w:szCs w:val="28"/>
          <w:highlight w:val="none"/>
        </w:rPr>
        <w:t>项目编号：</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2"/>
        <w:gridCol w:w="6884"/>
      </w:tblGrid>
      <w:tr w14:paraId="4CCF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7F96A42">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供应商名称</w:t>
            </w:r>
          </w:p>
        </w:tc>
        <w:tc>
          <w:tcPr>
            <w:tcW w:w="3557" w:type="pct"/>
            <w:tcBorders>
              <w:left w:val="single" w:color="auto" w:sz="4" w:space="0"/>
            </w:tcBorders>
          </w:tcPr>
          <w:p w14:paraId="1F008F13">
            <w:pPr>
              <w:spacing w:line="360" w:lineRule="auto"/>
              <w:rPr>
                <w:rFonts w:asciiTheme="minorEastAsia" w:hAnsiTheme="minorEastAsia" w:eastAsiaTheme="minorEastAsia"/>
                <w:b/>
                <w:color w:val="auto"/>
                <w:sz w:val="24"/>
                <w:highlight w:val="none"/>
              </w:rPr>
            </w:pPr>
          </w:p>
        </w:tc>
      </w:tr>
      <w:tr w14:paraId="25D7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32EACF4">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响应</w:t>
            </w:r>
            <w:r>
              <w:rPr>
                <w:rFonts w:hint="eastAsia" w:asciiTheme="minorEastAsia" w:hAnsiTheme="minorEastAsia" w:eastAsiaTheme="minorEastAsia"/>
                <w:b/>
                <w:color w:val="auto"/>
                <w:sz w:val="24"/>
                <w:highlight w:val="none"/>
              </w:rPr>
              <w:t>范围</w:t>
            </w:r>
          </w:p>
        </w:tc>
        <w:tc>
          <w:tcPr>
            <w:tcW w:w="3557" w:type="pct"/>
            <w:tcBorders>
              <w:left w:val="single" w:color="auto" w:sz="4" w:space="0"/>
            </w:tcBorders>
            <w:vAlign w:val="center"/>
          </w:tcPr>
          <w:p w14:paraId="45139C55">
            <w:pPr>
              <w:widowControl/>
              <w:spacing w:line="360" w:lineRule="exac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szCs w:val="28"/>
                <w:highlight w:val="none"/>
              </w:rPr>
              <w:t>全部</w:t>
            </w:r>
          </w:p>
        </w:tc>
      </w:tr>
      <w:tr w14:paraId="5B74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AD2A875">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报</w:t>
            </w:r>
            <w:r>
              <w:rPr>
                <w:rFonts w:hint="eastAsia" w:asciiTheme="minorEastAsia" w:hAnsiTheme="minorEastAsia" w:eastAsiaTheme="minorEastAsia"/>
                <w:b/>
                <w:color w:val="auto"/>
                <w:sz w:val="24"/>
                <w:highlight w:val="none"/>
              </w:rPr>
              <w:t>价</w:t>
            </w:r>
          </w:p>
          <w:p w14:paraId="5768B630">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（详见备注说明）</w:t>
            </w:r>
          </w:p>
        </w:tc>
        <w:tc>
          <w:tcPr>
            <w:tcW w:w="3557" w:type="pct"/>
            <w:vAlign w:val="center"/>
          </w:tcPr>
          <w:p w14:paraId="5635E8BF">
            <w:pPr>
              <w:snapToGrid w:val="0"/>
              <w:spacing w:line="360" w:lineRule="auto"/>
              <w:rPr>
                <w:rFonts w:hint="eastAsia" w:asciiTheme="minorEastAsia" w:hAnsiTheme="minorEastAsia" w:eastAsiaTheme="minorEastAsia"/>
                <w:color w:val="auto"/>
                <w:sz w:val="24"/>
                <w:szCs w:val="28"/>
                <w:highlight w:val="none"/>
                <w:lang w:val="en-US" w:eastAsia="zh-CN"/>
              </w:rPr>
            </w:pPr>
          </w:p>
          <w:p w14:paraId="559E6B9A">
            <w:pPr>
              <w:snapToGrid w:val="0"/>
              <w:spacing w:line="360" w:lineRule="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响应单价</w:t>
            </w:r>
            <w:r>
              <w:rPr>
                <w:rFonts w:hint="eastAsia" w:asciiTheme="minorEastAsia" w:hAnsiTheme="minorEastAsia" w:eastAsiaTheme="minorEastAsia"/>
                <w:color w:val="auto"/>
                <w:sz w:val="24"/>
                <w:szCs w:val="28"/>
                <w:highlight w:val="none"/>
              </w:rPr>
              <w:t xml:space="preserve"> （大写）：</w:t>
            </w:r>
            <w:r>
              <w:rPr>
                <w:rFonts w:hint="eastAsia" w:asciiTheme="minorEastAsia" w:hAnsiTheme="minorEastAsia" w:eastAsiaTheme="minorEastAsia"/>
                <w:color w:val="auto"/>
                <w:sz w:val="24"/>
                <w:szCs w:val="28"/>
                <w:highlight w:val="none"/>
                <w:u w:val="single"/>
                <w:lang w:val="en-US" w:eastAsia="zh-CN"/>
              </w:rPr>
              <w:t xml:space="preserve">        </w:t>
            </w:r>
            <w:r>
              <w:rPr>
                <w:rFonts w:hint="eastAsia" w:asciiTheme="minorEastAsia" w:hAnsiTheme="minorEastAsia" w:eastAsiaTheme="minorEastAsia"/>
                <w:color w:val="auto"/>
                <w:sz w:val="24"/>
                <w:szCs w:val="28"/>
                <w:highlight w:val="none"/>
              </w:rPr>
              <w:t>元/考生(</w:t>
            </w:r>
            <w:r>
              <w:rPr>
                <w:rFonts w:hint="eastAsia" w:asciiTheme="minorEastAsia" w:hAnsiTheme="minorEastAsia" w:eastAsiaTheme="minorEastAsia"/>
                <w:color w:val="auto"/>
                <w:sz w:val="24"/>
                <w:szCs w:val="28"/>
                <w:highlight w:val="none"/>
                <w:lang w:eastAsia="zh-CN"/>
              </w:rPr>
              <w:t>科目次）</w:t>
            </w:r>
          </w:p>
          <w:p w14:paraId="7A36BFEF">
            <w:pPr>
              <w:snapToGrid w:val="0"/>
              <w:spacing w:line="360" w:lineRule="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(小写) ：</w:t>
            </w:r>
            <w:r>
              <w:rPr>
                <w:rFonts w:hint="eastAsia" w:asciiTheme="minorEastAsia" w:hAnsiTheme="minorEastAsia" w:eastAsiaTheme="minorEastAsia"/>
                <w:color w:val="auto"/>
                <w:sz w:val="24"/>
                <w:szCs w:val="28"/>
                <w:highlight w:val="none"/>
                <w:u w:val="single"/>
                <w:lang w:val="en-US" w:eastAsia="zh-CN"/>
              </w:rPr>
              <w:t xml:space="preserve">        </w:t>
            </w:r>
            <w:r>
              <w:rPr>
                <w:rFonts w:hint="eastAsia" w:asciiTheme="minorEastAsia" w:hAnsiTheme="minorEastAsia" w:eastAsiaTheme="minorEastAsia"/>
                <w:color w:val="auto"/>
                <w:sz w:val="24"/>
                <w:szCs w:val="28"/>
                <w:highlight w:val="none"/>
              </w:rPr>
              <w:t>元/考生(</w:t>
            </w:r>
            <w:r>
              <w:rPr>
                <w:rFonts w:hint="eastAsia" w:asciiTheme="minorEastAsia" w:hAnsiTheme="minorEastAsia" w:eastAsiaTheme="minorEastAsia"/>
                <w:color w:val="auto"/>
                <w:sz w:val="24"/>
                <w:szCs w:val="28"/>
                <w:highlight w:val="none"/>
                <w:lang w:eastAsia="zh-CN"/>
              </w:rPr>
              <w:t>科目次）</w:t>
            </w:r>
          </w:p>
          <w:p w14:paraId="3D4F1888">
            <w:pPr>
              <w:snapToGrid w:val="0"/>
              <w:spacing w:line="360" w:lineRule="auto"/>
              <w:rPr>
                <w:rFonts w:asciiTheme="minorEastAsia" w:hAnsiTheme="minorEastAsia" w:eastAsiaTheme="minorEastAsia"/>
                <w:b/>
                <w:color w:val="auto"/>
                <w:sz w:val="24"/>
                <w:highlight w:val="none"/>
              </w:rPr>
            </w:pPr>
          </w:p>
        </w:tc>
      </w:tr>
      <w:tr w14:paraId="4DE7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14:paraId="79332D15">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备注说明</w:t>
            </w:r>
          </w:p>
        </w:tc>
        <w:tc>
          <w:tcPr>
            <w:tcW w:w="3557" w:type="pct"/>
            <w:vAlign w:val="center"/>
          </w:tcPr>
          <w:p w14:paraId="39F10729">
            <w:pPr>
              <w:spacing w:line="360" w:lineRule="auto"/>
              <w:jc w:val="left"/>
              <w:rPr>
                <w:rFonts w:asciiTheme="minorEastAsia" w:hAnsiTheme="minorEastAsia" w:eastAsiaTheme="minorEastAsia"/>
                <w:b/>
                <w:color w:val="auto"/>
                <w:sz w:val="24"/>
                <w:highlight w:val="none"/>
              </w:rPr>
            </w:pPr>
            <w:r>
              <w:rPr>
                <w:rFonts w:hint="eastAsia" w:ascii="宋体" w:hAnsi="宋体" w:eastAsia="宋体" w:cs="宋体"/>
                <w:color w:val="auto"/>
                <w:sz w:val="24"/>
                <w:highlight w:val="none"/>
              </w:rPr>
              <w:t>服务期：</w:t>
            </w:r>
            <w:r>
              <w:rPr>
                <w:rFonts w:hint="eastAsia" w:ascii="宋体" w:hAnsi="宋体" w:eastAsia="宋体" w:cs="宋体"/>
                <w:color w:val="auto"/>
                <w:sz w:val="24"/>
                <w:highlight w:val="none"/>
                <w:lang w:val="en-US" w:eastAsia="zh-CN"/>
              </w:rPr>
              <w:t>服务期三年，合同一年一签。</w:t>
            </w:r>
          </w:p>
        </w:tc>
      </w:tr>
    </w:tbl>
    <w:p w14:paraId="1771A1F2">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DFA0959">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0DF115A7">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eastAsia="zh-CN"/>
        </w:rPr>
        <w:t>注：</w:t>
      </w:r>
    </w:p>
    <w:p w14:paraId="54B2CB5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表中报价即为优惠后报价，并作为评审依据。任何有选择或有条件的报价，或者表中某一包别填写多个报价，均为无效报价。</w:t>
      </w:r>
    </w:p>
    <w:p w14:paraId="6005C3CF">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AE046C4">
      <w:pPr>
        <w:spacing w:line="360" w:lineRule="auto"/>
        <w:jc w:val="center"/>
        <w:outlineLvl w:val="1"/>
        <w:rPr>
          <w:rFonts w:asciiTheme="minorEastAsia" w:hAnsiTheme="minorEastAsia" w:eastAsiaTheme="minorEastAsia"/>
          <w:b/>
          <w:color w:val="auto"/>
          <w:sz w:val="24"/>
          <w:highlight w:val="none"/>
        </w:rPr>
      </w:pPr>
      <w:bookmarkStart w:id="194" w:name="_Toc29464"/>
      <w:bookmarkStart w:id="195" w:name="_Toc28308"/>
      <w:r>
        <w:rPr>
          <w:rFonts w:hint="eastAsia" w:asciiTheme="minorEastAsia" w:hAnsiTheme="minorEastAsia" w:eastAsiaTheme="minorEastAsia"/>
          <w:b/>
          <w:color w:val="auto"/>
          <w:sz w:val="24"/>
          <w:highlight w:val="none"/>
        </w:rPr>
        <w:t>二、最终承诺报价表</w:t>
      </w:r>
      <w:bookmarkEnd w:id="194"/>
      <w:bookmarkEnd w:id="195"/>
    </w:p>
    <w:p w14:paraId="3A80D29A">
      <w:pPr>
        <w:spacing w:before="156" w:beforeLines="50" w:after="156" w:afterLines="50" w:line="360" w:lineRule="auto"/>
        <w:ind w:firstLine="236" w:firstLineChars="98"/>
        <w:jc w:val="center"/>
        <w:rPr>
          <w:rFonts w:asciiTheme="minorEastAsia" w:hAnsiTheme="minorEastAsia" w:eastAsiaTheme="minorEastAsia"/>
          <w:b/>
          <w:color w:val="auto"/>
          <w:sz w:val="24"/>
          <w:szCs w:val="28"/>
          <w:highlight w:val="none"/>
        </w:rPr>
      </w:pPr>
      <w:r>
        <w:rPr>
          <w:rFonts w:hint="eastAsia" w:asciiTheme="minorEastAsia" w:hAnsiTheme="minorEastAsia" w:eastAsiaTheme="minorEastAsia"/>
          <w:b/>
          <w:color w:val="auto"/>
          <w:sz w:val="24"/>
          <w:szCs w:val="28"/>
          <w:highlight w:val="none"/>
        </w:rPr>
        <w:t>（某项目第</w:t>
      </w:r>
      <w:r>
        <w:rPr>
          <w:rFonts w:hint="eastAsia"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rPr>
        <w:t>次报价书）</w:t>
      </w:r>
    </w:p>
    <w:p w14:paraId="5BEEE3B7">
      <w:pPr>
        <w:snapToGrid w:val="0"/>
        <w:spacing w:line="360" w:lineRule="auto"/>
        <w:jc w:val="left"/>
        <w:rPr>
          <w:rFonts w:asciiTheme="minorEastAsia" w:hAnsiTheme="minorEastAsia" w:eastAsiaTheme="minorEastAsia"/>
          <w:b/>
          <w:color w:val="auto"/>
          <w:sz w:val="24"/>
          <w:szCs w:val="28"/>
          <w:highlight w:val="none"/>
        </w:rPr>
      </w:pPr>
      <w:r>
        <w:rPr>
          <w:rFonts w:hint="eastAsia" w:asciiTheme="minorEastAsia" w:hAnsiTheme="minorEastAsia" w:eastAsiaTheme="minorEastAsia"/>
          <w:b/>
          <w:color w:val="auto"/>
          <w:sz w:val="24"/>
          <w:szCs w:val="28"/>
          <w:highlight w:val="none"/>
        </w:rPr>
        <w:t>项目名称：</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p>
    <w:p w14:paraId="60FBE776">
      <w:pPr>
        <w:snapToGrid w:val="0"/>
        <w:spacing w:after="156" w:afterLines="50" w:line="360" w:lineRule="auto"/>
        <w:jc w:val="left"/>
        <w:rPr>
          <w:rFonts w:asciiTheme="majorEastAsia" w:hAnsiTheme="majorEastAsia" w:eastAsiaTheme="majorEastAsia"/>
          <w:b/>
          <w:bCs/>
          <w:color w:val="auto"/>
          <w:sz w:val="24"/>
          <w:szCs w:val="28"/>
          <w:highlight w:val="none"/>
        </w:rPr>
      </w:pPr>
      <w:r>
        <w:rPr>
          <w:rFonts w:hint="eastAsia" w:asciiTheme="minorEastAsia" w:hAnsiTheme="minorEastAsia" w:eastAsiaTheme="minorEastAsia"/>
          <w:b/>
          <w:color w:val="auto"/>
          <w:sz w:val="24"/>
          <w:szCs w:val="28"/>
          <w:highlight w:val="none"/>
        </w:rPr>
        <w:t>项目编号：</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2"/>
        <w:gridCol w:w="6884"/>
      </w:tblGrid>
      <w:tr w14:paraId="547A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FB6AE5">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供应商名称</w:t>
            </w:r>
          </w:p>
        </w:tc>
        <w:tc>
          <w:tcPr>
            <w:tcW w:w="3557" w:type="pct"/>
            <w:tcBorders>
              <w:left w:val="single" w:color="auto" w:sz="4" w:space="0"/>
            </w:tcBorders>
          </w:tcPr>
          <w:p w14:paraId="5BD04F4B">
            <w:pPr>
              <w:spacing w:line="360" w:lineRule="auto"/>
              <w:rPr>
                <w:rFonts w:asciiTheme="minorEastAsia" w:hAnsiTheme="minorEastAsia" w:eastAsiaTheme="minorEastAsia"/>
                <w:b/>
                <w:color w:val="auto"/>
                <w:sz w:val="24"/>
                <w:highlight w:val="none"/>
              </w:rPr>
            </w:pPr>
          </w:p>
        </w:tc>
      </w:tr>
      <w:tr w14:paraId="0680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69E8610">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响应</w:t>
            </w:r>
            <w:r>
              <w:rPr>
                <w:rFonts w:hint="eastAsia" w:asciiTheme="minorEastAsia" w:hAnsiTheme="minorEastAsia" w:eastAsiaTheme="minorEastAsia"/>
                <w:b/>
                <w:color w:val="auto"/>
                <w:sz w:val="24"/>
                <w:highlight w:val="none"/>
              </w:rPr>
              <w:t>范围</w:t>
            </w:r>
          </w:p>
        </w:tc>
        <w:tc>
          <w:tcPr>
            <w:tcW w:w="3557" w:type="pct"/>
            <w:tcBorders>
              <w:left w:val="single" w:color="auto" w:sz="4" w:space="0"/>
            </w:tcBorders>
            <w:vAlign w:val="center"/>
          </w:tcPr>
          <w:p w14:paraId="21ADF443">
            <w:pPr>
              <w:widowControl/>
              <w:spacing w:line="360" w:lineRule="exac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szCs w:val="28"/>
                <w:highlight w:val="none"/>
              </w:rPr>
              <w:t>全部</w:t>
            </w:r>
          </w:p>
        </w:tc>
      </w:tr>
      <w:tr w14:paraId="52A0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E016720">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最终报</w:t>
            </w:r>
            <w:r>
              <w:rPr>
                <w:rFonts w:hint="eastAsia" w:asciiTheme="minorEastAsia" w:hAnsiTheme="minorEastAsia" w:eastAsiaTheme="minorEastAsia"/>
                <w:b/>
                <w:color w:val="auto"/>
                <w:sz w:val="24"/>
                <w:highlight w:val="none"/>
              </w:rPr>
              <w:t>价</w:t>
            </w:r>
          </w:p>
          <w:p w14:paraId="179E101E">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（详见备注说明）</w:t>
            </w:r>
          </w:p>
        </w:tc>
        <w:tc>
          <w:tcPr>
            <w:tcW w:w="3557" w:type="pct"/>
            <w:vAlign w:val="center"/>
          </w:tcPr>
          <w:p w14:paraId="1571C212">
            <w:pPr>
              <w:spacing w:line="440" w:lineRule="exact"/>
              <w:ind w:right="-670"/>
              <w:rPr>
                <w:rFonts w:hint="eastAsia" w:ascii="宋体" w:hAnsi="宋体" w:eastAsia="宋体" w:cs="宋体"/>
                <w:color w:val="auto"/>
                <w:sz w:val="24"/>
                <w:highlight w:val="none"/>
                <w:lang w:val="en-US" w:eastAsia="zh-CN"/>
              </w:rPr>
            </w:pPr>
          </w:p>
          <w:p w14:paraId="2EBA8ECF">
            <w:pPr>
              <w:spacing w:line="440" w:lineRule="exact"/>
              <w:ind w:right="-67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响应单价</w:t>
            </w:r>
            <w:r>
              <w:rPr>
                <w:rFonts w:hint="eastAsia" w:ascii="宋体" w:hAnsi="宋体" w:eastAsia="宋体" w:cs="宋体"/>
                <w:color w:val="auto"/>
                <w:sz w:val="24"/>
                <w:highlight w:val="none"/>
              </w:rPr>
              <w:t xml:space="preserve"> （大写）：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元/考生(</w:t>
            </w:r>
            <w:r>
              <w:rPr>
                <w:rFonts w:hint="eastAsia" w:ascii="宋体" w:hAnsi="宋体" w:eastAsia="宋体" w:cs="宋体"/>
                <w:color w:val="auto"/>
                <w:sz w:val="24"/>
                <w:highlight w:val="none"/>
                <w:lang w:eastAsia="zh-CN"/>
              </w:rPr>
              <w:t>科目次）</w:t>
            </w:r>
          </w:p>
          <w:p w14:paraId="09D12DA8">
            <w:pPr>
              <w:spacing w:line="440" w:lineRule="exact"/>
              <w:ind w:right="-670"/>
              <w:rPr>
                <w:rFonts w:hint="eastAsia" w:ascii="宋体" w:hAnsi="宋体" w:eastAsia="宋体" w:cs="宋体"/>
                <w:color w:val="auto"/>
                <w:sz w:val="24"/>
                <w:highlight w:val="none"/>
                <w:lang w:eastAsia="zh-CN"/>
              </w:rPr>
            </w:pPr>
          </w:p>
          <w:p w14:paraId="260F8ED8">
            <w:pPr>
              <w:snapToGrid w:val="0"/>
              <w:spacing w:line="360" w:lineRule="auto"/>
              <w:rPr>
                <w:rFonts w:asciiTheme="minorEastAsia" w:hAnsiTheme="minorEastAsia" w:eastAsiaTheme="minorEastAsia"/>
                <w:color w:val="auto"/>
                <w:sz w:val="24"/>
                <w:szCs w:val="28"/>
                <w:highlight w:val="none"/>
              </w:rPr>
            </w:pPr>
            <w:r>
              <w:rPr>
                <w:rFonts w:hint="eastAsia" w:ascii="宋体" w:hAnsi="宋体" w:eastAsia="宋体" w:cs="宋体"/>
                <w:color w:val="auto"/>
                <w:sz w:val="24"/>
                <w:highlight w:val="none"/>
              </w:rPr>
              <w:t>(小写)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元/考生(</w:t>
            </w:r>
            <w:r>
              <w:rPr>
                <w:rFonts w:hint="eastAsia" w:ascii="宋体" w:hAnsi="宋体" w:eastAsia="宋体" w:cs="宋体"/>
                <w:color w:val="auto"/>
                <w:sz w:val="24"/>
                <w:highlight w:val="none"/>
                <w:lang w:eastAsia="zh-CN"/>
              </w:rPr>
              <w:t>科目次）</w:t>
            </w:r>
          </w:p>
          <w:p w14:paraId="2E75E7E9">
            <w:pPr>
              <w:snapToGrid w:val="0"/>
              <w:spacing w:line="360" w:lineRule="auto"/>
              <w:rPr>
                <w:rFonts w:asciiTheme="minorEastAsia" w:hAnsiTheme="minorEastAsia" w:eastAsiaTheme="minorEastAsia"/>
                <w:b/>
                <w:color w:val="auto"/>
                <w:sz w:val="24"/>
                <w:highlight w:val="none"/>
              </w:rPr>
            </w:pPr>
          </w:p>
        </w:tc>
      </w:tr>
      <w:tr w14:paraId="7149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14:paraId="20FE91A2">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备注说明</w:t>
            </w:r>
          </w:p>
        </w:tc>
        <w:tc>
          <w:tcPr>
            <w:tcW w:w="3557" w:type="pct"/>
            <w:vAlign w:val="center"/>
          </w:tcPr>
          <w:p w14:paraId="48C94573">
            <w:pPr>
              <w:spacing w:line="360" w:lineRule="auto"/>
              <w:jc w:val="both"/>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服务期：</w:t>
            </w:r>
            <w:r>
              <w:rPr>
                <w:rFonts w:hint="eastAsia" w:asciiTheme="minorEastAsia" w:hAnsiTheme="minorEastAsia" w:eastAsiaTheme="minorEastAsia"/>
                <w:b/>
                <w:color w:val="auto"/>
                <w:sz w:val="24"/>
                <w:highlight w:val="none"/>
                <w:lang w:val="en-US" w:eastAsia="zh-CN"/>
              </w:rPr>
              <w:t>服务期三年，合同一年一签。</w:t>
            </w:r>
          </w:p>
        </w:tc>
      </w:tr>
      <w:tr w14:paraId="175E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2FF95CD9">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采购小组</w:t>
            </w:r>
            <w:r>
              <w:rPr>
                <w:rFonts w:asciiTheme="minorEastAsia" w:hAnsiTheme="minorEastAsia" w:eastAsiaTheme="minorEastAsia"/>
                <w:b/>
                <w:bCs/>
                <w:color w:val="auto"/>
                <w:sz w:val="24"/>
                <w:szCs w:val="28"/>
                <w:highlight w:val="none"/>
              </w:rPr>
              <w:t>签字</w:t>
            </w:r>
          </w:p>
        </w:tc>
        <w:tc>
          <w:tcPr>
            <w:tcW w:w="3557" w:type="pct"/>
          </w:tcPr>
          <w:p w14:paraId="297FEB30">
            <w:pPr>
              <w:spacing w:line="360" w:lineRule="auto"/>
              <w:rPr>
                <w:rFonts w:asciiTheme="minorEastAsia" w:hAnsiTheme="minorEastAsia" w:eastAsiaTheme="minorEastAsia"/>
                <w:b/>
                <w:color w:val="auto"/>
                <w:sz w:val="24"/>
                <w:highlight w:val="none"/>
              </w:rPr>
            </w:pPr>
          </w:p>
        </w:tc>
      </w:tr>
    </w:tbl>
    <w:p w14:paraId="1EEC61F0">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1EEA751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392A3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注：本页《报价表》由供应商在协商现场依协商情况填写，请加盖公章后带至协商现场备填（不需</w:t>
      </w:r>
      <w:r>
        <w:rPr>
          <w:rFonts w:hint="eastAsia" w:asciiTheme="minorEastAsia" w:hAnsiTheme="minorEastAsia" w:eastAsiaTheme="minorEastAsia"/>
          <w:color w:val="auto"/>
          <w:sz w:val="24"/>
          <w:highlight w:val="none"/>
          <w:lang w:val="en-US" w:eastAsia="zh-CN"/>
        </w:rPr>
        <w:t>提交</w:t>
      </w:r>
      <w:r>
        <w:rPr>
          <w:rFonts w:hint="eastAsia" w:asciiTheme="minorEastAsia" w:hAnsiTheme="minorEastAsia" w:eastAsiaTheme="minorEastAsia"/>
          <w:color w:val="auto"/>
          <w:sz w:val="24"/>
          <w:highlight w:val="none"/>
        </w:rPr>
        <w:t>在响应文件内）。考虑报价的方便，供应商在填写最终承诺报价后，（第一次报价-最终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14:paraId="48C5D57B">
      <w:pPr>
        <w:widowControl/>
        <w:jc w:val="left"/>
        <w:rPr>
          <w:rFonts w:asciiTheme="minorEastAsia" w:hAnsiTheme="minorEastAsia" w:eastAsiaTheme="minorEastAsia"/>
          <w:color w:val="auto"/>
          <w:sz w:val="24"/>
          <w:highlight w:val="none"/>
        </w:rPr>
      </w:pPr>
      <w:r>
        <w:rPr>
          <w:rFonts w:asciiTheme="minorEastAsia" w:hAnsiTheme="minorEastAsia" w:eastAsiaTheme="minorEastAsia"/>
          <w:bCs/>
          <w:color w:val="auto"/>
          <w:sz w:val="24"/>
          <w:highlight w:val="none"/>
        </w:rPr>
        <w:br w:type="page"/>
      </w:r>
    </w:p>
    <w:p w14:paraId="0191FEEF">
      <w:pPr>
        <w:spacing w:line="360" w:lineRule="auto"/>
        <w:jc w:val="center"/>
        <w:outlineLvl w:val="1"/>
        <w:rPr>
          <w:rFonts w:asciiTheme="minorEastAsia" w:hAnsiTheme="minorEastAsia" w:eastAsiaTheme="minorEastAsia"/>
          <w:b/>
          <w:color w:val="auto"/>
          <w:sz w:val="24"/>
          <w:highlight w:val="none"/>
        </w:rPr>
      </w:pPr>
      <w:bookmarkStart w:id="196" w:name="_Toc23522"/>
      <w:bookmarkStart w:id="197" w:name="_Toc8480"/>
      <w:r>
        <w:rPr>
          <w:rFonts w:hint="eastAsia" w:asciiTheme="minorEastAsia" w:hAnsiTheme="minorEastAsia" w:eastAsiaTheme="minorEastAsia"/>
          <w:b/>
          <w:color w:val="auto"/>
          <w:sz w:val="24"/>
          <w:highlight w:val="none"/>
        </w:rPr>
        <w:t>三、响应函</w:t>
      </w:r>
      <w:bookmarkEnd w:id="196"/>
      <w:bookmarkEnd w:id="197"/>
    </w:p>
    <w:p w14:paraId="1FA177F8">
      <w:pPr>
        <w:spacing w:line="360" w:lineRule="auto"/>
        <w:rPr>
          <w:rFonts w:hint="eastAsia" w:cs="Arial" w:asciiTheme="minorEastAsia" w:hAnsiTheme="minorEastAsia" w:eastAsiaTheme="minorEastAsia"/>
          <w:b/>
          <w:color w:val="auto"/>
          <w:sz w:val="24"/>
          <w:highlight w:val="none"/>
          <w:lang w:eastAsia="zh-CN"/>
        </w:rPr>
      </w:pPr>
      <w:r>
        <w:rPr>
          <w:rFonts w:hint="eastAsia" w:cs="Arial" w:asciiTheme="minorEastAsia" w:hAnsiTheme="minorEastAsia" w:eastAsiaTheme="minorEastAsia"/>
          <w:b/>
          <w:color w:val="auto"/>
          <w:sz w:val="24"/>
          <w:highlight w:val="none"/>
        </w:rPr>
        <w:t>致：</w:t>
      </w:r>
      <w:r>
        <w:rPr>
          <w:rFonts w:hint="eastAsia" w:cs="Arial" w:asciiTheme="minorEastAsia" w:hAnsiTheme="minorEastAsia" w:eastAsiaTheme="minorEastAsia"/>
          <w:b/>
          <w:color w:val="auto"/>
          <w:sz w:val="24"/>
          <w:highlight w:val="none"/>
          <w:u w:val="none"/>
          <w:lang w:eastAsia="zh-CN"/>
        </w:rPr>
        <w:t>采购人</w:t>
      </w:r>
    </w:p>
    <w:p w14:paraId="5A4D60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根据贵方的采购文件，我方兹宣布同意如下：</w:t>
      </w:r>
    </w:p>
    <w:p w14:paraId="56B59B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.我方根据采购文件的规定，严格履行合同的责任和义务,并保证于买方要求的日期内完成，并通过买方验收。</w:t>
      </w:r>
    </w:p>
    <w:p w14:paraId="46C00F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.我方已详细审核全部采购文件，包括采购文件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（如有），我方正式认可并遵守本次采购文件，并对采购文件各项条款、规定及要求均无异议。</w:t>
      </w:r>
    </w:p>
    <w:p w14:paraId="3F99C2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.我方同意从采购文件规定的响应文件提交截止日期起遵循本采购文件，并在采购文件规定的响应文件有效期之前均具有约束力。</w:t>
      </w:r>
    </w:p>
    <w:p w14:paraId="18E5BB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2D79F298">
      <w:pPr>
        <w:spacing w:line="360" w:lineRule="auto"/>
        <w:ind w:firstLine="435"/>
        <w:rPr>
          <w:rFonts w:asciiTheme="minorEastAsia" w:hAnsiTheme="minorEastAsia" w:eastAsiaTheme="minorEastAsia"/>
          <w:color w:val="auto"/>
          <w:sz w:val="24"/>
          <w:highlight w:val="none"/>
        </w:rPr>
      </w:pPr>
    </w:p>
    <w:p w14:paraId="1A42472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4E4E98E2">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021C181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D919803">
      <w:pPr>
        <w:spacing w:line="360" w:lineRule="auto"/>
        <w:jc w:val="center"/>
        <w:outlineLvl w:val="1"/>
        <w:rPr>
          <w:rFonts w:hint="eastAsia" w:asciiTheme="minorEastAsia" w:hAnsiTheme="minorEastAsia" w:eastAsiaTheme="minorEastAsia"/>
          <w:b/>
          <w:color w:val="auto"/>
          <w:sz w:val="24"/>
          <w:highlight w:val="none"/>
        </w:rPr>
      </w:pPr>
      <w:bookmarkStart w:id="198" w:name="_Toc23671"/>
      <w:bookmarkStart w:id="199" w:name="_Toc3741"/>
      <w:bookmarkStart w:id="200" w:name="_Toc11669"/>
      <w:r>
        <w:rPr>
          <w:rFonts w:hint="eastAsia" w:asciiTheme="majorEastAsia" w:hAnsiTheme="majorEastAsia" w:eastAsiaTheme="majorEastAsia"/>
          <w:b/>
          <w:color w:val="auto"/>
          <w:sz w:val="24"/>
          <w:highlight w:val="none"/>
        </w:rPr>
        <w:t>四、</w:t>
      </w:r>
      <w:bookmarkEnd w:id="198"/>
      <w:r>
        <w:rPr>
          <w:rFonts w:hint="eastAsia" w:asciiTheme="minorEastAsia" w:hAnsiTheme="minorEastAsia" w:eastAsiaTheme="minorEastAsia"/>
          <w:b/>
          <w:color w:val="auto"/>
          <w:sz w:val="24"/>
          <w:highlight w:val="none"/>
          <w:lang w:val="en-US" w:eastAsia="zh-CN"/>
        </w:rPr>
        <w:t>供应商资格声明书</w:t>
      </w:r>
      <w:bookmarkEnd w:id="199"/>
      <w:bookmarkEnd w:id="200"/>
      <w:r>
        <w:rPr>
          <w:rFonts w:hint="eastAsia" w:asciiTheme="minorEastAsia" w:hAnsiTheme="minorEastAsia" w:eastAsiaTheme="minorEastAsia"/>
          <w:b/>
          <w:color w:val="auto"/>
          <w:sz w:val="24"/>
          <w:highlight w:val="none"/>
          <w:lang w:val="en-US" w:eastAsia="zh-CN"/>
        </w:rPr>
        <w:t xml:space="preserve"> </w:t>
      </w:r>
    </w:p>
    <w:p w14:paraId="6CB4902D">
      <w:pPr>
        <w:pStyle w:val="14"/>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5DE6EAA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在参与本次项目单一来源采购中，我单位承诺：</w:t>
      </w:r>
    </w:p>
    <w:p w14:paraId="09F15F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04EF7B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020812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721DB8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28172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（五）与我单位存在单位负责人为同一人或者存在直接控股、管理关系的其他法人单位信息如下（如有，不论其是否参加同一合同项下的政府采购活动均须填写）：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3047"/>
        <w:gridCol w:w="3360"/>
      </w:tblGrid>
      <w:tr w14:paraId="4478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0DF6478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3047" w:type="dxa"/>
            <w:vAlign w:val="center"/>
          </w:tcPr>
          <w:p w14:paraId="2C739922">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3360" w:type="dxa"/>
            <w:vAlign w:val="center"/>
          </w:tcPr>
          <w:p w14:paraId="035880D7">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215C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28025AE9">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3047" w:type="dxa"/>
            <w:vAlign w:val="center"/>
          </w:tcPr>
          <w:p w14:paraId="62C92EBA">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3360" w:type="dxa"/>
            <w:vAlign w:val="center"/>
          </w:tcPr>
          <w:p w14:paraId="2F88E101">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11E2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529B6028">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3047" w:type="dxa"/>
            <w:vAlign w:val="center"/>
          </w:tcPr>
          <w:p w14:paraId="4252D099">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3360" w:type="dxa"/>
            <w:vAlign w:val="center"/>
          </w:tcPr>
          <w:p w14:paraId="754FB2F6">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796070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3A2E939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0CA3633">
      <w:pPr>
        <w:spacing w:line="360" w:lineRule="auto"/>
        <w:ind w:firstLine="4800" w:firstLineChars="2000"/>
        <w:rPr>
          <w:rFonts w:asciiTheme="minorEastAsia" w:hAnsiTheme="minorEastAsia" w:eastAsiaTheme="minorEastAsia"/>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asciiTheme="minorEastAsia" w:hAnsiTheme="minorEastAsia" w:eastAsiaTheme="minorEastAsia"/>
          <w:color w:val="auto"/>
          <w:sz w:val="24"/>
          <w:highlight w:val="none"/>
          <w:u w:val="single"/>
        </w:rPr>
        <w:br w:type="page"/>
      </w:r>
    </w:p>
    <w:p w14:paraId="1EB434BE">
      <w:pPr>
        <w:spacing w:line="360" w:lineRule="auto"/>
        <w:jc w:val="center"/>
        <w:outlineLvl w:val="1"/>
        <w:rPr>
          <w:rFonts w:asciiTheme="minorEastAsia" w:hAnsiTheme="minorEastAsia" w:eastAsiaTheme="minorEastAsia"/>
          <w:b/>
          <w:color w:val="auto"/>
          <w:sz w:val="24"/>
          <w:highlight w:val="none"/>
        </w:rPr>
      </w:pPr>
      <w:bookmarkStart w:id="201" w:name="_Toc14261"/>
      <w:bookmarkStart w:id="202" w:name="_Toc31415"/>
      <w:r>
        <w:rPr>
          <w:rFonts w:hint="eastAsia" w:asciiTheme="minorEastAsia" w:hAnsiTheme="minorEastAsia" w:eastAsiaTheme="minorEastAsia"/>
          <w:b/>
          <w:color w:val="auto"/>
          <w:sz w:val="24"/>
          <w:highlight w:val="none"/>
        </w:rPr>
        <w:t>五、授权书</w:t>
      </w:r>
      <w:bookmarkEnd w:id="201"/>
      <w:bookmarkEnd w:id="202"/>
    </w:p>
    <w:p w14:paraId="03CC562E">
      <w:pPr>
        <w:pStyle w:val="13"/>
        <w:snapToGrid w:val="0"/>
        <w:spacing w:line="360" w:lineRule="auto"/>
        <w:ind w:firstLine="480" w:firstLineChars="200"/>
        <w:jc w:val="left"/>
        <w:rPr>
          <w:rFonts w:asciiTheme="minorEastAsia" w:hAnsiTheme="minorEastAsia"/>
          <w:color w:val="auto"/>
          <w:sz w:val="24"/>
          <w:szCs w:val="28"/>
          <w:highlight w:val="none"/>
        </w:rPr>
      </w:pPr>
    </w:p>
    <w:p w14:paraId="20456B67">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单一来源采购过程的一切事宜，包括但不限于：提交响应文件、协商、签约等。供应商授权代表在协商过程中所签署的一切文件和处理与之有关的一切事务，我方均予以认可并对此承担责任。供应商授权代表无转委托权。特此授权。</w:t>
      </w:r>
    </w:p>
    <w:p w14:paraId="1EDEB049">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50C01F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w:t>
      </w:r>
      <w:r>
        <w:rPr>
          <w:rFonts w:hint="eastAsia" w:asciiTheme="minorEastAsia" w:hAnsiTheme="minorEastAsia" w:eastAsiaTheme="minorEastAsia"/>
          <w:color w:val="auto"/>
          <w:sz w:val="24"/>
          <w:highlight w:val="none"/>
          <w:lang w:eastAsia="zh-CN"/>
        </w:rPr>
        <w:t>扫描件</w:t>
      </w:r>
      <w:r>
        <w:rPr>
          <w:rFonts w:hint="eastAsia" w:asciiTheme="minorEastAsia" w:hAnsiTheme="minorEastAsia" w:eastAsiaTheme="minorEastAsia"/>
          <w:color w:val="auto"/>
          <w:sz w:val="24"/>
          <w:highlight w:val="none"/>
        </w:rPr>
        <w:t>：</w:t>
      </w:r>
    </w:p>
    <w:p w14:paraId="4FA00E77">
      <w:pPr>
        <w:pStyle w:val="8"/>
        <w:rPr>
          <w:rFonts w:hint="eastAsia" w:asciiTheme="minorEastAsia" w:hAnsiTheme="minorEastAsia" w:eastAsiaTheme="minorEastAsia"/>
          <w:color w:val="auto"/>
          <w:sz w:val="24"/>
          <w:highlight w:val="none"/>
        </w:rPr>
      </w:pPr>
    </w:p>
    <w:p w14:paraId="33F8F859">
      <w:pPr>
        <w:pStyle w:val="8"/>
        <w:rPr>
          <w:rFonts w:hint="eastAsia" w:asciiTheme="minorEastAsia" w:hAnsiTheme="minorEastAsia" w:eastAsiaTheme="minorEastAsia"/>
          <w:color w:val="auto"/>
          <w:sz w:val="24"/>
          <w:highlight w:val="none"/>
        </w:rPr>
      </w:pPr>
    </w:p>
    <w:p w14:paraId="3EFDA9FE">
      <w:pPr>
        <w:pStyle w:val="8"/>
        <w:rPr>
          <w:rFonts w:hint="eastAsia" w:asciiTheme="minorEastAsia" w:hAnsiTheme="minorEastAsia" w:eastAsiaTheme="minorEastAsia"/>
          <w:color w:val="auto"/>
          <w:sz w:val="24"/>
          <w:highlight w:val="none"/>
        </w:rPr>
      </w:pPr>
    </w:p>
    <w:p w14:paraId="28115B01">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122D4E5F">
      <w:pPr>
        <w:spacing w:line="360" w:lineRule="auto"/>
        <w:ind w:firstLine="435"/>
        <w:rPr>
          <w:rFonts w:asciiTheme="minorEastAsia" w:hAnsiTheme="minorEastAsia" w:eastAsiaTheme="minorEastAsia"/>
          <w:color w:val="auto"/>
          <w:sz w:val="24"/>
          <w:szCs w:val="28"/>
          <w:highlight w:val="none"/>
          <w:lang w:val="zh-CN"/>
        </w:rPr>
      </w:pPr>
    </w:p>
    <w:p w14:paraId="702B0F39">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7EE57801">
      <w:pPr>
        <w:spacing w:line="360" w:lineRule="auto"/>
        <w:rPr>
          <w:rFonts w:asciiTheme="minorEastAsia" w:hAnsiTheme="minorEastAsia" w:eastAsiaTheme="minorEastAsia"/>
          <w:color w:val="auto"/>
          <w:sz w:val="24"/>
          <w:szCs w:val="28"/>
          <w:highlight w:val="none"/>
        </w:rPr>
      </w:pPr>
    </w:p>
    <w:p w14:paraId="530D731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C082F9E">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74861B85">
      <w:pPr>
        <w:spacing w:line="360" w:lineRule="auto"/>
        <w:ind w:firstLine="435"/>
        <w:rPr>
          <w:rFonts w:asciiTheme="minorEastAsia" w:hAnsiTheme="minorEastAsia" w:eastAsiaTheme="minorEastAsia"/>
          <w:color w:val="auto"/>
          <w:sz w:val="24"/>
          <w:highlight w:val="none"/>
        </w:rPr>
      </w:pPr>
    </w:p>
    <w:p w14:paraId="77511228">
      <w:pPr>
        <w:spacing w:line="360" w:lineRule="auto"/>
        <w:ind w:firstLine="435"/>
        <w:rPr>
          <w:rFonts w:asciiTheme="minorEastAsia" w:hAnsiTheme="minorEastAsia" w:eastAsiaTheme="minorEastAsia"/>
          <w:color w:val="auto"/>
          <w:sz w:val="24"/>
          <w:highlight w:val="none"/>
        </w:rPr>
      </w:pPr>
    </w:p>
    <w:p w14:paraId="57B01CE1">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2D601F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w:t>
      </w:r>
      <w:r>
        <w:rPr>
          <w:rFonts w:hint="eastAsia" w:asciiTheme="minorEastAsia" w:hAnsiTheme="minorEastAsia" w:eastAsiaTheme="minorEastAsia"/>
          <w:color w:val="auto"/>
          <w:sz w:val="24"/>
          <w:highlight w:val="none"/>
          <w:lang w:eastAsia="zh-CN"/>
        </w:rPr>
        <w:t>扫描件</w:t>
      </w:r>
      <w:r>
        <w:rPr>
          <w:rFonts w:hint="eastAsia" w:asciiTheme="minorEastAsia" w:hAnsiTheme="minorEastAsia" w:eastAsiaTheme="minorEastAsia"/>
          <w:color w:val="auto"/>
          <w:sz w:val="24"/>
          <w:highlight w:val="none"/>
        </w:rPr>
        <w:t>；</w:t>
      </w:r>
    </w:p>
    <w:p w14:paraId="56BB3B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2.法定代表人参加协商的无需提供授权书，提供身份证明</w:t>
      </w:r>
      <w:r>
        <w:rPr>
          <w:rFonts w:hint="eastAsia" w:asciiTheme="minorEastAsia" w:hAnsiTheme="minorEastAsia" w:eastAsiaTheme="minorEastAsia"/>
          <w:color w:val="auto"/>
          <w:sz w:val="24"/>
          <w:highlight w:val="none"/>
          <w:lang w:eastAsia="zh-CN"/>
        </w:rPr>
        <w:t>扫描件</w:t>
      </w:r>
      <w:r>
        <w:rPr>
          <w:rFonts w:hint="eastAsia" w:asciiTheme="minorEastAsia" w:hAnsiTheme="minorEastAsia" w:eastAsiaTheme="minorEastAsia"/>
          <w:color w:val="auto"/>
          <w:sz w:val="24"/>
          <w:highlight w:val="none"/>
        </w:rPr>
        <w:t>。</w:t>
      </w:r>
    </w:p>
    <w:p w14:paraId="3A1EEBC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B96621A">
      <w:pPr>
        <w:spacing w:line="360" w:lineRule="auto"/>
        <w:jc w:val="center"/>
        <w:outlineLvl w:val="1"/>
        <w:rPr>
          <w:rFonts w:asciiTheme="minorEastAsia" w:hAnsiTheme="minorEastAsia" w:eastAsiaTheme="minorEastAsia"/>
          <w:b/>
          <w:color w:val="auto"/>
          <w:sz w:val="24"/>
          <w:highlight w:val="none"/>
        </w:rPr>
      </w:pPr>
      <w:bookmarkStart w:id="203" w:name="_Toc29017"/>
      <w:bookmarkStart w:id="204" w:name="_Toc3307"/>
      <w:r>
        <w:rPr>
          <w:rFonts w:hint="eastAsia" w:asciiTheme="minorEastAsia" w:hAnsiTheme="minorEastAsia" w:eastAsiaTheme="minorEastAsia"/>
          <w:b/>
          <w:color w:val="auto"/>
          <w:sz w:val="24"/>
          <w:highlight w:val="none"/>
        </w:rPr>
        <w:t>六、响应表</w:t>
      </w:r>
      <w:bookmarkEnd w:id="203"/>
      <w:bookmarkEnd w:id="204"/>
    </w:p>
    <w:p w14:paraId="5CA09077">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6.1</w:t>
      </w:r>
      <w:r>
        <w:rPr>
          <w:rFonts w:hint="eastAsia" w:asciiTheme="minorEastAsia" w:hAnsiTheme="minorEastAsia" w:eastAsiaTheme="minorEastAsia"/>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2175"/>
        <w:gridCol w:w="2835"/>
        <w:gridCol w:w="2925"/>
        <w:gridCol w:w="920"/>
      </w:tblGrid>
      <w:tr w14:paraId="4204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354C9E9D">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3" w:type="pct"/>
            <w:vAlign w:val="center"/>
          </w:tcPr>
          <w:p w14:paraId="39AFA3B1">
            <w:pPr>
              <w:pStyle w:val="1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4" w:type="pct"/>
            <w:vAlign w:val="center"/>
          </w:tcPr>
          <w:p w14:paraId="2517FD59">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采购文件要求</w:t>
            </w:r>
          </w:p>
        </w:tc>
        <w:tc>
          <w:tcPr>
            <w:tcW w:w="1510" w:type="pct"/>
            <w:vAlign w:val="center"/>
          </w:tcPr>
          <w:p w14:paraId="4654EC1C">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1898F5CD">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0F8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453B3AC">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3" w:type="pct"/>
            <w:vAlign w:val="center"/>
          </w:tcPr>
          <w:p w14:paraId="0F249A07">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szCs w:val="18"/>
                <w:highlight w:val="none"/>
              </w:rPr>
              <w:t>付款方式</w:t>
            </w:r>
          </w:p>
        </w:tc>
        <w:tc>
          <w:tcPr>
            <w:tcW w:w="1464" w:type="pct"/>
            <w:vAlign w:val="center"/>
          </w:tcPr>
          <w:p w14:paraId="3868433B">
            <w:pPr>
              <w:jc w:val="center"/>
              <w:rPr>
                <w:rFonts w:asciiTheme="minorEastAsia" w:hAnsiTheme="minorEastAsia" w:eastAsiaTheme="minorEastAsia"/>
                <w:color w:val="auto"/>
                <w:sz w:val="24"/>
                <w:highlight w:val="none"/>
              </w:rPr>
            </w:pPr>
          </w:p>
        </w:tc>
        <w:tc>
          <w:tcPr>
            <w:tcW w:w="1510" w:type="pct"/>
            <w:vAlign w:val="center"/>
          </w:tcPr>
          <w:p w14:paraId="65D08685">
            <w:pPr>
              <w:jc w:val="center"/>
              <w:rPr>
                <w:rFonts w:asciiTheme="minorEastAsia" w:hAnsiTheme="minorEastAsia" w:eastAsiaTheme="minorEastAsia"/>
                <w:color w:val="auto"/>
                <w:sz w:val="24"/>
                <w:highlight w:val="none"/>
              </w:rPr>
            </w:pPr>
          </w:p>
        </w:tc>
        <w:tc>
          <w:tcPr>
            <w:tcW w:w="475" w:type="pct"/>
            <w:vAlign w:val="center"/>
          </w:tcPr>
          <w:p w14:paraId="6EFBF522">
            <w:pPr>
              <w:jc w:val="center"/>
              <w:rPr>
                <w:rFonts w:asciiTheme="minorEastAsia" w:hAnsiTheme="minorEastAsia" w:eastAsiaTheme="minorEastAsia"/>
                <w:color w:val="auto"/>
                <w:sz w:val="24"/>
                <w:highlight w:val="none"/>
              </w:rPr>
            </w:pPr>
          </w:p>
        </w:tc>
      </w:tr>
      <w:tr w14:paraId="7FC1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36B8C1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3" w:type="pct"/>
            <w:vAlign w:val="center"/>
          </w:tcPr>
          <w:p w14:paraId="4EB1BA5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szCs w:val="18"/>
                <w:highlight w:val="none"/>
              </w:rPr>
              <w:t>服务地点</w:t>
            </w:r>
          </w:p>
        </w:tc>
        <w:tc>
          <w:tcPr>
            <w:tcW w:w="1464" w:type="pct"/>
            <w:vAlign w:val="center"/>
          </w:tcPr>
          <w:p w14:paraId="10152B5B">
            <w:pPr>
              <w:jc w:val="center"/>
              <w:rPr>
                <w:rFonts w:asciiTheme="minorEastAsia" w:hAnsiTheme="minorEastAsia" w:eastAsiaTheme="minorEastAsia"/>
                <w:color w:val="auto"/>
                <w:sz w:val="24"/>
                <w:highlight w:val="none"/>
              </w:rPr>
            </w:pPr>
          </w:p>
        </w:tc>
        <w:tc>
          <w:tcPr>
            <w:tcW w:w="1510" w:type="pct"/>
            <w:vAlign w:val="center"/>
          </w:tcPr>
          <w:p w14:paraId="7B003C89">
            <w:pPr>
              <w:jc w:val="center"/>
              <w:rPr>
                <w:rFonts w:asciiTheme="minorEastAsia" w:hAnsiTheme="minorEastAsia" w:eastAsiaTheme="minorEastAsia"/>
                <w:color w:val="auto"/>
                <w:sz w:val="24"/>
                <w:highlight w:val="none"/>
              </w:rPr>
            </w:pPr>
          </w:p>
        </w:tc>
        <w:tc>
          <w:tcPr>
            <w:tcW w:w="475" w:type="pct"/>
            <w:vAlign w:val="center"/>
          </w:tcPr>
          <w:p w14:paraId="124A1883">
            <w:pPr>
              <w:jc w:val="center"/>
              <w:rPr>
                <w:rFonts w:asciiTheme="minorEastAsia" w:hAnsiTheme="minorEastAsia" w:eastAsiaTheme="minorEastAsia"/>
                <w:color w:val="auto"/>
                <w:sz w:val="24"/>
                <w:highlight w:val="none"/>
              </w:rPr>
            </w:pPr>
          </w:p>
        </w:tc>
      </w:tr>
      <w:tr w14:paraId="2D44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6716CF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3" w:type="pct"/>
            <w:vAlign w:val="center"/>
          </w:tcPr>
          <w:p w14:paraId="0C08EB74">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szCs w:val="18"/>
                <w:highlight w:val="none"/>
              </w:rPr>
              <w:t>服务期限</w:t>
            </w:r>
          </w:p>
        </w:tc>
        <w:tc>
          <w:tcPr>
            <w:tcW w:w="1464" w:type="pct"/>
            <w:vAlign w:val="center"/>
          </w:tcPr>
          <w:p w14:paraId="67FC2F12">
            <w:pPr>
              <w:jc w:val="center"/>
              <w:rPr>
                <w:rFonts w:asciiTheme="minorEastAsia" w:hAnsiTheme="minorEastAsia" w:eastAsiaTheme="minorEastAsia"/>
                <w:color w:val="auto"/>
                <w:sz w:val="24"/>
                <w:highlight w:val="none"/>
              </w:rPr>
            </w:pPr>
          </w:p>
        </w:tc>
        <w:tc>
          <w:tcPr>
            <w:tcW w:w="1510" w:type="pct"/>
            <w:vAlign w:val="center"/>
          </w:tcPr>
          <w:p w14:paraId="36A9538B">
            <w:pPr>
              <w:pStyle w:val="51"/>
              <w:jc w:val="center"/>
              <w:rPr>
                <w:rFonts w:asciiTheme="minorEastAsia" w:hAnsiTheme="minorEastAsia" w:eastAsiaTheme="minorEastAsia"/>
                <w:color w:val="auto"/>
                <w:highlight w:val="none"/>
              </w:rPr>
            </w:pPr>
          </w:p>
        </w:tc>
        <w:tc>
          <w:tcPr>
            <w:tcW w:w="475" w:type="pct"/>
            <w:vAlign w:val="center"/>
          </w:tcPr>
          <w:p w14:paraId="24C7FEF0">
            <w:pPr>
              <w:jc w:val="center"/>
              <w:rPr>
                <w:rFonts w:asciiTheme="minorEastAsia" w:hAnsiTheme="minorEastAsia" w:eastAsiaTheme="minorEastAsia"/>
                <w:color w:val="auto"/>
                <w:sz w:val="24"/>
                <w:highlight w:val="none"/>
              </w:rPr>
            </w:pPr>
          </w:p>
        </w:tc>
      </w:tr>
      <w:tr w14:paraId="2E1F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7E1B952">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4</w:t>
            </w:r>
          </w:p>
        </w:tc>
        <w:tc>
          <w:tcPr>
            <w:tcW w:w="1123" w:type="pct"/>
            <w:vAlign w:val="center"/>
          </w:tcPr>
          <w:p w14:paraId="25996F59">
            <w:pPr>
              <w:spacing w:line="360" w:lineRule="auto"/>
              <w:jc w:val="center"/>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bCs/>
                <w:color w:val="auto"/>
                <w:sz w:val="24"/>
                <w:szCs w:val="18"/>
                <w:highlight w:val="none"/>
                <w:lang w:val="en-US" w:eastAsia="zh-CN"/>
              </w:rPr>
              <w:t>“服务需求”所列内容</w:t>
            </w:r>
          </w:p>
        </w:tc>
        <w:tc>
          <w:tcPr>
            <w:tcW w:w="1464" w:type="pct"/>
            <w:vAlign w:val="center"/>
          </w:tcPr>
          <w:p w14:paraId="4F6C1078">
            <w:pPr>
              <w:jc w:val="center"/>
              <w:rPr>
                <w:rFonts w:asciiTheme="minorEastAsia" w:hAnsiTheme="minorEastAsia" w:eastAsiaTheme="minorEastAsia"/>
                <w:color w:val="auto"/>
                <w:sz w:val="24"/>
                <w:highlight w:val="none"/>
              </w:rPr>
            </w:pPr>
          </w:p>
        </w:tc>
        <w:tc>
          <w:tcPr>
            <w:tcW w:w="1510" w:type="pct"/>
            <w:vAlign w:val="center"/>
          </w:tcPr>
          <w:p w14:paraId="3D0D4AE4">
            <w:pPr>
              <w:jc w:val="center"/>
              <w:rPr>
                <w:rFonts w:asciiTheme="minorEastAsia" w:hAnsiTheme="minorEastAsia" w:eastAsiaTheme="minorEastAsia"/>
                <w:color w:val="auto"/>
                <w:sz w:val="24"/>
                <w:highlight w:val="none"/>
              </w:rPr>
            </w:pPr>
          </w:p>
        </w:tc>
        <w:tc>
          <w:tcPr>
            <w:tcW w:w="475" w:type="pct"/>
            <w:vAlign w:val="center"/>
          </w:tcPr>
          <w:p w14:paraId="6F8C5505">
            <w:pPr>
              <w:jc w:val="center"/>
              <w:rPr>
                <w:rFonts w:asciiTheme="minorEastAsia" w:hAnsiTheme="minorEastAsia" w:eastAsiaTheme="minorEastAsia"/>
                <w:color w:val="auto"/>
                <w:sz w:val="24"/>
                <w:highlight w:val="none"/>
              </w:rPr>
            </w:pPr>
          </w:p>
        </w:tc>
      </w:tr>
    </w:tbl>
    <w:p w14:paraId="7705FD9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1D6B725">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713316B">
      <w:pPr>
        <w:pStyle w:val="14"/>
        <w:spacing w:line="360" w:lineRule="auto"/>
        <w:rPr>
          <w:rFonts w:asciiTheme="minorEastAsia" w:hAnsiTheme="minorEastAsia" w:eastAsiaTheme="minorEastAsia"/>
          <w:b w:val="0"/>
          <w:color w:val="auto"/>
          <w:sz w:val="24"/>
          <w:highlight w:val="none"/>
        </w:rPr>
      </w:pPr>
    </w:p>
    <w:p w14:paraId="3333BD55">
      <w:pPr>
        <w:rPr>
          <w:rFonts w:hint="eastAsia" w:asciiTheme="minorEastAsia" w:hAnsiTheme="minorEastAsia" w:eastAsiaTheme="minorEastAsia"/>
          <w:b/>
          <w:color w:val="auto"/>
          <w:sz w:val="24"/>
          <w:highlight w:val="none"/>
          <w:lang w:eastAsia="zh-CN"/>
        </w:rPr>
      </w:pPr>
      <w:bookmarkStart w:id="205" w:name="_Toc31573"/>
      <w:bookmarkStart w:id="206" w:name="_Toc13881"/>
      <w:r>
        <w:rPr>
          <w:rFonts w:hint="eastAsia" w:asciiTheme="minorEastAsia" w:hAnsiTheme="minorEastAsia" w:eastAsiaTheme="minorEastAsia"/>
          <w:b/>
          <w:color w:val="auto"/>
          <w:sz w:val="24"/>
          <w:highlight w:val="none"/>
          <w:lang w:eastAsia="zh-CN"/>
        </w:rPr>
        <w:br w:type="page"/>
      </w:r>
    </w:p>
    <w:p w14:paraId="46195F14">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七</w:t>
      </w:r>
      <w:r>
        <w:rPr>
          <w:rFonts w:hint="eastAsia" w:asciiTheme="minorEastAsia" w:hAnsiTheme="minorEastAsia" w:eastAsiaTheme="minorEastAsia"/>
          <w:b/>
          <w:color w:val="auto"/>
          <w:sz w:val="24"/>
          <w:highlight w:val="none"/>
        </w:rPr>
        <w:t>、诚信履约承诺函</w:t>
      </w:r>
      <w:bookmarkEnd w:id="205"/>
      <w:bookmarkEnd w:id="206"/>
    </w:p>
    <w:p w14:paraId="40C93873">
      <w:pPr>
        <w:spacing w:line="360" w:lineRule="auto"/>
        <w:rPr>
          <w:rFonts w:asciiTheme="minorEastAsia" w:hAnsiTheme="minorEastAsia" w:eastAsiaTheme="minorEastAsia"/>
          <w:b/>
          <w:bCs/>
          <w:color w:val="auto"/>
          <w:sz w:val="24"/>
          <w:highlight w:val="none"/>
        </w:rPr>
      </w:pPr>
    </w:p>
    <w:p w14:paraId="1BCDC27C">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28F1E3D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8C7149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2583226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8A4AF6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60E3C15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3520A08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75A95AC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FFD6A7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Theme="minorEastAsia" w:hAnsiTheme="minorEastAsia" w:eastAsiaTheme="minorEastAsia"/>
          <w:bCs/>
          <w:color w:val="auto"/>
          <w:sz w:val="24"/>
          <w:highlight w:val="none"/>
          <w:lang w:val="en-US" w:eastAsia="zh-CN"/>
        </w:rPr>
        <w:t xml:space="preserve">   </w:t>
      </w:r>
      <w:r>
        <w:rPr>
          <w:rFonts w:hint="eastAsia" w:ascii="宋体" w:hAnsi="宋体" w:eastAsia="宋体" w:cs="@仿宋_GB2312"/>
          <w:bCs/>
          <w:color w:val="auto"/>
          <w:kern w:val="2"/>
          <w:sz w:val="24"/>
          <w:szCs w:val="24"/>
          <w:highlight w:val="none"/>
          <w:lang w:val="en-US" w:eastAsia="zh-CN" w:bidi="ar"/>
        </w:rPr>
        <w:t>本承诺声明：</w:t>
      </w:r>
      <w:r>
        <w:rPr>
          <w:rFonts w:hint="eastAsia" w:ascii="宋体" w:hAnsi="宋体" w:eastAsia="宋体" w:cs="@仿宋_GB2312"/>
          <w:bCs/>
          <w:color w:val="auto"/>
          <w:kern w:val="2"/>
          <w:sz w:val="24"/>
          <w:szCs w:val="24"/>
          <w:highlight w:val="none"/>
          <w:u w:val="single"/>
          <w:lang w:val="en-US" w:eastAsia="zh-CN" w:bidi="ar"/>
        </w:rPr>
        <w:t xml:space="preserve">                   （供应商名称）</w:t>
      </w:r>
      <w:r>
        <w:rPr>
          <w:rFonts w:hint="eastAsia" w:ascii="宋体" w:hAnsi="宋体" w:eastAsia="宋体" w:cs="@仿宋_GB2312"/>
          <w:bCs/>
          <w:color w:val="auto"/>
          <w:kern w:val="2"/>
          <w:sz w:val="24"/>
          <w:szCs w:val="24"/>
          <w:highlight w:val="none"/>
          <w:lang w:val="en-US" w:eastAsia="zh-CN" w:bidi="ar"/>
        </w:rPr>
        <w:t>对本采购文件的相关要求完全响应。若有幸成交将严格按照以上承诺进行服务。</w:t>
      </w:r>
    </w:p>
    <w:p w14:paraId="30F0912B">
      <w:pPr>
        <w:spacing w:line="360" w:lineRule="auto"/>
        <w:rPr>
          <w:rFonts w:hint="default" w:asciiTheme="minorEastAsia" w:hAnsiTheme="minorEastAsia" w:eastAsiaTheme="minorEastAsia"/>
          <w:bCs/>
          <w:color w:val="auto"/>
          <w:sz w:val="24"/>
          <w:highlight w:val="none"/>
          <w:lang w:val="en-US" w:eastAsia="zh-CN"/>
        </w:rPr>
      </w:pPr>
    </w:p>
    <w:p w14:paraId="3E6EC135">
      <w:pPr>
        <w:spacing w:line="360" w:lineRule="auto"/>
        <w:rPr>
          <w:rFonts w:asciiTheme="minorEastAsia" w:hAnsiTheme="minorEastAsia" w:eastAsiaTheme="minorEastAsia"/>
          <w:bCs/>
          <w:color w:val="auto"/>
          <w:sz w:val="24"/>
          <w:highlight w:val="none"/>
        </w:rPr>
      </w:pPr>
    </w:p>
    <w:p w14:paraId="4A1061F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7CF5EB95">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2478455E">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CBA589A">
      <w:pPr>
        <w:spacing w:line="360" w:lineRule="auto"/>
        <w:jc w:val="center"/>
        <w:outlineLvl w:val="1"/>
        <w:rPr>
          <w:rFonts w:hint="eastAsia" w:asciiTheme="minorEastAsia" w:hAnsiTheme="minorEastAsia" w:eastAsiaTheme="minorEastAsia"/>
          <w:b/>
          <w:color w:val="auto"/>
          <w:sz w:val="24"/>
          <w:highlight w:val="none"/>
        </w:rPr>
      </w:pPr>
      <w:bookmarkStart w:id="207" w:name="_Toc15323"/>
      <w:bookmarkStart w:id="208" w:name="_Toc1235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诚信响应承诺书</w:t>
      </w:r>
    </w:p>
    <w:p w14:paraId="18FDA937">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2A3742D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项目的投标，所提供的一切材料都是真实、有效、合法的；</w:t>
      </w:r>
    </w:p>
    <w:p w14:paraId="09B445D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F1F83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002A468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的合法权益；</w:t>
      </w:r>
    </w:p>
    <w:p w14:paraId="68A7432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五、不与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、招标代理机构或其他投标人串通投标，损害国家利益、社会公共利益或者他人的合法权益；</w:t>
      </w:r>
    </w:p>
    <w:p w14:paraId="7855C48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5D383FD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、严格遵守开标现场纪律，服从监管人员管理；</w:t>
      </w:r>
    </w:p>
    <w:p w14:paraId="4C9BFC5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、保证中标后不转包，若有分包征得</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同意；</w:t>
      </w:r>
    </w:p>
    <w:p w14:paraId="5C7E41C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、保证中标之后，按照投标文件要求提供相关后续服务；</w:t>
      </w:r>
    </w:p>
    <w:p w14:paraId="71022CD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2497774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7EE39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造成损失的，依法承担赔偿责任。</w:t>
      </w:r>
    </w:p>
    <w:p w14:paraId="623B2F64">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136DD2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228147E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投标单位（签章）：              法定代表人（签章）：</w:t>
      </w:r>
    </w:p>
    <w:p w14:paraId="48957986">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B72A319">
      <w:pPr>
        <w:spacing w:line="600" w:lineRule="exact"/>
        <w:ind w:firstLine="42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p>
    <w:p w14:paraId="7129EEAF">
      <w:pPr>
        <w:spacing w:line="360" w:lineRule="auto"/>
        <w:jc w:val="center"/>
        <w:outlineLvl w:val="1"/>
        <w:rPr>
          <w:rFonts w:hint="eastAsia" w:asciiTheme="minorEastAsia" w:hAnsiTheme="minorEastAsia" w:eastAsiaTheme="minorEastAsia"/>
          <w:b/>
          <w:color w:val="auto"/>
          <w:sz w:val="24"/>
          <w:highlight w:val="none"/>
          <w:lang w:eastAsia="zh-CN"/>
        </w:rPr>
      </w:pPr>
    </w:p>
    <w:p w14:paraId="2ED4DABF">
      <w:pPr>
        <w:spacing w:line="360" w:lineRule="auto"/>
        <w:jc w:val="center"/>
        <w:outlineLvl w:val="1"/>
        <w:rPr>
          <w:rFonts w:hint="eastAsia" w:asciiTheme="minorEastAsia" w:hAnsiTheme="minorEastAsia" w:eastAsiaTheme="minorEastAsia"/>
          <w:b/>
          <w:color w:val="auto"/>
          <w:sz w:val="24"/>
          <w:highlight w:val="none"/>
          <w:lang w:eastAsia="zh-CN"/>
        </w:rPr>
      </w:pPr>
    </w:p>
    <w:p w14:paraId="5E329002">
      <w:pPr>
        <w:spacing w:line="360" w:lineRule="auto"/>
        <w:jc w:val="center"/>
        <w:outlineLvl w:val="1"/>
        <w:rPr>
          <w:rFonts w:hint="eastAsia" w:asciiTheme="minorEastAsia" w:hAnsiTheme="minorEastAsia" w:eastAsiaTheme="minorEastAsia"/>
          <w:b/>
          <w:color w:val="auto"/>
          <w:sz w:val="24"/>
          <w:highlight w:val="none"/>
          <w:lang w:eastAsia="zh-CN"/>
        </w:rPr>
      </w:pPr>
    </w:p>
    <w:p w14:paraId="50549F7D">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207"/>
      <w:bookmarkEnd w:id="208"/>
    </w:p>
    <w:p w14:paraId="5C588CE1">
      <w:pPr>
        <w:spacing w:line="360" w:lineRule="auto"/>
        <w:ind w:firstLine="435"/>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1、采购标的成本构成说明</w:t>
      </w:r>
    </w:p>
    <w:p w14:paraId="7A2FECC0">
      <w:pPr>
        <w:spacing w:line="360" w:lineRule="auto"/>
        <w:ind w:firstLine="435"/>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2、同类项目相关材料（包括但不限于项目名称、成交价格等）</w:t>
      </w:r>
    </w:p>
    <w:p w14:paraId="0A1C5A6F">
      <w:pPr>
        <w:spacing w:line="360" w:lineRule="auto"/>
        <w:ind w:firstLine="435"/>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3、相关专利、专有技术等情况</w:t>
      </w:r>
    </w:p>
    <w:p w14:paraId="08287784">
      <w:pPr>
        <w:spacing w:line="360" w:lineRule="auto"/>
        <w:ind w:firstLine="435"/>
        <w:rPr>
          <w:rFonts w:asciiTheme="minorEastAsia" w:hAnsiTheme="minorEastAsia" w:eastAsiaTheme="minorEastAsia"/>
          <w:b/>
          <w:color w:val="auto"/>
          <w:sz w:val="28"/>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提供符合采购需求及协商程序和评审标准规定的相关证明文件。</w:t>
      </w:r>
    </w:p>
    <w:p w14:paraId="009480FF">
      <w:pPr>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1911D5B">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p w14:paraId="00432A46">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6FB98C2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300ED821">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p w14:paraId="4A9B53E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209" w:name="OLE_LINK103"/>
      <w:bookmarkStart w:id="210" w:name="OLE_LINK93"/>
      <w:bookmarkStart w:id="211" w:name="OLE_LINK91"/>
      <w:bookmarkStart w:id="212" w:name="OLE_LINK92"/>
      <w:r>
        <w:rPr>
          <w:rFonts w:hint="eastAsia" w:ascii="仿宋_GB2312" w:hAnsi="宋体" w:eastAsia="仿宋_GB2312" w:cs="Times New Roman"/>
          <w:color w:val="auto"/>
          <w:sz w:val="28"/>
          <w:szCs w:val="28"/>
          <w:highlight w:val="none"/>
        </w:rPr>
        <w:t>投标人、法定代表人及其项目经理(建造师)</w:t>
      </w:r>
      <w:bookmarkEnd w:id="209"/>
      <w:bookmarkEnd w:id="210"/>
      <w:bookmarkEnd w:id="211"/>
      <w:bookmarkEnd w:id="212"/>
      <w:r>
        <w:rPr>
          <w:rFonts w:hint="eastAsia" w:ascii="仿宋_GB2312" w:hAnsi="宋体" w:eastAsia="仿宋_GB2312" w:cs="Times New Roman"/>
          <w:color w:val="auto"/>
          <w:sz w:val="28"/>
          <w:szCs w:val="28"/>
          <w:highlight w:val="none"/>
        </w:rPr>
        <w:t>以下失信行为：</w:t>
      </w:r>
    </w:p>
    <w:p w14:paraId="6D2133C1">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13" w:name="OLE_LINK87"/>
      <w:bookmarkStart w:id="214" w:name="OLE_LINK94"/>
      <w:bookmarkStart w:id="215" w:name="OLE_LINK119"/>
      <w:bookmarkStart w:id="216" w:name="OLE_LINK86"/>
      <w:r>
        <w:rPr>
          <w:rFonts w:hint="eastAsia" w:ascii="仿宋_GB2312" w:hAnsi="宋体" w:eastAsia="仿宋_GB2312" w:cs="Times New Roman"/>
          <w:color w:val="auto"/>
          <w:sz w:val="28"/>
          <w:szCs w:val="28"/>
          <w:highlight w:val="none"/>
        </w:rPr>
        <w:t>①被列入“失信被执行人”的;</w:t>
      </w:r>
    </w:p>
    <w:p w14:paraId="0BD87E6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217" w:name="OLE_LINK117"/>
      <w:bookmarkStart w:id="218" w:name="OLE_LINK115"/>
      <w:bookmarkStart w:id="219" w:name="OLE_LINK118"/>
      <w:bookmarkStart w:id="220" w:name="OLE_LINK116"/>
      <w:r>
        <w:rPr>
          <w:rFonts w:hint="eastAsia" w:ascii="仿宋_GB2312" w:hAnsi="宋体" w:eastAsia="仿宋_GB2312" w:cs="Times New Roman"/>
          <w:color w:val="auto"/>
          <w:sz w:val="28"/>
          <w:szCs w:val="28"/>
          <w:highlight w:val="none"/>
        </w:rPr>
        <w:t>“重大税收违法失信主体”</w:t>
      </w:r>
      <w:bookmarkEnd w:id="217"/>
      <w:bookmarkEnd w:id="218"/>
      <w:bookmarkEnd w:id="219"/>
      <w:bookmarkEnd w:id="220"/>
      <w:r>
        <w:rPr>
          <w:rFonts w:hint="eastAsia" w:ascii="仿宋_GB2312" w:hAnsi="宋体" w:eastAsia="仿宋_GB2312" w:cs="Times New Roman"/>
          <w:color w:val="auto"/>
          <w:sz w:val="28"/>
          <w:szCs w:val="28"/>
          <w:highlight w:val="none"/>
        </w:rPr>
        <w:t>的；</w:t>
      </w:r>
    </w:p>
    <w:p w14:paraId="1C01053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221" w:name="OLE_LINK84"/>
      <w:bookmarkStart w:id="222" w:name="OLE_LINK85"/>
      <w:r>
        <w:rPr>
          <w:rFonts w:hint="eastAsia" w:ascii="仿宋_GB2312" w:hAnsi="宋体" w:eastAsia="仿宋_GB2312" w:cs="Times New Roman"/>
          <w:color w:val="auto"/>
          <w:sz w:val="28"/>
          <w:szCs w:val="28"/>
          <w:highlight w:val="none"/>
        </w:rPr>
        <w:t>农民工工资失信联合惩戒对象</w:t>
      </w:r>
      <w:bookmarkEnd w:id="221"/>
      <w:bookmarkEnd w:id="222"/>
      <w:r>
        <w:rPr>
          <w:rFonts w:hint="eastAsia" w:ascii="仿宋_GB2312" w:hAnsi="宋体" w:eastAsia="仿宋_GB2312" w:cs="Times New Roman"/>
          <w:color w:val="auto"/>
          <w:sz w:val="28"/>
          <w:szCs w:val="28"/>
          <w:highlight w:val="none"/>
        </w:rPr>
        <w:t>名单”的；</w:t>
      </w:r>
    </w:p>
    <w:p w14:paraId="7038C45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5C00593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213"/>
    <w:bookmarkEnd w:id="214"/>
    <w:bookmarkEnd w:id="215"/>
    <w:bookmarkEnd w:id="216"/>
    <w:p w14:paraId="597705C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223" w:name="OLE_LINK130"/>
      <w:r>
        <w:rPr>
          <w:rFonts w:hint="eastAsia" w:ascii="仿宋_GB2312" w:hAnsi="宋体" w:eastAsia="仿宋_GB2312" w:cs="Times New Roman"/>
          <w:color w:val="auto"/>
          <w:sz w:val="28"/>
          <w:szCs w:val="28"/>
          <w:highlight w:val="none"/>
        </w:rPr>
        <w:t>国家企业信用信息公示系统网站</w:t>
      </w:r>
      <w:bookmarkEnd w:id="223"/>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24" w:name="OLE_LINK90"/>
      <w:bookmarkStart w:id="225" w:name="OLE_LINK89"/>
      <w:r>
        <w:rPr>
          <w:rStyle w:val="36"/>
          <w:rFonts w:hint="eastAsia" w:ascii="仿宋_GB2312" w:hAnsi="宋体" w:eastAsia="仿宋_GB2312" w:cs="Times New Roman"/>
          <w:color w:val="auto"/>
          <w:sz w:val="28"/>
          <w:szCs w:val="28"/>
          <w:highlight w:val="none"/>
        </w:rPr>
        <w:t>www.gsxt.gov.cn</w:t>
      </w:r>
      <w:bookmarkEnd w:id="224"/>
      <w:bookmarkEnd w:id="225"/>
      <w:r>
        <w:rPr>
          <w:rStyle w:val="36"/>
          <w:rFonts w:hint="eastAsia" w:ascii="仿宋_GB2312" w:hAnsi="宋体" w:eastAsia="仿宋_GB2312" w:cs="Times New Roman"/>
          <w:color w:val="auto"/>
          <w:sz w:val="28"/>
          <w:szCs w:val="28"/>
          <w:highlight w:val="none"/>
        </w:rPr>
        <w:t>）</w:t>
      </w:r>
      <w:r>
        <w:rPr>
          <w:rStyle w:val="36"/>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1688C438">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26" w:name="OLE_LINK122"/>
      <w:bookmarkStart w:id="227" w:name="OLE_LINK121"/>
      <w:bookmarkStart w:id="228" w:name="OLE_LINK120"/>
      <w:r>
        <w:rPr>
          <w:rFonts w:hint="eastAsia" w:ascii="仿宋_GB2312" w:hAnsi="宋体" w:eastAsia="仿宋_GB2312" w:cs="Times New Roman"/>
          <w:color w:val="auto"/>
          <w:sz w:val="28"/>
          <w:szCs w:val="28"/>
          <w:highlight w:val="none"/>
        </w:rPr>
        <w:t>①</w:t>
      </w:r>
      <w:bookmarkStart w:id="229" w:name="OLE_LINK113"/>
      <w:bookmarkStart w:id="230" w:name="OLE_LINK114"/>
      <w:r>
        <w:rPr>
          <w:rFonts w:hint="eastAsia" w:ascii="仿宋_GB2312" w:hAnsi="宋体" w:eastAsia="仿宋_GB2312" w:cs="Times New Roman"/>
          <w:color w:val="auto"/>
          <w:sz w:val="28"/>
          <w:szCs w:val="28"/>
          <w:highlight w:val="none"/>
        </w:rPr>
        <w:t>被列入“经营异常名录”或者“严重违法失信名单”的</w:t>
      </w:r>
      <w:bookmarkEnd w:id="229"/>
      <w:bookmarkEnd w:id="230"/>
      <w:r>
        <w:rPr>
          <w:rFonts w:hint="eastAsia" w:ascii="仿宋_GB2312" w:hAnsi="宋体" w:eastAsia="仿宋_GB2312" w:cs="Times New Roman"/>
          <w:color w:val="auto"/>
          <w:sz w:val="28"/>
          <w:szCs w:val="28"/>
          <w:highlight w:val="none"/>
        </w:rPr>
        <w:t>。</w:t>
      </w:r>
      <w:bookmarkEnd w:id="226"/>
      <w:bookmarkEnd w:id="227"/>
      <w:bookmarkEnd w:id="228"/>
    </w:p>
    <w:p w14:paraId="4C3ECB9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575F5001">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31" w:name="OLE_LINK124"/>
      <w:bookmarkStart w:id="232" w:name="OLE_LINK123"/>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58D12B7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20978862">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5F7C5AD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233" w:name="OLE_LINK107"/>
      <w:bookmarkStart w:id="234" w:name="OLE_LINK108"/>
      <w:r>
        <w:rPr>
          <w:rFonts w:hint="eastAsia" w:ascii="仿宋_GB2312" w:hAnsi="宋体" w:eastAsia="仿宋_GB2312" w:cs="Times New Roman"/>
          <w:color w:val="auto"/>
          <w:sz w:val="28"/>
          <w:szCs w:val="28"/>
          <w:highlight w:val="none"/>
        </w:rPr>
        <w:t>县级及以上有关行政主管部门限制投标资格且在限制期限内的</w:t>
      </w:r>
      <w:bookmarkEnd w:id="233"/>
      <w:bookmarkEnd w:id="234"/>
      <w:r>
        <w:rPr>
          <w:rFonts w:hint="eastAsia" w:ascii="仿宋_GB2312" w:hAnsi="宋体" w:eastAsia="仿宋_GB2312" w:cs="Times New Roman"/>
          <w:color w:val="auto"/>
          <w:sz w:val="28"/>
          <w:szCs w:val="28"/>
          <w:highlight w:val="none"/>
        </w:rPr>
        <w:t>；</w:t>
      </w:r>
    </w:p>
    <w:p w14:paraId="30705AC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31"/>
    <w:bookmarkEnd w:id="232"/>
    <w:p w14:paraId="6C068A6B">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4E617FB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36"/>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26B8EE2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2260317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668120A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333BD6A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0CA53DD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049AE11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235" w:name="OLE_LINK102"/>
      <w:bookmarkStart w:id="236" w:name="OLE_LINK100"/>
      <w:bookmarkStart w:id="237" w:name="OLE_LINK101"/>
      <w:r>
        <w:rPr>
          <w:rFonts w:hint="eastAsia" w:ascii="仿宋_GB2312" w:hAnsi="宋体" w:eastAsia="仿宋_GB2312" w:cs="Times New Roman"/>
          <w:color w:val="auto"/>
          <w:sz w:val="28"/>
          <w:szCs w:val="28"/>
          <w:highlight w:val="none"/>
        </w:rPr>
        <w:t>被列入“经营异常名录”或者“严重违法失信名单”的</w:t>
      </w:r>
      <w:bookmarkEnd w:id="235"/>
      <w:bookmarkEnd w:id="236"/>
      <w:bookmarkEnd w:id="237"/>
      <w:r>
        <w:rPr>
          <w:rFonts w:hint="eastAsia" w:ascii="仿宋_GB2312" w:hAnsi="宋体" w:eastAsia="仿宋_GB2312" w:cs="Times New Roman"/>
          <w:color w:val="auto"/>
          <w:sz w:val="28"/>
          <w:szCs w:val="28"/>
          <w:highlight w:val="none"/>
        </w:rPr>
        <w:t>。</w:t>
      </w:r>
    </w:p>
    <w:p w14:paraId="24460C5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238" w:name="OLE_LINK95"/>
      <w:bookmarkStart w:id="239" w:name="OLE_LINK96"/>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238"/>
      <w:bookmarkEnd w:id="239"/>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3B736A91">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240" w:name="OLE_LINK105"/>
      <w:bookmarkStart w:id="241" w:name="OLE_LINK104"/>
      <w:bookmarkStart w:id="242" w:name="OLE_LINK106"/>
      <w:r>
        <w:rPr>
          <w:rFonts w:hint="eastAsia" w:ascii="仿宋_GB2312" w:hAnsi="宋体" w:eastAsia="仿宋_GB2312" w:cs="Times New Roman"/>
          <w:color w:val="auto"/>
          <w:sz w:val="28"/>
          <w:szCs w:val="28"/>
          <w:highlight w:val="none"/>
        </w:rPr>
        <w:t>被列入“政府采购严重违法失信行为信息记录”的</w:t>
      </w:r>
      <w:bookmarkEnd w:id="240"/>
      <w:bookmarkEnd w:id="241"/>
      <w:bookmarkEnd w:id="242"/>
      <w:r>
        <w:rPr>
          <w:rFonts w:hint="eastAsia" w:ascii="仿宋_GB2312" w:hAnsi="宋体" w:eastAsia="仿宋_GB2312" w:cs="楷体"/>
          <w:color w:val="auto"/>
          <w:sz w:val="28"/>
          <w:szCs w:val="28"/>
          <w:highlight w:val="none"/>
        </w:rPr>
        <w:t>。</w:t>
      </w:r>
    </w:p>
    <w:p w14:paraId="1B3270F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3FE3E10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778C1CC7">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52832B5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2D8B70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735F19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66FB3C9F">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5701F6B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0AC9843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14C5534">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3C30B17">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3C2F4A58">
      <w:pPr>
        <w:spacing w:line="360" w:lineRule="exact"/>
        <w:ind w:right="-92" w:rightChars="-44" w:firstLine="560" w:firstLineChars="200"/>
        <w:rPr>
          <w:rFonts w:ascii="宋体" w:hAnsi="宋体" w:eastAsia="宋体" w:cs="宋体"/>
          <w:bCs/>
          <w:color w:val="auto"/>
          <w:sz w:val="24"/>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r>
        <w:rPr>
          <w:rFonts w:hint="eastAsia" w:ascii="宋体" w:hAnsi="宋体" w:eastAsia="宋体" w:cs="宋体"/>
          <w:bCs/>
          <w:color w:val="auto"/>
          <w:sz w:val="24"/>
          <w:highlight w:val="none"/>
        </w:rPr>
        <w:t>。</w:t>
      </w:r>
    </w:p>
    <w:p w14:paraId="1AC49B4A">
      <w:pPr>
        <w:ind w:right="-92" w:rightChars="-44"/>
        <w:rPr>
          <w:rFonts w:ascii="宋体" w:hAnsi="宋体" w:eastAsia="宋体" w:cs="宋体"/>
          <w:bCs/>
          <w:color w:val="auto"/>
          <w:szCs w:val="21"/>
          <w:highlight w:val="none"/>
        </w:rPr>
      </w:pPr>
    </w:p>
    <w:p w14:paraId="5A75D3A9">
      <w:pPr>
        <w:ind w:right="-92" w:rightChars="-44"/>
        <w:rPr>
          <w:rFonts w:ascii="宋体" w:hAnsi="宋体" w:eastAsia="宋体" w:cs="宋体"/>
          <w:bCs/>
          <w:color w:val="auto"/>
          <w:szCs w:val="21"/>
          <w:highlight w:val="none"/>
        </w:rPr>
      </w:pPr>
    </w:p>
    <w:p w14:paraId="740B79D3">
      <w:pPr>
        <w:ind w:right="-92" w:rightChars="-44"/>
        <w:rPr>
          <w:rFonts w:ascii="宋体" w:hAnsi="宋体" w:eastAsia="宋体" w:cs="宋体"/>
          <w:bCs/>
          <w:color w:val="auto"/>
          <w:sz w:val="32"/>
          <w:szCs w:val="32"/>
          <w:highlight w:val="none"/>
        </w:rPr>
      </w:pPr>
    </w:p>
    <w:p w14:paraId="7F053A57">
      <w:pPr>
        <w:ind w:right="-92" w:rightChars="-44"/>
        <w:rPr>
          <w:rFonts w:ascii="宋体" w:hAnsi="宋体" w:eastAsia="宋体" w:cs="宋体"/>
          <w:bCs/>
          <w:color w:val="auto"/>
          <w:sz w:val="32"/>
          <w:szCs w:val="32"/>
          <w:highlight w:val="none"/>
        </w:rPr>
      </w:pPr>
    </w:p>
    <w:p w14:paraId="0793C1EC">
      <w:pPr>
        <w:ind w:right="-92" w:rightChars="-44"/>
        <w:rPr>
          <w:rFonts w:ascii="宋体" w:hAnsi="宋体" w:eastAsia="宋体" w:cs="宋体"/>
          <w:bCs/>
          <w:color w:val="auto"/>
          <w:sz w:val="32"/>
          <w:szCs w:val="32"/>
          <w:highlight w:val="none"/>
        </w:rPr>
      </w:pPr>
    </w:p>
    <w:p w14:paraId="31BA0D7A">
      <w:pPr>
        <w:ind w:right="-92" w:rightChars="-44"/>
        <w:rPr>
          <w:rFonts w:ascii="宋体" w:hAnsi="宋体" w:eastAsia="宋体" w:cs="宋体"/>
          <w:bCs/>
          <w:color w:val="auto"/>
          <w:sz w:val="32"/>
          <w:szCs w:val="32"/>
          <w:highlight w:val="none"/>
        </w:rPr>
      </w:pPr>
    </w:p>
    <w:p w14:paraId="0CDDD8A3">
      <w:pPr>
        <w:ind w:right="-92" w:rightChars="-44"/>
        <w:rPr>
          <w:rFonts w:ascii="宋体" w:hAnsi="宋体" w:eastAsia="宋体" w:cs="宋体"/>
          <w:bCs/>
          <w:color w:val="auto"/>
          <w:sz w:val="32"/>
          <w:szCs w:val="32"/>
          <w:highlight w:val="none"/>
        </w:rPr>
      </w:pPr>
    </w:p>
    <w:p w14:paraId="042CBCE7">
      <w:pPr>
        <w:ind w:right="-92" w:rightChars="-44"/>
        <w:rPr>
          <w:rFonts w:ascii="宋体" w:hAnsi="宋体" w:eastAsia="宋体" w:cs="宋体"/>
          <w:bCs/>
          <w:color w:val="auto"/>
          <w:sz w:val="32"/>
          <w:szCs w:val="32"/>
          <w:highlight w:val="none"/>
        </w:rPr>
      </w:pPr>
    </w:p>
    <w:p w14:paraId="2DFA258C">
      <w:pPr>
        <w:ind w:right="-92" w:rightChars="-44"/>
        <w:rPr>
          <w:rFonts w:ascii="宋体" w:hAnsi="宋体" w:eastAsia="宋体" w:cs="宋体"/>
          <w:bCs/>
          <w:color w:val="auto"/>
          <w:sz w:val="32"/>
          <w:szCs w:val="32"/>
          <w:highlight w:val="none"/>
        </w:rPr>
      </w:pPr>
    </w:p>
    <w:p w14:paraId="67B3FAE2">
      <w:pPr>
        <w:ind w:right="-92" w:rightChars="-44"/>
        <w:rPr>
          <w:rFonts w:ascii="宋体" w:hAnsi="宋体" w:eastAsia="宋体" w:cs="宋体"/>
          <w:bCs/>
          <w:color w:val="auto"/>
          <w:sz w:val="32"/>
          <w:szCs w:val="32"/>
          <w:highlight w:val="none"/>
        </w:rPr>
      </w:pPr>
    </w:p>
    <w:p w14:paraId="06C90293">
      <w:pPr>
        <w:ind w:right="-92" w:rightChars="-44"/>
        <w:rPr>
          <w:rFonts w:ascii="宋体" w:hAnsi="宋体" w:eastAsia="宋体" w:cs="宋体"/>
          <w:bCs/>
          <w:color w:val="auto"/>
          <w:sz w:val="32"/>
          <w:szCs w:val="32"/>
          <w:highlight w:val="none"/>
        </w:rPr>
      </w:pPr>
    </w:p>
    <w:p w14:paraId="3C3910A6">
      <w:pPr>
        <w:pStyle w:val="25"/>
        <w:rPr>
          <w:rFonts w:ascii="宋体" w:hAnsi="宋体" w:eastAsia="宋体" w:cs="宋体"/>
          <w:bCs/>
          <w:color w:val="auto"/>
          <w:sz w:val="32"/>
          <w:szCs w:val="32"/>
          <w:highlight w:val="none"/>
        </w:rPr>
      </w:pPr>
    </w:p>
    <w:p w14:paraId="2C93AE7D">
      <w:pPr>
        <w:pStyle w:val="19"/>
        <w:rPr>
          <w:rFonts w:ascii="宋体" w:hAnsi="宋体" w:eastAsia="宋体" w:cs="宋体"/>
          <w:bCs/>
          <w:color w:val="auto"/>
          <w:sz w:val="32"/>
          <w:szCs w:val="32"/>
          <w:highlight w:val="none"/>
        </w:rPr>
      </w:pPr>
    </w:p>
    <w:p w14:paraId="5FB088BD"/>
    <w:p w14:paraId="29FD14F5">
      <w:pPr>
        <w:ind w:right="-92" w:rightChars="-44"/>
        <w:rPr>
          <w:rFonts w:ascii="宋体" w:hAnsi="宋体" w:eastAsia="宋体" w:cs="宋体"/>
          <w:bCs/>
          <w:color w:val="auto"/>
          <w:sz w:val="32"/>
          <w:szCs w:val="32"/>
          <w:highlight w:val="none"/>
        </w:rPr>
      </w:pPr>
    </w:p>
    <w:p w14:paraId="16033F00">
      <w:pPr>
        <w:ind w:right="-92" w:rightChars="-44"/>
        <w:rPr>
          <w:rFonts w:ascii="宋体" w:hAnsi="宋体" w:eastAsia="宋体" w:cs="宋体"/>
          <w:bCs/>
          <w:color w:val="auto"/>
          <w:sz w:val="32"/>
          <w:szCs w:val="32"/>
          <w:highlight w:val="none"/>
        </w:rPr>
      </w:pPr>
    </w:p>
    <w:p w14:paraId="5E4373E2">
      <w:pPr>
        <w:ind w:right="-92" w:rightChars="-44"/>
        <w:rPr>
          <w:rFonts w:ascii="宋体" w:hAnsi="宋体" w:eastAsia="宋体" w:cs="宋体"/>
          <w:bCs/>
          <w:color w:val="auto"/>
          <w:sz w:val="32"/>
          <w:szCs w:val="32"/>
          <w:highlight w:val="none"/>
        </w:rPr>
      </w:pPr>
    </w:p>
    <w:p w14:paraId="76E01DEE">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243" w:name="_Toc95223549"/>
      <w:bookmarkStart w:id="244" w:name="OLE_LINK31"/>
      <w:bookmarkStart w:id="245" w:name="OLE_LINK32"/>
      <w:bookmarkStart w:id="246" w:name="OLE_LINK41"/>
      <w:r>
        <w:rPr>
          <w:rFonts w:hint="eastAsia" w:ascii="黑体" w:hAnsi="黑体" w:eastAsia="黑体" w:cs="Times New Roman"/>
          <w:b/>
          <w:bCs/>
          <w:color w:val="auto"/>
          <w:kern w:val="44"/>
          <w:sz w:val="36"/>
          <w:szCs w:val="28"/>
          <w:highlight w:val="none"/>
        </w:rPr>
        <w:t xml:space="preserve">附件2 </w:t>
      </w:r>
      <w:bookmarkStart w:id="247" w:name="OLE_LINK74"/>
      <w:bookmarkStart w:id="248" w:name="OLE_LINK75"/>
      <w:r>
        <w:rPr>
          <w:rFonts w:hint="eastAsia" w:ascii="黑体" w:hAnsi="黑体" w:eastAsia="黑体" w:cs="Times New Roman"/>
          <w:b/>
          <w:bCs/>
          <w:color w:val="auto"/>
          <w:kern w:val="44"/>
          <w:sz w:val="36"/>
          <w:szCs w:val="28"/>
          <w:highlight w:val="none"/>
        </w:rPr>
        <w:t>“信用中国”查询的严重失信行为</w:t>
      </w:r>
      <w:bookmarkStart w:id="249" w:name="OLE_LINK76"/>
      <w:bookmarkStart w:id="250" w:name="OLE_LINK39"/>
      <w:bookmarkStart w:id="251" w:name="OLE_LINK38"/>
      <w:bookmarkStart w:id="252" w:name="OLE_LINK40"/>
      <w:r>
        <w:rPr>
          <w:rFonts w:hint="eastAsia" w:ascii="黑体" w:hAnsi="黑体" w:eastAsia="黑体" w:cs="Times New Roman"/>
          <w:b/>
          <w:bCs/>
          <w:color w:val="auto"/>
          <w:kern w:val="44"/>
          <w:sz w:val="36"/>
          <w:szCs w:val="28"/>
          <w:highlight w:val="none"/>
        </w:rPr>
        <w:t>类别及判定依据</w:t>
      </w:r>
      <w:bookmarkEnd w:id="243"/>
      <w:bookmarkEnd w:id="247"/>
      <w:bookmarkEnd w:id="248"/>
      <w:bookmarkEnd w:id="249"/>
      <w:bookmarkEnd w:id="250"/>
      <w:bookmarkEnd w:id="251"/>
      <w:bookmarkEnd w:id="252"/>
    </w:p>
    <w:bookmarkEnd w:id="244"/>
    <w:bookmarkEnd w:id="245"/>
    <w:bookmarkEnd w:id="246"/>
    <w:p w14:paraId="1F18B88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1CB9251C">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7CB6EB7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140B6C0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2E1B04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0A31705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72F4481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5CF9B96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7E4A148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57D34FB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43391F1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04786F5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7AFBBFD6">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51FCDF5E">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36131214">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2D4C1916">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"https://baike.sogou.com/m/fullLemma?lid=10403954&amp;g_ut=3"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5E57FB4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"https://baike.sogou.com/m/fullLemma?lid=76033123&amp;g_ut=3"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4979E5A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"https://baike.sogou.com/m/fullLemma?lid=6470550&amp;g_ut=3"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3904171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4D8232C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60872E0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"https://baike.sogou.com/m/fullLemma?lid=41657319&amp;g_ut=3"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"https://baike.sogou.com/m/fullLemma?lid=7758328&amp;g_ut=3"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2A7237B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"https://baike.sogou.com/m/fullLemma?lid=5923292&amp;g_ut=3"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376312D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"https://baike.sogou.com/m/fullLemma?lid=167759803&amp;g_ut=3"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6854DE6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"https://baike.sogou.com/m/fullLemma?lid=155199213&amp;g_ut=3"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"https://baike.sogou.com/m/fullLemma?lid=7757164&amp;g_ut=3"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79D025E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3611BAF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7419791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04D720F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638AFD3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01155B63">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53" w:name="OLE_LINK10"/>
      <w:bookmarkStart w:id="254" w:name="OLE_LINK9"/>
      <w:bookmarkStart w:id="255" w:name="OLE_LINK8"/>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253"/>
      <w:bookmarkEnd w:id="254"/>
      <w:bookmarkEnd w:id="255"/>
      <w:r>
        <w:rPr>
          <w:rFonts w:hint="eastAsia" w:ascii="仿宋_GB2312" w:hAnsi="宋体" w:eastAsia="仿宋_GB2312" w:cs="Times New Roman"/>
          <w:b/>
          <w:color w:val="auto"/>
          <w:sz w:val="28"/>
          <w:szCs w:val="28"/>
          <w:highlight w:val="none"/>
        </w:rPr>
        <w:t>》、《</w:t>
      </w:r>
      <w:bookmarkStart w:id="256" w:name="OLE_LINK11"/>
      <w:bookmarkStart w:id="257" w:name="OLE_LINK12"/>
      <w:r>
        <w:rPr>
          <w:rFonts w:hint="eastAsia" w:ascii="仿宋_GB2312" w:hAnsi="宋体" w:eastAsia="仿宋_GB2312" w:cs="Times New Roman"/>
          <w:b/>
          <w:color w:val="auto"/>
          <w:sz w:val="28"/>
          <w:szCs w:val="28"/>
          <w:highlight w:val="none"/>
        </w:rPr>
        <w:t>企业环境信用评价办法（试行）</w:t>
      </w:r>
      <w:bookmarkEnd w:id="256"/>
      <w:bookmarkEnd w:id="257"/>
      <w:r>
        <w:rPr>
          <w:rFonts w:hint="eastAsia" w:ascii="仿宋_GB2312" w:hAnsi="宋体" w:eastAsia="仿宋_GB2312" w:cs="Times New Roman"/>
          <w:b/>
          <w:color w:val="auto"/>
          <w:sz w:val="28"/>
          <w:szCs w:val="28"/>
          <w:highlight w:val="none"/>
        </w:rPr>
        <w:t>》（环发〔2013〕150号）</w:t>
      </w:r>
    </w:p>
    <w:p w14:paraId="11EA56E1">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7E30F382">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2D20576C">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6BEF65E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7C27099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4983449C">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39E0280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042EB6D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31C05762">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18D96CC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556ED85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4FD7FA4D">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0CD2250D">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2CFAAA72">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AB69C1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76CD45E6">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20463BFD">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25D6725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5EF2A8ED">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7F159F6E">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5B7B232B">
      <w:pPr>
        <w:adjustRightInd w:val="0"/>
        <w:snapToGrid w:val="0"/>
        <w:spacing w:line="560" w:lineRule="exact"/>
        <w:ind w:firstLine="894" w:firstLineChars="318"/>
        <w:jc w:val="left"/>
        <w:rPr>
          <w:rFonts w:ascii="仿宋_GB2312" w:hAnsi="宋体" w:eastAsia="仿宋_GB2312" w:cs="Times New Roman"/>
          <w:color w:val="auto"/>
          <w:sz w:val="28"/>
          <w:szCs w:val="28"/>
          <w:highlight w:val="none"/>
        </w:rPr>
      </w:pPr>
      <w:r>
        <w:rPr>
          <w:rFonts w:hint="eastAsia" w:ascii="仿宋_GB2312" w:hAnsi="宋体" w:eastAsia="仿宋_GB2312" w:cs="Times New Roman"/>
          <w:b/>
          <w:color w:val="auto"/>
          <w:sz w:val="28"/>
          <w:szCs w:val="28"/>
          <w:highlight w:val="none"/>
        </w:rPr>
        <w:t>依据：《</w:t>
      </w:r>
      <w:bookmarkStart w:id="258" w:name="OLE_LINK14"/>
      <w:bookmarkStart w:id="259" w:name="OLE_LINK13"/>
      <w:r>
        <w:rPr>
          <w:rFonts w:hint="eastAsia" w:ascii="仿宋_GB2312" w:hAnsi="宋体" w:eastAsia="仿宋_GB2312" w:cs="Times New Roman"/>
          <w:b/>
          <w:color w:val="auto"/>
          <w:sz w:val="28"/>
          <w:szCs w:val="28"/>
          <w:highlight w:val="none"/>
        </w:rPr>
        <w:t>关于对公共资源交易领域严重失信主体开展联合惩戒的备忘录</w:t>
      </w:r>
      <w:bookmarkEnd w:id="258"/>
      <w:bookmarkEnd w:id="259"/>
      <w:r>
        <w:rPr>
          <w:rFonts w:hint="eastAsia" w:ascii="仿宋_GB2312" w:hAnsi="宋体" w:eastAsia="仿宋_GB2312" w:cs="Times New Roman"/>
          <w:b/>
          <w:color w:val="auto"/>
          <w:sz w:val="28"/>
          <w:szCs w:val="28"/>
          <w:highlight w:val="none"/>
        </w:rPr>
        <w:t>》（发改法规〔2018〕457号）</w:t>
      </w:r>
    </w:p>
    <w:p w14:paraId="71228C2A">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07768326">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36C03AA6">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1972751B">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02222F7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795B5505">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1AC71837">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4E875CC4">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4E473810">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77884635">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11410811">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60" w:name="OLE_LINK16"/>
      <w:bookmarkStart w:id="261" w:name="OLE_LINK15"/>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260"/>
      <w:bookmarkEnd w:id="261"/>
      <w:r>
        <w:rPr>
          <w:rFonts w:hint="eastAsia" w:ascii="仿宋_GB2312" w:hAnsi="Calibri" w:eastAsia="仿宋_GB2312" w:cs="Times New Roman"/>
          <w:b/>
          <w:color w:val="auto"/>
          <w:sz w:val="28"/>
          <w:szCs w:val="28"/>
          <w:highlight w:val="none"/>
        </w:rPr>
        <w:t>》（发改财金〔2018〕1704号）</w:t>
      </w:r>
    </w:p>
    <w:p w14:paraId="750B94B7">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1EF4184E">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62AC7E8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100CE0CE">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0B8CA5D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3465151C">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5060719D">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144416BC">
      <w:pPr>
        <w:ind w:firstLine="562" w:firstLineChars="200"/>
        <w:jc w:val="left"/>
        <w:rPr>
          <w:rFonts w:ascii="仿宋_GB2312" w:hAnsi="宋体"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w:t>
      </w:r>
      <w:bookmarkStart w:id="262" w:name="OLE_LINK17"/>
      <w:bookmarkStart w:id="263" w:name="OLE_LINK18"/>
      <w:r>
        <w:rPr>
          <w:rFonts w:hint="eastAsia" w:ascii="仿宋_GB2312" w:hAnsi="Calibri" w:eastAsia="仿宋_GB2312" w:cs="Times New Roman"/>
          <w:b/>
          <w:color w:val="auto"/>
          <w:sz w:val="28"/>
          <w:szCs w:val="28"/>
          <w:highlight w:val="none"/>
        </w:rPr>
        <w:t>建筑市场信用管理暂行办法</w:t>
      </w:r>
      <w:bookmarkEnd w:id="262"/>
      <w:bookmarkEnd w:id="263"/>
      <w:r>
        <w:rPr>
          <w:rFonts w:hint="eastAsia" w:ascii="仿宋_GB2312" w:hAnsi="Calibri" w:eastAsia="仿宋_GB2312" w:cs="Times New Roman"/>
          <w:b/>
          <w:color w:val="auto"/>
          <w:sz w:val="28"/>
          <w:szCs w:val="28"/>
          <w:highlight w:val="none"/>
        </w:rPr>
        <w:t>》（建市〔2017〕241号）</w:t>
      </w:r>
    </w:p>
    <w:p w14:paraId="63B3AC38">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264" w:name="OLE_LINK19"/>
      <w:bookmarkStart w:id="265" w:name="OLE_LINK20"/>
      <w:r>
        <w:rPr>
          <w:rFonts w:hint="eastAsia" w:ascii="仿宋_GB2312" w:hAnsi="宋体" w:eastAsia="仿宋_GB2312" w:cs="Times New Roman"/>
          <w:b/>
          <w:color w:val="auto"/>
          <w:sz w:val="28"/>
          <w:szCs w:val="28"/>
          <w:highlight w:val="none"/>
        </w:rPr>
        <w:t>政府采购严重失信行为</w:t>
      </w:r>
      <w:bookmarkEnd w:id="264"/>
      <w:bookmarkEnd w:id="265"/>
    </w:p>
    <w:p w14:paraId="19396CF5">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2D28E777">
      <w:pPr>
        <w:spacing w:line="440" w:lineRule="exact"/>
        <w:ind w:right="-92" w:rightChars="-44" w:firstLine="615"/>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依据：《关于报送政府采购严重违法失信行为信息记录的通知》（财办库〔2014〕526号）</w:t>
      </w:r>
    </w:p>
    <w:p w14:paraId="79B7C507">
      <w:pPr>
        <w:pStyle w:val="25"/>
        <w:rPr>
          <w:rFonts w:hint="eastAsia"/>
        </w:rPr>
      </w:pPr>
    </w:p>
    <w:p w14:paraId="724B81BB">
      <w:pPr>
        <w:spacing w:line="440" w:lineRule="exact"/>
        <w:ind w:right="-92"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4D2A755C">
      <w:pPr>
        <w:pStyle w:val="11"/>
        <w:rPr>
          <w:highlight w:val="none"/>
        </w:rPr>
      </w:pPr>
    </w:p>
    <w:sectPr>
      <w:headerReference r:id="rId5" w:type="default"/>
      <w:footerReference r:id="rId6" w:type="default"/>
      <w:pgSz w:w="11906" w:h="16838"/>
      <w:pgMar w:top="1440" w:right="1066" w:bottom="1440" w:left="13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Courier New"/>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54FF6">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4CC51BBC">
            <w:pPr>
              <w:pStyle w:val="16"/>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31</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35</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33</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BB7BA">
    <w:pPr>
      <w:pStyle w:val="17"/>
      <w:jc w:val="left"/>
    </w:pPr>
    <w:r>
      <w:rPr>
        <w:rFonts w:hint="eastAsia" w:asciiTheme="minorEastAsia" w:hAnsiTheme="minorEastAsia" w:eastAsiaTheme="minorEastAsia"/>
        <w:lang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单一来源采购文件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D941D">
    <w:pPr>
      <w:pStyle w:val="17"/>
      <w:jc w:val="left"/>
    </w:pP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单一来源采购文件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8F887"/>
    <w:multiLevelType w:val="singleLevel"/>
    <w:tmpl w:val="CD28F887"/>
    <w:lvl w:ilvl="0" w:tentative="0">
      <w:start w:val="2"/>
      <w:numFmt w:val="chineseCounting"/>
      <w:suff w:val="nothing"/>
      <w:lvlText w:val="%1、"/>
      <w:lvlJc w:val="left"/>
      <w:pPr>
        <w:ind w:left="195"/>
      </w:pPr>
      <w:rPr>
        <w:rFonts w:hint="eastAsia"/>
      </w:rPr>
    </w:lvl>
  </w:abstractNum>
  <w:abstractNum w:abstractNumId="1">
    <w:nsid w:val="0000000C"/>
    <w:multiLevelType w:val="multilevel"/>
    <w:tmpl w:val="0000000C"/>
    <w:lvl w:ilvl="0" w:tentative="0">
      <w:start w:val="1"/>
      <w:numFmt w:val="chineseCountingThousand"/>
      <w:pStyle w:val="23"/>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276BA1"/>
    <w:rsid w:val="0000043F"/>
    <w:rsid w:val="00001232"/>
    <w:rsid w:val="000049DA"/>
    <w:rsid w:val="000056B7"/>
    <w:rsid w:val="00012A13"/>
    <w:rsid w:val="000131F7"/>
    <w:rsid w:val="00016B6C"/>
    <w:rsid w:val="00020B57"/>
    <w:rsid w:val="000312F9"/>
    <w:rsid w:val="00033C40"/>
    <w:rsid w:val="00037DBE"/>
    <w:rsid w:val="00042139"/>
    <w:rsid w:val="00042B14"/>
    <w:rsid w:val="00044C81"/>
    <w:rsid w:val="00044F49"/>
    <w:rsid w:val="000450C3"/>
    <w:rsid w:val="00050A3F"/>
    <w:rsid w:val="000530EC"/>
    <w:rsid w:val="000544DE"/>
    <w:rsid w:val="000549CC"/>
    <w:rsid w:val="000648D2"/>
    <w:rsid w:val="00070E0E"/>
    <w:rsid w:val="00076DB7"/>
    <w:rsid w:val="0007742D"/>
    <w:rsid w:val="00080FEB"/>
    <w:rsid w:val="00094D41"/>
    <w:rsid w:val="00097CB9"/>
    <w:rsid w:val="000A6345"/>
    <w:rsid w:val="000A6693"/>
    <w:rsid w:val="000A6B73"/>
    <w:rsid w:val="000A7D94"/>
    <w:rsid w:val="000B1511"/>
    <w:rsid w:val="000B54F4"/>
    <w:rsid w:val="000C1631"/>
    <w:rsid w:val="000C1DB1"/>
    <w:rsid w:val="000D3F37"/>
    <w:rsid w:val="000D7FBD"/>
    <w:rsid w:val="000E3C74"/>
    <w:rsid w:val="000E3F9B"/>
    <w:rsid w:val="000E6689"/>
    <w:rsid w:val="000F172B"/>
    <w:rsid w:val="000F2198"/>
    <w:rsid w:val="000F39B6"/>
    <w:rsid w:val="000F6B7B"/>
    <w:rsid w:val="00100B0F"/>
    <w:rsid w:val="0010187C"/>
    <w:rsid w:val="001037E3"/>
    <w:rsid w:val="00116A70"/>
    <w:rsid w:val="001177D3"/>
    <w:rsid w:val="0012143A"/>
    <w:rsid w:val="001222C6"/>
    <w:rsid w:val="00136D80"/>
    <w:rsid w:val="00137C7C"/>
    <w:rsid w:val="00140687"/>
    <w:rsid w:val="00143652"/>
    <w:rsid w:val="00146421"/>
    <w:rsid w:val="001479CF"/>
    <w:rsid w:val="00155615"/>
    <w:rsid w:val="00155F64"/>
    <w:rsid w:val="00157856"/>
    <w:rsid w:val="00160729"/>
    <w:rsid w:val="00166ED8"/>
    <w:rsid w:val="001714C9"/>
    <w:rsid w:val="0018119B"/>
    <w:rsid w:val="001844AB"/>
    <w:rsid w:val="001944B8"/>
    <w:rsid w:val="00196DA3"/>
    <w:rsid w:val="00197AC4"/>
    <w:rsid w:val="001A5D34"/>
    <w:rsid w:val="001A68E5"/>
    <w:rsid w:val="001B2A54"/>
    <w:rsid w:val="001B5014"/>
    <w:rsid w:val="001B7327"/>
    <w:rsid w:val="001C67F2"/>
    <w:rsid w:val="001D53B4"/>
    <w:rsid w:val="001E23F0"/>
    <w:rsid w:val="001F28D2"/>
    <w:rsid w:val="001F2F45"/>
    <w:rsid w:val="001F3023"/>
    <w:rsid w:val="001F31B0"/>
    <w:rsid w:val="001F35F6"/>
    <w:rsid w:val="001F74CA"/>
    <w:rsid w:val="002003B6"/>
    <w:rsid w:val="002049B4"/>
    <w:rsid w:val="0020520B"/>
    <w:rsid w:val="002058AF"/>
    <w:rsid w:val="00213C55"/>
    <w:rsid w:val="002178B1"/>
    <w:rsid w:val="00223CF4"/>
    <w:rsid w:val="00224C4A"/>
    <w:rsid w:val="0023407E"/>
    <w:rsid w:val="00240B40"/>
    <w:rsid w:val="002440D8"/>
    <w:rsid w:val="00244182"/>
    <w:rsid w:val="00260B94"/>
    <w:rsid w:val="00264F2E"/>
    <w:rsid w:val="002703E8"/>
    <w:rsid w:val="00271245"/>
    <w:rsid w:val="00274A9E"/>
    <w:rsid w:val="00276292"/>
    <w:rsid w:val="00276BA1"/>
    <w:rsid w:val="00277094"/>
    <w:rsid w:val="00290CD1"/>
    <w:rsid w:val="00293C71"/>
    <w:rsid w:val="002A1A1D"/>
    <w:rsid w:val="002A28AD"/>
    <w:rsid w:val="002A3AEE"/>
    <w:rsid w:val="002A7FC1"/>
    <w:rsid w:val="002B5318"/>
    <w:rsid w:val="002B6D27"/>
    <w:rsid w:val="002D2965"/>
    <w:rsid w:val="002D3D02"/>
    <w:rsid w:val="002D4CB5"/>
    <w:rsid w:val="002D684B"/>
    <w:rsid w:val="002E0ACA"/>
    <w:rsid w:val="002E3B26"/>
    <w:rsid w:val="002E4AB8"/>
    <w:rsid w:val="002E4BAD"/>
    <w:rsid w:val="0030337B"/>
    <w:rsid w:val="00310070"/>
    <w:rsid w:val="003110EC"/>
    <w:rsid w:val="00327C92"/>
    <w:rsid w:val="00333292"/>
    <w:rsid w:val="003344E7"/>
    <w:rsid w:val="0033580B"/>
    <w:rsid w:val="003365E7"/>
    <w:rsid w:val="003378D5"/>
    <w:rsid w:val="0034000C"/>
    <w:rsid w:val="003473D7"/>
    <w:rsid w:val="00351AC8"/>
    <w:rsid w:val="003528B7"/>
    <w:rsid w:val="00353075"/>
    <w:rsid w:val="00356223"/>
    <w:rsid w:val="00363E02"/>
    <w:rsid w:val="00372B3E"/>
    <w:rsid w:val="00373A96"/>
    <w:rsid w:val="003826C2"/>
    <w:rsid w:val="00383728"/>
    <w:rsid w:val="00391586"/>
    <w:rsid w:val="00394128"/>
    <w:rsid w:val="003947A4"/>
    <w:rsid w:val="00395235"/>
    <w:rsid w:val="0039561A"/>
    <w:rsid w:val="00397C7D"/>
    <w:rsid w:val="003A004F"/>
    <w:rsid w:val="003B4130"/>
    <w:rsid w:val="003B67D3"/>
    <w:rsid w:val="003B6B17"/>
    <w:rsid w:val="003B715B"/>
    <w:rsid w:val="003D0263"/>
    <w:rsid w:val="003D1D14"/>
    <w:rsid w:val="003D6C7C"/>
    <w:rsid w:val="003D6EFB"/>
    <w:rsid w:val="003D7E52"/>
    <w:rsid w:val="003E25C6"/>
    <w:rsid w:val="003E5F2D"/>
    <w:rsid w:val="003F145B"/>
    <w:rsid w:val="004011AA"/>
    <w:rsid w:val="0040202C"/>
    <w:rsid w:val="00406508"/>
    <w:rsid w:val="0041456E"/>
    <w:rsid w:val="00414F7E"/>
    <w:rsid w:val="004164F8"/>
    <w:rsid w:val="00420B7F"/>
    <w:rsid w:val="00431435"/>
    <w:rsid w:val="004427B7"/>
    <w:rsid w:val="0044349F"/>
    <w:rsid w:val="00445F1F"/>
    <w:rsid w:val="00451F60"/>
    <w:rsid w:val="00452BB2"/>
    <w:rsid w:val="0045656D"/>
    <w:rsid w:val="00462D98"/>
    <w:rsid w:val="00465136"/>
    <w:rsid w:val="00472A44"/>
    <w:rsid w:val="00473A89"/>
    <w:rsid w:val="00475899"/>
    <w:rsid w:val="00482C78"/>
    <w:rsid w:val="004874AE"/>
    <w:rsid w:val="00494D24"/>
    <w:rsid w:val="004951D1"/>
    <w:rsid w:val="004A27D0"/>
    <w:rsid w:val="004A43F9"/>
    <w:rsid w:val="004A4D67"/>
    <w:rsid w:val="004D12B4"/>
    <w:rsid w:val="004D3D4B"/>
    <w:rsid w:val="004D5498"/>
    <w:rsid w:val="004D66A5"/>
    <w:rsid w:val="004D6B00"/>
    <w:rsid w:val="004E1D50"/>
    <w:rsid w:val="004E1DF5"/>
    <w:rsid w:val="004E3991"/>
    <w:rsid w:val="004F0396"/>
    <w:rsid w:val="00501382"/>
    <w:rsid w:val="00510798"/>
    <w:rsid w:val="00524A11"/>
    <w:rsid w:val="00527768"/>
    <w:rsid w:val="005327FB"/>
    <w:rsid w:val="00533FCA"/>
    <w:rsid w:val="00537C28"/>
    <w:rsid w:val="00546D49"/>
    <w:rsid w:val="005616B5"/>
    <w:rsid w:val="005904E5"/>
    <w:rsid w:val="00597B15"/>
    <w:rsid w:val="005A044C"/>
    <w:rsid w:val="005B5C95"/>
    <w:rsid w:val="005D0200"/>
    <w:rsid w:val="005D44EF"/>
    <w:rsid w:val="005D4814"/>
    <w:rsid w:val="005D5112"/>
    <w:rsid w:val="005E5AD8"/>
    <w:rsid w:val="005F3914"/>
    <w:rsid w:val="005F3B5A"/>
    <w:rsid w:val="005F5A1E"/>
    <w:rsid w:val="005F6AB4"/>
    <w:rsid w:val="00607D20"/>
    <w:rsid w:val="00610A66"/>
    <w:rsid w:val="00611533"/>
    <w:rsid w:val="00613177"/>
    <w:rsid w:val="00613F7C"/>
    <w:rsid w:val="00614BF2"/>
    <w:rsid w:val="00617573"/>
    <w:rsid w:val="00623DE2"/>
    <w:rsid w:val="00627601"/>
    <w:rsid w:val="006300D0"/>
    <w:rsid w:val="00632012"/>
    <w:rsid w:val="00634694"/>
    <w:rsid w:val="00636517"/>
    <w:rsid w:val="00637690"/>
    <w:rsid w:val="00640E1E"/>
    <w:rsid w:val="0064389A"/>
    <w:rsid w:val="00645442"/>
    <w:rsid w:val="006525CD"/>
    <w:rsid w:val="00653F7F"/>
    <w:rsid w:val="00662EE8"/>
    <w:rsid w:val="00663813"/>
    <w:rsid w:val="00663C3B"/>
    <w:rsid w:val="00664AFD"/>
    <w:rsid w:val="00667567"/>
    <w:rsid w:val="0067391A"/>
    <w:rsid w:val="00674173"/>
    <w:rsid w:val="0067535A"/>
    <w:rsid w:val="00683CA0"/>
    <w:rsid w:val="00690DB1"/>
    <w:rsid w:val="0069287B"/>
    <w:rsid w:val="00693404"/>
    <w:rsid w:val="006953D9"/>
    <w:rsid w:val="006B1242"/>
    <w:rsid w:val="006B1DBC"/>
    <w:rsid w:val="006B5263"/>
    <w:rsid w:val="006B63B7"/>
    <w:rsid w:val="006B7D9A"/>
    <w:rsid w:val="006C06D9"/>
    <w:rsid w:val="006C5716"/>
    <w:rsid w:val="006C74A9"/>
    <w:rsid w:val="006D07DE"/>
    <w:rsid w:val="006E06D9"/>
    <w:rsid w:val="006E1D40"/>
    <w:rsid w:val="006E2E1F"/>
    <w:rsid w:val="006E4F5D"/>
    <w:rsid w:val="006F5FFF"/>
    <w:rsid w:val="006F6E33"/>
    <w:rsid w:val="006F7AF3"/>
    <w:rsid w:val="00707B8C"/>
    <w:rsid w:val="00710804"/>
    <w:rsid w:val="00711FC6"/>
    <w:rsid w:val="007130B1"/>
    <w:rsid w:val="00715071"/>
    <w:rsid w:val="007158F8"/>
    <w:rsid w:val="00721D6E"/>
    <w:rsid w:val="007231E9"/>
    <w:rsid w:val="0072558E"/>
    <w:rsid w:val="00727C59"/>
    <w:rsid w:val="00734E5D"/>
    <w:rsid w:val="00736013"/>
    <w:rsid w:val="00737661"/>
    <w:rsid w:val="00755D75"/>
    <w:rsid w:val="00756245"/>
    <w:rsid w:val="00761662"/>
    <w:rsid w:val="00764043"/>
    <w:rsid w:val="007757CF"/>
    <w:rsid w:val="007805D8"/>
    <w:rsid w:val="0078128F"/>
    <w:rsid w:val="0078683C"/>
    <w:rsid w:val="00790EDB"/>
    <w:rsid w:val="00791538"/>
    <w:rsid w:val="0079326E"/>
    <w:rsid w:val="00796EDE"/>
    <w:rsid w:val="007A017E"/>
    <w:rsid w:val="007A5A58"/>
    <w:rsid w:val="007A6740"/>
    <w:rsid w:val="007B1C56"/>
    <w:rsid w:val="007B28BD"/>
    <w:rsid w:val="007B4996"/>
    <w:rsid w:val="007C3CD5"/>
    <w:rsid w:val="007C61EF"/>
    <w:rsid w:val="007D1C0D"/>
    <w:rsid w:val="007D2D23"/>
    <w:rsid w:val="007E27D6"/>
    <w:rsid w:val="007E3921"/>
    <w:rsid w:val="00801028"/>
    <w:rsid w:val="00803793"/>
    <w:rsid w:val="008149FD"/>
    <w:rsid w:val="00817A01"/>
    <w:rsid w:val="00825CD7"/>
    <w:rsid w:val="00825E35"/>
    <w:rsid w:val="008334F8"/>
    <w:rsid w:val="008341AA"/>
    <w:rsid w:val="00841414"/>
    <w:rsid w:val="0084346B"/>
    <w:rsid w:val="00852340"/>
    <w:rsid w:val="00876659"/>
    <w:rsid w:val="0087734C"/>
    <w:rsid w:val="00882141"/>
    <w:rsid w:val="00884341"/>
    <w:rsid w:val="008922A8"/>
    <w:rsid w:val="00895BD5"/>
    <w:rsid w:val="008A16C4"/>
    <w:rsid w:val="008A6FED"/>
    <w:rsid w:val="008A7A94"/>
    <w:rsid w:val="008B0D13"/>
    <w:rsid w:val="008B39C5"/>
    <w:rsid w:val="008B51AA"/>
    <w:rsid w:val="008B79B1"/>
    <w:rsid w:val="008C67F2"/>
    <w:rsid w:val="008C7F65"/>
    <w:rsid w:val="008D064A"/>
    <w:rsid w:val="008D2B0F"/>
    <w:rsid w:val="008E449E"/>
    <w:rsid w:val="008E4527"/>
    <w:rsid w:val="008E5E29"/>
    <w:rsid w:val="008E7342"/>
    <w:rsid w:val="008E7705"/>
    <w:rsid w:val="008F187F"/>
    <w:rsid w:val="008F402F"/>
    <w:rsid w:val="008F596E"/>
    <w:rsid w:val="008F76E8"/>
    <w:rsid w:val="008F7CD0"/>
    <w:rsid w:val="009078A1"/>
    <w:rsid w:val="00911E9C"/>
    <w:rsid w:val="00917405"/>
    <w:rsid w:val="00920F7C"/>
    <w:rsid w:val="00931502"/>
    <w:rsid w:val="00933379"/>
    <w:rsid w:val="00934CAE"/>
    <w:rsid w:val="009409CA"/>
    <w:rsid w:val="0094257D"/>
    <w:rsid w:val="0095467C"/>
    <w:rsid w:val="00954A61"/>
    <w:rsid w:val="00955C6F"/>
    <w:rsid w:val="00966C7B"/>
    <w:rsid w:val="009701DC"/>
    <w:rsid w:val="009708D2"/>
    <w:rsid w:val="009715D8"/>
    <w:rsid w:val="00985C4B"/>
    <w:rsid w:val="00987D4C"/>
    <w:rsid w:val="00995BF9"/>
    <w:rsid w:val="009A097A"/>
    <w:rsid w:val="009A0CAF"/>
    <w:rsid w:val="009A1474"/>
    <w:rsid w:val="009A2207"/>
    <w:rsid w:val="009A5959"/>
    <w:rsid w:val="009B6C42"/>
    <w:rsid w:val="009B7D70"/>
    <w:rsid w:val="009C2206"/>
    <w:rsid w:val="009D217A"/>
    <w:rsid w:val="009D31F7"/>
    <w:rsid w:val="009D32C2"/>
    <w:rsid w:val="009D50DB"/>
    <w:rsid w:val="009E3A0A"/>
    <w:rsid w:val="009F3E91"/>
    <w:rsid w:val="00A142E5"/>
    <w:rsid w:val="00A1499B"/>
    <w:rsid w:val="00A227B2"/>
    <w:rsid w:val="00A22D37"/>
    <w:rsid w:val="00A314C2"/>
    <w:rsid w:val="00A31CB3"/>
    <w:rsid w:val="00A51C93"/>
    <w:rsid w:val="00A62559"/>
    <w:rsid w:val="00A63E86"/>
    <w:rsid w:val="00A65A1C"/>
    <w:rsid w:val="00A757C3"/>
    <w:rsid w:val="00A75E5B"/>
    <w:rsid w:val="00A7684A"/>
    <w:rsid w:val="00A7771B"/>
    <w:rsid w:val="00A83A9B"/>
    <w:rsid w:val="00A83B69"/>
    <w:rsid w:val="00A86533"/>
    <w:rsid w:val="00A91CA2"/>
    <w:rsid w:val="00A92FB8"/>
    <w:rsid w:val="00A93D44"/>
    <w:rsid w:val="00A948F1"/>
    <w:rsid w:val="00AA1D7D"/>
    <w:rsid w:val="00AB139D"/>
    <w:rsid w:val="00AB3EFB"/>
    <w:rsid w:val="00AC0B05"/>
    <w:rsid w:val="00AC0B97"/>
    <w:rsid w:val="00AD079A"/>
    <w:rsid w:val="00AD1890"/>
    <w:rsid w:val="00AE2149"/>
    <w:rsid w:val="00AE33AE"/>
    <w:rsid w:val="00AE3785"/>
    <w:rsid w:val="00AE3F91"/>
    <w:rsid w:val="00AE452F"/>
    <w:rsid w:val="00AE4F90"/>
    <w:rsid w:val="00AE76E6"/>
    <w:rsid w:val="00AF418A"/>
    <w:rsid w:val="00B039E3"/>
    <w:rsid w:val="00B0711B"/>
    <w:rsid w:val="00B104DD"/>
    <w:rsid w:val="00B22838"/>
    <w:rsid w:val="00B33E95"/>
    <w:rsid w:val="00B3720B"/>
    <w:rsid w:val="00B5558A"/>
    <w:rsid w:val="00B56513"/>
    <w:rsid w:val="00B56B2E"/>
    <w:rsid w:val="00B64376"/>
    <w:rsid w:val="00B7401F"/>
    <w:rsid w:val="00B806C3"/>
    <w:rsid w:val="00B84FCA"/>
    <w:rsid w:val="00B9089F"/>
    <w:rsid w:val="00B91AEE"/>
    <w:rsid w:val="00B95F5A"/>
    <w:rsid w:val="00B96EAD"/>
    <w:rsid w:val="00BA79F5"/>
    <w:rsid w:val="00BB3AB6"/>
    <w:rsid w:val="00BB766D"/>
    <w:rsid w:val="00BC007B"/>
    <w:rsid w:val="00BC239B"/>
    <w:rsid w:val="00BC26BA"/>
    <w:rsid w:val="00BC35F8"/>
    <w:rsid w:val="00BC623B"/>
    <w:rsid w:val="00BE18C5"/>
    <w:rsid w:val="00BF16B9"/>
    <w:rsid w:val="00BF376F"/>
    <w:rsid w:val="00BF46A6"/>
    <w:rsid w:val="00BF58A9"/>
    <w:rsid w:val="00C06545"/>
    <w:rsid w:val="00C1161C"/>
    <w:rsid w:val="00C1244B"/>
    <w:rsid w:val="00C220FC"/>
    <w:rsid w:val="00C24DFA"/>
    <w:rsid w:val="00C46A36"/>
    <w:rsid w:val="00C46D88"/>
    <w:rsid w:val="00C47037"/>
    <w:rsid w:val="00C53625"/>
    <w:rsid w:val="00C602C1"/>
    <w:rsid w:val="00C63FC0"/>
    <w:rsid w:val="00C66392"/>
    <w:rsid w:val="00C74C5E"/>
    <w:rsid w:val="00C77C8D"/>
    <w:rsid w:val="00C827A2"/>
    <w:rsid w:val="00C82B69"/>
    <w:rsid w:val="00C90167"/>
    <w:rsid w:val="00C91B28"/>
    <w:rsid w:val="00C91F3A"/>
    <w:rsid w:val="00CB439E"/>
    <w:rsid w:val="00CB4A8E"/>
    <w:rsid w:val="00CB5797"/>
    <w:rsid w:val="00CB5B5E"/>
    <w:rsid w:val="00CC1202"/>
    <w:rsid w:val="00CC644B"/>
    <w:rsid w:val="00CD09E1"/>
    <w:rsid w:val="00CD6202"/>
    <w:rsid w:val="00CE4913"/>
    <w:rsid w:val="00CE4AC0"/>
    <w:rsid w:val="00CE66BD"/>
    <w:rsid w:val="00CF0671"/>
    <w:rsid w:val="00CF44AD"/>
    <w:rsid w:val="00CF4FC0"/>
    <w:rsid w:val="00D030F2"/>
    <w:rsid w:val="00D1072F"/>
    <w:rsid w:val="00D108A5"/>
    <w:rsid w:val="00D14585"/>
    <w:rsid w:val="00D20EFF"/>
    <w:rsid w:val="00D25ABC"/>
    <w:rsid w:val="00D34F0D"/>
    <w:rsid w:val="00D34F7B"/>
    <w:rsid w:val="00D3516E"/>
    <w:rsid w:val="00D4064C"/>
    <w:rsid w:val="00D41225"/>
    <w:rsid w:val="00D476E0"/>
    <w:rsid w:val="00D53ED8"/>
    <w:rsid w:val="00D64857"/>
    <w:rsid w:val="00D6493A"/>
    <w:rsid w:val="00D67875"/>
    <w:rsid w:val="00D71E86"/>
    <w:rsid w:val="00D731C6"/>
    <w:rsid w:val="00D745C5"/>
    <w:rsid w:val="00D75327"/>
    <w:rsid w:val="00D80C36"/>
    <w:rsid w:val="00D86779"/>
    <w:rsid w:val="00D86EE1"/>
    <w:rsid w:val="00D91A99"/>
    <w:rsid w:val="00D933AC"/>
    <w:rsid w:val="00D96126"/>
    <w:rsid w:val="00D97441"/>
    <w:rsid w:val="00DA7B6C"/>
    <w:rsid w:val="00DB4B1C"/>
    <w:rsid w:val="00DB5085"/>
    <w:rsid w:val="00DC1062"/>
    <w:rsid w:val="00DC132C"/>
    <w:rsid w:val="00DC5D94"/>
    <w:rsid w:val="00DD1134"/>
    <w:rsid w:val="00DD43F0"/>
    <w:rsid w:val="00DD44DE"/>
    <w:rsid w:val="00DE09AB"/>
    <w:rsid w:val="00DE4A3F"/>
    <w:rsid w:val="00DF4367"/>
    <w:rsid w:val="00DF76FB"/>
    <w:rsid w:val="00E0574A"/>
    <w:rsid w:val="00E1243D"/>
    <w:rsid w:val="00E12742"/>
    <w:rsid w:val="00E146D4"/>
    <w:rsid w:val="00E20976"/>
    <w:rsid w:val="00E211B4"/>
    <w:rsid w:val="00E22B44"/>
    <w:rsid w:val="00E30ACD"/>
    <w:rsid w:val="00E31B57"/>
    <w:rsid w:val="00E32735"/>
    <w:rsid w:val="00E66E36"/>
    <w:rsid w:val="00E702ED"/>
    <w:rsid w:val="00E709A4"/>
    <w:rsid w:val="00E73822"/>
    <w:rsid w:val="00E772DB"/>
    <w:rsid w:val="00E86012"/>
    <w:rsid w:val="00E86450"/>
    <w:rsid w:val="00E86BAB"/>
    <w:rsid w:val="00E94E10"/>
    <w:rsid w:val="00E96743"/>
    <w:rsid w:val="00E96A42"/>
    <w:rsid w:val="00EA0A36"/>
    <w:rsid w:val="00EA49C5"/>
    <w:rsid w:val="00EB5027"/>
    <w:rsid w:val="00EC1836"/>
    <w:rsid w:val="00EC3990"/>
    <w:rsid w:val="00EC484B"/>
    <w:rsid w:val="00ED15FA"/>
    <w:rsid w:val="00ED3F57"/>
    <w:rsid w:val="00ED7B24"/>
    <w:rsid w:val="00EE6E9A"/>
    <w:rsid w:val="00EF0BF1"/>
    <w:rsid w:val="00EF2AC4"/>
    <w:rsid w:val="00EF397E"/>
    <w:rsid w:val="00EF4C0E"/>
    <w:rsid w:val="00F06F68"/>
    <w:rsid w:val="00F1713B"/>
    <w:rsid w:val="00F24C2D"/>
    <w:rsid w:val="00F26D85"/>
    <w:rsid w:val="00F26F54"/>
    <w:rsid w:val="00F27356"/>
    <w:rsid w:val="00F32A81"/>
    <w:rsid w:val="00F4320E"/>
    <w:rsid w:val="00F46998"/>
    <w:rsid w:val="00F47100"/>
    <w:rsid w:val="00F50BC1"/>
    <w:rsid w:val="00F5382D"/>
    <w:rsid w:val="00F53D9C"/>
    <w:rsid w:val="00F5462B"/>
    <w:rsid w:val="00F634AD"/>
    <w:rsid w:val="00F63677"/>
    <w:rsid w:val="00F75B81"/>
    <w:rsid w:val="00F804C4"/>
    <w:rsid w:val="00F82F83"/>
    <w:rsid w:val="00F832E5"/>
    <w:rsid w:val="00F85900"/>
    <w:rsid w:val="00F90F40"/>
    <w:rsid w:val="00F92B30"/>
    <w:rsid w:val="00F933B9"/>
    <w:rsid w:val="00F938AB"/>
    <w:rsid w:val="00F94674"/>
    <w:rsid w:val="00F94919"/>
    <w:rsid w:val="00F94A59"/>
    <w:rsid w:val="00FA25B6"/>
    <w:rsid w:val="00FA2FAF"/>
    <w:rsid w:val="00FA4BB4"/>
    <w:rsid w:val="00FA64B1"/>
    <w:rsid w:val="00FA70F3"/>
    <w:rsid w:val="00FA71CD"/>
    <w:rsid w:val="00FB0453"/>
    <w:rsid w:val="00FB0C07"/>
    <w:rsid w:val="00FB298D"/>
    <w:rsid w:val="00FB57E2"/>
    <w:rsid w:val="00FB5C76"/>
    <w:rsid w:val="00FC1439"/>
    <w:rsid w:val="00FC724B"/>
    <w:rsid w:val="00FC7910"/>
    <w:rsid w:val="00FF0DA7"/>
    <w:rsid w:val="00FF0F8F"/>
    <w:rsid w:val="00FF44E0"/>
    <w:rsid w:val="00FF6C72"/>
    <w:rsid w:val="027D71DE"/>
    <w:rsid w:val="02CE17E8"/>
    <w:rsid w:val="03021A9A"/>
    <w:rsid w:val="033B482B"/>
    <w:rsid w:val="041476CE"/>
    <w:rsid w:val="042B5143"/>
    <w:rsid w:val="042E0790"/>
    <w:rsid w:val="04A86794"/>
    <w:rsid w:val="04C3537C"/>
    <w:rsid w:val="05D81721"/>
    <w:rsid w:val="05FE0636"/>
    <w:rsid w:val="0744651C"/>
    <w:rsid w:val="07AC659B"/>
    <w:rsid w:val="0A9450C5"/>
    <w:rsid w:val="0ACC78F9"/>
    <w:rsid w:val="0AEB73DB"/>
    <w:rsid w:val="0AF8048C"/>
    <w:rsid w:val="0B0974D2"/>
    <w:rsid w:val="0B691F99"/>
    <w:rsid w:val="0BB236EC"/>
    <w:rsid w:val="0CF773F2"/>
    <w:rsid w:val="0DAE5868"/>
    <w:rsid w:val="0DCB1BDF"/>
    <w:rsid w:val="0DEA5D13"/>
    <w:rsid w:val="0DF465A6"/>
    <w:rsid w:val="0E370B89"/>
    <w:rsid w:val="0EA77ABC"/>
    <w:rsid w:val="0ECE7FF7"/>
    <w:rsid w:val="0EE04D7C"/>
    <w:rsid w:val="0FE663C2"/>
    <w:rsid w:val="103D2787"/>
    <w:rsid w:val="13EC5F71"/>
    <w:rsid w:val="13EF002B"/>
    <w:rsid w:val="14EF5D19"/>
    <w:rsid w:val="16330BCA"/>
    <w:rsid w:val="172D0D7B"/>
    <w:rsid w:val="17471E3D"/>
    <w:rsid w:val="17AD5A18"/>
    <w:rsid w:val="18316649"/>
    <w:rsid w:val="18493992"/>
    <w:rsid w:val="18B835C0"/>
    <w:rsid w:val="1A2C531A"/>
    <w:rsid w:val="1A5B31D5"/>
    <w:rsid w:val="1B754E72"/>
    <w:rsid w:val="1BE7599C"/>
    <w:rsid w:val="1C1F29F1"/>
    <w:rsid w:val="1C5A616E"/>
    <w:rsid w:val="1D37025D"/>
    <w:rsid w:val="1D990F18"/>
    <w:rsid w:val="1E5B441F"/>
    <w:rsid w:val="1FF93EF0"/>
    <w:rsid w:val="200313B9"/>
    <w:rsid w:val="20796751"/>
    <w:rsid w:val="20EB1A8B"/>
    <w:rsid w:val="2120385C"/>
    <w:rsid w:val="21510D0C"/>
    <w:rsid w:val="2191541A"/>
    <w:rsid w:val="22660EAD"/>
    <w:rsid w:val="23773E1A"/>
    <w:rsid w:val="23C70883"/>
    <w:rsid w:val="24074506"/>
    <w:rsid w:val="24773635"/>
    <w:rsid w:val="25BD151C"/>
    <w:rsid w:val="25E5245B"/>
    <w:rsid w:val="282A442D"/>
    <w:rsid w:val="287C56BE"/>
    <w:rsid w:val="29127DD1"/>
    <w:rsid w:val="2916096C"/>
    <w:rsid w:val="29254C5B"/>
    <w:rsid w:val="29411BA9"/>
    <w:rsid w:val="29A56C4B"/>
    <w:rsid w:val="2A426596"/>
    <w:rsid w:val="2AA713E9"/>
    <w:rsid w:val="2B1F50F8"/>
    <w:rsid w:val="2B7663F5"/>
    <w:rsid w:val="2BB138D1"/>
    <w:rsid w:val="2C9019C5"/>
    <w:rsid w:val="2CA60F5C"/>
    <w:rsid w:val="2CCA2648"/>
    <w:rsid w:val="2CD13F6A"/>
    <w:rsid w:val="2DD12008"/>
    <w:rsid w:val="2FF83E5B"/>
    <w:rsid w:val="31540F86"/>
    <w:rsid w:val="3199108F"/>
    <w:rsid w:val="31FE2B57"/>
    <w:rsid w:val="3216448E"/>
    <w:rsid w:val="32697EE8"/>
    <w:rsid w:val="3411535B"/>
    <w:rsid w:val="348C6C89"/>
    <w:rsid w:val="34E05264"/>
    <w:rsid w:val="37331249"/>
    <w:rsid w:val="373C4996"/>
    <w:rsid w:val="37B95FE7"/>
    <w:rsid w:val="390B0F2F"/>
    <w:rsid w:val="39C61730"/>
    <w:rsid w:val="3BA1126C"/>
    <w:rsid w:val="3CD63197"/>
    <w:rsid w:val="3E3361A8"/>
    <w:rsid w:val="3E416D36"/>
    <w:rsid w:val="3F8769CB"/>
    <w:rsid w:val="3FB11C9A"/>
    <w:rsid w:val="3FBB48C6"/>
    <w:rsid w:val="3FE61943"/>
    <w:rsid w:val="400B75FC"/>
    <w:rsid w:val="41DD0B24"/>
    <w:rsid w:val="42002A64"/>
    <w:rsid w:val="421107CE"/>
    <w:rsid w:val="42712AA7"/>
    <w:rsid w:val="434F5A51"/>
    <w:rsid w:val="436639E6"/>
    <w:rsid w:val="43680DC4"/>
    <w:rsid w:val="436A63E7"/>
    <w:rsid w:val="43931385"/>
    <w:rsid w:val="440A1268"/>
    <w:rsid w:val="44A75419"/>
    <w:rsid w:val="458E2C2A"/>
    <w:rsid w:val="45B72A55"/>
    <w:rsid w:val="45F33E4F"/>
    <w:rsid w:val="4678706D"/>
    <w:rsid w:val="477E6905"/>
    <w:rsid w:val="48AB372A"/>
    <w:rsid w:val="4A725E70"/>
    <w:rsid w:val="4B5F07FC"/>
    <w:rsid w:val="4C0E37DD"/>
    <w:rsid w:val="4D61085B"/>
    <w:rsid w:val="4DE35714"/>
    <w:rsid w:val="4E860256"/>
    <w:rsid w:val="4ED11EB2"/>
    <w:rsid w:val="4FD25A40"/>
    <w:rsid w:val="50FE0AB7"/>
    <w:rsid w:val="51BD44CE"/>
    <w:rsid w:val="521A150B"/>
    <w:rsid w:val="52A116FA"/>
    <w:rsid w:val="52F97788"/>
    <w:rsid w:val="545110D1"/>
    <w:rsid w:val="54532EC8"/>
    <w:rsid w:val="548B08B3"/>
    <w:rsid w:val="55E77D6B"/>
    <w:rsid w:val="5754544E"/>
    <w:rsid w:val="584A6BAC"/>
    <w:rsid w:val="58B2640F"/>
    <w:rsid w:val="58C15358"/>
    <w:rsid w:val="59095851"/>
    <w:rsid w:val="5B3012ED"/>
    <w:rsid w:val="5CF52D6E"/>
    <w:rsid w:val="5D184CAE"/>
    <w:rsid w:val="5D6F2908"/>
    <w:rsid w:val="5EDA1FCE"/>
    <w:rsid w:val="5F1576F7"/>
    <w:rsid w:val="5F7B2CF0"/>
    <w:rsid w:val="5F7E529D"/>
    <w:rsid w:val="60251BBC"/>
    <w:rsid w:val="60E03D35"/>
    <w:rsid w:val="617701F5"/>
    <w:rsid w:val="62054DC8"/>
    <w:rsid w:val="624F7F32"/>
    <w:rsid w:val="62820518"/>
    <w:rsid w:val="63584057"/>
    <w:rsid w:val="63D8721D"/>
    <w:rsid w:val="648275DD"/>
    <w:rsid w:val="64A07A63"/>
    <w:rsid w:val="65332685"/>
    <w:rsid w:val="667C7EB6"/>
    <w:rsid w:val="67476448"/>
    <w:rsid w:val="6841155D"/>
    <w:rsid w:val="68A33FC6"/>
    <w:rsid w:val="6BA918F3"/>
    <w:rsid w:val="6CC62404"/>
    <w:rsid w:val="6D7800EF"/>
    <w:rsid w:val="6DB92EB9"/>
    <w:rsid w:val="6E1E466B"/>
    <w:rsid w:val="6E5661AF"/>
    <w:rsid w:val="6E8679BF"/>
    <w:rsid w:val="71AD1A11"/>
    <w:rsid w:val="71F53C5B"/>
    <w:rsid w:val="72CC1BD6"/>
    <w:rsid w:val="73510B39"/>
    <w:rsid w:val="73A428A5"/>
    <w:rsid w:val="73B43DC2"/>
    <w:rsid w:val="73EB6821"/>
    <w:rsid w:val="742216A5"/>
    <w:rsid w:val="74503C05"/>
    <w:rsid w:val="74F84494"/>
    <w:rsid w:val="759C7DD3"/>
    <w:rsid w:val="75A63342"/>
    <w:rsid w:val="760A0840"/>
    <w:rsid w:val="76950027"/>
    <w:rsid w:val="780D320A"/>
    <w:rsid w:val="787F37CE"/>
    <w:rsid w:val="79022643"/>
    <w:rsid w:val="792C5912"/>
    <w:rsid w:val="795310F0"/>
    <w:rsid w:val="7A7430CC"/>
    <w:rsid w:val="7C8D3A42"/>
    <w:rsid w:val="7D124E1E"/>
    <w:rsid w:val="7E0C3A9C"/>
    <w:rsid w:val="7E560661"/>
    <w:rsid w:val="7E6E42D6"/>
    <w:rsid w:val="7EE11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sz w:val="18"/>
      <w:szCs w:val="18"/>
    </w:r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8"/>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qFormat/>
    <w:uiPriority w:val="99"/>
    <w:pPr>
      <w:widowControl/>
      <w:overflowPunct w:val="0"/>
      <w:autoSpaceDE w:val="0"/>
      <w:autoSpaceDN w:val="0"/>
      <w:adjustRightInd w:val="0"/>
      <w:spacing w:line="360" w:lineRule="auto"/>
      <w:ind w:firstLine="540"/>
      <w:textAlignment w:val="baseline"/>
    </w:pPr>
    <w:rPr>
      <w:rFonts w:ascii="宋体" w:hAnsi="MS Sans Serif" w:cs="宋体"/>
      <w:spacing w:val="12"/>
      <w:kern w:val="0"/>
      <w:sz w:val="24"/>
      <w:szCs w:val="24"/>
    </w:rPr>
  </w:style>
  <w:style w:type="paragraph" w:styleId="10">
    <w:name w:val="envelope return"/>
    <w:basedOn w:val="1"/>
    <w:next w:val="5"/>
    <w:qFormat/>
    <w:uiPriority w:val="99"/>
    <w:pPr>
      <w:widowControl/>
      <w:snapToGrid w:val="0"/>
      <w:spacing w:line="357" w:lineRule="atLeast"/>
      <w:textAlignment w:val="baseline"/>
    </w:pPr>
    <w:rPr>
      <w:rFonts w:ascii="Arial" w:hAnsi="Arial" w:cs="Arial"/>
      <w:color w:val="000000"/>
      <w:kern w:val="0"/>
      <w:u w:color="000000"/>
    </w:rPr>
  </w:style>
  <w:style w:type="paragraph" w:styleId="11">
    <w:name w:val="index 4"/>
    <w:basedOn w:val="1"/>
    <w:next w:val="1"/>
    <w:qFormat/>
    <w:uiPriority w:val="99"/>
    <w:pPr>
      <w:ind w:left="600" w:leftChars="600"/>
    </w:pPr>
    <w:rPr>
      <w:rFonts w:ascii="Times New Roman" w:hAnsi="Times New Roman" w:eastAsia="宋体" w:cs="Times New Roman"/>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0"/>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List"/>
    <w:basedOn w:val="1"/>
    <w:next w:val="1"/>
    <w:qFormat/>
    <w:uiPriority w:val="0"/>
    <w:pPr>
      <w:ind w:left="420" w:hanging="420"/>
    </w:pPr>
    <w:rPr>
      <w:rFonts w:ascii="Arial" w:hAnsi="Arial" w:eastAsia="楷体_GB2312"/>
      <w:sz w:val="28"/>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4">
    <w:name w:val="Body Text First Indent"/>
    <w:basedOn w:val="8"/>
    <w:autoRedefine/>
    <w:unhideWhenUsed/>
    <w:qFormat/>
    <w:uiPriority w:val="99"/>
    <w:pPr>
      <w:ind w:firstLine="420" w:firstLineChars="100"/>
    </w:pPr>
  </w:style>
  <w:style w:type="paragraph" w:styleId="25">
    <w:name w:val="Body Text First Indent 2"/>
    <w:basedOn w:val="9"/>
    <w:next w:val="19"/>
    <w:qFormat/>
    <w:uiPriority w:val="99"/>
    <w:pPr>
      <w:widowControl w:val="0"/>
      <w:overflowPunct/>
      <w:autoSpaceDE/>
      <w:autoSpaceDN/>
      <w:adjustRightInd/>
      <w:spacing w:after="120" w:line="240" w:lineRule="auto"/>
      <w:ind w:left="420" w:leftChars="200" w:firstLine="420" w:firstLineChars="200"/>
      <w:textAlignment w:val="auto"/>
    </w:pPr>
    <w:rPr>
      <w:rFonts w:ascii="Times New Roman" w:hAnsi="Times New Roman" w:cs="Times New Roman"/>
      <w:spacing w:val="0"/>
      <w:kern w:val="2"/>
      <w:sz w:val="21"/>
      <w:szCs w:val="21"/>
    </w:r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5C5C5C"/>
      <w:u w:val="none"/>
    </w:rPr>
  </w:style>
  <w:style w:type="character" w:styleId="31">
    <w:name w:val="Emphasis"/>
    <w:basedOn w:val="28"/>
    <w:qFormat/>
    <w:uiPriority w:val="20"/>
    <w:rPr>
      <w:b/>
      <w:b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style>
  <w:style w:type="character" w:styleId="35">
    <w:name w:val="HTML Variable"/>
    <w:basedOn w:val="28"/>
    <w:semiHidden/>
    <w:unhideWhenUsed/>
    <w:qFormat/>
    <w:uiPriority w:val="99"/>
  </w:style>
  <w:style w:type="character" w:styleId="36">
    <w:name w:val="Hyperlink"/>
    <w:basedOn w:val="28"/>
    <w:autoRedefine/>
    <w:unhideWhenUsed/>
    <w:qFormat/>
    <w:uiPriority w:val="99"/>
    <w:rPr>
      <w:color w:val="0000FF" w:themeColor="hyperlink"/>
      <w:u w:val="single"/>
      <w14:textFill>
        <w14:solidFill>
          <w14:schemeClr w14:val="hlink"/>
        </w14:solidFill>
      </w14:textFill>
    </w:rPr>
  </w:style>
  <w:style w:type="character" w:styleId="37">
    <w:name w:val="HTML Code"/>
    <w:basedOn w:val="28"/>
    <w:semiHidden/>
    <w:unhideWhenUsed/>
    <w:qFormat/>
    <w:uiPriority w:val="99"/>
    <w:rPr>
      <w:rFonts w:hint="default"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8"/>
    <w:link w:val="17"/>
    <w:autoRedefine/>
    <w:qFormat/>
    <w:uiPriority w:val="0"/>
    <w:rPr>
      <w:rFonts w:ascii="@仿宋_GB2312" w:hAnsi="@仿宋_GB2312" w:eastAsia="@仿宋_GB2312" w:cs="@仿宋_GB2312"/>
      <w:sz w:val="18"/>
      <w:szCs w:val="18"/>
    </w:rPr>
  </w:style>
  <w:style w:type="character" w:customStyle="1" w:styleId="46">
    <w:name w:val="页脚 字符"/>
    <w:basedOn w:val="28"/>
    <w:link w:val="16"/>
    <w:autoRedefine/>
    <w:qFormat/>
    <w:uiPriority w:val="99"/>
    <w:rPr>
      <w:rFonts w:ascii="@仿宋_GB2312" w:hAnsi="@仿宋_GB2312" w:eastAsia="@仿宋_GB2312" w:cs="@仿宋_GB2312"/>
      <w:sz w:val="18"/>
      <w:szCs w:val="18"/>
    </w:rPr>
  </w:style>
  <w:style w:type="character" w:customStyle="1" w:styleId="47">
    <w:name w:val="纯文本 字符"/>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字符1"/>
    <w:link w:val="14"/>
    <w:autoRedefine/>
    <w:qFormat/>
    <w:uiPriority w:val="0"/>
    <w:rPr>
      <w:rFonts w:ascii="Arial" w:hAnsi="Arial" w:eastAsia="宋体" w:cs="Arial"/>
      <w:b/>
      <w:sz w:val="28"/>
      <w:szCs w:val="20"/>
    </w:rPr>
  </w:style>
  <w:style w:type="character" w:customStyle="1" w:styleId="55">
    <w:name w:val="纯文本 Char1"/>
    <w:link w:val="56"/>
    <w:autoRedefine/>
    <w:qFormat/>
    <w:locked/>
    <w:uiPriority w:val="0"/>
    <w:rPr>
      <w:rFonts w:ascii="Arial" w:hAnsi="Arial" w:eastAsia="Arial"/>
      <w:kern w:val="2"/>
      <w:sz w:val="21"/>
      <w:lang w:val="en-US" w:eastAsia="zh-CN" w:bidi="ar-SA"/>
    </w:rPr>
  </w:style>
  <w:style w:type="paragraph" w:customStyle="1" w:styleId="56">
    <w:name w:val="纯文本1"/>
    <w:basedOn w:val="1"/>
    <w:link w:val="55"/>
    <w:autoRedefine/>
    <w:qFormat/>
    <w:uiPriority w:val="0"/>
    <w:rPr>
      <w:rFonts w:ascii="Arial" w:hAnsi="Arial" w:eastAsia="Arial" w:cstheme="minorBidi"/>
      <w:szCs w:val="22"/>
    </w:rPr>
  </w:style>
  <w:style w:type="character" w:customStyle="1" w:styleId="57">
    <w:name w:val="批注文字 Char"/>
    <w:basedOn w:val="28"/>
    <w:autoRedefine/>
    <w:semiHidden/>
    <w:qFormat/>
    <w:uiPriority w:val="99"/>
    <w:rPr>
      <w:rFonts w:ascii="@仿宋_GB2312" w:hAnsi="@仿宋_GB2312" w:eastAsia="@仿宋_GB2312" w:cs="@仿宋_GB2312"/>
      <w:szCs w:val="20"/>
    </w:rPr>
  </w:style>
  <w:style w:type="character" w:customStyle="1" w:styleId="58">
    <w:name w:val="批注文字 字符"/>
    <w:link w:val="7"/>
    <w:autoRedefine/>
    <w:qFormat/>
    <w:uiPriority w:val="0"/>
    <w:rPr>
      <w:rFonts w:ascii="Arial" w:hAnsi="Arial" w:eastAsia="黑体" w:cs="Arial"/>
      <w:szCs w:val="20"/>
    </w:rPr>
  </w:style>
  <w:style w:type="character" w:customStyle="1" w:styleId="59">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6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8"/>
    <w:link w:val="3"/>
    <w:autoRedefine/>
    <w:semiHidden/>
    <w:qFormat/>
    <w:uiPriority w:val="9"/>
    <w:rPr>
      <w:rFonts w:ascii="@仿宋_GB2312" w:hAnsi="@仿宋_GB2312" w:eastAsia="@仿宋_GB2312" w:cs="@仿宋_GB2312"/>
      <w:b/>
      <w:bCs/>
      <w:sz w:val="32"/>
      <w:szCs w:val="32"/>
    </w:rPr>
  </w:style>
  <w:style w:type="character" w:customStyle="1" w:styleId="62">
    <w:name w:val="fontstyle01"/>
    <w:basedOn w:val="28"/>
    <w:autoRedefine/>
    <w:qFormat/>
    <w:uiPriority w:val="0"/>
    <w:rPr>
      <w:rFonts w:hint="eastAsia" w:ascii="宋体" w:hAnsi="宋体" w:eastAsia="宋体"/>
      <w:color w:val="000000"/>
      <w:sz w:val="22"/>
      <w:szCs w:val="22"/>
    </w:rPr>
  </w:style>
  <w:style w:type="character" w:customStyle="1" w:styleId="63">
    <w:name w:val="fontstyle21"/>
    <w:basedOn w:val="28"/>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4"/>
    <w:autoRedefine/>
    <w:qFormat/>
    <w:uiPriority w:val="0"/>
    <w:rPr>
      <w:rFonts w:ascii="@仿宋_GB2312" w:hAnsi="@仿宋_GB2312" w:eastAsia="@仿宋_GB2312" w:cs="@仿宋_GB2312"/>
      <w:b/>
      <w:bCs/>
      <w:sz w:val="28"/>
      <w:szCs w:val="28"/>
    </w:rPr>
  </w:style>
  <w:style w:type="character" w:customStyle="1" w:styleId="67">
    <w:name w:val="hover"/>
    <w:basedOn w:val="28"/>
    <w:qFormat/>
    <w:uiPriority w:val="0"/>
    <w:rPr>
      <w:color w:val="2590EB"/>
    </w:rPr>
  </w:style>
  <w:style w:type="character" w:customStyle="1" w:styleId="68">
    <w:name w:val="hover1"/>
    <w:basedOn w:val="28"/>
    <w:qFormat/>
    <w:uiPriority w:val="0"/>
    <w:rPr>
      <w:color w:val="2590EB"/>
    </w:rPr>
  </w:style>
  <w:style w:type="character" w:customStyle="1" w:styleId="69">
    <w:name w:val="hover2"/>
    <w:basedOn w:val="28"/>
    <w:qFormat/>
    <w:uiPriority w:val="0"/>
    <w:rPr>
      <w:color w:val="2590EB"/>
      <w:shd w:val="clear" w:fill="E9F4FD"/>
    </w:rPr>
  </w:style>
  <w:style w:type="character" w:customStyle="1" w:styleId="70">
    <w:name w:val="hover3"/>
    <w:basedOn w:val="28"/>
    <w:qFormat/>
    <w:uiPriority w:val="0"/>
  </w:style>
  <w:style w:type="character" w:customStyle="1" w:styleId="71">
    <w:name w:val="hover4"/>
    <w:basedOn w:val="28"/>
    <w:qFormat/>
    <w:uiPriority w:val="0"/>
    <w:rPr>
      <w:color w:val="2590EB"/>
      <w:shd w:val="clear" w:fill="E9F4FD"/>
    </w:rPr>
  </w:style>
  <w:style w:type="paragraph" w:customStyle="1" w:styleId="72">
    <w:name w:val="Body Text First Indent 21"/>
    <w:basedOn w:val="73"/>
    <w:next w:val="1"/>
    <w:qFormat/>
    <w:uiPriority w:val="0"/>
    <w:pPr>
      <w:ind w:left="420" w:firstLine="420" w:firstLineChars="200"/>
    </w:pPr>
  </w:style>
  <w:style w:type="paragraph" w:customStyle="1" w:styleId="73">
    <w:name w:val="Body Text Indent1"/>
    <w:basedOn w:val="1"/>
    <w:next w:val="74"/>
    <w:qFormat/>
    <w:uiPriority w:val="0"/>
    <w:pPr>
      <w:spacing w:after="120" w:afterLines="0"/>
      <w:ind w:left="200" w:leftChars="200"/>
    </w:pPr>
  </w:style>
  <w:style w:type="paragraph" w:customStyle="1" w:styleId="74">
    <w:name w:val="envelope return1"/>
    <w:basedOn w:val="1"/>
    <w:next w:val="23"/>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98ECD-E22D-4D0D-918B-F11B9CC08BF2}">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53</Pages>
  <Words>27531</Words>
  <Characters>29015</Characters>
  <Lines>102</Lines>
  <Paragraphs>28</Paragraphs>
  <TotalTime>2</TotalTime>
  <ScaleCrop>false</ScaleCrop>
  <LinksUpToDate>false</LinksUpToDate>
  <CharactersWithSpaces>30619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代理</cp:lastModifiedBy>
  <cp:lastPrinted>2019-12-07T15:23:00Z</cp:lastPrinted>
  <dcterms:modified xsi:type="dcterms:W3CDTF">2025-12-25T06:33:24Z</dcterms:modified>
  <cp:revision>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1C0895710D284A5782FD5EC239B61738_13</vt:lpwstr>
  </property>
  <property fmtid="{D5CDD505-2E9C-101B-9397-08002B2CF9AE}" pid="4" name="KSOTemplateDocerSaveRecord">
    <vt:lpwstr>eyJoZGlkIjoiOTc5MDNjMmIyODczM2YwMGZkZTNjYWY1NjIxZTY5YjciLCJ1c2VySWQiOiI1MDM3MjkwOTMifQ==</vt:lpwstr>
  </property>
</Properties>
</file>