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CEBF0">
      <w:pPr>
        <w:tabs>
          <w:tab w:val="left" w:pos="315"/>
          <w:tab w:val="left" w:pos="8820"/>
        </w:tabs>
        <w:spacing w:beforeLines="100" w:afterLines="50" w:line="500" w:lineRule="exact"/>
        <w:ind w:right="267" w:rightChars="127"/>
        <w:jc w:val="center"/>
        <w:rPr>
          <w:rFonts w:ascii="宋体" w:hAnsi="宋体" w:eastAsia="宋体"/>
          <w:b/>
          <w:bCs/>
          <w:color w:val="auto"/>
          <w:sz w:val="52"/>
          <w:szCs w:val="52"/>
          <w:highlight w:val="none"/>
        </w:rPr>
      </w:pPr>
      <w:bookmarkStart w:id="236" w:name="_GoBack"/>
    </w:p>
    <w:p w14:paraId="4250D654">
      <w:pPr>
        <w:tabs>
          <w:tab w:val="left" w:pos="315"/>
          <w:tab w:val="left" w:pos="8820"/>
        </w:tabs>
        <w:spacing w:beforeLines="100" w:afterLines="50" w:line="500" w:lineRule="exact"/>
        <w:ind w:right="267" w:rightChars="127"/>
        <w:jc w:val="center"/>
        <w:rPr>
          <w:rFonts w:ascii="宋体" w:hAnsi="宋体" w:eastAsia="宋体"/>
          <w:b/>
          <w:bCs/>
          <w:color w:val="auto"/>
          <w:sz w:val="52"/>
          <w:szCs w:val="52"/>
          <w:highlight w:val="none"/>
        </w:rPr>
      </w:pPr>
    </w:p>
    <w:p w14:paraId="145F1601">
      <w:pPr>
        <w:tabs>
          <w:tab w:val="left" w:pos="315"/>
          <w:tab w:val="left" w:pos="8820"/>
        </w:tabs>
        <w:spacing w:beforeLines="100" w:afterLines="50" w:line="500" w:lineRule="exact"/>
        <w:ind w:right="267" w:rightChars="127"/>
        <w:jc w:val="center"/>
        <w:rPr>
          <w:rFonts w:ascii="宋体" w:hAnsi="宋体" w:eastAsia="宋体"/>
          <w:b/>
          <w:bCs/>
          <w:color w:val="auto"/>
          <w:sz w:val="52"/>
          <w:szCs w:val="52"/>
          <w:highlight w:val="none"/>
        </w:rPr>
      </w:pPr>
      <w:bookmarkStart w:id="0" w:name="_Hlk9544796"/>
      <w:r>
        <w:rPr>
          <w:rFonts w:hint="eastAsia" w:ascii="宋体" w:hAnsi="宋体" w:eastAsia="宋体"/>
          <w:b/>
          <w:bCs/>
          <w:color w:val="auto"/>
          <w:sz w:val="52"/>
          <w:szCs w:val="52"/>
          <w:highlight w:val="none"/>
        </w:rPr>
        <w:t>滁州市政府采购项目</w:t>
      </w:r>
    </w:p>
    <w:p w14:paraId="6ABC3C39">
      <w:pPr>
        <w:tabs>
          <w:tab w:val="left" w:pos="315"/>
          <w:tab w:val="left" w:pos="8820"/>
        </w:tabs>
        <w:spacing w:beforeLines="100" w:afterLines="50" w:line="500" w:lineRule="exact"/>
        <w:ind w:right="267" w:rightChars="127"/>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rPr>
        <w:t>（物业类）</w:t>
      </w:r>
    </w:p>
    <w:p w14:paraId="40E69369">
      <w:pPr>
        <w:tabs>
          <w:tab w:val="left" w:pos="315"/>
          <w:tab w:val="left" w:pos="8820"/>
        </w:tabs>
        <w:spacing w:beforeLines="100" w:afterLines="50" w:line="500" w:lineRule="exact"/>
        <w:ind w:right="267" w:rightChars="127"/>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rPr>
        <w:t>（2025年版）</w:t>
      </w:r>
    </w:p>
    <w:p w14:paraId="6EF30D41">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4AB8634D">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221EFF5A">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3E87D01E">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44A696D0">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34055B44">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eastAsia="zh-CN"/>
        </w:rPr>
        <w:t>天长市人民法院及基层法庭物业服务项目</w:t>
      </w:r>
    </w:p>
    <w:p w14:paraId="2A270C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723" w:firstLineChars="200"/>
        <w:jc w:val="left"/>
        <w:rPr>
          <w:rFonts w:hint="default" w:ascii="Arial" w:hAnsi="Arial" w:cs="Arial"/>
          <w:color w:val="auto"/>
          <w:sz w:val="21"/>
          <w:szCs w:val="21"/>
          <w:highlight w:val="none"/>
        </w:rPr>
      </w:pPr>
      <w:r>
        <w:rPr>
          <w:rFonts w:hint="eastAsia" w:ascii="宋体" w:hAnsi="宋体" w:eastAsia="宋体"/>
          <w:b/>
          <w:color w:val="auto"/>
          <w:spacing w:val="20"/>
          <w:kern w:val="0"/>
          <w:sz w:val="32"/>
          <w:szCs w:val="32"/>
          <w:highlight w:val="none"/>
        </w:rPr>
        <w:t>项目编号：</w:t>
      </w:r>
      <w:r>
        <w:rPr>
          <w:rFonts w:hint="default" w:ascii="宋体" w:hAnsi="宋体" w:eastAsia="宋体"/>
          <w:b/>
          <w:color w:val="auto"/>
          <w:spacing w:val="20"/>
          <w:kern w:val="0"/>
          <w:sz w:val="32"/>
          <w:szCs w:val="32"/>
          <w:highlight w:val="none"/>
          <w:u w:val="single"/>
          <w:lang w:val="en-US" w:eastAsia="zh-CN"/>
        </w:rPr>
        <w:t>czsjcg202603-011</w:t>
      </w:r>
    </w:p>
    <w:p w14:paraId="688C9FCF">
      <w:pPr>
        <w:tabs>
          <w:tab w:val="left" w:pos="2410"/>
        </w:tabs>
        <w:autoSpaceDE w:val="0"/>
        <w:autoSpaceDN w:val="0"/>
        <w:adjustRightInd w:val="0"/>
        <w:snapToGrid w:val="0"/>
        <w:spacing w:line="360" w:lineRule="auto"/>
        <w:ind w:firstLine="723" w:firstLineChars="200"/>
        <w:rPr>
          <w:rFonts w:ascii="宋体" w:hAnsi="宋体" w:eastAsia="宋体"/>
          <w:b/>
          <w:color w:val="auto"/>
          <w:spacing w:val="20"/>
          <w:kern w:val="0"/>
          <w:sz w:val="32"/>
          <w:szCs w:val="32"/>
          <w:highlight w:val="none"/>
          <w:u w:val="single"/>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eastAsia="zh-CN"/>
        </w:rPr>
        <w:t xml:space="preserve"> 天长市人民法院</w:t>
      </w:r>
      <w:r>
        <w:rPr>
          <w:rFonts w:hint="eastAsia" w:ascii="宋体" w:hAnsi="宋体" w:eastAsia="宋体"/>
          <w:b/>
          <w:color w:val="auto"/>
          <w:spacing w:val="20"/>
          <w:kern w:val="0"/>
          <w:sz w:val="32"/>
          <w:szCs w:val="32"/>
          <w:highlight w:val="none"/>
          <w:u w:val="single"/>
        </w:rPr>
        <w:t xml:space="preserve"> </w:t>
      </w:r>
    </w:p>
    <w:p w14:paraId="6DD473FD">
      <w:pPr>
        <w:tabs>
          <w:tab w:val="left" w:pos="2410"/>
        </w:tabs>
        <w:autoSpaceDE w:val="0"/>
        <w:autoSpaceDN w:val="0"/>
        <w:adjustRightInd w:val="0"/>
        <w:snapToGrid w:val="0"/>
        <w:spacing w:line="360" w:lineRule="auto"/>
        <w:ind w:firstLine="723" w:firstLineChars="200"/>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rPr>
        <w:t>滁州市政府采购中心</w:t>
      </w:r>
    </w:p>
    <w:p w14:paraId="557592B5">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7FDE2A6F">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hint="eastAsia" w:ascii="宋体" w:hAnsi="宋体" w:eastAsia="宋体"/>
          <w:b/>
          <w:color w:val="auto"/>
          <w:sz w:val="36"/>
          <w:highlight w:val="none"/>
          <w:u w:val="single"/>
        </w:rPr>
        <w:t>2026</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lang w:val="en-US" w:eastAsia="zh-CN"/>
        </w:rPr>
        <w:t xml:space="preserve"> 3</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月</w:t>
      </w:r>
      <w:r>
        <w:rPr>
          <w:rFonts w:ascii="宋体" w:hAnsi="宋体" w:eastAsia="宋体"/>
          <w:b/>
          <w:color w:val="auto"/>
          <w:sz w:val="36"/>
          <w:highlight w:val="none"/>
        </w:rPr>
        <w:br w:type="page"/>
      </w:r>
    </w:p>
    <w:p w14:paraId="304B24EE">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p>
    <w:p w14:paraId="69B2D5BB">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36262886">
      <w:pPr>
        <w:pStyle w:val="20"/>
        <w:tabs>
          <w:tab w:val="right" w:leader="dot" w:pos="8306"/>
        </w:tabs>
        <w:rPr>
          <w:color w:val="auto"/>
          <w:highlight w:val="none"/>
        </w:rPr>
      </w:pPr>
      <w:r>
        <w:rPr>
          <w:rFonts w:asciiTheme="minorEastAsia" w:hAnsiTheme="minorEastAsia"/>
          <w:b/>
          <w:color w:val="auto"/>
          <w:sz w:val="24"/>
          <w:szCs w:val="24"/>
          <w:highlight w:val="none"/>
        </w:rPr>
        <w:fldChar w:fldCharType="begin"/>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fldChar w:fldCharType="separate"/>
      </w:r>
      <w:r>
        <w:rPr>
          <w:color w:val="auto"/>
          <w:highlight w:val="none"/>
        </w:rPr>
        <w:fldChar w:fldCharType="begin"/>
      </w:r>
      <w:r>
        <w:rPr>
          <w:color w:val="auto"/>
          <w:highlight w:val="none"/>
        </w:rPr>
        <w:instrText xml:space="preserve"> HYPERLINK \l "_Toc32331" </w:instrText>
      </w:r>
      <w:r>
        <w:rPr>
          <w:color w:val="auto"/>
          <w:highlight w:val="none"/>
        </w:rPr>
        <w:fldChar w:fldCharType="separate"/>
      </w:r>
      <w:r>
        <w:rPr>
          <w:rFonts w:hint="eastAsia" w:asciiTheme="minorEastAsia" w:hAnsiTheme="minorEastAsia"/>
          <w:color w:val="auto"/>
          <w:highlight w:val="none"/>
        </w:rPr>
        <w:t xml:space="preserve">第一章 </w:t>
      </w:r>
      <w:r>
        <w:rPr>
          <w:rFonts w:asciiTheme="minorEastAsia" w:hAnsiTheme="minorEastAsia"/>
          <w:color w:val="auto"/>
          <w:highlight w:val="none"/>
        </w:rPr>
        <w:t xml:space="preserve"> 投标邀请</w:t>
      </w:r>
      <w:r>
        <w:rPr>
          <w:color w:val="auto"/>
          <w:highlight w:val="none"/>
        </w:rPr>
        <w:tab/>
      </w:r>
      <w:r>
        <w:rPr>
          <w:color w:val="auto"/>
          <w:highlight w:val="none"/>
        </w:rPr>
        <w:fldChar w:fldCharType="begin"/>
      </w:r>
      <w:r>
        <w:rPr>
          <w:color w:val="auto"/>
          <w:highlight w:val="none"/>
        </w:rPr>
        <w:instrText xml:space="preserve"> PAGEREF _Toc32331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54284DA1">
      <w:pPr>
        <w:pStyle w:val="20"/>
        <w:tabs>
          <w:tab w:val="right" w:leader="dot" w:pos="8306"/>
        </w:tabs>
        <w:rPr>
          <w:color w:val="auto"/>
          <w:highlight w:val="none"/>
        </w:rPr>
      </w:pPr>
      <w:r>
        <w:rPr>
          <w:color w:val="auto"/>
          <w:highlight w:val="none"/>
        </w:rPr>
        <w:fldChar w:fldCharType="begin"/>
      </w:r>
      <w:r>
        <w:rPr>
          <w:color w:val="auto"/>
          <w:highlight w:val="none"/>
        </w:rPr>
        <w:instrText xml:space="preserve"> HYPERLINK \l "_Toc8888" </w:instrText>
      </w:r>
      <w:r>
        <w:rPr>
          <w:color w:val="auto"/>
          <w:highlight w:val="none"/>
        </w:rPr>
        <w:fldChar w:fldCharType="separate"/>
      </w:r>
      <w:r>
        <w:rPr>
          <w:rFonts w:hint="eastAsia" w:asciiTheme="minorEastAsia" w:hAnsiTheme="minorEastAsia"/>
          <w:color w:val="auto"/>
          <w:highlight w:val="none"/>
        </w:rPr>
        <w:t>第二章</w:t>
      </w:r>
      <w:r>
        <w:rPr>
          <w:rFonts w:hint="eastAsia" w:asciiTheme="minorEastAsia" w:hAnsiTheme="minorEastAsia"/>
          <w:color w:val="auto"/>
          <w:highlight w:val="none"/>
          <w:lang w:val="en-US" w:eastAsia="zh-CN"/>
        </w:rPr>
        <w:t xml:space="preserve">  </w:t>
      </w:r>
      <w:r>
        <w:rPr>
          <w:rFonts w:asciiTheme="minorEastAsia" w:hAnsiTheme="minorEastAsia"/>
          <w:color w:val="auto"/>
          <w:highlight w:val="none"/>
        </w:rPr>
        <w:t>投标人须知</w:t>
      </w:r>
      <w:r>
        <w:rPr>
          <w:color w:val="auto"/>
          <w:highlight w:val="none"/>
        </w:rPr>
        <w:tab/>
      </w:r>
      <w:r>
        <w:rPr>
          <w:color w:val="auto"/>
          <w:highlight w:val="none"/>
        </w:rPr>
        <w:fldChar w:fldCharType="begin"/>
      </w:r>
      <w:r>
        <w:rPr>
          <w:color w:val="auto"/>
          <w:highlight w:val="none"/>
        </w:rPr>
        <w:instrText xml:space="preserve"> PAGEREF _Toc8888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68FF824C">
      <w:pPr>
        <w:pStyle w:val="20"/>
        <w:tabs>
          <w:tab w:val="right" w:leader="dot" w:pos="8306"/>
        </w:tabs>
        <w:rPr>
          <w:color w:val="auto"/>
          <w:highlight w:val="none"/>
        </w:rPr>
      </w:pPr>
      <w:r>
        <w:rPr>
          <w:color w:val="auto"/>
          <w:highlight w:val="none"/>
        </w:rPr>
        <w:fldChar w:fldCharType="begin"/>
      </w:r>
      <w:r>
        <w:rPr>
          <w:color w:val="auto"/>
          <w:highlight w:val="none"/>
        </w:rPr>
        <w:instrText xml:space="preserve"> HYPERLINK \l "_Toc22605" </w:instrText>
      </w:r>
      <w:r>
        <w:rPr>
          <w:color w:val="auto"/>
          <w:highlight w:val="none"/>
        </w:rPr>
        <w:fldChar w:fldCharType="separate"/>
      </w:r>
      <w:r>
        <w:rPr>
          <w:rFonts w:hint="eastAsia" w:asciiTheme="minorEastAsia" w:hAnsiTheme="minorEastAsia"/>
          <w:color w:val="auto"/>
          <w:highlight w:val="none"/>
        </w:rPr>
        <w:t>第三章 采购需求</w:t>
      </w:r>
      <w:r>
        <w:rPr>
          <w:color w:val="auto"/>
          <w:highlight w:val="none"/>
        </w:rPr>
        <w:tab/>
      </w:r>
      <w:r>
        <w:rPr>
          <w:color w:val="auto"/>
          <w:highlight w:val="none"/>
        </w:rPr>
        <w:fldChar w:fldCharType="begin"/>
      </w:r>
      <w:r>
        <w:rPr>
          <w:color w:val="auto"/>
          <w:highlight w:val="none"/>
        </w:rPr>
        <w:instrText xml:space="preserve"> PAGEREF _Toc22605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230A9522">
      <w:pPr>
        <w:pStyle w:val="20"/>
        <w:tabs>
          <w:tab w:val="right" w:leader="dot" w:pos="8306"/>
        </w:tabs>
        <w:rPr>
          <w:color w:val="auto"/>
          <w:highlight w:val="none"/>
        </w:rPr>
      </w:pPr>
      <w:r>
        <w:rPr>
          <w:color w:val="auto"/>
          <w:highlight w:val="none"/>
        </w:rPr>
        <w:fldChar w:fldCharType="begin"/>
      </w:r>
      <w:r>
        <w:rPr>
          <w:color w:val="auto"/>
          <w:highlight w:val="none"/>
        </w:rPr>
        <w:instrText xml:space="preserve"> HYPERLINK \l "_Toc30824" </w:instrText>
      </w:r>
      <w:r>
        <w:rPr>
          <w:color w:val="auto"/>
          <w:highlight w:val="none"/>
        </w:rPr>
        <w:fldChar w:fldCharType="separate"/>
      </w:r>
      <w:r>
        <w:rPr>
          <w:rFonts w:hint="eastAsia" w:asciiTheme="minorEastAsia" w:hAnsiTheme="minorEastAsia"/>
          <w:color w:val="auto"/>
          <w:highlight w:val="none"/>
        </w:rPr>
        <w:t>第四章  评标方法和标准（综合评分法）</w:t>
      </w:r>
      <w:r>
        <w:rPr>
          <w:color w:val="auto"/>
          <w:highlight w:val="none"/>
        </w:rPr>
        <w:tab/>
      </w:r>
      <w:r>
        <w:rPr>
          <w:rFonts w:hint="eastAsia"/>
          <w:color w:val="auto"/>
          <w:highlight w:val="none"/>
        </w:rPr>
        <w:t>2</w:t>
      </w:r>
      <w:r>
        <w:rPr>
          <w:rFonts w:hint="eastAsia"/>
          <w:color w:val="auto"/>
          <w:highlight w:val="none"/>
        </w:rPr>
        <w:fldChar w:fldCharType="end"/>
      </w:r>
      <w:r>
        <w:rPr>
          <w:rFonts w:hint="eastAsia"/>
          <w:color w:val="auto"/>
          <w:highlight w:val="none"/>
        </w:rPr>
        <w:t>6</w:t>
      </w:r>
    </w:p>
    <w:p w14:paraId="717216CC">
      <w:pPr>
        <w:pStyle w:val="20"/>
        <w:tabs>
          <w:tab w:val="right" w:leader="dot" w:pos="8306"/>
        </w:tabs>
        <w:rPr>
          <w:color w:val="auto"/>
          <w:highlight w:val="none"/>
        </w:rPr>
      </w:pPr>
      <w:r>
        <w:rPr>
          <w:color w:val="auto"/>
          <w:highlight w:val="none"/>
        </w:rPr>
        <w:fldChar w:fldCharType="begin"/>
      </w:r>
      <w:r>
        <w:rPr>
          <w:color w:val="auto"/>
          <w:highlight w:val="none"/>
        </w:rPr>
        <w:instrText xml:space="preserve"> HYPERLINK \l "_Toc20405" </w:instrText>
      </w:r>
      <w:r>
        <w:rPr>
          <w:color w:val="auto"/>
          <w:highlight w:val="none"/>
        </w:rPr>
        <w:fldChar w:fldCharType="separate"/>
      </w:r>
      <w:r>
        <w:rPr>
          <w:rFonts w:hint="eastAsia" w:asciiTheme="minorEastAsia" w:hAnsiTheme="minorEastAsia"/>
          <w:color w:val="auto"/>
          <w:highlight w:val="none"/>
        </w:rPr>
        <w:t xml:space="preserve">第五章  </w:t>
      </w:r>
      <w:r>
        <w:rPr>
          <w:rFonts w:asciiTheme="minorEastAsia" w:hAnsiTheme="minorEastAsia"/>
          <w:color w:val="auto"/>
          <w:highlight w:val="none"/>
        </w:rPr>
        <w:t>政府采购合同</w:t>
      </w:r>
      <w:r>
        <w:rPr>
          <w:color w:val="auto"/>
          <w:highlight w:val="none"/>
        </w:rPr>
        <w:tab/>
      </w:r>
      <w:r>
        <w:rPr>
          <w:rFonts w:hint="eastAsia"/>
          <w:color w:val="auto"/>
          <w:highlight w:val="none"/>
        </w:rPr>
        <w:t>3</w:t>
      </w:r>
      <w:r>
        <w:rPr>
          <w:rFonts w:hint="eastAsia"/>
          <w:color w:val="auto"/>
          <w:highlight w:val="none"/>
        </w:rPr>
        <w:fldChar w:fldCharType="end"/>
      </w:r>
      <w:r>
        <w:rPr>
          <w:rFonts w:hint="eastAsia"/>
          <w:color w:val="auto"/>
          <w:highlight w:val="none"/>
        </w:rPr>
        <w:t>2</w:t>
      </w:r>
    </w:p>
    <w:p w14:paraId="6AD58E3B">
      <w:pPr>
        <w:pStyle w:val="20"/>
        <w:tabs>
          <w:tab w:val="right" w:leader="dot" w:pos="8306"/>
        </w:tabs>
        <w:rPr>
          <w:color w:val="auto"/>
          <w:highlight w:val="none"/>
        </w:rPr>
      </w:pPr>
      <w:r>
        <w:rPr>
          <w:color w:val="auto"/>
          <w:highlight w:val="none"/>
        </w:rPr>
        <w:fldChar w:fldCharType="begin"/>
      </w:r>
      <w:r>
        <w:rPr>
          <w:color w:val="auto"/>
          <w:highlight w:val="none"/>
        </w:rPr>
        <w:instrText xml:space="preserve"> HYPERLINK \l "_Toc13555" </w:instrText>
      </w:r>
      <w:r>
        <w:rPr>
          <w:color w:val="auto"/>
          <w:highlight w:val="none"/>
        </w:rPr>
        <w:fldChar w:fldCharType="separate"/>
      </w:r>
      <w:r>
        <w:rPr>
          <w:rFonts w:hint="eastAsia" w:asciiTheme="minorEastAsia" w:hAnsiTheme="minorEastAsia"/>
          <w:color w:val="auto"/>
          <w:highlight w:val="none"/>
        </w:rPr>
        <w:t>第六章  投标文件格式</w:t>
      </w:r>
      <w:r>
        <w:rPr>
          <w:color w:val="auto"/>
          <w:highlight w:val="none"/>
        </w:rPr>
        <w:tab/>
      </w:r>
      <w:r>
        <w:rPr>
          <w:rFonts w:hint="eastAsia"/>
          <w:color w:val="auto"/>
          <w:highlight w:val="none"/>
        </w:rPr>
        <w:t>4</w:t>
      </w:r>
      <w:r>
        <w:rPr>
          <w:rFonts w:hint="eastAsia"/>
          <w:color w:val="auto"/>
          <w:highlight w:val="none"/>
        </w:rPr>
        <w:fldChar w:fldCharType="end"/>
      </w:r>
      <w:r>
        <w:rPr>
          <w:rFonts w:hint="eastAsia"/>
          <w:color w:val="auto"/>
          <w:highlight w:val="none"/>
        </w:rPr>
        <w:t>1</w:t>
      </w:r>
    </w:p>
    <w:p w14:paraId="4A15B875">
      <w:pPr>
        <w:pStyle w:val="20"/>
        <w:tabs>
          <w:tab w:val="right" w:leader="dot" w:pos="8306"/>
        </w:tabs>
        <w:rPr>
          <w:color w:val="auto"/>
          <w:highlight w:val="none"/>
        </w:rPr>
      </w:pPr>
      <w:r>
        <w:rPr>
          <w:color w:val="auto"/>
          <w:highlight w:val="none"/>
        </w:rPr>
        <w:fldChar w:fldCharType="begin"/>
      </w:r>
      <w:r>
        <w:rPr>
          <w:color w:val="auto"/>
          <w:highlight w:val="none"/>
        </w:rPr>
        <w:instrText xml:space="preserve"> HYPERLINK \l "_Toc20819" </w:instrText>
      </w:r>
      <w:r>
        <w:rPr>
          <w:color w:val="auto"/>
          <w:highlight w:val="none"/>
        </w:rPr>
        <w:fldChar w:fldCharType="separate"/>
      </w:r>
      <w:r>
        <w:rPr>
          <w:rFonts w:hint="eastAsia" w:asciiTheme="minorEastAsia" w:hAnsiTheme="minorEastAsia"/>
          <w:color w:val="auto"/>
          <w:highlight w:val="none"/>
        </w:rPr>
        <w:t>第七章</w:t>
      </w:r>
      <w:r>
        <w:rPr>
          <w:rFonts w:hint="eastAsia" w:ascii="宋体" w:hAnsi="宋体" w:eastAsia="宋体"/>
          <w:bCs/>
          <w:color w:val="auto"/>
          <w:highlight w:val="none"/>
        </w:rPr>
        <w:t xml:space="preserve">  政府采购</w:t>
      </w:r>
      <w:r>
        <w:rPr>
          <w:rFonts w:hint="eastAsia" w:asciiTheme="minorEastAsia" w:hAnsiTheme="minorEastAsia"/>
          <w:color w:val="auto"/>
          <w:highlight w:val="none"/>
        </w:rPr>
        <w:t>供应</w:t>
      </w:r>
      <w:r>
        <w:rPr>
          <w:rFonts w:hint="eastAsia" w:ascii="宋体" w:hAnsi="宋体" w:eastAsia="宋体"/>
          <w:bCs/>
          <w:color w:val="auto"/>
          <w:highlight w:val="none"/>
        </w:rPr>
        <w:t>商询问函和质疑函范本</w:t>
      </w:r>
      <w:r>
        <w:rPr>
          <w:color w:val="auto"/>
          <w:highlight w:val="none"/>
        </w:rPr>
        <w:tab/>
      </w:r>
      <w:r>
        <w:rPr>
          <w:rFonts w:hint="eastAsia"/>
          <w:color w:val="auto"/>
          <w:highlight w:val="none"/>
        </w:rPr>
        <w:t>5</w:t>
      </w:r>
      <w:r>
        <w:rPr>
          <w:rFonts w:hint="eastAsia"/>
          <w:color w:val="auto"/>
          <w:highlight w:val="none"/>
        </w:rPr>
        <w:fldChar w:fldCharType="end"/>
      </w:r>
      <w:r>
        <w:rPr>
          <w:rFonts w:hint="eastAsia"/>
          <w:color w:val="auto"/>
          <w:highlight w:val="none"/>
        </w:rPr>
        <w:t>7</w:t>
      </w:r>
    </w:p>
    <w:p w14:paraId="59257234">
      <w:pPr>
        <w:spacing w:line="360" w:lineRule="auto"/>
        <w:rPr>
          <w:rFonts w:asciiTheme="minorEastAsia" w:hAnsiTheme="minorEastAsia" w:eastAsiaTheme="minorEastAsia"/>
          <w:b/>
          <w:color w:val="auto"/>
          <w:sz w:val="28"/>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asciiTheme="minorEastAsia" w:hAnsiTheme="minorEastAsia" w:eastAsiaTheme="minorEastAsia"/>
          <w:color w:val="auto"/>
          <w:szCs w:val="24"/>
          <w:highlight w:val="none"/>
        </w:rPr>
        <w:fldChar w:fldCharType="end"/>
      </w:r>
    </w:p>
    <w:p w14:paraId="7C68EF3D">
      <w:pPr>
        <w:spacing w:line="360" w:lineRule="auto"/>
        <w:jc w:val="center"/>
        <w:outlineLvl w:val="0"/>
        <w:rPr>
          <w:rFonts w:asciiTheme="minorEastAsia" w:hAnsiTheme="minorEastAsia" w:eastAsiaTheme="minorEastAsia"/>
          <w:b/>
          <w:color w:val="auto"/>
          <w:sz w:val="28"/>
          <w:highlight w:val="none"/>
        </w:rPr>
      </w:pPr>
      <w:bookmarkStart w:id="1" w:name="_Toc32331"/>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09866E52">
      <w:pPr>
        <w:spacing w:line="360" w:lineRule="auto"/>
        <w:ind w:firstLine="437"/>
        <w:outlineLvl w:val="1"/>
        <w:rPr>
          <w:rFonts w:ascii="宋体" w:hAnsi="宋体" w:eastAsia="宋体"/>
          <w:b/>
          <w:bCs/>
          <w:color w:val="auto"/>
          <w:sz w:val="24"/>
          <w:szCs w:val="18"/>
          <w:highlight w:val="none"/>
        </w:rPr>
      </w:pPr>
      <w:bookmarkStart w:id="2" w:name="_Toc1381"/>
      <w:bookmarkStart w:id="3" w:name="_Toc31518"/>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141432BB">
      <w:pPr>
        <w:spacing w:line="360" w:lineRule="auto"/>
        <w:ind w:firstLine="435"/>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1.项目编号：</w:t>
      </w:r>
      <w:r>
        <w:rPr>
          <w:rFonts w:hint="default" w:asciiTheme="minorEastAsia" w:hAnsiTheme="minorEastAsia" w:eastAsiaTheme="minorEastAsia"/>
          <w:color w:val="auto"/>
          <w:sz w:val="24"/>
          <w:highlight w:val="none"/>
          <w:u w:val="single"/>
          <w:lang w:val="en-US" w:eastAsia="zh-CN"/>
        </w:rPr>
        <w:t>czsjcg202603-011</w:t>
      </w:r>
    </w:p>
    <w:p w14:paraId="4C94746D">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2.项目名称：</w:t>
      </w:r>
      <w:r>
        <w:rPr>
          <w:rFonts w:hint="eastAsia" w:asciiTheme="minorEastAsia" w:hAnsiTheme="minorEastAsia" w:eastAsiaTheme="minorEastAsia"/>
          <w:color w:val="auto"/>
          <w:sz w:val="24"/>
          <w:highlight w:val="none"/>
          <w:u w:val="single"/>
          <w:lang w:eastAsia="zh-CN"/>
        </w:rPr>
        <w:t>天长市人民法院及基层法庭物业服务项目</w:t>
      </w:r>
    </w:p>
    <w:p w14:paraId="3D537B9B">
      <w:pPr>
        <w:spacing w:line="360" w:lineRule="auto"/>
        <w:ind w:firstLine="435"/>
        <w:rPr>
          <w:rFonts w:hint="eastAsia" w:ascii="宋体" w:hAnsi="宋体" w:eastAsiaTheme="minorEastAsia"/>
          <w:color w:val="auto"/>
          <w:sz w:val="24"/>
          <w:szCs w:val="18"/>
          <w:highlight w:val="none"/>
          <w:u w:val="single"/>
          <w:lang w:eastAsia="zh-CN"/>
        </w:rPr>
      </w:pPr>
      <w:r>
        <w:rPr>
          <w:rFonts w:hint="eastAsia" w:asciiTheme="minorEastAsia" w:hAnsiTheme="minorEastAsia" w:eastAsiaTheme="minorEastAsia"/>
          <w:color w:val="auto"/>
          <w:sz w:val="24"/>
          <w:highlight w:val="none"/>
        </w:rPr>
        <w:t>3.预算金额：</w:t>
      </w:r>
      <w:r>
        <w:rPr>
          <w:rFonts w:hint="eastAsia" w:ascii="宋体" w:hAnsi="宋体" w:eastAsia="宋体"/>
          <w:color w:val="auto"/>
          <w:sz w:val="24"/>
          <w:szCs w:val="18"/>
          <w:highlight w:val="none"/>
          <w:u w:val="single"/>
          <w:lang w:val="en-US" w:eastAsia="zh-CN"/>
        </w:rPr>
        <w:t>1326075</w:t>
      </w:r>
      <w:r>
        <w:rPr>
          <w:rFonts w:hint="eastAsia" w:ascii="宋体" w:hAnsi="宋体" w:eastAsia="宋体"/>
          <w:color w:val="auto"/>
          <w:sz w:val="24"/>
          <w:szCs w:val="18"/>
          <w:highlight w:val="none"/>
          <w:u w:val="single"/>
          <w:lang w:eastAsia="zh-CN"/>
        </w:rPr>
        <w:t>元/年</w:t>
      </w:r>
    </w:p>
    <w:p w14:paraId="2E38C93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4.最高限价：</w:t>
      </w:r>
      <w:r>
        <w:rPr>
          <w:rFonts w:hint="eastAsia" w:asciiTheme="minorEastAsia" w:hAnsiTheme="minorEastAsia" w:eastAsiaTheme="minorEastAsia"/>
          <w:color w:val="auto"/>
          <w:sz w:val="24"/>
          <w:highlight w:val="none"/>
          <w:u w:val="single"/>
          <w:lang w:val="en-US" w:eastAsia="zh-CN"/>
        </w:rPr>
        <w:t>132</w:t>
      </w:r>
      <w:r>
        <w:rPr>
          <w:rFonts w:hint="eastAsia" w:asciiTheme="minorEastAsia" w:hAnsiTheme="minorEastAsia" w:eastAsiaTheme="minorEastAsia"/>
          <w:color w:val="auto"/>
          <w:sz w:val="24"/>
          <w:highlight w:val="none"/>
          <w:u w:val="single"/>
          <w:lang w:eastAsia="zh-CN"/>
        </w:rPr>
        <w:t>万元/年</w:t>
      </w:r>
      <w:r>
        <w:rPr>
          <w:rFonts w:hint="eastAsia" w:asciiTheme="minorEastAsia" w:hAnsiTheme="minorEastAsia" w:eastAsiaTheme="minorEastAsia"/>
          <w:color w:val="auto"/>
          <w:sz w:val="24"/>
          <w:highlight w:val="none"/>
          <w:u w:val="single"/>
        </w:rPr>
        <w:t>，投标报价不得高于最高限价，否则按无效投标处理。</w:t>
      </w:r>
    </w:p>
    <w:p w14:paraId="25AA2FB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5.采购需求：</w:t>
      </w:r>
      <w:r>
        <w:rPr>
          <w:rFonts w:hint="eastAsia" w:asciiTheme="minorEastAsia" w:hAnsiTheme="minorEastAsia" w:eastAsiaTheme="minorEastAsia"/>
          <w:color w:val="auto"/>
          <w:sz w:val="24"/>
          <w:highlight w:val="none"/>
          <w:u w:val="single"/>
        </w:rPr>
        <w:t>天长市人民法院大楼建筑物主体的所有公共区域及楼顶、停车库、周边区域及四个人民法庭审判用房建筑物主体的所有公共区域及楼顶、停车库、周边区域等物业服务。</w:t>
      </w:r>
    </w:p>
    <w:p w14:paraId="29AE07F6">
      <w:pPr>
        <w:spacing w:line="360" w:lineRule="auto"/>
        <w:ind w:firstLine="435"/>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6.合同履行期限：</w:t>
      </w:r>
      <w:r>
        <w:rPr>
          <w:rFonts w:hint="eastAsia" w:asciiTheme="minorEastAsia" w:hAnsiTheme="minorEastAsia" w:eastAsiaTheme="minorEastAsia"/>
          <w:color w:val="auto"/>
          <w:sz w:val="24"/>
          <w:highlight w:val="none"/>
          <w:u w:val="single"/>
        </w:rPr>
        <w:t>三年，合同一年一签。</w:t>
      </w:r>
    </w:p>
    <w:p w14:paraId="4B990D6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7.本项目不接受联合体投标。</w:t>
      </w:r>
    </w:p>
    <w:p w14:paraId="69F8806F">
      <w:pPr>
        <w:spacing w:line="360" w:lineRule="auto"/>
        <w:ind w:firstLine="437"/>
        <w:outlineLvl w:val="1"/>
        <w:rPr>
          <w:rFonts w:ascii="宋体" w:hAnsi="宋体" w:eastAsia="宋体"/>
          <w:b/>
          <w:bCs/>
          <w:color w:val="auto"/>
          <w:sz w:val="24"/>
          <w:szCs w:val="18"/>
          <w:highlight w:val="none"/>
        </w:rPr>
      </w:pPr>
      <w:bookmarkStart w:id="4" w:name="_Toc13530"/>
      <w:bookmarkStart w:id="5" w:name="_Toc9204"/>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648C5D6E">
      <w:pPr>
        <w:spacing w:line="360" w:lineRule="auto"/>
        <w:ind w:firstLine="435"/>
        <w:rPr>
          <w:rFonts w:asciiTheme="minorEastAsia" w:hAnsiTheme="minorEastAsia" w:eastAsiaTheme="minorEastAsia"/>
          <w:color w:val="auto"/>
          <w:sz w:val="24"/>
          <w:highlight w:val="none"/>
        </w:rPr>
      </w:pPr>
      <w:bookmarkStart w:id="6" w:name="_Toc30110"/>
      <w:r>
        <w:rPr>
          <w:rFonts w:hint="eastAsia" w:asciiTheme="minorEastAsia" w:hAnsiTheme="minorEastAsia" w:eastAsiaTheme="minorEastAsia"/>
          <w:color w:val="auto"/>
          <w:sz w:val="24"/>
          <w:highlight w:val="none"/>
        </w:rPr>
        <w:t>1.满足《中华人民共和国政府采购法》第二十二条规定；</w:t>
      </w:r>
    </w:p>
    <w:p w14:paraId="588B944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2.落实政府采购政策需满足的资格要求：</w:t>
      </w:r>
    </w:p>
    <w:p w14:paraId="1405084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2.1中小企业政策</w:t>
      </w:r>
    </w:p>
    <w:p w14:paraId="60A0A3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2.1.1本项目专门面向中小企业采购。企业划型标准按照《关于印发中小企业划型标准规定的通知》（工信部联企业〔2011〕300号）规定执行。</w:t>
      </w:r>
    </w:p>
    <w:p w14:paraId="304CE6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 其它落实政府采购政策的资格要求（如有）：/。</w:t>
      </w:r>
    </w:p>
    <w:p w14:paraId="58C2184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3.本项目的特定资格要求：无。</w:t>
      </w:r>
    </w:p>
    <w:p w14:paraId="469A403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4.信誉要求：投标人不得存在以下情形：</w:t>
      </w:r>
    </w:p>
    <w:p w14:paraId="1D81ED4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①被列入“信用中国”网站“失信被执行人”的；</w:t>
      </w:r>
    </w:p>
    <w:p w14:paraId="11379FE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②被列入“信用中国”网站“重大税收违法失信主体”的；</w:t>
      </w:r>
    </w:p>
    <w:p w14:paraId="013C0E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③被列入“信用中国”网站 “严重失信主体名单”的；</w:t>
      </w:r>
    </w:p>
    <w:p w14:paraId="19473E8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④在</w:t>
      </w:r>
      <w:bookmarkStart w:id="7" w:name="OLE_LINK128"/>
      <w:bookmarkStart w:id="8" w:name="OLE_LINK127"/>
      <w:bookmarkStart w:id="9" w:name="OLE_LINK129"/>
      <w:r>
        <w:rPr>
          <w:rFonts w:hint="eastAsia" w:asciiTheme="minorEastAsia" w:hAnsiTheme="minorEastAsia" w:eastAsiaTheme="minorEastAsia"/>
          <w:color w:val="auto"/>
          <w:sz w:val="24"/>
          <w:highlight w:val="none"/>
        </w:rPr>
        <w:t>“信用中国”网站</w:t>
      </w:r>
      <w:bookmarkEnd w:id="7"/>
      <w:bookmarkEnd w:id="8"/>
      <w:bookmarkEnd w:id="9"/>
      <w:r>
        <w:rPr>
          <w:rFonts w:hint="eastAsia" w:asciiTheme="minorEastAsia" w:hAnsiTheme="minorEastAsia" w:eastAsiaTheme="minorEastAsia"/>
          <w:color w:val="auto"/>
          <w:sz w:val="24"/>
          <w:highlight w:val="none"/>
        </w:rPr>
        <w:t>上披露的仍在公示期的严重失信行为(具体行为类别及判定依据见“信用中国”查询的严重失信行为类别及判定依据)的。</w:t>
      </w:r>
    </w:p>
    <w:p w14:paraId="6209B34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⑤被列入国家企业信用信息公示系统网站“经营异常名录”或者“严重违法失信名单”的。</w:t>
      </w:r>
    </w:p>
    <w:p w14:paraId="06D5ED77">
      <w:pPr>
        <w:spacing w:line="360" w:lineRule="auto"/>
        <w:ind w:firstLine="435"/>
        <w:rPr>
          <w:rFonts w:asciiTheme="minorEastAsia" w:hAnsiTheme="minorEastAsia" w:eastAsiaTheme="minorEastAsia"/>
          <w:color w:val="auto"/>
          <w:sz w:val="24"/>
          <w:highlight w:val="none"/>
        </w:rPr>
      </w:pPr>
      <w:bookmarkStart w:id="10" w:name="OLE_LINK113"/>
      <w:bookmarkStart w:id="11" w:name="OLE_LINK114"/>
      <w:r>
        <w:rPr>
          <w:rFonts w:hint="eastAsia" w:asciiTheme="minorEastAsia" w:hAnsiTheme="minorEastAsia" w:eastAsiaTheme="minorEastAsia"/>
          <w:color w:val="auto"/>
          <w:sz w:val="24"/>
          <w:highlight w:val="none"/>
        </w:rPr>
        <w:t>⑥</w:t>
      </w:r>
      <w:bookmarkEnd w:id="10"/>
      <w:bookmarkEnd w:id="11"/>
      <w:r>
        <w:rPr>
          <w:rFonts w:hint="eastAsia" w:asciiTheme="minorEastAsia" w:hAnsiTheme="minorEastAsia" w:eastAsiaTheme="minorEastAsia"/>
          <w:color w:val="auto"/>
          <w:sz w:val="24"/>
          <w:highlight w:val="none"/>
        </w:rPr>
        <w:t>被列入中国政府采购网站“政府采购严重违法失信行为信息记录”的。</w:t>
      </w:r>
    </w:p>
    <w:p w14:paraId="7C931FC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⑦前三年有行贿犯罪行为的单位和个人。</w:t>
      </w:r>
    </w:p>
    <w:p w14:paraId="7DE5FA9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5.投标人所属分公司、办事处等分支机构存在第4款信誉要求①-⑦项情形之一的，接受投标人参加本项目。</w:t>
      </w:r>
    </w:p>
    <w:p w14:paraId="7C8B6DD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备注：第4、5条按照“关于联合惩戒失信行为加强信用查询管理的通知”查询或承诺。</w:t>
      </w:r>
    </w:p>
    <w:p w14:paraId="78F278A6">
      <w:pPr>
        <w:spacing w:line="360" w:lineRule="auto"/>
        <w:ind w:firstLine="437"/>
        <w:outlineLvl w:val="1"/>
        <w:rPr>
          <w:rFonts w:ascii="宋体" w:hAnsi="宋体" w:eastAsia="宋体"/>
          <w:b/>
          <w:bCs/>
          <w:color w:val="auto"/>
          <w:sz w:val="24"/>
          <w:szCs w:val="18"/>
          <w:highlight w:val="none"/>
        </w:rPr>
      </w:pPr>
      <w:bookmarkStart w:id="12" w:name="_Toc21681"/>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12"/>
    </w:p>
    <w:p w14:paraId="2CFE32CD">
      <w:pPr>
        <w:spacing w:line="360" w:lineRule="auto"/>
        <w:ind w:firstLine="435"/>
        <w:rPr>
          <w:rFonts w:asciiTheme="minorEastAsia" w:hAnsiTheme="minorEastAsia" w:eastAsiaTheme="minorEastAsia"/>
          <w:color w:val="auto"/>
          <w:sz w:val="24"/>
          <w:highlight w:val="none"/>
        </w:rPr>
      </w:pPr>
      <w:bookmarkStart w:id="13" w:name="_Toc7957"/>
      <w:r>
        <w:rPr>
          <w:rFonts w:hint="eastAsia" w:asciiTheme="minorEastAsia" w:hAnsiTheme="minorEastAsia" w:eastAsiaTheme="minorEastAsia"/>
          <w:color w:val="auto"/>
          <w:sz w:val="24"/>
          <w:highlight w:val="none"/>
        </w:rPr>
        <w:t>时间：2026年</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lang w:val="en-US" w:eastAsia="zh-CN"/>
        </w:rPr>
        <w:t>24</w:t>
      </w:r>
      <w:r>
        <w:rPr>
          <w:rFonts w:hint="eastAsia" w:asciiTheme="minorEastAsia" w:hAnsiTheme="minorEastAsia" w:eastAsiaTheme="minorEastAsia"/>
          <w:color w:val="auto"/>
          <w:sz w:val="24"/>
          <w:highlight w:val="none"/>
        </w:rPr>
        <w:t>日至2026年</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日（提供期限自本公告发布之日起不得少于5个工作日）</w:t>
      </w:r>
    </w:p>
    <w:p w14:paraId="4A29A04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地点：滁州市公共资源交易中心网</w:t>
      </w:r>
    </w:p>
    <w:p w14:paraId="383B533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方式：网上下载</w:t>
      </w:r>
    </w:p>
    <w:p w14:paraId="54B3D2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售价：0元</w:t>
      </w:r>
    </w:p>
    <w:p w14:paraId="4D18A206">
      <w:pPr>
        <w:spacing w:line="360" w:lineRule="auto"/>
        <w:ind w:firstLine="437"/>
        <w:outlineLvl w:val="1"/>
        <w:rPr>
          <w:rFonts w:ascii="宋体" w:hAnsi="宋体" w:eastAsia="宋体"/>
          <w:b/>
          <w:bCs/>
          <w:color w:val="auto"/>
          <w:sz w:val="24"/>
          <w:szCs w:val="18"/>
          <w:highlight w:val="none"/>
        </w:rPr>
      </w:pPr>
      <w:bookmarkStart w:id="14" w:name="_Toc25902"/>
      <w:r>
        <w:rPr>
          <w:rFonts w:hint="eastAsia" w:ascii="宋体" w:hAnsi="宋体" w:eastAsia="宋体"/>
          <w:b/>
          <w:bCs/>
          <w:color w:val="auto"/>
          <w:sz w:val="24"/>
          <w:szCs w:val="18"/>
          <w:highlight w:val="none"/>
        </w:rPr>
        <w:t>四、</w:t>
      </w:r>
      <w:bookmarkEnd w:id="13"/>
      <w:r>
        <w:rPr>
          <w:rFonts w:hint="eastAsia" w:ascii="宋体" w:hAnsi="宋体" w:eastAsia="宋体"/>
          <w:b/>
          <w:bCs/>
          <w:color w:val="auto"/>
          <w:sz w:val="24"/>
          <w:szCs w:val="18"/>
          <w:highlight w:val="none"/>
        </w:rPr>
        <w:t>提交投标文件截止时间、开标时间和地点</w:t>
      </w:r>
      <w:bookmarkEnd w:id="14"/>
    </w:p>
    <w:p w14:paraId="70BE2645">
      <w:pPr>
        <w:spacing w:line="360" w:lineRule="auto"/>
        <w:ind w:firstLine="435"/>
        <w:rPr>
          <w:rFonts w:asciiTheme="minorEastAsia" w:hAnsiTheme="minorEastAsia" w:eastAsiaTheme="minorEastAsia"/>
          <w:color w:val="auto"/>
          <w:sz w:val="24"/>
          <w:highlight w:val="none"/>
        </w:rPr>
      </w:pPr>
      <w:bookmarkStart w:id="15" w:name="_Toc5082"/>
      <w:r>
        <w:rPr>
          <w:rFonts w:hint="eastAsia" w:asciiTheme="minorEastAsia" w:hAnsiTheme="minorEastAsia" w:eastAsiaTheme="minorEastAsia"/>
          <w:color w:val="auto"/>
          <w:sz w:val="24"/>
          <w:highlight w:val="none"/>
        </w:rPr>
        <w:t>2026年</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日</w:t>
      </w:r>
      <w:r>
        <w:rPr>
          <w:rFonts w:hint="eastAsia" w:asciiTheme="minorEastAsia" w:hAnsiTheme="minorEastAsia" w:eastAsiaTheme="minorEastAsia"/>
          <w:color w:val="auto"/>
          <w:sz w:val="24"/>
          <w:highlight w:val="none"/>
          <w:lang w:val="en-US" w:eastAsia="zh-CN"/>
        </w:rPr>
        <w:t>8</w:t>
      </w:r>
      <w:r>
        <w:rPr>
          <w:rFonts w:hint="eastAsia" w:asciiTheme="minorEastAsia" w:hAnsiTheme="minorEastAsia" w:eastAsiaTheme="minorEastAsia"/>
          <w:color w:val="auto"/>
          <w:sz w:val="24"/>
          <w:highlight w:val="none"/>
        </w:rPr>
        <w:t>点</w:t>
      </w:r>
      <w:r>
        <w:rPr>
          <w:rFonts w:hint="eastAsia" w:asciiTheme="minorEastAsia" w:hAnsiTheme="minorEastAsia" w:eastAsiaTheme="minorEastAsia"/>
          <w:color w:val="auto"/>
          <w:sz w:val="24"/>
          <w:highlight w:val="none"/>
          <w:lang w:val="en-US" w:eastAsia="zh-CN"/>
        </w:rPr>
        <w:t>30</w:t>
      </w:r>
      <w:r>
        <w:rPr>
          <w:rFonts w:hint="eastAsia" w:asciiTheme="minorEastAsia" w:hAnsiTheme="minorEastAsia" w:eastAsiaTheme="minorEastAsia"/>
          <w:color w:val="auto"/>
          <w:sz w:val="24"/>
          <w:highlight w:val="none"/>
        </w:rPr>
        <w:t>分（北京时间）（自招标文件开始发出之日起至投标人提交投标文件截止之日止，不得少于20日）</w:t>
      </w:r>
    </w:p>
    <w:p w14:paraId="69FC2AB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地点：滁州市公共资源交易平台电子交易系统</w:t>
      </w:r>
    </w:p>
    <w:p w14:paraId="17023711">
      <w:pPr>
        <w:spacing w:line="360" w:lineRule="auto"/>
        <w:ind w:firstLine="437"/>
        <w:outlineLvl w:val="1"/>
        <w:rPr>
          <w:rFonts w:ascii="宋体" w:hAnsi="宋体" w:eastAsia="宋体"/>
          <w:b/>
          <w:bCs/>
          <w:color w:val="auto"/>
          <w:sz w:val="24"/>
          <w:szCs w:val="18"/>
          <w:highlight w:val="none"/>
        </w:rPr>
      </w:pPr>
      <w:bookmarkStart w:id="16" w:name="_Toc7753"/>
      <w:r>
        <w:rPr>
          <w:rFonts w:hint="eastAsia" w:ascii="宋体" w:hAnsi="宋体" w:eastAsia="宋体"/>
          <w:b/>
          <w:bCs/>
          <w:color w:val="auto"/>
          <w:sz w:val="24"/>
          <w:szCs w:val="18"/>
          <w:highlight w:val="none"/>
        </w:rPr>
        <w:t>五、</w:t>
      </w:r>
      <w:bookmarkEnd w:id="15"/>
      <w:r>
        <w:rPr>
          <w:rFonts w:hint="eastAsia" w:ascii="宋体" w:hAnsi="宋体" w:eastAsia="宋体"/>
          <w:b/>
          <w:bCs/>
          <w:color w:val="auto"/>
          <w:sz w:val="24"/>
          <w:szCs w:val="18"/>
          <w:highlight w:val="none"/>
        </w:rPr>
        <w:t>公告期限</w:t>
      </w:r>
      <w:bookmarkEnd w:id="16"/>
    </w:p>
    <w:p w14:paraId="65503C94">
      <w:pPr>
        <w:spacing w:line="360" w:lineRule="auto"/>
        <w:ind w:firstLine="435"/>
        <w:rPr>
          <w:rFonts w:asciiTheme="minorEastAsia" w:hAnsiTheme="minorEastAsia" w:eastAsiaTheme="minorEastAsia"/>
          <w:color w:val="auto"/>
          <w:sz w:val="24"/>
          <w:highlight w:val="none"/>
        </w:rPr>
      </w:pPr>
      <w:bookmarkStart w:id="17" w:name="_Toc1215"/>
      <w:r>
        <w:rPr>
          <w:rFonts w:hint="eastAsia" w:asciiTheme="minorEastAsia" w:hAnsiTheme="minorEastAsia" w:eastAsiaTheme="minorEastAsia"/>
          <w:color w:val="auto"/>
          <w:sz w:val="24"/>
          <w:highlight w:val="none"/>
        </w:rPr>
        <w:t>自本公告发布之日起5个工作日。</w:t>
      </w:r>
    </w:p>
    <w:p w14:paraId="48CB9C44">
      <w:pPr>
        <w:spacing w:line="360" w:lineRule="auto"/>
        <w:ind w:firstLine="437"/>
        <w:outlineLvl w:val="1"/>
        <w:rPr>
          <w:rFonts w:ascii="宋体" w:hAnsi="宋体" w:eastAsia="宋体"/>
          <w:b/>
          <w:bCs/>
          <w:color w:val="auto"/>
          <w:sz w:val="24"/>
          <w:szCs w:val="18"/>
          <w:highlight w:val="none"/>
        </w:rPr>
      </w:pPr>
      <w:bookmarkStart w:id="18" w:name="_Toc35393626"/>
      <w:bookmarkStart w:id="19" w:name="_Toc35393795"/>
      <w:bookmarkStart w:id="20" w:name="_Toc31539"/>
      <w:r>
        <w:rPr>
          <w:rFonts w:hint="eastAsia" w:ascii="宋体" w:hAnsi="宋体" w:eastAsia="宋体"/>
          <w:b/>
          <w:bCs/>
          <w:color w:val="auto"/>
          <w:sz w:val="24"/>
          <w:szCs w:val="18"/>
          <w:highlight w:val="none"/>
        </w:rPr>
        <w:t>六、其他补充事宜</w:t>
      </w:r>
      <w:bookmarkEnd w:id="18"/>
      <w:bookmarkEnd w:id="19"/>
      <w:bookmarkEnd w:id="20"/>
    </w:p>
    <w:p w14:paraId="54BAA59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1.项目采用全流程电子化采购方式，相关操作说明如下：</w:t>
      </w:r>
    </w:p>
    <w:bookmarkEnd w:id="17"/>
    <w:p w14:paraId="2350B74C">
      <w:pPr>
        <w:spacing w:line="360" w:lineRule="auto"/>
        <w:ind w:firstLine="435"/>
        <w:rPr>
          <w:rFonts w:asciiTheme="minorEastAsia" w:hAnsiTheme="minorEastAsia" w:eastAsiaTheme="minorEastAsia"/>
          <w:color w:val="auto"/>
          <w:sz w:val="24"/>
          <w:highlight w:val="none"/>
        </w:rPr>
      </w:pPr>
      <w:bookmarkStart w:id="21" w:name="_Toc7265"/>
      <w:bookmarkStart w:id="22" w:name="_Toc13296"/>
      <w:r>
        <w:rPr>
          <w:rFonts w:hint="eastAsia" w:asciiTheme="minorEastAsia" w:hAnsiTheme="minorEastAsia" w:eastAsiaTheme="minorEastAsia"/>
          <w:color w:val="auto"/>
          <w:sz w:val="24"/>
          <w:highlight w:val="none"/>
        </w:rPr>
        <w:t>1.1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2.CA数字证书有关问题：安徽CA客服400-880-4959、0550-3019013（工作日），CFCA客服025-66085508 、0550-3801669（工作日）；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6B0049D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1.2请投标人登录滁州市公共资源交易中心网站查看参加本项目的程序。（具体操作步骤和程序请参见服务指南&gt;交易须知&gt;投标人填写投标信息、下载文件及网上提问操作手册）。</w:t>
      </w:r>
    </w:p>
    <w:p w14:paraId="71CFD17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本项目采用不见面开标（远程解密)方式，开标时投标人无须至开标现场进行解密，开标采取远程解密方式解密投标文件，解密方式为：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w:t>
      </w:r>
    </w:p>
    <w:p w14:paraId="448928D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投标人接到远程解密指令后，须在规定时间内解密。因投标人自身原因导致投标文件在规定时间内未能解密、解密失败或解密超时，投标文件无效；因采购代理机构原因或网上平台发生故障，导致无法按时完成投标文件解密的，经采购代理机构申请后可延迟解密时间。</w:t>
      </w:r>
    </w:p>
    <w:p w14:paraId="049E66AC">
      <w:pPr>
        <w:spacing w:line="360" w:lineRule="auto"/>
        <w:ind w:firstLine="437"/>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七、</w:t>
      </w:r>
      <w:bookmarkEnd w:id="21"/>
      <w:r>
        <w:rPr>
          <w:rFonts w:hint="eastAsia" w:ascii="宋体" w:hAnsi="宋体" w:eastAsia="宋体"/>
          <w:b/>
          <w:bCs/>
          <w:color w:val="auto"/>
          <w:sz w:val="24"/>
          <w:szCs w:val="18"/>
          <w:highlight w:val="none"/>
        </w:rPr>
        <w:t>对本次招标提出询问，请按以下方式联系</w:t>
      </w:r>
      <w:bookmarkEnd w:id="22"/>
    </w:p>
    <w:p w14:paraId="6A239C77">
      <w:pPr>
        <w:spacing w:line="360" w:lineRule="auto"/>
        <w:ind w:firstLine="437"/>
        <w:outlineLvl w:val="2"/>
        <w:rPr>
          <w:rFonts w:ascii="宋体" w:hAnsi="宋体" w:eastAsia="宋体"/>
          <w:color w:val="auto"/>
          <w:sz w:val="24"/>
          <w:szCs w:val="18"/>
          <w:highlight w:val="none"/>
        </w:rPr>
      </w:pPr>
      <w:r>
        <w:rPr>
          <w:rFonts w:hint="eastAsia" w:ascii="宋体" w:hAnsi="宋体" w:eastAsia="宋体"/>
          <w:color w:val="auto"/>
          <w:sz w:val="24"/>
          <w:szCs w:val="18"/>
          <w:highlight w:val="none"/>
        </w:rPr>
        <w:t>1.采购人信息</w:t>
      </w:r>
    </w:p>
    <w:p w14:paraId="70D367F2">
      <w:pPr>
        <w:spacing w:line="360" w:lineRule="auto"/>
        <w:ind w:firstLine="435"/>
        <w:rPr>
          <w:rFonts w:hint="eastAsia" w:ascii="宋体" w:hAnsi="宋体" w:eastAsia="宋体" w:cs="宋体"/>
          <w:color w:val="auto"/>
          <w:kern w:val="1"/>
          <w:sz w:val="24"/>
          <w:szCs w:val="24"/>
          <w:highlight w:val="none"/>
          <w:u w:val="single"/>
          <w:lang w:eastAsia="zh-CN"/>
        </w:rPr>
      </w:pPr>
      <w:r>
        <w:rPr>
          <w:rFonts w:hint="eastAsia" w:ascii="宋体" w:hAnsi="宋体" w:eastAsia="宋体" w:cs="宋体"/>
          <w:color w:val="auto"/>
          <w:sz w:val="24"/>
          <w:szCs w:val="24"/>
          <w:highlight w:val="none"/>
        </w:rPr>
        <w:t>名  称</w:t>
      </w:r>
      <w:r>
        <w:rPr>
          <w:rFonts w:hint="eastAsia" w:ascii="宋体" w:hAnsi="宋体" w:eastAsia="宋体"/>
          <w:color w:val="auto"/>
          <w:sz w:val="24"/>
          <w:szCs w:val="18"/>
          <w:highlight w:val="none"/>
        </w:rPr>
        <w:t>：</w:t>
      </w:r>
      <w:r>
        <w:rPr>
          <w:rFonts w:hint="eastAsia" w:ascii="宋体" w:hAnsi="宋体" w:eastAsia="宋体" w:cs="宋体"/>
          <w:color w:val="auto"/>
          <w:kern w:val="1"/>
          <w:sz w:val="24"/>
          <w:szCs w:val="24"/>
          <w:highlight w:val="none"/>
          <w:u w:val="single"/>
          <w:lang w:eastAsia="zh-CN"/>
        </w:rPr>
        <w:t>天长市人民法院</w:t>
      </w:r>
    </w:p>
    <w:p w14:paraId="36C59E30">
      <w:pPr>
        <w:spacing w:line="360" w:lineRule="auto"/>
        <w:ind w:firstLine="435"/>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kern w:val="1"/>
          <w:sz w:val="24"/>
          <w:szCs w:val="24"/>
          <w:highlight w:val="none"/>
          <w:u w:val="single"/>
          <w:lang w:eastAsia="zh-CN"/>
        </w:rPr>
        <w:t>天长市广陵路与二凤路交叉口</w:t>
      </w:r>
    </w:p>
    <w:p w14:paraId="0B9FFE33">
      <w:pPr>
        <w:spacing w:line="360" w:lineRule="auto"/>
        <w:ind w:firstLine="43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eastAsia="zh-CN"/>
        </w:rPr>
        <w:t>刘刚</w:t>
      </w:r>
    </w:p>
    <w:p w14:paraId="486B492F">
      <w:pPr>
        <w:spacing w:line="360" w:lineRule="auto"/>
        <w:ind w:firstLine="435"/>
        <w:rPr>
          <w:rFonts w:hint="eastAsia" w:ascii="宋体" w:hAnsi="宋体" w:eastAsia="宋体" w:cs="宋体"/>
          <w:color w:val="auto"/>
          <w:kern w:val="1"/>
          <w:sz w:val="24"/>
          <w:szCs w:val="24"/>
          <w:highlight w:val="none"/>
          <w:u w:val="single"/>
          <w:lang w:val="en"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kern w:val="1"/>
          <w:sz w:val="24"/>
          <w:szCs w:val="24"/>
          <w:highlight w:val="none"/>
          <w:u w:val="single"/>
          <w:lang w:val="en" w:eastAsia="zh-CN"/>
        </w:rPr>
        <w:t>0550-7316850</w:t>
      </w:r>
    </w:p>
    <w:p w14:paraId="337F7F1A">
      <w:pPr>
        <w:spacing w:line="360" w:lineRule="auto"/>
        <w:ind w:firstLine="437"/>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57B36692">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kern w:val="1"/>
          <w:sz w:val="24"/>
          <w:szCs w:val="24"/>
          <w:highlight w:val="none"/>
          <w:u w:val="single"/>
        </w:rPr>
        <w:t>滁州市政府采购中心</w:t>
      </w:r>
    </w:p>
    <w:p w14:paraId="4C904354">
      <w:pPr>
        <w:spacing w:line="360" w:lineRule="auto"/>
        <w:ind w:firstLine="435"/>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kern w:val="1"/>
          <w:sz w:val="24"/>
          <w:szCs w:val="24"/>
          <w:highlight w:val="none"/>
          <w:u w:val="single"/>
        </w:rPr>
        <w:t>滁州市龙蟠大道109号房产商务大厦2楼</w:t>
      </w:r>
    </w:p>
    <w:p w14:paraId="6FD0A1C9">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王芳</w:t>
      </w:r>
    </w:p>
    <w:p w14:paraId="42CD8CA9">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kern w:val="1"/>
          <w:sz w:val="24"/>
          <w:szCs w:val="24"/>
          <w:highlight w:val="none"/>
          <w:u w:val="single"/>
        </w:rPr>
        <w:t>0550-3519519、18955055067</w:t>
      </w:r>
    </w:p>
    <w:p w14:paraId="348CC0B9">
      <w:pPr>
        <w:spacing w:line="360" w:lineRule="auto"/>
        <w:ind w:firstLine="437"/>
        <w:outlineLvl w:val="2"/>
        <w:rPr>
          <w:rFonts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政府采购监督管理部门信息</w:t>
      </w:r>
    </w:p>
    <w:p w14:paraId="21B93C36">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滁州市公共资源交易监督管理局</w:t>
      </w:r>
    </w:p>
    <w:p w14:paraId="4E363E08">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滁州市龙蟠大道109号房产商务大厦3楼</w:t>
      </w:r>
    </w:p>
    <w:p w14:paraId="53412D7A">
      <w:pPr>
        <w:spacing w:line="360" w:lineRule="auto"/>
        <w:ind w:firstLine="435"/>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rPr>
        <w:t>0550-3801601</w:t>
      </w:r>
    </w:p>
    <w:p w14:paraId="1AA1B7A1">
      <w:pPr>
        <w:widowControl/>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69858D8">
      <w:pPr>
        <w:spacing w:line="360" w:lineRule="auto"/>
        <w:jc w:val="center"/>
        <w:outlineLvl w:val="0"/>
        <w:rPr>
          <w:rFonts w:asciiTheme="minorEastAsia" w:hAnsiTheme="minorEastAsia" w:eastAsiaTheme="minorEastAsia"/>
          <w:b/>
          <w:color w:val="auto"/>
          <w:sz w:val="28"/>
          <w:highlight w:val="none"/>
        </w:rPr>
      </w:pPr>
      <w:bookmarkStart w:id="23" w:name="_Toc8888"/>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投标人须知</w:t>
      </w:r>
      <w:bookmarkEnd w:id="23"/>
    </w:p>
    <w:p w14:paraId="66F740A5">
      <w:pPr>
        <w:spacing w:line="360" w:lineRule="auto"/>
        <w:jc w:val="center"/>
        <w:outlineLvl w:val="1"/>
        <w:rPr>
          <w:rFonts w:asciiTheme="minorEastAsia" w:hAnsiTheme="minorEastAsia" w:eastAsiaTheme="minorEastAsia"/>
          <w:b/>
          <w:color w:val="auto"/>
          <w:sz w:val="24"/>
          <w:highlight w:val="none"/>
        </w:rPr>
      </w:pPr>
      <w:bookmarkStart w:id="24" w:name="_Toc7178"/>
      <w:bookmarkStart w:id="25" w:name="_Toc13589"/>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24"/>
      <w:bookmarkEnd w:id="25"/>
    </w:p>
    <w:p w14:paraId="18CABA89">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8"/>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40B19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734B431">
            <w:pPr>
              <w:pStyle w:val="46"/>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5D15B8A4">
            <w:pPr>
              <w:pStyle w:val="46"/>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18387C16">
            <w:pPr>
              <w:pStyle w:val="46"/>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03B44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01E35B3">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5</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52093C7C">
            <w:pPr>
              <w:pStyle w:val="46"/>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kern w:val="2"/>
                <w:sz w:val="24"/>
                <w:szCs w:val="22"/>
                <w:highlight w:val="none"/>
              </w:rPr>
              <w:t>现场考察或标前答疑会</w:t>
            </w:r>
          </w:p>
        </w:tc>
        <w:tc>
          <w:tcPr>
            <w:tcW w:w="3244" w:type="pct"/>
            <w:vAlign w:val="center"/>
          </w:tcPr>
          <w:p w14:paraId="7358700F">
            <w:pPr>
              <w:spacing w:line="360" w:lineRule="auto"/>
              <w:rPr>
                <w:rFonts w:ascii="宋体" w:hAnsi="宋体" w:eastAsia="宋体"/>
                <w:bCs/>
                <w:color w:val="auto"/>
                <w:sz w:val="24"/>
                <w:highlight w:val="none"/>
              </w:rPr>
            </w:pPr>
            <w:r>
              <w:rPr>
                <w:rFonts w:hint="eastAsia" w:ascii="宋体" w:hAnsi="宋体" w:eastAsia="宋体"/>
                <w:bCs/>
                <w:color w:val="auto"/>
                <w:sz w:val="24"/>
                <w:szCs w:val="24"/>
                <w:highlight w:val="none"/>
              </w:rPr>
              <w:t>☑</w:t>
            </w:r>
            <w:r>
              <w:rPr>
                <w:rFonts w:hint="eastAsia" w:ascii="宋体" w:hAnsi="宋体" w:eastAsia="宋体"/>
                <w:color w:val="auto"/>
                <w:sz w:val="24"/>
                <w:highlight w:val="none"/>
              </w:rPr>
              <w:t>不组织或不召开</w:t>
            </w:r>
          </w:p>
          <w:p w14:paraId="20F7DB0B">
            <w:pPr>
              <w:spacing w:line="360" w:lineRule="auto"/>
              <w:rPr>
                <w:rFonts w:ascii="宋体" w:hAnsi="宋体" w:eastAsia="宋体"/>
                <w:bCs/>
                <w:color w:val="auto"/>
                <w:sz w:val="24"/>
                <w:highlight w:val="none"/>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统一组织或统一召开</w:t>
            </w:r>
          </w:p>
          <w:p w14:paraId="540C70AA">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w:t>
            </w:r>
            <w:r>
              <w:rPr>
                <w:rFonts w:hint="eastAsia" w:ascii="宋体" w:hAnsi="宋体" w:eastAsia="宋体"/>
                <w:bCs/>
                <w:color w:val="auto"/>
                <w:sz w:val="24"/>
                <w:highlight w:val="none"/>
              </w:rPr>
              <w:t>分</w:t>
            </w:r>
          </w:p>
          <w:p w14:paraId="11823EED">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w:t>
            </w:r>
          </w:p>
          <w:p w14:paraId="3F5B0914">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w:t>
            </w:r>
          </w:p>
          <w:p w14:paraId="7BDAE787">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Cs w:val="0"/>
                <w:color w:val="auto"/>
                <w:sz w:val="24"/>
                <w:highlight w:val="none"/>
              </w:rPr>
              <w:t>注：如投标人未参加采购人统一组织的现场考察或采购人统一召开的标前答疑会，视同放弃现场考察或标前答疑会，由此引起的一切责任由投标人自行承担。</w:t>
            </w:r>
          </w:p>
        </w:tc>
      </w:tr>
      <w:tr w14:paraId="43FF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4A33431">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6</w:t>
            </w:r>
            <w:r>
              <w:rPr>
                <w:rFonts w:ascii="宋体" w:hAnsi="宋体" w:eastAsia="宋体"/>
                <w:bCs/>
                <w:color w:val="auto"/>
                <w:kern w:val="2"/>
                <w:highlight w:val="none"/>
              </w:rPr>
              <w:t>.1</w:t>
            </w:r>
          </w:p>
        </w:tc>
        <w:tc>
          <w:tcPr>
            <w:tcW w:w="1174" w:type="pct"/>
            <w:vAlign w:val="center"/>
          </w:tcPr>
          <w:p w14:paraId="5492F764">
            <w:pPr>
              <w:pStyle w:val="46"/>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3065C8F7">
            <w:pPr>
              <w:pStyle w:val="46"/>
              <w:widowControl w:val="0"/>
              <w:spacing w:before="0" w:beforeAutospacing="0" w:after="0" w:afterAutospacing="0"/>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2026</w:t>
            </w:r>
            <w:r>
              <w:rPr>
                <w:rFonts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3</w:t>
            </w:r>
            <w:r>
              <w:rPr>
                <w:rFonts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 xml:space="preserve"> 31 </w:t>
            </w:r>
            <w:r>
              <w:rPr>
                <w:rFonts w:ascii="宋体" w:hAnsi="宋体" w:eastAsia="宋体"/>
                <w:b w:val="0"/>
                <w:color w:val="auto"/>
                <w:sz w:val="24"/>
                <w:highlight w:val="none"/>
              </w:rPr>
              <w:t>日</w:t>
            </w:r>
            <w:r>
              <w:rPr>
                <w:rFonts w:hint="eastAsia" w:ascii="宋体" w:hAnsi="宋体" w:eastAsia="宋体"/>
                <w:b w:val="0"/>
                <w:color w:val="auto"/>
                <w:sz w:val="24"/>
                <w:highlight w:val="none"/>
                <w:lang w:val="en-US" w:eastAsia="zh-CN"/>
              </w:rPr>
              <w:t>17</w:t>
            </w:r>
            <w:r>
              <w:rPr>
                <w:rFonts w:ascii="宋体" w:hAnsi="宋体" w:eastAsia="宋体"/>
                <w:b w:val="0"/>
                <w:color w:val="auto"/>
                <w:sz w:val="24"/>
                <w:highlight w:val="none"/>
              </w:rPr>
              <w:t>时</w:t>
            </w:r>
            <w:r>
              <w:rPr>
                <w:rFonts w:hint="eastAsia" w:ascii="宋体" w:hAnsi="宋体" w:eastAsia="宋体"/>
                <w:b w:val="0"/>
                <w:color w:val="auto"/>
                <w:sz w:val="24"/>
                <w:highlight w:val="none"/>
                <w:lang w:val="en-US" w:eastAsia="zh-CN"/>
              </w:rPr>
              <w:t>30</w:t>
            </w:r>
            <w:r>
              <w:rPr>
                <w:rFonts w:hint="eastAsia" w:ascii="宋体" w:hAnsi="宋体" w:eastAsia="宋体"/>
                <w:b w:val="0"/>
                <w:color w:val="auto"/>
                <w:sz w:val="24"/>
                <w:highlight w:val="none"/>
              </w:rPr>
              <w:t>分</w:t>
            </w:r>
          </w:p>
        </w:tc>
      </w:tr>
      <w:tr w14:paraId="625CB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29D7D80">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7</w:t>
            </w:r>
            <w:r>
              <w:rPr>
                <w:rFonts w:ascii="宋体" w:hAnsi="宋体" w:eastAsia="宋体"/>
                <w:bCs/>
                <w:color w:val="auto"/>
                <w:kern w:val="2"/>
                <w:highlight w:val="none"/>
              </w:rPr>
              <w:t>.1</w:t>
            </w:r>
          </w:p>
        </w:tc>
        <w:tc>
          <w:tcPr>
            <w:tcW w:w="1174" w:type="pct"/>
            <w:vAlign w:val="center"/>
          </w:tcPr>
          <w:p w14:paraId="76013325">
            <w:pPr>
              <w:pStyle w:val="46"/>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54CD4F5F">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ascii="宋体" w:hAnsi="宋体" w:eastAsia="宋体"/>
                <w:b w:val="0"/>
                <w:color w:val="auto"/>
                <w:sz w:val="24"/>
                <w:highlight w:val="none"/>
              </w:rPr>
              <w:t>不分包     □分为</w:t>
            </w:r>
            <w:r>
              <w:rPr>
                <w:rFonts w:hint="eastAsia" w:ascii="宋体" w:hAnsi="宋体" w:eastAsia="宋体"/>
                <w:b w:val="0"/>
                <w:color w:val="auto"/>
                <w:sz w:val="24"/>
                <w:highlight w:val="none"/>
              </w:rPr>
              <w:t>/</w:t>
            </w:r>
            <w:r>
              <w:rPr>
                <w:rFonts w:ascii="宋体" w:hAnsi="宋体" w:eastAsia="宋体"/>
                <w:b w:val="0"/>
                <w:color w:val="auto"/>
                <w:sz w:val="24"/>
                <w:highlight w:val="none"/>
              </w:rPr>
              <w:t>个包</w:t>
            </w:r>
          </w:p>
          <w:p w14:paraId="42BCB328">
            <w:pPr>
              <w:pStyle w:val="46"/>
              <w:widowControl w:val="0"/>
              <w:spacing w:before="0" w:beforeAutospacing="0" w:after="0" w:afterAutospacing="0"/>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w:t>
            </w:r>
          </w:p>
        </w:tc>
      </w:tr>
      <w:tr w14:paraId="74924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81" w:type="pct"/>
            <w:vAlign w:val="center"/>
          </w:tcPr>
          <w:p w14:paraId="24A76D1D">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10</w:t>
            </w:r>
            <w:r>
              <w:rPr>
                <w:rFonts w:ascii="宋体" w:hAnsi="宋体" w:eastAsia="宋体"/>
                <w:bCs/>
                <w:color w:val="auto"/>
                <w:kern w:val="2"/>
                <w:highlight w:val="none"/>
              </w:rPr>
              <w:t>.1</w:t>
            </w:r>
          </w:p>
        </w:tc>
        <w:tc>
          <w:tcPr>
            <w:tcW w:w="1174" w:type="pct"/>
            <w:vAlign w:val="center"/>
          </w:tcPr>
          <w:p w14:paraId="68B81AB2">
            <w:pPr>
              <w:pStyle w:val="46"/>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288E3547">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3149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4991C9C">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11</w:t>
            </w:r>
            <w:r>
              <w:rPr>
                <w:rFonts w:ascii="宋体" w:hAnsi="宋体" w:eastAsia="宋体"/>
                <w:bCs/>
                <w:color w:val="auto"/>
                <w:kern w:val="2"/>
                <w:highlight w:val="none"/>
              </w:rPr>
              <w:t>.1</w:t>
            </w:r>
          </w:p>
        </w:tc>
        <w:tc>
          <w:tcPr>
            <w:tcW w:w="1174" w:type="pct"/>
            <w:vAlign w:val="center"/>
          </w:tcPr>
          <w:p w14:paraId="231BF05F">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5885F71B">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90 </w:t>
            </w:r>
            <w:r>
              <w:rPr>
                <w:rFonts w:hint="eastAsia" w:ascii="宋体" w:hAnsi="宋体" w:eastAsia="宋体"/>
                <w:b w:val="0"/>
                <w:color w:val="auto"/>
                <w:sz w:val="24"/>
                <w:highlight w:val="none"/>
              </w:rPr>
              <w:t>日历日</w:t>
            </w:r>
          </w:p>
        </w:tc>
      </w:tr>
      <w:tr w14:paraId="4B5FD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0EDF7D5">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13</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4D9DFE51">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投标文件解密时间</w:t>
            </w:r>
          </w:p>
        </w:tc>
        <w:tc>
          <w:tcPr>
            <w:tcW w:w="3244" w:type="pct"/>
            <w:vAlign w:val="center"/>
          </w:tcPr>
          <w:p w14:paraId="27D1856D">
            <w:pPr>
              <w:pStyle w:val="46"/>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投标截止时间后</w:t>
            </w:r>
            <w:r>
              <w:rPr>
                <w:rFonts w:hint="eastAsia" w:ascii="宋体" w:hAnsi="宋体" w:eastAsia="宋体"/>
                <w:b w:val="0"/>
                <w:color w:val="auto"/>
                <w:sz w:val="24"/>
                <w:highlight w:val="none"/>
                <w:u w:val="single"/>
              </w:rPr>
              <w:t xml:space="preserve">  60  </w:t>
            </w:r>
            <w:r>
              <w:rPr>
                <w:rFonts w:hint="eastAsia" w:ascii="宋体" w:hAnsi="宋体" w:eastAsia="宋体"/>
                <w:b w:val="0"/>
                <w:color w:val="auto"/>
                <w:sz w:val="24"/>
                <w:highlight w:val="none"/>
              </w:rPr>
              <w:t>分钟内</w:t>
            </w:r>
            <w:r>
              <w:rPr>
                <w:rFonts w:hint="eastAsia" w:ascii="宋体" w:hAnsi="宋体" w:eastAsia="宋体" w:cs="宋体"/>
                <w:b w:val="0"/>
                <w:color w:val="auto"/>
                <w:sz w:val="24"/>
                <w:szCs w:val="24"/>
                <w:highlight w:val="none"/>
              </w:rPr>
              <w:t>（以本项目网上招投标系统解密倒计时为准）</w:t>
            </w:r>
          </w:p>
        </w:tc>
      </w:tr>
      <w:tr w14:paraId="36983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D551B1">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14.1</w:t>
            </w:r>
          </w:p>
        </w:tc>
        <w:tc>
          <w:tcPr>
            <w:tcW w:w="1174" w:type="pct"/>
            <w:vAlign w:val="center"/>
          </w:tcPr>
          <w:p w14:paraId="06E0D9E6">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1D592196">
            <w:pPr>
              <w:pStyle w:val="46"/>
              <w:widowControl w:val="0"/>
              <w:spacing w:before="0" w:beforeAutospacing="0" w:after="0" w:afterAutospacing="0" w:line="360" w:lineRule="auto"/>
              <w:jc w:val="both"/>
              <w:rPr>
                <w:rFonts w:ascii="宋体" w:hAnsi="宋体" w:eastAsia="宋体"/>
                <w:b w:val="0"/>
                <w:bCs w:val="0"/>
                <w:color w:val="auto"/>
                <w:sz w:val="24"/>
                <w:highlight w:val="none"/>
              </w:rPr>
            </w:pPr>
            <w:r>
              <w:rPr>
                <w:rFonts w:hint="eastAsia" w:ascii="宋体" w:hAnsi="宋体" w:eastAsia="宋体"/>
                <w:b w:val="0"/>
                <w:bCs w:val="0"/>
                <w:strike w:val="0"/>
                <w:dstrike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43651665">
            <w:pPr>
              <w:pStyle w:val="46"/>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采购人出具委托函委托采购代理机构进行审查</w:t>
            </w:r>
          </w:p>
        </w:tc>
      </w:tr>
      <w:tr w14:paraId="5B3A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95FAC41">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17</w:t>
            </w:r>
            <w:r>
              <w:rPr>
                <w:rFonts w:ascii="宋体" w:hAnsi="宋体" w:eastAsia="宋体"/>
                <w:bCs/>
                <w:color w:val="auto"/>
                <w:kern w:val="2"/>
                <w:highlight w:val="none"/>
              </w:rPr>
              <w:t>.2</w:t>
            </w:r>
          </w:p>
        </w:tc>
        <w:tc>
          <w:tcPr>
            <w:tcW w:w="1174" w:type="pct"/>
            <w:vAlign w:val="center"/>
          </w:tcPr>
          <w:p w14:paraId="414E0800">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2A41D24B">
            <w:pPr>
              <w:pStyle w:val="46"/>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color w:val="auto"/>
                <w:sz w:val="24"/>
                <w:highlight w:val="none"/>
              </w:rPr>
              <w:t>最低评标价法</w:t>
            </w:r>
          </w:p>
          <w:p w14:paraId="7E7960E3">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color w:val="auto"/>
                <w:sz w:val="24"/>
                <w:highlight w:val="none"/>
              </w:rPr>
              <w:t>综合评分法</w:t>
            </w:r>
          </w:p>
        </w:tc>
      </w:tr>
      <w:tr w14:paraId="144F1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6B63DDB">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17</w:t>
            </w:r>
            <w:r>
              <w:rPr>
                <w:rFonts w:ascii="宋体" w:hAnsi="宋体" w:eastAsia="宋体"/>
                <w:bCs/>
                <w:color w:val="auto"/>
                <w:kern w:val="2"/>
                <w:highlight w:val="none"/>
              </w:rPr>
              <w:t>.3</w:t>
            </w:r>
          </w:p>
        </w:tc>
        <w:tc>
          <w:tcPr>
            <w:tcW w:w="1174" w:type="pct"/>
            <w:vAlign w:val="center"/>
          </w:tcPr>
          <w:p w14:paraId="5C9AE42C">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报价扣除</w:t>
            </w:r>
          </w:p>
          <w:p w14:paraId="448BB0BE">
            <w:pPr>
              <w:pStyle w:val="46"/>
              <w:widowControl w:val="0"/>
              <w:spacing w:before="0" w:beforeAutospacing="0" w:after="0" w:afterAutospacing="0" w:line="360" w:lineRule="auto"/>
              <w:jc w:val="both"/>
              <w:rPr>
                <w:rFonts w:ascii="宋体" w:hAnsi="宋体" w:eastAsia="宋体"/>
                <w:b w:val="0"/>
                <w:i/>
                <w:color w:val="auto"/>
                <w:sz w:val="24"/>
                <w:highlight w:val="none"/>
              </w:rPr>
            </w:pPr>
            <w:r>
              <w:rPr>
                <w:rFonts w:hint="eastAsia" w:ascii="宋体" w:hAnsi="宋体" w:eastAsia="宋体"/>
                <w:b w:val="0"/>
                <w:i/>
                <w:color w:val="auto"/>
                <w:sz w:val="24"/>
                <w:highlight w:val="none"/>
              </w:rPr>
              <w:t>（非专门面向中小企业采购项目适用）</w:t>
            </w:r>
          </w:p>
        </w:tc>
        <w:tc>
          <w:tcPr>
            <w:tcW w:w="3244" w:type="pct"/>
            <w:vAlign w:val="center"/>
          </w:tcPr>
          <w:p w14:paraId="472FE084">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rPr>
              <w:t>对小型和微型企业产品的价格给予10%的扣除后参与评审；其评审价=投标报价*90%</w:t>
            </w:r>
            <w:r>
              <w:rPr>
                <w:rFonts w:hint="eastAsia" w:ascii="宋体" w:hAnsi="宋体" w:eastAsia="宋体"/>
                <w:b w:val="0"/>
                <w:color w:val="auto"/>
                <w:sz w:val="24"/>
                <w:highlight w:val="none"/>
              </w:rPr>
              <w:t>。</w:t>
            </w:r>
          </w:p>
          <w:p w14:paraId="0941173C">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（2）监狱企业价格扣除：同</w:t>
            </w:r>
            <w:r>
              <w:rPr>
                <w:rFonts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7753032D">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（3）残疾人福利性单位价格扣除：同</w:t>
            </w:r>
            <w:r>
              <w:rPr>
                <w:rFonts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404794D2">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rPr>
              <w:t>/</w:t>
            </w:r>
            <w:r>
              <w:rPr>
                <w:rFonts w:hint="eastAsia" w:ascii="宋体" w:hAnsi="宋体" w:eastAsia="宋体"/>
                <w:b w:val="0"/>
                <w:color w:val="auto"/>
                <w:sz w:val="24"/>
                <w:highlight w:val="none"/>
              </w:rPr>
              <w:t>。</w:t>
            </w:r>
          </w:p>
          <w:p w14:paraId="27A37DAC">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rPr>
              <w:t>/</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1E611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shd w:val="clear" w:color="auto" w:fill="auto"/>
            <w:vAlign w:val="center"/>
          </w:tcPr>
          <w:p w14:paraId="154E3A44">
            <w:pPr>
              <w:jc w:val="center"/>
              <w:rPr>
                <w:rFonts w:hint="eastAsia" w:ascii="宋体" w:hAnsi="宋体" w:eastAsia="@仿宋_GB2312" w:cs="@仿宋_GB2312"/>
                <w:bCs/>
                <w:color w:val="auto"/>
                <w:kern w:val="2"/>
                <w:sz w:val="24"/>
                <w:szCs w:val="20"/>
                <w:highlight w:val="none"/>
                <w:lang w:val="en-US" w:eastAsia="zh-CN" w:bidi="ar-SA"/>
              </w:rPr>
            </w:pPr>
            <w:r>
              <w:rPr>
                <w:rFonts w:hint="eastAsia" w:ascii="宋体" w:hAnsi="宋体" w:cs="@仿宋_GB2312"/>
                <w:bCs/>
                <w:color w:val="auto"/>
                <w:sz w:val="24"/>
                <w:szCs w:val="20"/>
                <w:highlight w:val="none"/>
              </w:rPr>
              <w:t>17.4</w:t>
            </w:r>
          </w:p>
        </w:tc>
        <w:tc>
          <w:tcPr>
            <w:tcW w:w="1174" w:type="pct"/>
            <w:shd w:val="clear" w:color="auto" w:fill="auto"/>
            <w:vAlign w:val="center"/>
          </w:tcPr>
          <w:p w14:paraId="365EE559">
            <w:pPr>
              <w:rPr>
                <w:rFonts w:hint="eastAsia" w:ascii="宋体" w:hAnsi="宋体" w:eastAsia="@仿宋_GB2312" w:cs="@仿宋_GB2312"/>
                <w:bCs/>
                <w:color w:val="auto"/>
                <w:kern w:val="0"/>
                <w:sz w:val="24"/>
                <w:szCs w:val="28"/>
                <w:highlight w:val="none"/>
                <w:lang w:val="en-US" w:eastAsia="zh-CN" w:bidi="ar-SA"/>
              </w:rPr>
            </w:pPr>
            <w:r>
              <w:rPr>
                <w:rFonts w:hint="eastAsia" w:ascii="宋体" w:hAnsi="宋体"/>
                <w:color w:val="auto"/>
                <w:sz w:val="24"/>
                <w:highlight w:val="none"/>
              </w:rPr>
              <w:t>本国产品价格扣除（适用于服务项目中涉及的既有本国产品又有非本国产品参与竞争的货物）</w:t>
            </w:r>
          </w:p>
        </w:tc>
        <w:tc>
          <w:tcPr>
            <w:tcW w:w="3244" w:type="pct"/>
            <w:shd w:val="clear" w:color="auto" w:fill="auto"/>
            <w:vAlign w:val="center"/>
          </w:tcPr>
          <w:p w14:paraId="1A3F15FD">
            <w:pPr>
              <w:rPr>
                <w:rFonts w:hint="eastAsia" w:ascii="宋体" w:hAnsi="宋体" w:cs="@仿宋_GB2312"/>
                <w:bCs/>
                <w:color w:val="auto"/>
                <w:kern w:val="0"/>
                <w:sz w:val="24"/>
                <w:szCs w:val="28"/>
                <w:highlight w:val="none"/>
              </w:rPr>
            </w:pPr>
            <w:r>
              <w:rPr>
                <w:rFonts w:hint="eastAsia" w:ascii="宋体" w:hAnsi="宋体" w:cs="@仿宋_GB2312"/>
                <w:bCs/>
                <w:color w:val="auto"/>
                <w:kern w:val="0"/>
                <w:sz w:val="24"/>
                <w:szCs w:val="28"/>
                <w:highlight w:val="none"/>
              </w:rPr>
              <w:t>（1）项目或者采购包中采购内容为单一产品的，既有本国产品又有非本国产品参与竞争的，对本国产品给予价格扣除20%。</w:t>
            </w:r>
          </w:p>
          <w:p w14:paraId="4B7C11F2">
            <w:pPr>
              <w:rPr>
                <w:rFonts w:hint="eastAsia" w:ascii="宋体" w:hAnsi="宋体" w:eastAsia="@仿宋_GB2312" w:cs="@仿宋_GB2312"/>
                <w:bCs/>
                <w:color w:val="auto"/>
                <w:kern w:val="0"/>
                <w:sz w:val="24"/>
                <w:szCs w:val="28"/>
                <w:highlight w:val="none"/>
                <w:lang w:val="en-US" w:eastAsia="zh-CN" w:bidi="ar-SA"/>
              </w:rPr>
            </w:pPr>
            <w:r>
              <w:rPr>
                <w:rFonts w:hint="eastAsia" w:ascii="宋体" w:hAnsi="宋体" w:cs="@仿宋_GB2312"/>
                <w:bCs/>
                <w:color w:val="auto"/>
                <w:kern w:val="0"/>
                <w:sz w:val="24"/>
                <w:szCs w:val="28"/>
                <w:highlight w:val="none"/>
              </w:rPr>
              <w:t>（2）项目或者采购包中含有多种产品的，符合本国产品标准的产品成本之和占该投标人提供的全部产品成本之和的比例≥80%，所有产品价格扣除20%。</w:t>
            </w:r>
          </w:p>
        </w:tc>
      </w:tr>
      <w:tr w14:paraId="36DFC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5A09CE0">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74A289AD">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4" w:type="pct"/>
            <w:vAlign w:val="center"/>
          </w:tcPr>
          <w:p w14:paraId="54B379E9">
            <w:pPr>
              <w:pStyle w:val="46"/>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cs="宋体"/>
                <w:b w:val="0"/>
                <w:color w:val="auto"/>
                <w:sz w:val="24"/>
                <w:szCs w:val="24"/>
                <w:highlight w:val="none"/>
              </w:rPr>
              <w:t>3名中标候选人</w:t>
            </w:r>
          </w:p>
        </w:tc>
      </w:tr>
      <w:tr w14:paraId="4F44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0D78B4B">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2D83697C">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76ED1397">
            <w:pPr>
              <w:spacing w:line="360" w:lineRule="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采购人委托评标委员会确定</w:t>
            </w:r>
          </w:p>
          <w:p w14:paraId="7B67C97C">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bCs w:val="0"/>
                <w:strike w:val="0"/>
                <w:dstrike w:val="0"/>
                <w:color w:val="auto"/>
                <w:kern w:val="2"/>
                <w:sz w:val="24"/>
                <w:szCs w:val="24"/>
                <w:highlight w:val="none"/>
                <w:lang w:eastAsia="zh-CN"/>
              </w:rPr>
              <w:t>□</w:t>
            </w:r>
            <w:r>
              <w:rPr>
                <w:rFonts w:hint="eastAsia" w:asciiTheme="minorEastAsia" w:hAnsiTheme="minorEastAsia" w:eastAsiaTheme="minorEastAsia"/>
                <w:b w:val="0"/>
                <w:bCs w:val="0"/>
                <w:color w:val="auto"/>
                <w:kern w:val="2"/>
                <w:sz w:val="24"/>
                <w:szCs w:val="24"/>
                <w:highlight w:val="none"/>
              </w:rPr>
              <w:t>采购人确定</w:t>
            </w:r>
          </w:p>
        </w:tc>
      </w:tr>
      <w:tr w14:paraId="0A53D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6E8C453">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rPr>
              <w:t>3</w:t>
            </w:r>
            <w:r>
              <w:rPr>
                <w:rFonts w:ascii="宋体" w:hAnsi="宋体" w:eastAsia="宋体"/>
                <w:bCs/>
                <w:color w:val="auto"/>
                <w:kern w:val="2"/>
                <w:highlight w:val="none"/>
              </w:rPr>
              <w:t>.3</w:t>
            </w:r>
          </w:p>
        </w:tc>
        <w:tc>
          <w:tcPr>
            <w:tcW w:w="1174" w:type="pct"/>
            <w:vAlign w:val="center"/>
          </w:tcPr>
          <w:p w14:paraId="216F516A">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随中标结果公告同时公告的内容</w:t>
            </w:r>
          </w:p>
        </w:tc>
        <w:tc>
          <w:tcPr>
            <w:tcW w:w="3244" w:type="pct"/>
            <w:vAlign w:val="center"/>
          </w:tcPr>
          <w:p w14:paraId="5990E3BC">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（1）中小企业声明函；</w:t>
            </w:r>
            <w:r>
              <w:rPr>
                <w:rFonts w:hint="eastAsia" w:ascii="宋体" w:hAnsi="宋体" w:eastAsia="宋体"/>
                <w:b w:val="0"/>
                <w:i/>
                <w:iCs/>
                <w:color w:val="auto"/>
                <w:sz w:val="24"/>
                <w:highlight w:val="none"/>
              </w:rPr>
              <w:t>（如有）</w:t>
            </w:r>
          </w:p>
          <w:p w14:paraId="11EFADC4">
            <w:pPr>
              <w:pStyle w:val="46"/>
              <w:widowControl w:val="0"/>
              <w:spacing w:before="0" w:beforeAutospacing="0" w:after="0" w:afterAutospacing="0" w:line="360" w:lineRule="auto"/>
              <w:jc w:val="both"/>
              <w:rPr>
                <w:rFonts w:ascii="宋体" w:hAnsi="宋体" w:eastAsia="宋体"/>
                <w:b w:val="0"/>
                <w:i/>
                <w:color w:val="auto"/>
                <w:sz w:val="24"/>
                <w:highlight w:val="none"/>
              </w:rPr>
            </w:pPr>
            <w:r>
              <w:rPr>
                <w:rFonts w:hint="eastAsia" w:ascii="宋体" w:hAnsi="宋体" w:eastAsia="宋体"/>
                <w:b w:val="0"/>
                <w:color w:val="auto"/>
                <w:sz w:val="24"/>
                <w:highlight w:val="none"/>
              </w:rPr>
              <w:t>（2）残疾人福利性单位声明函；</w:t>
            </w:r>
            <w:r>
              <w:rPr>
                <w:rFonts w:hint="eastAsia" w:ascii="宋体" w:hAnsi="宋体" w:eastAsia="宋体"/>
                <w:b w:val="0"/>
                <w:i/>
                <w:iCs/>
                <w:color w:val="auto"/>
                <w:sz w:val="24"/>
                <w:highlight w:val="none"/>
              </w:rPr>
              <w:t>（如有）</w:t>
            </w:r>
          </w:p>
          <w:p w14:paraId="71904336">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（3）因落实政府采购政策等原因进行价格扣除后中标（成交）供应商的评审报价</w:t>
            </w:r>
            <w:r>
              <w:rPr>
                <w:rFonts w:hint="eastAsia" w:ascii="宋体" w:hAnsi="宋体" w:eastAsia="宋体"/>
                <w:b w:val="0"/>
                <w:i/>
                <w:iCs/>
                <w:color w:val="auto"/>
                <w:sz w:val="24"/>
                <w:highlight w:val="none"/>
              </w:rPr>
              <w:t>（适用最低评标价法）</w:t>
            </w:r>
          </w:p>
          <w:p w14:paraId="4585955C">
            <w:pPr>
              <w:pStyle w:val="46"/>
              <w:widowControl w:val="0"/>
              <w:spacing w:before="0" w:beforeAutospacing="0" w:after="0" w:afterAutospacing="0" w:line="360" w:lineRule="auto"/>
              <w:jc w:val="both"/>
              <w:rPr>
                <w:rFonts w:hint="eastAsia" w:ascii="宋体" w:hAnsi="宋体" w:eastAsia="宋体"/>
                <w:b w:val="0"/>
                <w:i/>
                <w:iCs/>
                <w:color w:val="auto"/>
                <w:sz w:val="24"/>
                <w:highlight w:val="none"/>
              </w:rPr>
            </w:pPr>
            <w:r>
              <w:rPr>
                <w:rFonts w:hint="eastAsia" w:ascii="宋体" w:hAnsi="宋体" w:eastAsia="宋体"/>
                <w:b w:val="0"/>
                <w:color w:val="auto"/>
                <w:sz w:val="24"/>
                <w:highlight w:val="none"/>
              </w:rPr>
              <w:t>（4）中标（成交）供应商的评审总得分</w:t>
            </w:r>
            <w:r>
              <w:rPr>
                <w:rFonts w:hint="eastAsia" w:ascii="宋体" w:hAnsi="宋体" w:eastAsia="宋体"/>
                <w:b w:val="0"/>
                <w:i/>
                <w:iCs/>
                <w:color w:val="auto"/>
                <w:sz w:val="24"/>
                <w:highlight w:val="none"/>
              </w:rPr>
              <w:t>（适用综合评分法）</w:t>
            </w:r>
          </w:p>
          <w:p w14:paraId="07B5F1C1">
            <w:pPr>
              <w:pStyle w:val="46"/>
              <w:widowControl w:val="0"/>
              <w:spacing w:before="0" w:beforeAutospacing="0" w:after="0" w:afterAutospacing="0" w:line="360" w:lineRule="auto"/>
              <w:jc w:val="both"/>
              <w:rPr>
                <w:rFonts w:hint="eastAsia" w:ascii="宋体" w:hAnsi="宋体" w:eastAsia="宋体"/>
                <w:b w:val="0"/>
                <w:i/>
                <w:iCs/>
                <w:color w:val="auto"/>
                <w:sz w:val="24"/>
                <w:highlight w:val="none"/>
              </w:rPr>
            </w:pPr>
            <w:r>
              <w:rPr>
                <w:rFonts w:hint="eastAsia" w:ascii="宋体" w:hAnsi="宋体" w:cs="@仿宋_GB2312"/>
                <w:bCs/>
                <w:color w:val="auto"/>
                <w:kern w:val="0"/>
                <w:sz w:val="24"/>
                <w:szCs w:val="28"/>
                <w:highlight w:val="none"/>
              </w:rPr>
              <w:t>（5）符合本国产品标准的声明函；（如有）</w:t>
            </w:r>
          </w:p>
        </w:tc>
      </w:tr>
      <w:tr w14:paraId="50622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5962B89">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24</w:t>
            </w:r>
            <w:r>
              <w:rPr>
                <w:rFonts w:ascii="宋体" w:hAnsi="宋体" w:eastAsia="宋体"/>
                <w:bCs/>
                <w:color w:val="auto"/>
                <w:kern w:val="2"/>
                <w:highlight w:val="none"/>
              </w:rPr>
              <w:t>.1</w:t>
            </w:r>
          </w:p>
        </w:tc>
        <w:tc>
          <w:tcPr>
            <w:tcW w:w="1174" w:type="pct"/>
            <w:vAlign w:val="center"/>
          </w:tcPr>
          <w:p w14:paraId="37501C80">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5C9F679F">
            <w:pPr>
              <w:pStyle w:val="46"/>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 xml:space="preserve">□书面 </w:t>
            </w: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数据电文</w:t>
            </w:r>
          </w:p>
        </w:tc>
      </w:tr>
      <w:tr w14:paraId="22916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953271F">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25</w:t>
            </w:r>
            <w:r>
              <w:rPr>
                <w:rFonts w:ascii="宋体" w:hAnsi="宋体" w:eastAsia="宋体"/>
                <w:bCs/>
                <w:color w:val="auto"/>
                <w:kern w:val="2"/>
                <w:highlight w:val="none"/>
              </w:rPr>
              <w:t>.1</w:t>
            </w:r>
          </w:p>
        </w:tc>
        <w:tc>
          <w:tcPr>
            <w:tcW w:w="1174" w:type="pct"/>
            <w:vAlign w:val="center"/>
          </w:tcPr>
          <w:p w14:paraId="71F77144">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232B4A3F">
            <w:pPr>
              <w:spacing w:line="360" w:lineRule="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投标人自行登录电子</w:t>
            </w:r>
            <w:r>
              <w:rPr>
                <w:rFonts w:hint="eastAsia" w:ascii="宋体" w:hAnsi="宋体" w:eastAsia="宋体" w:cs="宋体"/>
                <w:color w:val="auto"/>
                <w:sz w:val="24"/>
                <w:szCs w:val="24"/>
                <w:highlight w:val="none"/>
              </w:rPr>
              <w:t>交易</w:t>
            </w:r>
            <w:r>
              <w:rPr>
                <w:rFonts w:hint="eastAsia" w:asciiTheme="minorEastAsia" w:hAnsiTheme="minorEastAsia" w:eastAsiaTheme="minorEastAsia"/>
                <w:color w:val="auto"/>
                <w:kern w:val="0"/>
                <w:sz w:val="24"/>
                <w:szCs w:val="24"/>
                <w:highlight w:val="none"/>
              </w:rPr>
              <w:t>系统查看</w:t>
            </w:r>
          </w:p>
          <w:p w14:paraId="05D470F2">
            <w:pPr>
              <w:pStyle w:val="46"/>
              <w:widowControl w:val="0"/>
              <w:spacing w:before="0" w:beforeAutospacing="0" w:after="0" w:afterAutospacing="0" w:line="360" w:lineRule="auto"/>
              <w:jc w:val="both"/>
              <w:rPr>
                <w:rFonts w:asciiTheme="minorEastAsia" w:hAnsiTheme="minorEastAsia" w:eastAsiaTheme="minorEastAsia"/>
                <w:b w:val="0"/>
                <w:bCs w:val="0"/>
                <w:color w:val="auto"/>
                <w:kern w:val="2"/>
                <w:sz w:val="24"/>
                <w:szCs w:val="24"/>
                <w:highlight w:val="none"/>
              </w:rPr>
            </w:pPr>
            <w:r>
              <w:rPr>
                <w:rFonts w:hint="eastAsia" w:asciiTheme="minorEastAsia" w:hAnsiTheme="minorEastAsia" w:eastAsiaTheme="minorEastAsia"/>
                <w:b w:val="0"/>
                <w:bCs w:val="0"/>
                <w:color w:val="auto"/>
                <w:kern w:val="2"/>
                <w:sz w:val="24"/>
                <w:szCs w:val="24"/>
                <w:highlight w:val="none"/>
              </w:rPr>
              <w:t>□评标现场告知</w:t>
            </w:r>
          </w:p>
        </w:tc>
      </w:tr>
      <w:tr w14:paraId="3767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7" w:hRule="atLeast"/>
          <w:jc w:val="center"/>
        </w:trPr>
        <w:tc>
          <w:tcPr>
            <w:tcW w:w="581" w:type="pct"/>
            <w:vAlign w:val="center"/>
          </w:tcPr>
          <w:p w14:paraId="19910487">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26</w:t>
            </w:r>
            <w:r>
              <w:rPr>
                <w:rFonts w:ascii="宋体" w:hAnsi="宋体" w:eastAsia="宋体"/>
                <w:bCs/>
                <w:color w:val="auto"/>
                <w:kern w:val="2"/>
                <w:highlight w:val="none"/>
              </w:rPr>
              <w:t>.1</w:t>
            </w:r>
          </w:p>
        </w:tc>
        <w:tc>
          <w:tcPr>
            <w:tcW w:w="1174" w:type="pct"/>
            <w:vAlign w:val="center"/>
          </w:tcPr>
          <w:p w14:paraId="69402A2F">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3F27B9A4">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4AF62766">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☑免收</w:t>
            </w:r>
          </w:p>
          <w:p w14:paraId="16DA29A5">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hint="eastAsia" w:ascii="宋体" w:hAnsi="宋体" w:eastAsia="宋体"/>
                <w:bCs/>
                <w:color w:val="auto"/>
                <w:kern w:val="0"/>
                <w:sz w:val="24"/>
                <w:szCs w:val="28"/>
                <w:highlight w:val="none"/>
                <w:u w:val="single"/>
              </w:rPr>
              <w:t>/</w:t>
            </w:r>
            <w:r>
              <w:rPr>
                <w:rFonts w:ascii="宋体" w:hAnsi="宋体" w:eastAsia="宋体"/>
                <w:bCs/>
                <w:color w:val="auto"/>
                <w:kern w:val="0"/>
                <w:sz w:val="24"/>
                <w:szCs w:val="28"/>
                <w:highlight w:val="none"/>
              </w:rPr>
              <w:t>%</w:t>
            </w:r>
          </w:p>
          <w:p w14:paraId="17023B92">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w:t>
            </w:r>
            <w:r>
              <w:rPr>
                <w:rFonts w:hint="eastAsia" w:ascii="宋体" w:hAnsi="宋体" w:eastAsia="宋体"/>
                <w:bCs/>
                <w:color w:val="auto"/>
                <w:kern w:val="0"/>
                <w:sz w:val="24"/>
                <w:szCs w:val="28"/>
                <w:highlight w:val="none"/>
              </w:rPr>
              <w:t>元</w:t>
            </w:r>
          </w:p>
          <w:p w14:paraId="06480217">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7CA8481A">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74CE0169">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（3）收取单位：</w:t>
            </w:r>
            <w:r>
              <w:rPr>
                <w:rFonts w:hint="eastAsia" w:ascii="宋体" w:hAnsi="宋体" w:eastAsia="宋体"/>
                <w:bCs/>
                <w:color w:val="auto"/>
                <w:kern w:val="0"/>
                <w:sz w:val="24"/>
                <w:szCs w:val="28"/>
                <w:highlight w:val="none"/>
                <w:u w:val="single"/>
              </w:rPr>
              <w:t>/</w:t>
            </w:r>
          </w:p>
          <w:p w14:paraId="3B2A6F8F">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（4）收取账号：</w:t>
            </w:r>
            <w:r>
              <w:rPr>
                <w:rFonts w:hint="eastAsia" w:ascii="宋体" w:hAnsi="宋体" w:eastAsia="宋体"/>
                <w:bCs/>
                <w:color w:val="auto"/>
                <w:kern w:val="0"/>
                <w:sz w:val="24"/>
                <w:szCs w:val="28"/>
                <w:highlight w:val="none"/>
                <w:u w:val="single"/>
              </w:rPr>
              <w:t>/</w:t>
            </w:r>
          </w:p>
          <w:p w14:paraId="0835A1D0">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（5）</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w:t>
            </w:r>
          </w:p>
          <w:p w14:paraId="3667D4F3">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00F32397">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1C9EE03E">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7B514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3C4F6976">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27</w:t>
            </w:r>
            <w:r>
              <w:rPr>
                <w:rFonts w:ascii="宋体" w:hAnsi="宋体" w:eastAsia="宋体"/>
                <w:bCs/>
                <w:color w:val="auto"/>
                <w:kern w:val="2"/>
                <w:highlight w:val="none"/>
              </w:rPr>
              <w:t>.1</w:t>
            </w:r>
          </w:p>
        </w:tc>
        <w:tc>
          <w:tcPr>
            <w:tcW w:w="1174" w:type="pct"/>
            <w:vAlign w:val="center"/>
          </w:tcPr>
          <w:p w14:paraId="00C04C89">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签订合同和合同公告时间</w:t>
            </w:r>
          </w:p>
        </w:tc>
        <w:tc>
          <w:tcPr>
            <w:tcW w:w="3244" w:type="pct"/>
          </w:tcPr>
          <w:p w14:paraId="3310C8DA">
            <w:pPr>
              <w:adjustRightInd w:val="0"/>
              <w:snapToGrid w:val="0"/>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（1）采购人与中标人应当自发出中标通知书之日起7个工作日内签订合同，采购合同签订之日起2个工作日内完成政府采购合同公开。</w:t>
            </w:r>
          </w:p>
          <w:p w14:paraId="3AAF47BC">
            <w:pPr>
              <w:adjustRightInd w:val="0"/>
              <w:snapToGrid w:val="0"/>
              <w:spacing w:line="360" w:lineRule="auto"/>
              <w:rPr>
                <w:rFonts w:ascii="宋体" w:hAnsi="宋体" w:eastAsia="宋体"/>
                <w:b/>
                <w:bCs/>
                <w:color w:val="auto"/>
                <w:kern w:val="0"/>
                <w:sz w:val="24"/>
                <w:szCs w:val="24"/>
                <w:highlight w:val="none"/>
              </w:rPr>
            </w:pPr>
            <w:r>
              <w:rPr>
                <w:rFonts w:ascii="宋体" w:hAnsi="宋体" w:eastAsia="宋体" w:cs="宋体"/>
                <w:color w:val="auto"/>
                <w:sz w:val="24"/>
                <w:szCs w:val="24"/>
                <w:highlight w:val="none"/>
              </w:rPr>
              <w:t>（2）采购人与中标人不得擅自变更合同，依照政府采购法确需变更政府采购合同内容的，采购人应当自合同变更之日起2个工作日内在安徽省政府采购网发布政府采购合同变更公告，但涉及国家秘密、商业秘密的信息和其他依法不得公开的信息除外。</w:t>
            </w:r>
          </w:p>
        </w:tc>
      </w:tr>
      <w:tr w14:paraId="00697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1D372EE">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28</w:t>
            </w:r>
            <w:r>
              <w:rPr>
                <w:rFonts w:ascii="宋体" w:hAnsi="宋体" w:eastAsia="宋体"/>
                <w:bCs/>
                <w:color w:val="auto"/>
                <w:kern w:val="2"/>
                <w:highlight w:val="none"/>
              </w:rPr>
              <w:t>.1</w:t>
            </w:r>
          </w:p>
        </w:tc>
        <w:tc>
          <w:tcPr>
            <w:tcW w:w="1174" w:type="pct"/>
            <w:vAlign w:val="center"/>
          </w:tcPr>
          <w:p w14:paraId="176037B3">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代理费用</w:t>
            </w:r>
          </w:p>
        </w:tc>
        <w:tc>
          <w:tcPr>
            <w:tcW w:w="3244" w:type="pct"/>
            <w:vAlign w:val="center"/>
          </w:tcPr>
          <w:p w14:paraId="62494CA3">
            <w:pPr>
              <w:spacing w:before="39" w:line="360" w:lineRule="auto"/>
              <w:rPr>
                <w:rFonts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采购人</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中标人</w:t>
            </w:r>
          </w:p>
          <w:p w14:paraId="5C85C667">
            <w:pPr>
              <w:spacing w:before="24"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银行转账</w:t>
            </w:r>
          </w:p>
          <w:p w14:paraId="46661F19">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highlight w:val="none"/>
              </w:rPr>
              <w:t>（3）</w:t>
            </w:r>
            <w:r>
              <w:rPr>
                <w:rFonts w:ascii="宋体" w:hAnsi="宋体" w:eastAsia="宋体"/>
                <w:b w:val="0"/>
                <w:color w:val="auto"/>
                <w:sz w:val="24"/>
                <w:highlight w:val="none"/>
              </w:rPr>
              <w:t>收费标准：</w:t>
            </w:r>
            <w:r>
              <w:rPr>
                <w:rFonts w:hint="eastAsia" w:ascii="宋体" w:hAnsi="宋体" w:eastAsia="宋体" w:cs="宋体"/>
                <w:b w:val="0"/>
                <w:bCs w:val="0"/>
                <w:color w:val="auto"/>
                <w:kern w:val="2"/>
                <w:sz w:val="24"/>
                <w:szCs w:val="24"/>
                <w:highlight w:val="none"/>
                <w:u w:val="single"/>
              </w:rPr>
              <w:t>按照《滁州市公共资源交易代理机构及从业人员管理办法》(滁公管〔2025〕1 号)执行</w:t>
            </w:r>
          </w:p>
        </w:tc>
      </w:tr>
      <w:tr w14:paraId="2891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DA7889C">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31</w:t>
            </w:r>
            <w:r>
              <w:rPr>
                <w:rFonts w:ascii="宋体" w:hAnsi="宋体" w:eastAsia="宋体"/>
                <w:bCs/>
                <w:color w:val="auto"/>
                <w:kern w:val="2"/>
                <w:highlight w:val="none"/>
              </w:rPr>
              <w:t>.</w:t>
            </w:r>
            <w:r>
              <w:rPr>
                <w:rFonts w:hint="eastAsia" w:ascii="宋体" w:hAnsi="宋体" w:eastAsia="宋体"/>
                <w:bCs/>
                <w:color w:val="auto"/>
                <w:kern w:val="2"/>
                <w:highlight w:val="none"/>
              </w:rPr>
              <w:t>3</w:t>
            </w:r>
          </w:p>
        </w:tc>
        <w:tc>
          <w:tcPr>
            <w:tcW w:w="1174" w:type="pct"/>
            <w:vAlign w:val="center"/>
          </w:tcPr>
          <w:p w14:paraId="329381C4">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vAlign w:val="center"/>
          </w:tcPr>
          <w:p w14:paraId="08B28A42">
            <w:pPr>
              <w:pStyle w:val="46"/>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递交方式：投标人可以通过书面形式提出，也可以通过线上提出质疑【通过线上向滁州市公共资源交易中心网电子交易系统提出质疑（具体操作步骤和程序请参见服务指南&gt;交易须知&gt;在线异议、质疑和投诉操作手册）】。一份质疑函只能针对一个项目提出质疑，且针对同一采购程序环节的质疑应当一次性提出；</w:t>
            </w:r>
          </w:p>
          <w:p w14:paraId="18607F47">
            <w:pPr>
              <w:pStyle w:val="46"/>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接收部门：</w:t>
            </w:r>
            <w:r>
              <w:rPr>
                <w:rFonts w:hint="eastAsia" w:ascii="宋体" w:hAnsi="宋体" w:eastAsia="宋体" w:cs="宋体"/>
                <w:b w:val="0"/>
                <w:color w:val="auto"/>
                <w:sz w:val="24"/>
                <w:highlight w:val="none"/>
                <w:lang w:eastAsia="zh-CN"/>
              </w:rPr>
              <w:t xml:space="preserve"> 天长市人民法院</w:t>
            </w:r>
            <w:r>
              <w:rPr>
                <w:rFonts w:hint="eastAsia" w:ascii="宋体" w:hAnsi="宋体" w:eastAsia="宋体" w:cs="宋体"/>
                <w:b w:val="0"/>
                <w:color w:val="auto"/>
                <w:sz w:val="24"/>
                <w:highlight w:val="none"/>
              </w:rPr>
              <w:t>、滁州市政府采购中心；</w:t>
            </w:r>
          </w:p>
          <w:p w14:paraId="2A6994DC">
            <w:pPr>
              <w:pStyle w:val="46"/>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联系电话：</w:t>
            </w:r>
            <w:r>
              <w:rPr>
                <w:rFonts w:hint="eastAsia" w:ascii="宋体" w:hAnsi="宋体" w:eastAsia="宋体" w:cs="宋体"/>
                <w:b w:val="0"/>
                <w:color w:val="auto"/>
                <w:sz w:val="24"/>
                <w:highlight w:val="none"/>
                <w:lang w:val="en" w:eastAsia="zh-CN"/>
              </w:rPr>
              <w:t>0550-7316850</w:t>
            </w:r>
            <w:r>
              <w:rPr>
                <w:rFonts w:hint="eastAsia" w:ascii="宋体" w:hAnsi="宋体" w:eastAsia="宋体" w:cs="宋体"/>
                <w:b w:val="0"/>
                <w:color w:val="auto"/>
                <w:sz w:val="24"/>
                <w:highlight w:val="none"/>
              </w:rPr>
              <w:t>、18955055067；</w:t>
            </w:r>
          </w:p>
          <w:p w14:paraId="647F55F5">
            <w:pPr>
              <w:pStyle w:val="46"/>
              <w:widowControl w:val="0"/>
              <w:spacing w:before="0" w:beforeAutospacing="0" w:after="0" w:afterAutospacing="0" w:line="500" w:lineRule="exact"/>
              <w:jc w:val="both"/>
              <w:rPr>
                <w:rFonts w:ascii="宋体" w:hAnsi="宋体" w:eastAsia="宋体"/>
                <w:color w:val="auto"/>
                <w:sz w:val="24"/>
                <w:highlight w:val="none"/>
                <w:u w:val="single"/>
              </w:rPr>
            </w:pPr>
            <w:r>
              <w:rPr>
                <w:rFonts w:hint="eastAsia" w:ascii="宋体" w:hAnsi="宋体" w:eastAsia="宋体" w:cs="宋体"/>
                <w:b w:val="0"/>
                <w:color w:val="auto"/>
                <w:sz w:val="24"/>
                <w:highlight w:val="none"/>
              </w:rPr>
              <w:t>通讯地址：</w:t>
            </w:r>
            <w:r>
              <w:rPr>
                <w:rFonts w:hint="eastAsia" w:ascii="宋体" w:hAnsi="宋体" w:eastAsia="宋体" w:cs="宋体"/>
                <w:b w:val="0"/>
                <w:color w:val="auto"/>
                <w:sz w:val="24"/>
                <w:highlight w:val="none"/>
                <w:lang w:eastAsia="zh-CN"/>
              </w:rPr>
              <w:t>天长市广陵路与二凤路交叉口</w:t>
            </w:r>
            <w:r>
              <w:rPr>
                <w:rFonts w:hint="eastAsia" w:ascii="宋体" w:hAnsi="宋体" w:eastAsia="宋体" w:cs="宋体"/>
                <w:b w:val="0"/>
                <w:color w:val="auto"/>
                <w:sz w:val="24"/>
                <w:highlight w:val="none"/>
              </w:rPr>
              <w:t>、滁州市龙蟠大道109号房产商务大厦2楼。</w:t>
            </w:r>
          </w:p>
        </w:tc>
      </w:tr>
      <w:tr w14:paraId="35EF7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0B58C05">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32</w:t>
            </w:r>
          </w:p>
        </w:tc>
        <w:tc>
          <w:tcPr>
            <w:tcW w:w="1174" w:type="pct"/>
            <w:vAlign w:val="center"/>
          </w:tcPr>
          <w:p w14:paraId="757F154A">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3244" w:type="pct"/>
            <w:vAlign w:val="center"/>
          </w:tcPr>
          <w:p w14:paraId="41188453">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1、解释权：</w:t>
            </w:r>
          </w:p>
          <w:p w14:paraId="4A0BDFD8">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构成本招标文件的各个组成文件应互为解释，互为说明；</w:t>
            </w:r>
          </w:p>
          <w:p w14:paraId="0E52F2C2">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59999B5A">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3A7E10AB">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、投标文件格式的先后顺序解释；</w:t>
            </w:r>
          </w:p>
          <w:p w14:paraId="00C4F8CE">
            <w:pPr>
              <w:pStyle w:val="46"/>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（5）</w:t>
            </w:r>
            <w:r>
              <w:rPr>
                <w:rFonts w:asciiTheme="minorEastAsia" w:hAnsiTheme="minorEastAsia" w:eastAsiaTheme="minorEastAsia"/>
                <w:b w:val="0"/>
                <w:color w:val="auto"/>
                <w:kern w:val="2"/>
                <w:sz w:val="24"/>
                <w:szCs w:val="24"/>
                <w:highlight w:val="none"/>
              </w:rPr>
              <w:t>按本款前述规定仍不能形成结论的，由</w:t>
            </w:r>
            <w:r>
              <w:rPr>
                <w:rFonts w:hint="eastAsia" w:asciiTheme="minorEastAsia" w:hAnsiTheme="minorEastAsia" w:eastAsiaTheme="minorEastAsia"/>
                <w:b w:val="0"/>
                <w:color w:val="auto"/>
                <w:kern w:val="2"/>
                <w:sz w:val="24"/>
                <w:szCs w:val="24"/>
                <w:highlight w:val="none"/>
              </w:rPr>
              <w:t>采购</w:t>
            </w:r>
            <w:r>
              <w:rPr>
                <w:rFonts w:asciiTheme="minorEastAsia" w:hAnsiTheme="minorEastAsia" w:eastAsiaTheme="minorEastAsia"/>
                <w:b w:val="0"/>
                <w:color w:val="auto"/>
                <w:kern w:val="2"/>
                <w:sz w:val="24"/>
                <w:szCs w:val="24"/>
                <w:highlight w:val="none"/>
              </w:rPr>
              <w:t>人负责解释。</w:t>
            </w:r>
          </w:p>
          <w:p w14:paraId="710614C3">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2、“政采贷”融资指引：有融资需求的</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融资申请信息推送第三方平台、意向金融机构。</w:t>
            </w:r>
          </w:p>
          <w:p w14:paraId="620E65E7">
            <w:pPr>
              <w:pStyle w:val="46"/>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3、电子保函指引：中标人可访问安徽省政府采购网“融资/保函”栏目，申请办理电子保函（包括：履约保函、预付款保函）。</w:t>
            </w:r>
          </w:p>
          <w:p w14:paraId="3CEFCD4F">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4.部分可提供线下政采贷的金融机构：</w:t>
            </w:r>
          </w:p>
          <w:p w14:paraId="444BBA33">
            <w:pPr>
              <w:pStyle w:val="46"/>
              <w:widowControl w:val="0"/>
              <w:spacing w:before="0" w:beforeAutospacing="0" w:after="0" w:afterAutospacing="0" w:line="500" w:lineRule="exact"/>
              <w:ind w:firstLine="480" w:firstLineChars="200"/>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市本级</w:t>
            </w:r>
          </w:p>
          <w:p w14:paraId="4268C23D">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金融机构名称：兴业银行滁州分行</w:t>
            </w:r>
          </w:p>
          <w:p w14:paraId="1FF54080">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安徽省滁州市琅琊区丰乐大道1090号</w:t>
            </w:r>
          </w:p>
          <w:p w14:paraId="5B01B11E">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伏庚：17755080811</w:t>
            </w:r>
          </w:p>
          <w:p w14:paraId="63C05829">
            <w:pPr>
              <w:pStyle w:val="46"/>
              <w:widowControl w:val="0"/>
              <w:spacing w:before="0" w:beforeAutospacing="0" w:after="0" w:afterAutospacing="0" w:line="500" w:lineRule="exact"/>
              <w:ind w:firstLine="480" w:firstLineChars="200"/>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琅琊区</w:t>
            </w:r>
          </w:p>
          <w:p w14:paraId="5C66DB9F">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金融机构名称：滁州皖东农村商业银行城中支行 </w:t>
            </w:r>
          </w:p>
          <w:p w14:paraId="27C9C311">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地址：滁州经济技术开发区清流西路248号</w:t>
            </w:r>
          </w:p>
          <w:p w14:paraId="5FADC3E1">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联系人及电话：杨行长13855011150刘经理18019805345</w:t>
            </w:r>
          </w:p>
          <w:p w14:paraId="1A464388">
            <w:pPr>
              <w:pStyle w:val="46"/>
              <w:widowControl w:val="0"/>
              <w:spacing w:before="0" w:beforeAutospacing="0" w:after="0" w:afterAutospacing="0" w:line="500" w:lineRule="exact"/>
              <w:ind w:firstLine="480" w:firstLineChars="200"/>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南谯区</w:t>
            </w:r>
          </w:p>
          <w:p w14:paraId="1038AAE1">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金融机构名称：滁州皖东农村商业银行城中支行 </w:t>
            </w:r>
          </w:p>
          <w:p w14:paraId="4432E00F">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地址：滁州经济技术开发区清流西路248号</w:t>
            </w:r>
          </w:p>
          <w:p w14:paraId="53C87C5D">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联系人及电话：杨行长13855011150刘经理18019805345</w:t>
            </w:r>
          </w:p>
          <w:p w14:paraId="1AB7218A">
            <w:pPr>
              <w:pStyle w:val="46"/>
              <w:widowControl w:val="0"/>
              <w:spacing w:before="0" w:beforeAutospacing="0" w:after="0" w:afterAutospacing="0" w:line="500" w:lineRule="exact"/>
              <w:ind w:firstLine="480" w:firstLineChars="200"/>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天长市</w:t>
            </w:r>
          </w:p>
          <w:p w14:paraId="56AA3889">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金融机构名称：安徽桐城农村商业银行股份有限公司天长支行</w:t>
            </w:r>
          </w:p>
          <w:p w14:paraId="1456473C">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地址：天长市广陵中路1号楼金太阳老年公寓21号综合楼1-2层</w:t>
            </w:r>
          </w:p>
          <w:p w14:paraId="7B53B30B">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联系人及电话：卢晓明 18355006669</w:t>
            </w:r>
          </w:p>
          <w:p w14:paraId="6FF97367">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金融机构：中国建设银行股份有限公司天长支行</w:t>
            </w:r>
          </w:p>
          <w:p w14:paraId="399688DF">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地址：安徽省天长市永福中路</w:t>
            </w:r>
          </w:p>
          <w:p w14:paraId="6AA7AF15">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联系人及电话：刘爽 15655033366</w:t>
            </w:r>
          </w:p>
          <w:p w14:paraId="3C3A3F2A">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金融机构名称：中国工商银行股份有限公司天长支行</w:t>
            </w:r>
          </w:p>
          <w:p w14:paraId="65A7FBC6">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地址：安徽省天长市石梁东路</w:t>
            </w:r>
          </w:p>
          <w:p w14:paraId="318A2718">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联系人及电话：倪永生 13855043777</w:t>
            </w:r>
          </w:p>
          <w:p w14:paraId="73DEEA1F">
            <w:pPr>
              <w:pStyle w:val="46"/>
              <w:widowControl w:val="0"/>
              <w:spacing w:before="0" w:beforeAutospacing="0" w:after="0" w:afterAutospacing="0" w:line="500" w:lineRule="exact"/>
              <w:ind w:firstLine="480" w:firstLineChars="200"/>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明光市</w:t>
            </w:r>
          </w:p>
          <w:p w14:paraId="066B410E">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金融机构名称：安徽明光民丰村镇银行有限责任公司</w:t>
            </w:r>
          </w:p>
          <w:p w14:paraId="3B634391">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地址：安徽省明光市池河大道 618 号</w:t>
            </w:r>
          </w:p>
          <w:p w14:paraId="470C83DD">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联系人及电话：唐玉超 17755082100</w:t>
            </w:r>
          </w:p>
          <w:p w14:paraId="76312463">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金融机构名称：徽商银行明光支行</w:t>
            </w:r>
          </w:p>
          <w:p w14:paraId="70AFC27C">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地址：安徽省明光市韩山路 195 号</w:t>
            </w:r>
          </w:p>
          <w:p w14:paraId="43565112">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联系人及电话：李文龙 18019803518</w:t>
            </w:r>
          </w:p>
          <w:p w14:paraId="7177F434">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金融机构名称：安徽明光农村商业银行股份有限公司</w:t>
            </w:r>
          </w:p>
          <w:p w14:paraId="7E080EF1">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地址：安徽省明光市龙山东路 30 号</w:t>
            </w:r>
          </w:p>
          <w:p w14:paraId="7EB143AE">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联系人及电话：姚敏 13905506298</w:t>
            </w:r>
          </w:p>
          <w:p w14:paraId="5FC640E8">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金融机构名称：中国工商银行明光支行</w:t>
            </w:r>
          </w:p>
          <w:p w14:paraId="29CDDA6E">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地址：明光市车站路 301 号</w:t>
            </w:r>
          </w:p>
          <w:p w14:paraId="2D421D0B">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联系人及电话：许春晖 18712040304</w:t>
            </w:r>
          </w:p>
          <w:p w14:paraId="477705A7">
            <w:pPr>
              <w:pStyle w:val="46"/>
              <w:widowControl w:val="0"/>
              <w:spacing w:before="0" w:beforeAutospacing="0" w:after="0" w:afterAutospacing="0" w:line="500" w:lineRule="exact"/>
              <w:ind w:firstLine="480" w:firstLineChars="200"/>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来安县</w:t>
            </w:r>
          </w:p>
          <w:p w14:paraId="2722E31A">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金融机构名称：安徽来安农村商业银行股份有限公司   </w:t>
            </w:r>
          </w:p>
          <w:p w14:paraId="548893C5">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地址：安徽省来安县新安镇黎明路78号  </w:t>
            </w:r>
          </w:p>
          <w:p w14:paraId="51ED1DCA">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 孙帅 18712050229</w:t>
            </w:r>
          </w:p>
          <w:p w14:paraId="04702ADB">
            <w:pPr>
              <w:pStyle w:val="46"/>
              <w:widowControl w:val="0"/>
              <w:spacing w:before="0" w:beforeAutospacing="0" w:after="0" w:afterAutospacing="0" w:line="500" w:lineRule="exact"/>
              <w:ind w:firstLine="480" w:firstLineChars="200"/>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凤阳县</w:t>
            </w:r>
          </w:p>
          <w:p w14:paraId="7017C693">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金融机构名称：凤阳利民村镇银行 </w:t>
            </w:r>
          </w:p>
          <w:p w14:paraId="6A042C81">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地址：安徽省滁州市凤阳县府城镇名城世家小区D区2幢1号商铺</w:t>
            </w:r>
          </w:p>
          <w:p w14:paraId="564A3FE3">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联系人及电话：宁聪 0550-6715501   </w:t>
            </w:r>
          </w:p>
          <w:p w14:paraId="766C7247">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金融机构名称：凤阳农村商业银行股份有限公司 </w:t>
            </w:r>
          </w:p>
          <w:p w14:paraId="5B449DF9">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地址：凤阳县府城镇中都街道云霁路99号   </w:t>
            </w:r>
          </w:p>
          <w:p w14:paraId="75DDE410">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联系人及电话：王龙纪 0550-6725047</w:t>
            </w:r>
          </w:p>
          <w:p w14:paraId="235B849D">
            <w:pPr>
              <w:pStyle w:val="46"/>
              <w:widowControl w:val="0"/>
              <w:spacing w:before="0" w:beforeAutospacing="0" w:after="0" w:afterAutospacing="0" w:line="500" w:lineRule="exact"/>
              <w:ind w:firstLine="480" w:firstLineChars="200"/>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全椒县</w:t>
            </w:r>
          </w:p>
          <w:p w14:paraId="01571600">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金融机构名称：徽商银行股份有限公全椒支行 </w:t>
            </w:r>
          </w:p>
          <w:p w14:paraId="44A4BAFC">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地址：安徽省滁州市全椒县儒林路广电大厦1楼 </w:t>
            </w:r>
          </w:p>
          <w:p w14:paraId="77FB48C1">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联系人及电话：宣东东 18855058765</w:t>
            </w:r>
          </w:p>
          <w:p w14:paraId="15365508">
            <w:pPr>
              <w:pStyle w:val="46"/>
              <w:widowControl w:val="0"/>
              <w:spacing w:before="0" w:beforeAutospacing="0" w:after="0" w:afterAutospacing="0" w:line="500" w:lineRule="exact"/>
              <w:ind w:firstLine="480" w:firstLineChars="200"/>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定远县</w:t>
            </w:r>
          </w:p>
          <w:p w14:paraId="5B5025C1">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金融机构名称：徽商银行股份有限公司定远支行</w:t>
            </w:r>
          </w:p>
          <w:p w14:paraId="4BB857FA">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地址：定远县长征路与合蚌路交叉口</w:t>
            </w:r>
          </w:p>
          <w:p w14:paraId="1066602B">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联系人及电话：俞旭 13721071985</w:t>
            </w:r>
          </w:p>
          <w:p w14:paraId="4EAD1760">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金融机构名称：中国银行股份有限公司定远支行</w:t>
            </w:r>
          </w:p>
          <w:p w14:paraId="16ACB40E">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地址：定远县定城镇东大街油坊巷西1号</w:t>
            </w:r>
          </w:p>
          <w:p w14:paraId="0B95CA55">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联系人及电话：米阳 13721071985</w:t>
            </w:r>
          </w:p>
          <w:p w14:paraId="4C101658">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金融机构名称：中国邮政储蓄银行股份有限公司定远县支行</w:t>
            </w:r>
          </w:p>
          <w:p w14:paraId="63756C36">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地址：定远县定城镇东大街中段（老供电局）邮储银行定远县支行</w:t>
            </w:r>
          </w:p>
          <w:p w14:paraId="6F46325C">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联系人及电话：蒋宋、付文玲18055035230、18355281631</w:t>
            </w:r>
          </w:p>
          <w:p w14:paraId="720A8897">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金融机构名称：安徽定远农村商业银行股份有限公司</w:t>
            </w:r>
          </w:p>
          <w:p w14:paraId="4E83C780">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地址：定远县戚继光大道197号新城支行</w:t>
            </w:r>
          </w:p>
          <w:p w14:paraId="792D5474">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联系人及电话：范大伟13505554639</w:t>
            </w:r>
          </w:p>
          <w:p w14:paraId="3C9ACBF9">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金融机构名称：安徽定远民丰村镇银行股份有限公司</w:t>
            </w:r>
          </w:p>
          <w:p w14:paraId="15B718CD">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地址：定远县定城镇长征中路</w:t>
            </w:r>
          </w:p>
          <w:p w14:paraId="466CB0DE">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联系人及电话：朱冬冬18155018299</w:t>
            </w:r>
          </w:p>
          <w:p w14:paraId="0D203C1D">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5.特别提示：</w:t>
            </w:r>
          </w:p>
          <w:p w14:paraId="2739CD6C">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（1）投标人应填写投标信息并下载招标文件，否则无法上传投标文件。</w:t>
            </w:r>
          </w:p>
          <w:p w14:paraId="4B857D36">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注：投标人如为联合体的，牵头人必须完善投标人信息，并在上传投标文件环节添加联合体投标信息。</w:t>
            </w:r>
          </w:p>
          <w:p w14:paraId="4F960A29">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2）本项目采用电子招标投标，请投标人在滁州市公共资源交易中心网&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4009980000。</w:t>
            </w:r>
          </w:p>
          <w:p w14:paraId="2A66B80E">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（3）如果过程中出现招标文件更改，应以最后发布的招标答疑澄清文件中的模板制作本项目最新投标文件。</w:t>
            </w:r>
          </w:p>
          <w:p w14:paraId="0872FE3E">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（4）投标人应当用本单位CA数字证书制作投标文件，制作成功后进行投标文件上传。 </w:t>
            </w:r>
          </w:p>
          <w:p w14:paraId="760F673E">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5）投标人须用CA数字证书盖章和加密投标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294E2F46">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（6）请投标人注意加密投标文件CA数字证书的有效期，不在有效期的CA数字证书无法解密投标文件。</w:t>
            </w:r>
          </w:p>
          <w:p w14:paraId="73FFA88A">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（7）投标人投标MAC地址或投标人联系人或联系电话相同的，由评标委员会否决其投标，并报告监管部门作不良行为处理和进一步调查。</w:t>
            </w:r>
          </w:p>
          <w:p w14:paraId="400684DD">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（8）投标人单方面出现其他投标人材料的，由评标委员会否决其投标。</w:t>
            </w:r>
          </w:p>
          <w:p w14:paraId="69F108B5">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9）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63B7D910">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10）电子加密投标文件上传到系统后，需要投标企业和招标代理公司到开标截止时间后共同解锁，不存在商务报价等投标信息通过系统泄密的风险；投标截止时间前，已上传的投标文件也可以撤回修改。集中到开标截止时间前上传电子加密投标文件，可能出现由于投标企业制作电子投标文件不熟练、网络拥堵等不可预知的情况而且无法及时解决，丧失投标机会，请各投标企业提前制作、上传电子加密投标文件，否则由于无法及时上传电子加密投标文件而废标或无效投标的情况，责任自负！</w:t>
            </w:r>
          </w:p>
          <w:p w14:paraId="1B81CF8D">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6.评标过程中的澄清、说明或补正：</w:t>
            </w:r>
          </w:p>
          <w:p w14:paraId="2D202BF9">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（1）评标委员会通过网上招投标系统将需要澄清、说明或补正的内容以询标函的形式发送给投标人，投标人应安排专人登录网上招投标系统并保持在线状态，以便及时接收评标委员会可能发出的询标函。</w:t>
            </w:r>
          </w:p>
          <w:p w14:paraId="2FAE49C9">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p w14:paraId="1AF0973A">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7.同义词语：</w:t>
            </w:r>
          </w:p>
          <w:p w14:paraId="27BDD9D0">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招标文件第六章  投标文件格式、附件1“关于联合惩戒失信行为 加强信用查询管理的通知”等章节中 “招标人”、“供应商”，等同于“采购人”、“投标人”。</w:t>
            </w:r>
          </w:p>
          <w:p w14:paraId="0146DB50">
            <w:pPr>
              <w:pStyle w:val="46"/>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hint="eastAsia" w:ascii="宋体" w:hAnsi="宋体" w:eastAsia="宋体" w:cs="宋体"/>
                <w:b w:val="0"/>
                <w:color w:val="auto"/>
                <w:kern w:val="2"/>
                <w:sz w:val="24"/>
                <w:szCs w:val="24"/>
                <w:highlight w:val="none"/>
              </w:rPr>
              <w:t>8.落实政府采购支持节能产品、环境标志产品政策。</w:t>
            </w:r>
          </w:p>
        </w:tc>
      </w:tr>
    </w:tbl>
    <w:p w14:paraId="349ACCB0">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6" w:name="_Toc9427"/>
      <w:bookmarkStart w:id="27" w:name="_Toc24882"/>
      <w:r>
        <w:rPr>
          <w:rFonts w:hint="eastAsia" w:asciiTheme="minorEastAsia" w:hAnsiTheme="minorEastAsia" w:eastAsiaTheme="minorEastAsia"/>
          <w:b/>
          <w:color w:val="auto"/>
          <w:sz w:val="24"/>
          <w:highlight w:val="none"/>
        </w:rPr>
        <w:t>二、</w:t>
      </w:r>
      <w:r>
        <w:rPr>
          <w:rFonts w:asciiTheme="minorEastAsia" w:hAnsiTheme="minorEastAsia" w:eastAsiaTheme="minorEastAsia"/>
          <w:b/>
          <w:color w:val="auto"/>
          <w:sz w:val="24"/>
          <w:highlight w:val="none"/>
        </w:rPr>
        <w:t>投标人须知</w:t>
      </w:r>
      <w:r>
        <w:rPr>
          <w:rFonts w:hint="eastAsia" w:asciiTheme="minorEastAsia" w:hAnsiTheme="minorEastAsia" w:eastAsiaTheme="minorEastAsia"/>
          <w:b/>
          <w:color w:val="auto"/>
          <w:sz w:val="24"/>
          <w:highlight w:val="none"/>
        </w:rPr>
        <w:t>正文</w:t>
      </w:r>
      <w:bookmarkEnd w:id="26"/>
      <w:bookmarkEnd w:id="27"/>
    </w:p>
    <w:p w14:paraId="34452FA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1.采购人、采购代理机构及投标人</w:t>
      </w:r>
    </w:p>
    <w:p w14:paraId="6E90D81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.1采购人：是指依法开展政府采购活动的国家机关、事业单位、团体组织。</w:t>
      </w:r>
    </w:p>
    <w:p w14:paraId="0FBE7D5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.2采购代理机构：是指集中采购机构或从事采购代理业务的社会中介机构。</w:t>
      </w:r>
    </w:p>
    <w:p w14:paraId="3600645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0B13404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6EB8F73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592CB23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2</w:t>
      </w:r>
      <w:r>
        <w:rPr>
          <w:rFonts w:ascii="宋体" w:hAnsi="宋体" w:eastAsia="宋体"/>
          <w:color w:val="auto"/>
          <w:sz w:val="24"/>
          <w:highlight w:val="none"/>
        </w:rPr>
        <w:t>以采购代理机构认可的方式获得了本项目的招标文件。</w:t>
      </w:r>
    </w:p>
    <w:p w14:paraId="6C17D30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3</w:t>
      </w:r>
      <w:r>
        <w:rPr>
          <w:rFonts w:ascii="宋体" w:hAnsi="宋体" w:eastAsia="宋体"/>
          <w:color w:val="auto"/>
          <w:sz w:val="24"/>
          <w:highlight w:val="none"/>
        </w:rPr>
        <w:t>若</w:t>
      </w:r>
      <w:r>
        <w:rPr>
          <w:rFonts w:hint="eastAsia" w:ascii="宋体" w:hAnsi="宋体" w:eastAsia="宋体"/>
          <w:color w:val="auto"/>
          <w:sz w:val="24"/>
          <w:highlight w:val="none"/>
        </w:rPr>
        <w:t>采购需求</w:t>
      </w:r>
      <w:r>
        <w:rPr>
          <w:rFonts w:ascii="宋体" w:hAnsi="宋体" w:eastAsia="宋体"/>
          <w:color w:val="auto"/>
          <w:sz w:val="24"/>
          <w:highlight w:val="none"/>
        </w:rPr>
        <w:t>中写明允许采购进口产品，投标人应保证所投产品可履行合法报通关手续进入中国关境内。</w:t>
      </w:r>
    </w:p>
    <w:p w14:paraId="29B7ECE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若采购需求中未写明允许采购进口产品，如投标人所投产品为进口产品，其投标将被认定为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614EC06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61DEA51C">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5.1两个以上供应商可以组成一个投标联合体，以一个投标人的身份投标。联合体投标的，</w:t>
      </w:r>
      <w:r>
        <w:rPr>
          <w:rFonts w:hint="eastAsia" w:ascii="宋体" w:hAnsi="宋体" w:eastAsia="宋体"/>
          <w:color w:val="auto"/>
          <w:sz w:val="24"/>
          <w:highlight w:val="none"/>
        </w:rPr>
        <w:t>招标文件获取</w:t>
      </w:r>
      <w:r>
        <w:rPr>
          <w:rFonts w:ascii="宋体" w:hAnsi="宋体" w:eastAsia="宋体"/>
          <w:color w:val="auto"/>
          <w:sz w:val="24"/>
          <w:highlight w:val="none"/>
        </w:rPr>
        <w:t>手续由联合体</w:t>
      </w:r>
      <w:r>
        <w:rPr>
          <w:rFonts w:hint="eastAsia" w:ascii="宋体" w:hAnsi="宋体" w:eastAsia="宋体"/>
          <w:color w:val="auto"/>
          <w:sz w:val="24"/>
          <w:highlight w:val="none"/>
        </w:rPr>
        <w:t>中</w:t>
      </w:r>
      <w:r>
        <w:rPr>
          <w:rFonts w:ascii="宋体" w:hAnsi="宋体" w:eastAsia="宋体"/>
          <w:color w:val="auto"/>
          <w:sz w:val="24"/>
          <w:highlight w:val="none"/>
        </w:rPr>
        <w:t>任</w:t>
      </w:r>
      <w:r>
        <w:rPr>
          <w:rFonts w:hint="eastAsia" w:ascii="宋体" w:hAnsi="宋体" w:eastAsia="宋体"/>
          <w:color w:val="auto"/>
          <w:sz w:val="24"/>
          <w:highlight w:val="none"/>
        </w:rPr>
        <w:t>一成员单位</w:t>
      </w:r>
      <w:r>
        <w:rPr>
          <w:rFonts w:ascii="宋体" w:hAnsi="宋体" w:eastAsia="宋体"/>
          <w:color w:val="auto"/>
          <w:sz w:val="24"/>
          <w:highlight w:val="none"/>
        </w:rPr>
        <w:t>办理均可。</w:t>
      </w:r>
    </w:p>
    <w:p w14:paraId="36B43C6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5.2联合体各方均应符合《中华人民共和国政府采购法》第二十二条规定的条件。</w:t>
      </w:r>
    </w:p>
    <w:p w14:paraId="05A5968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5.3采购人根据采购项目对投标人的特殊要求，联合体中至少应当有一方符合相关规定。</w:t>
      </w:r>
    </w:p>
    <w:p w14:paraId="7BFBE26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6F5936E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13E81DF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22A940D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5B88603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rPr>
        <w:t>申请人的资格要求</w:t>
      </w:r>
      <w:r>
        <w:rPr>
          <w:rFonts w:ascii="宋体" w:hAnsi="宋体" w:eastAsia="宋体"/>
          <w:color w:val="auto"/>
          <w:sz w:val="24"/>
          <w:highlight w:val="none"/>
        </w:rPr>
        <w:t>。</w:t>
      </w:r>
    </w:p>
    <w:p w14:paraId="4F899B3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2.资金落实情况</w:t>
      </w:r>
    </w:p>
    <w:p w14:paraId="7CEB8821">
      <w:pPr>
        <w:spacing w:line="360" w:lineRule="auto"/>
        <w:ind w:firstLine="435"/>
        <w:rPr>
          <w:rFonts w:hint="eastAsia" w:asciiTheme="minorEastAsia" w:hAnsiTheme="minorEastAsia" w:eastAsiaTheme="minorEastAsia"/>
          <w:color w:val="auto"/>
          <w:sz w:val="24"/>
          <w:highlight w:val="none"/>
          <w:u w:val="single"/>
          <w:lang w:eastAsia="zh-CN"/>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r>
        <w:rPr>
          <w:rFonts w:hint="eastAsia" w:asciiTheme="minorEastAsia" w:hAnsiTheme="minorEastAsia" w:eastAsiaTheme="minorEastAsia"/>
          <w:color w:val="auto"/>
          <w:sz w:val="24"/>
          <w:highlight w:val="none"/>
          <w:u w:val="single"/>
        </w:rPr>
        <w:t>2027年及2028年物业费根据财政预算拨付情况据实调</w:t>
      </w:r>
      <w:r>
        <w:rPr>
          <w:rFonts w:hint="eastAsia" w:asciiTheme="minorEastAsia" w:hAnsiTheme="minorEastAsia" w:eastAsiaTheme="minorEastAsia"/>
          <w:color w:val="auto"/>
          <w:sz w:val="24"/>
          <w:highlight w:val="none"/>
          <w:u w:val="single"/>
          <w:lang w:eastAsia="zh-CN"/>
        </w:rPr>
        <w:t>减</w:t>
      </w:r>
      <w:r>
        <w:rPr>
          <w:rFonts w:hint="eastAsia" w:asciiTheme="minorEastAsia" w:hAnsiTheme="minorEastAsia" w:eastAsiaTheme="minorEastAsia"/>
          <w:color w:val="auto"/>
          <w:sz w:val="24"/>
          <w:highlight w:val="none"/>
          <w:u w:val="single"/>
        </w:rPr>
        <w:t>。</w:t>
      </w:r>
      <w:r>
        <w:rPr>
          <w:rFonts w:hint="eastAsia" w:asciiTheme="minorEastAsia" w:hAnsiTheme="minorEastAsia" w:eastAsiaTheme="minorEastAsia"/>
          <w:color w:val="auto"/>
          <w:sz w:val="24"/>
          <w:highlight w:val="none"/>
          <w:u w:val="single"/>
          <w:lang w:eastAsia="zh-CN"/>
        </w:rPr>
        <w:t>（可根据物业分项报价表减少相应服务内容）</w:t>
      </w:r>
    </w:p>
    <w:p w14:paraId="6E48864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3.投标费用</w:t>
      </w:r>
    </w:p>
    <w:p w14:paraId="3875B15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7C8FA06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4.适用法律</w:t>
      </w:r>
    </w:p>
    <w:p w14:paraId="7A2AC749">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w:t>
      </w:r>
      <w:r>
        <w:rPr>
          <w:rFonts w:hint="eastAsia" w:ascii="宋体" w:hAnsi="宋体" w:eastAsia="宋体"/>
          <w:color w:val="auto"/>
          <w:sz w:val="24"/>
          <w:szCs w:val="22"/>
          <w:highlight w:val="none"/>
        </w:rPr>
        <w:t>华人民共和国政府采购法实施条例》及本项目本级和上级财政部门、政府采购监督管理部门的政府采购有关规定的约束，其权利受到上述法律法规的保护。</w:t>
      </w:r>
    </w:p>
    <w:p w14:paraId="55A16FA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5.招标文件构成</w:t>
      </w:r>
    </w:p>
    <w:p w14:paraId="47C9823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5.1招标文件包括下列内容：</w:t>
      </w:r>
    </w:p>
    <w:p w14:paraId="4F17A1D7">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5367A574">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10AB33CF">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45B97AA1">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64F7EE60">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401719F6">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7F291E11">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07ADE55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宋体" w:hAnsi="宋体" w:eastAsia="宋体"/>
          <w:bCs/>
          <w:color w:val="auto"/>
          <w:sz w:val="24"/>
          <w:szCs w:val="22"/>
          <w:highlight w:val="none"/>
        </w:rPr>
        <w:t>标前答疑会</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5BB20A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投标人应认真阅读招标文件所有的事项、格式、条款和技术规范等。</w:t>
      </w:r>
    </w:p>
    <w:p w14:paraId="14E9418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招标文件的澄清与修改</w:t>
      </w:r>
    </w:p>
    <w:p w14:paraId="1454CCC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6A15D7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2采购人可主动地或在答复投标人提出的询问时对招标文件进行澄清与修改。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在安徽省政府采购网以发布更正公告的方式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371F10A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12667F28">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6644020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投标范围及投标文件中标准和计量单位的使用</w:t>
      </w:r>
    </w:p>
    <w:p w14:paraId="2E583A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2AC9C91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54972D56">
      <w:pPr>
        <w:spacing w:line="360" w:lineRule="auto"/>
        <w:ind w:firstLine="435"/>
        <w:rPr>
          <w:rFonts w:asciiTheme="minorEastAsia" w:hAnsiTheme="minorEastAsia" w:eastAsiaTheme="minorEastAsia"/>
          <w:color w:val="auto"/>
          <w:sz w:val="24"/>
          <w:highlight w:val="none"/>
        </w:rPr>
      </w:pPr>
      <w:bookmarkStart w:id="28" w:name="_Hlk16458980"/>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投标人所投货物、服务及工程（如有）均应符合国家强制性标准。</w:t>
      </w:r>
    </w:p>
    <w:bookmarkEnd w:id="28"/>
    <w:p w14:paraId="316B4BB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304CC0C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51B49B5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58CF2EB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795C0E1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rPr>
        <w:t>形式</w:t>
      </w:r>
      <w:r>
        <w:rPr>
          <w:rFonts w:asciiTheme="minorEastAsia" w:hAnsiTheme="minorEastAsia" w:eastAsiaTheme="minorEastAsia"/>
          <w:color w:val="auto"/>
          <w:sz w:val="24"/>
          <w:highlight w:val="none"/>
        </w:rPr>
        <w:t>可以是文字资料、图纸和数据</w:t>
      </w:r>
      <w:bookmarkStart w:id="29" w:name="_Hlk11703583"/>
      <w:r>
        <w:rPr>
          <w:rFonts w:hint="eastAsia" w:asciiTheme="minorEastAsia" w:hAnsiTheme="minorEastAsia" w:eastAsiaTheme="minorEastAsia"/>
          <w:color w:val="auto"/>
          <w:sz w:val="24"/>
          <w:highlight w:val="none"/>
        </w:rPr>
        <w:t>等。</w:t>
      </w:r>
    </w:p>
    <w:bookmarkEnd w:id="29"/>
    <w:p w14:paraId="432EB50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7A914E3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4E34857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2.1投标人的报价应当包括满足本次招标全部采购需求</w:t>
      </w:r>
      <w:r>
        <w:rPr>
          <w:rFonts w:hint="eastAsia" w:asciiTheme="minorEastAsia" w:hAnsiTheme="minorEastAsia" w:eastAsiaTheme="minorEastAsia"/>
          <w:color w:val="auto"/>
          <w:sz w:val="24"/>
          <w:highlight w:val="none"/>
        </w:rPr>
        <w:t>。除招标文件另有规定外，所有投标均应以人民币报价。投标人的投标报价应遵守《中华人民共和国价格法》。</w:t>
      </w:r>
    </w:p>
    <w:p w14:paraId="31E68B8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06F9AD5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5CD485B1">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0960FC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采购人不接受具有附加条件的报价。</w:t>
      </w:r>
    </w:p>
    <w:p w14:paraId="2E9EC20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3132976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10.1本项目不收取投标保证金。</w:t>
      </w:r>
    </w:p>
    <w:p w14:paraId="45D668E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15F61D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705AD60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5EB16BF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25A8F99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14:paraId="2142F36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2.1投标人应当在招标公告规定的投标截止时间前</w:t>
      </w:r>
      <w:r>
        <w:rPr>
          <w:rFonts w:asciiTheme="minorEastAsia" w:hAnsiTheme="minorEastAsia" w:eastAsiaTheme="minorEastAsia"/>
          <w:color w:val="auto"/>
          <w:sz w:val="24"/>
          <w:highlight w:val="none"/>
        </w:rPr>
        <w:t>，将加密的投标文件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797D19F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47C0BF6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37C65B4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各投标人应在</w:t>
      </w:r>
      <w:r>
        <w:rPr>
          <w:rFonts w:ascii="宋体" w:hAnsi="宋体" w:eastAsia="宋体" w:cs="宋体"/>
          <w:color w:val="auto"/>
          <w:sz w:val="24"/>
          <w:szCs w:val="24"/>
          <w:highlight w:val="none"/>
          <w:u w:val="single"/>
        </w:rPr>
        <w:t>投标人须知前附表</w:t>
      </w:r>
      <w:r>
        <w:rPr>
          <w:rFonts w:ascii="宋体" w:hAnsi="宋体" w:eastAsia="宋体" w:cs="宋体"/>
          <w:color w:val="auto"/>
          <w:sz w:val="24"/>
          <w:szCs w:val="24"/>
          <w:highlight w:val="none"/>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4759F4E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5FDA310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13.3采购人或采购代理机构将对开标过程进行记录，由参加开标的各投标人代表和相关工作人员签字确认，并存档备查。</w:t>
      </w:r>
    </w:p>
    <w:p w14:paraId="3FA7BAB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76CECAF6">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13.4投标人代表对开标过程和开标记录有疑义，以及认为采购人、采购代理机构相关工作人员有需要回避的情形的，应当场提出询问或者回避申请。</w:t>
      </w:r>
    </w:p>
    <w:p w14:paraId="4760518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7BF22B4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1670EF46">
      <w:pPr>
        <w:spacing w:line="360" w:lineRule="auto"/>
        <w:ind w:firstLine="435"/>
        <w:rPr>
          <w:rFonts w:ascii="宋体" w:hAnsi="宋体" w:eastAsia="宋体" w:cs="宋体"/>
          <w:color w:val="auto"/>
          <w:sz w:val="24"/>
          <w:szCs w:val="24"/>
          <w:highlight w:val="none"/>
        </w:rPr>
      </w:pPr>
      <w:bookmarkStart w:id="30" w:name="_Hlk24663244"/>
      <w:r>
        <w:rPr>
          <w:rFonts w:hint="eastAsia" w:ascii="宋体" w:hAnsi="宋体" w:eastAsia="宋体" w:cs="宋体"/>
          <w:color w:val="auto"/>
          <w:sz w:val="24"/>
          <w:szCs w:val="24"/>
          <w:highlight w:val="none"/>
        </w:rPr>
        <w:t>14.2采购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02812A84">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16AFA8CF">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30"/>
    <w:p w14:paraId="2DB7097C">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14.3按照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7FCA7DA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25FD8B8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747EAD4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w:t>
      </w:r>
      <w:r>
        <w:rPr>
          <w:rFonts w:hint="eastAsia" w:ascii="宋体" w:hAnsi="宋体" w:eastAsia="宋体"/>
          <w:color w:val="auto"/>
          <w:sz w:val="24"/>
          <w:highlight w:val="none"/>
        </w:rPr>
        <w:t>2投标文件的澄清</w:t>
      </w:r>
    </w:p>
    <w:p w14:paraId="08198EF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0AB9BEF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63D0E04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6A68D67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6F0F253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15.3</w:t>
      </w:r>
      <w:r>
        <w:rPr>
          <w:rFonts w:ascii="宋体" w:hAnsi="宋体" w:eastAsia="宋体"/>
          <w:color w:val="auto"/>
          <w:sz w:val="24"/>
          <w:highlight w:val="none"/>
        </w:rPr>
        <w:t>投标文件报价出现前后不一致的，按照下列规定修正：</w:t>
      </w:r>
    </w:p>
    <w:p w14:paraId="366BFF2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73630FB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2269C861">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52B3077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0269C01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5B8D1220">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70207B8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16.投标无效</w:t>
      </w:r>
    </w:p>
    <w:p w14:paraId="3D159D3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7C27310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01FB72E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0E01A0D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0D87B54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5930DA1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0153D03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626CBF9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22F196C2">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3C76B81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17.比较与评价</w:t>
      </w:r>
    </w:p>
    <w:p w14:paraId="69FA7DB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17.1经符合性审查合格的投标文件，评标委员会将根据招标文件确定的评标方法和标准，对其投标文件作进一步的比较与评价。</w:t>
      </w:r>
    </w:p>
    <w:p w14:paraId="63BDA6E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31454A2B">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77569C9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21095F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w:t>
      </w:r>
      <w:r>
        <w:rPr>
          <w:rFonts w:hint="eastAsia" w:ascii="宋体" w:hAnsi="宋体" w:eastAsia="宋体"/>
          <w:color w:val="auto"/>
          <w:sz w:val="24"/>
          <w:highlight w:val="none"/>
        </w:rPr>
        <w:t>和</w:t>
      </w:r>
      <w:r>
        <w:rPr>
          <w:rFonts w:ascii="宋体" w:hAnsi="宋体" w:eastAsia="宋体"/>
          <w:color w:val="auto"/>
          <w:sz w:val="24"/>
          <w:highlight w:val="none"/>
        </w:rPr>
        <w:t>《财政部 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6943F2F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6DA76C6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4B3ED433">
      <w:pPr>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17.4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30660BF5">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43A89DD5">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69B081F">
      <w:pPr>
        <w:spacing w:line="360" w:lineRule="auto"/>
        <w:ind w:firstLine="480" w:firstLineChars="200"/>
        <w:rPr>
          <w:rFonts w:ascii="@仿宋_GB2312" w:hAnsi="@仿宋_GB2312" w:eastAsia="@仿宋_GB2312" w:cs="@仿宋_GB2312"/>
          <w:b/>
          <w:bCs/>
          <w:color w:val="auto"/>
          <w:kern w:val="0"/>
          <w:sz w:val="28"/>
          <w:szCs w:val="28"/>
          <w:highlight w:val="none"/>
        </w:rPr>
      </w:pPr>
      <w:r>
        <w:rPr>
          <w:rFonts w:hint="eastAsia" w:ascii="宋体" w:hAnsi="宋体" w:cs="宋体"/>
          <w:bCs/>
          <w:color w:val="auto"/>
          <w:kern w:val="0"/>
          <w:sz w:val="24"/>
          <w:highlight w:val="none"/>
        </w:rPr>
        <w:t>17.5同时符合17.3和17.4的价格评审优惠时，评标价为投标报价分别扣除促进中小企业发展政策的价格评审优惠和本国产品支持政策的价格评审优惠后的价格。</w:t>
      </w:r>
    </w:p>
    <w:p w14:paraId="7C8CA13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2FE896C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18.1出现下列情形之一，将导致项目废标：</w:t>
      </w:r>
    </w:p>
    <w:p w14:paraId="5DE1919E">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011839C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032F4C9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2F40795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5AD55B3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资格审查或符合性审查的投标人不足</w:t>
      </w:r>
      <w:r>
        <w:rPr>
          <w:rFonts w:asciiTheme="minorEastAsia" w:hAnsiTheme="minorEastAsia" w:eastAsiaTheme="minorEastAsia"/>
          <w:color w:val="auto"/>
          <w:sz w:val="24"/>
          <w:highlight w:val="none"/>
        </w:rPr>
        <w:t>3家的，除采购任务取消情形外，按照以下方式处理：</w:t>
      </w:r>
    </w:p>
    <w:p w14:paraId="62CC7E8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5482F1A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color w:val="auto"/>
          <w:sz w:val="24"/>
          <w:szCs w:val="24"/>
          <w:highlight w:val="none"/>
        </w:rPr>
        <w:t>政府采购监督管理部门</w:t>
      </w:r>
      <w:r>
        <w:rPr>
          <w:rFonts w:hint="eastAsia" w:asciiTheme="minorEastAsia" w:hAnsiTheme="minorEastAsia" w:eastAsiaTheme="minorEastAsia"/>
          <w:color w:val="auto"/>
          <w:sz w:val="24"/>
          <w:highlight w:val="none"/>
        </w:rPr>
        <w:t>批准。</w:t>
      </w:r>
    </w:p>
    <w:p w14:paraId="586A024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3899F8A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19.1评标将在严格保密的情况下进行。</w:t>
      </w:r>
    </w:p>
    <w:p w14:paraId="3646041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19.2有关人员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6D4F537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0054AE4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20.1</w:t>
      </w:r>
      <w:r>
        <w:rPr>
          <w:rFonts w:asciiTheme="minorEastAsia" w:hAnsiTheme="minorEastAsia" w:eastAsiaTheme="minorEastAsia"/>
          <w:color w:val="auto"/>
          <w:sz w:val="24"/>
          <w:highlight w:val="none"/>
        </w:rPr>
        <w:t>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4B2E486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出现两家或两家以上相同者，采取评标委员会随机抽取的方式确定中标候选顺序。</w:t>
      </w:r>
    </w:p>
    <w:p w14:paraId="00A3373D">
      <w:pPr>
        <w:spacing w:line="360" w:lineRule="auto"/>
        <w:ind w:firstLine="435"/>
        <w:rPr>
          <w:rFonts w:eastAsiaTheme="minorEastAsia"/>
          <w:color w:val="auto"/>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w:t>
      </w:r>
      <w:r>
        <w:rPr>
          <w:rFonts w:hint="eastAsia" w:asciiTheme="minorEastAsia" w:hAnsiTheme="minorEastAsia" w:eastAsiaTheme="minorEastAsia"/>
          <w:color w:val="auto"/>
          <w:sz w:val="24"/>
          <w:highlight w:val="none"/>
        </w:rPr>
        <w:t>按投标报价由低到高顺序排列。</w:t>
      </w:r>
      <w:r>
        <w:rPr>
          <w:rFonts w:asciiTheme="minorEastAsia" w:hAnsiTheme="minorEastAsia" w:eastAsiaTheme="minorEastAsia"/>
          <w:color w:val="auto"/>
          <w:sz w:val="24"/>
          <w:highlight w:val="none"/>
        </w:rPr>
        <w:t>得分与投标报价均相同的</w:t>
      </w:r>
      <w:r>
        <w:rPr>
          <w:rFonts w:hint="eastAsia" w:asciiTheme="minorEastAsia" w:hAnsiTheme="minorEastAsia" w:eastAsiaTheme="minorEastAsia"/>
          <w:color w:val="auto"/>
          <w:sz w:val="24"/>
          <w:highlight w:val="none"/>
        </w:rPr>
        <w:t>，则采取评标委员会随机抽取的方式确定中标候选顺序。</w:t>
      </w:r>
    </w:p>
    <w:p w14:paraId="2CFF803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761ACF6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2F59760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472105F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50FD3C8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5C51F91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2130FF1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3C4AFE3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3ED71DDB">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自中标人确定之日起2个工作日内，采购代理机构将在安徽省政府采购网（www.ccgp-anhui.gov.cn）上发布中标结果公告。</w:t>
      </w:r>
    </w:p>
    <w:p w14:paraId="3829E0E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5BD6D6E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688AA21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p>
    <w:p w14:paraId="3C1C308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0372B6B6">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1386E4C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0E7F123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401BE84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02C3987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7443D103">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26.</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5C1BA76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739ABA1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27.1</w:t>
      </w:r>
      <w:r>
        <w:rPr>
          <w:rFonts w:hint="eastAsia" w:ascii="宋体" w:hAnsi="宋体" w:eastAsia="宋体" w:cs="宋体"/>
          <w:color w:val="auto"/>
          <w:sz w:val="24"/>
          <w:szCs w:val="24"/>
          <w:highlight w:val="none"/>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规定的时间内完成政府采购合同签订及合同公告。</w:t>
      </w:r>
    </w:p>
    <w:p w14:paraId="59505B4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27.2招标文件、中标人的投标文件及其澄清文件等，均为签订合同的依据。</w:t>
      </w:r>
    </w:p>
    <w:p w14:paraId="609304B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27.3中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106DB30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27.4依据《政府采购促进中小企业发展管理办法》（财库〔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0AB4B05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代理费用</w:t>
      </w:r>
    </w:p>
    <w:p w14:paraId="341E277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28</w:t>
      </w:r>
      <w:r>
        <w:rPr>
          <w:rFonts w:ascii="宋体" w:hAnsi="宋体" w:eastAsia="宋体"/>
          <w:color w:val="auto"/>
          <w:sz w:val="24"/>
          <w:highlight w:val="none"/>
        </w:rPr>
        <w:t>.1</w:t>
      </w:r>
      <w:r>
        <w:rPr>
          <w:rFonts w:hint="eastAsia" w:ascii="宋体" w:hAnsi="宋体" w:eastAsia="宋体"/>
          <w:color w:val="auto"/>
          <w:sz w:val="24"/>
          <w:highlight w:val="none"/>
        </w:rPr>
        <w:t>本项目代理费用的收取按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6DD9FF54">
      <w:pPr>
        <w:spacing w:line="360" w:lineRule="auto"/>
        <w:ind w:firstLine="437"/>
        <w:outlineLvl w:val="2"/>
        <w:rPr>
          <w:rFonts w:asciiTheme="minorEastAsia" w:hAnsiTheme="minorEastAsia" w:eastAsiaTheme="minorEastAsia"/>
          <w:b/>
          <w:color w:val="auto"/>
          <w:sz w:val="24"/>
          <w:highlight w:val="none"/>
        </w:rPr>
      </w:pPr>
      <w:bookmarkStart w:id="31" w:name="_Toc2583661"/>
      <w:bookmarkStart w:id="32" w:name="_Toc518923100"/>
      <w:r>
        <w:rPr>
          <w:rFonts w:hint="eastAsia" w:asciiTheme="minorEastAsia" w:hAnsiTheme="minorEastAsia" w:eastAsiaTheme="minorEastAsia"/>
          <w:b/>
          <w:color w:val="auto"/>
          <w:sz w:val="24"/>
          <w:highlight w:val="none"/>
        </w:rPr>
        <w:t>29.廉洁自律</w:t>
      </w:r>
      <w:r>
        <w:rPr>
          <w:rFonts w:asciiTheme="minorEastAsia" w:hAnsiTheme="minorEastAsia" w:eastAsiaTheme="minorEastAsia"/>
          <w:b/>
          <w:color w:val="auto"/>
          <w:sz w:val="24"/>
          <w:highlight w:val="none"/>
        </w:rPr>
        <w:t>规定</w:t>
      </w:r>
      <w:bookmarkEnd w:id="31"/>
      <w:bookmarkEnd w:id="32"/>
    </w:p>
    <w:p w14:paraId="7F030F5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29.1采购代理机构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2FED8F7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09020216">
      <w:pPr>
        <w:spacing w:line="360" w:lineRule="auto"/>
        <w:ind w:firstLine="437"/>
        <w:outlineLvl w:val="2"/>
        <w:rPr>
          <w:rFonts w:asciiTheme="minorEastAsia" w:hAnsiTheme="minorEastAsia" w:eastAsiaTheme="minorEastAsia"/>
          <w:b/>
          <w:color w:val="auto"/>
          <w:sz w:val="24"/>
          <w:highlight w:val="none"/>
        </w:rPr>
      </w:pPr>
      <w:bookmarkStart w:id="33" w:name="_Toc518923101"/>
      <w:bookmarkStart w:id="34" w:name="_Toc2583662"/>
      <w:r>
        <w:rPr>
          <w:rFonts w:hint="eastAsia" w:asciiTheme="minorEastAsia" w:hAnsiTheme="minorEastAsia" w:eastAsiaTheme="minorEastAsia"/>
          <w:b/>
          <w:color w:val="auto"/>
          <w:sz w:val="24"/>
          <w:highlight w:val="none"/>
        </w:rPr>
        <w:t>30.人员回避</w:t>
      </w:r>
      <w:bookmarkEnd w:id="33"/>
      <w:bookmarkEnd w:id="34"/>
    </w:p>
    <w:p w14:paraId="2664D4A6">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723CD9E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7C6E78C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0B5B4BB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2A8578B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31.3采购代理机构质疑函接收部门、联系电话和通讯地址，见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35F1823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注：上述条款中所要求的书面形式包含通过电子交易系统递交方式。</w:t>
      </w:r>
    </w:p>
    <w:p w14:paraId="67AE5D1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49D91D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02B32BFC">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0C518E4E">
      <w:pPr>
        <w:numPr>
          <w:ilvl w:val="0"/>
          <w:numId w:val="1"/>
        </w:numPr>
        <w:spacing w:line="360" w:lineRule="auto"/>
        <w:jc w:val="center"/>
        <w:outlineLvl w:val="0"/>
        <w:rPr>
          <w:rFonts w:asciiTheme="minorEastAsia" w:hAnsiTheme="minorEastAsia" w:eastAsiaTheme="minorEastAsia"/>
          <w:b/>
          <w:color w:val="auto"/>
          <w:sz w:val="28"/>
          <w:highlight w:val="none"/>
        </w:rPr>
      </w:pPr>
      <w:bookmarkStart w:id="35" w:name="_Toc22605"/>
      <w:r>
        <w:rPr>
          <w:rFonts w:hint="eastAsia" w:asciiTheme="minorEastAsia" w:hAnsiTheme="minorEastAsia" w:eastAsiaTheme="minorEastAsia"/>
          <w:b/>
          <w:color w:val="auto"/>
          <w:sz w:val="28"/>
          <w:highlight w:val="none"/>
        </w:rPr>
        <w:t>采购需求</w:t>
      </w:r>
      <w:bookmarkEnd w:id="35"/>
    </w:p>
    <w:p w14:paraId="5E8C025D">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34200293">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1.本采购需求中提出的服务方案仅为参考，如无明确限制，投标人可以进行优化，提供满足采购人实际需要的更优（或者性能实质上不低于的）服务方案，且此方案须经评标委员会评审认可。</w:t>
      </w:r>
    </w:p>
    <w:p w14:paraId="79AE4490">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政府采购政策（包括但不限于下列具体政策要求</w:t>
      </w:r>
      <w:r>
        <w:rPr>
          <w:rFonts w:hint="eastAsia" w:ascii="宋体" w:hAnsi="宋体" w:eastAsia="宋体" w:cs="宋体"/>
          <w:color w:val="auto"/>
          <w:sz w:val="24"/>
          <w:szCs w:val="24"/>
          <w:highlight w:val="none"/>
        </w:rPr>
        <w:t>）：</w:t>
      </w:r>
    </w:p>
    <w:p w14:paraId="45BF205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3C2292D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4C8D504">
      <w:pPr>
        <w:spacing w:line="360" w:lineRule="auto"/>
        <w:ind w:firstLine="480" w:firstLineChars="200"/>
        <w:rPr>
          <w:rFonts w:ascii="宋体" w:hAnsi="宋体" w:eastAsia="宋体"/>
          <w:bCs/>
          <w:color w:val="auto"/>
          <w:sz w:val="24"/>
          <w:szCs w:val="18"/>
          <w:highlight w:val="none"/>
        </w:rPr>
      </w:pPr>
      <w:r>
        <w:rPr>
          <w:rFonts w:hint="eastAsia" w:ascii="宋体" w:hAnsi="宋体" w:eastAsia="宋体" w:cs="宋体"/>
          <w:color w:val="auto"/>
          <w:sz w:val="24"/>
          <w:szCs w:val="24"/>
          <w:highlight w:val="none"/>
        </w:rPr>
        <w:t>3.如采购人允许采用分包方式履行合同的，应当明确可以分包履行的相关内容。</w:t>
      </w:r>
    </w:p>
    <w:p w14:paraId="36D3E1CA">
      <w:pPr>
        <w:spacing w:line="360" w:lineRule="auto"/>
        <w:ind w:firstLine="437"/>
        <w:outlineLvl w:val="1"/>
        <w:rPr>
          <w:rFonts w:ascii="宋体" w:hAnsi="宋体" w:eastAsia="宋体"/>
          <w:b/>
          <w:color w:val="auto"/>
          <w:sz w:val="24"/>
          <w:szCs w:val="18"/>
          <w:highlight w:val="none"/>
        </w:rPr>
      </w:pPr>
      <w:bookmarkStart w:id="36" w:name="_Toc21798"/>
      <w:bookmarkStart w:id="37" w:name="_Toc4148"/>
      <w:bookmarkStart w:id="38" w:name="_Hlk23621890"/>
      <w:r>
        <w:rPr>
          <w:rFonts w:hint="eastAsia" w:ascii="宋体" w:hAnsi="宋体" w:eastAsia="宋体"/>
          <w:b/>
          <w:color w:val="auto"/>
          <w:sz w:val="24"/>
          <w:szCs w:val="18"/>
          <w:highlight w:val="none"/>
        </w:rPr>
        <w:t>一、采购需求前附表</w:t>
      </w:r>
      <w:bookmarkEnd w:id="36"/>
      <w:bookmarkEnd w:id="37"/>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0EFFE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BE8651D">
            <w:pPr>
              <w:pStyle w:val="47"/>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67C342CD">
            <w:pPr>
              <w:pStyle w:val="46"/>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0148C9F0">
            <w:pPr>
              <w:pStyle w:val="46"/>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2E13E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37DDCA1">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74B268D5">
            <w:pPr>
              <w:pStyle w:val="46"/>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2F60C298">
            <w:pPr>
              <w:pStyle w:val="46"/>
              <w:widowControl w:val="0"/>
              <w:spacing w:before="0" w:beforeAutospacing="0" w:after="0" w:afterAutospacing="0" w:line="360" w:lineRule="auto"/>
              <w:jc w:val="left"/>
              <w:rPr>
                <w:rFonts w:hint="eastAsia" w:ascii="宋体" w:hAnsi="宋体" w:eastAsia="@仿宋_GB2312" w:cs="@仿宋_GB2312"/>
                <w:b w:val="0"/>
                <w:bCs w:val="0"/>
                <w:color w:val="auto"/>
                <w:kern w:val="2"/>
                <w:sz w:val="24"/>
                <w:szCs w:val="20"/>
                <w:highlight w:val="none"/>
                <w:lang w:val="en-US" w:eastAsia="zh-CN" w:bidi="ar-SA"/>
              </w:rPr>
            </w:pPr>
            <w:r>
              <w:rPr>
                <w:rFonts w:hint="eastAsia" w:ascii="宋体" w:hAnsi="宋体" w:eastAsia="@仿宋_GB2312" w:cs="@仿宋_GB2312"/>
                <w:b w:val="0"/>
                <w:bCs w:val="0"/>
                <w:color w:val="auto"/>
                <w:kern w:val="2"/>
                <w:sz w:val="24"/>
                <w:szCs w:val="20"/>
                <w:highlight w:val="none"/>
                <w:lang w:val="en-US" w:eastAsia="zh-CN" w:bidi="ar-SA"/>
              </w:rPr>
              <w:t>合同生效以及具备实施条件后 5 个工作日内支付预付款，预付款为一年合同金额的 40%【中标人须提供在金融机构办理的同等金额的保函（见索即付性质的独立保函）】，剩余价款按季度支付，第二季度支付上一季度服务费（扣除预付款），以此类推，中标人需开具相应金额的服务发票。</w:t>
            </w:r>
          </w:p>
        </w:tc>
      </w:tr>
      <w:tr w14:paraId="648D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26595D2">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56EC6E37">
            <w:pPr>
              <w:pStyle w:val="46"/>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217" w:type="pct"/>
            <w:vAlign w:val="center"/>
          </w:tcPr>
          <w:p w14:paraId="480C34A6">
            <w:pPr>
              <w:pStyle w:val="46"/>
              <w:widowControl w:val="0"/>
              <w:spacing w:before="0" w:beforeAutospacing="0" w:after="0" w:afterAutospacing="0" w:line="360" w:lineRule="auto"/>
              <w:jc w:val="left"/>
              <w:rPr>
                <w:rFonts w:hint="eastAsia" w:ascii="宋体" w:hAnsi="宋体" w:eastAsia="@仿宋_GB2312" w:cs="@仿宋_GB2312"/>
                <w:b w:val="0"/>
                <w:bCs w:val="0"/>
                <w:color w:val="auto"/>
                <w:kern w:val="2"/>
                <w:sz w:val="24"/>
                <w:szCs w:val="20"/>
                <w:highlight w:val="none"/>
                <w:lang w:val="en-US" w:eastAsia="zh-CN" w:bidi="ar-SA"/>
              </w:rPr>
            </w:pPr>
            <w:r>
              <w:rPr>
                <w:rFonts w:hint="eastAsia" w:ascii="宋体" w:hAnsi="宋体" w:eastAsia="@仿宋_GB2312" w:cs="@仿宋_GB2312"/>
                <w:b w:val="0"/>
                <w:bCs w:val="0"/>
                <w:color w:val="auto"/>
                <w:kern w:val="2"/>
                <w:sz w:val="24"/>
                <w:szCs w:val="20"/>
                <w:highlight w:val="none"/>
                <w:lang w:val="en-US" w:eastAsia="zh-CN" w:bidi="ar-SA"/>
              </w:rPr>
              <w:t>天长市人民法院内及冶山镇、秦栏镇、汊涧镇、铜城镇</w:t>
            </w:r>
          </w:p>
        </w:tc>
      </w:tr>
      <w:tr w14:paraId="56BE4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474B26B">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410E60D3">
            <w:pPr>
              <w:pStyle w:val="46"/>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3217" w:type="pct"/>
            <w:vAlign w:val="center"/>
          </w:tcPr>
          <w:p w14:paraId="2C4803BF">
            <w:pPr>
              <w:spacing w:line="360" w:lineRule="auto"/>
              <w:jc w:val="left"/>
              <w:rPr>
                <w:rFonts w:hint="eastAsia" w:ascii="宋体" w:hAnsi="宋体" w:eastAsia="@仿宋_GB2312" w:cs="@仿宋_GB2312"/>
                <w:b w:val="0"/>
                <w:bCs w:val="0"/>
                <w:color w:val="auto"/>
                <w:kern w:val="2"/>
                <w:sz w:val="24"/>
                <w:szCs w:val="20"/>
                <w:highlight w:val="none"/>
                <w:lang w:val="en-US" w:eastAsia="zh-CN" w:bidi="ar-SA"/>
              </w:rPr>
            </w:pPr>
            <w:r>
              <w:rPr>
                <w:rFonts w:hint="eastAsia" w:ascii="宋体" w:hAnsi="宋体" w:eastAsia="@仿宋_GB2312" w:cs="@仿宋_GB2312"/>
                <w:b w:val="0"/>
                <w:bCs w:val="0"/>
                <w:color w:val="auto"/>
                <w:kern w:val="2"/>
                <w:sz w:val="24"/>
                <w:szCs w:val="20"/>
                <w:highlight w:val="none"/>
                <w:lang w:val="en-US" w:eastAsia="zh-CN" w:bidi="ar-SA"/>
              </w:rPr>
              <w:t>三年，合同一年一签。</w:t>
            </w:r>
          </w:p>
        </w:tc>
      </w:tr>
      <w:tr w14:paraId="790FD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E7FE1B5">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192" w:type="pct"/>
            <w:vAlign w:val="center"/>
          </w:tcPr>
          <w:p w14:paraId="164793BF">
            <w:pPr>
              <w:pStyle w:val="46"/>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本项目采购标的名称及所属行业</w:t>
            </w:r>
          </w:p>
        </w:tc>
        <w:tc>
          <w:tcPr>
            <w:tcW w:w="3217" w:type="pct"/>
            <w:vAlign w:val="center"/>
          </w:tcPr>
          <w:p w14:paraId="63E09FAC">
            <w:pPr>
              <w:spacing w:line="360" w:lineRule="auto"/>
              <w:jc w:val="left"/>
              <w:rPr>
                <w:rFonts w:hint="eastAsia" w:ascii="宋体" w:hAnsi="宋体" w:eastAsia="@仿宋_GB2312" w:cs="@仿宋_GB2312"/>
                <w:b w:val="0"/>
                <w:bCs w:val="0"/>
                <w:color w:val="auto"/>
                <w:kern w:val="2"/>
                <w:sz w:val="24"/>
                <w:szCs w:val="20"/>
                <w:highlight w:val="none"/>
                <w:lang w:val="en-US" w:eastAsia="zh-CN" w:bidi="ar-SA"/>
              </w:rPr>
            </w:pPr>
            <w:r>
              <w:rPr>
                <w:rFonts w:hint="eastAsia" w:ascii="宋体" w:hAnsi="宋体" w:eastAsia="@仿宋_GB2312" w:cs="@仿宋_GB2312"/>
                <w:b w:val="0"/>
                <w:bCs w:val="0"/>
                <w:color w:val="auto"/>
                <w:kern w:val="2"/>
                <w:sz w:val="24"/>
                <w:szCs w:val="20"/>
                <w:highlight w:val="none"/>
                <w:lang w:val="en-US" w:eastAsia="zh-CN" w:bidi="ar-SA"/>
              </w:rPr>
              <w:t>标的名称：天长市人民法院及基层法庭物业服务项目</w:t>
            </w:r>
          </w:p>
          <w:p w14:paraId="50E9E810">
            <w:pPr>
              <w:spacing w:line="360" w:lineRule="auto"/>
              <w:jc w:val="left"/>
              <w:rPr>
                <w:rFonts w:hint="eastAsia" w:ascii="宋体" w:hAnsi="宋体" w:eastAsia="@仿宋_GB2312" w:cs="@仿宋_GB2312"/>
                <w:b w:val="0"/>
                <w:bCs w:val="0"/>
                <w:color w:val="auto"/>
                <w:kern w:val="2"/>
                <w:sz w:val="24"/>
                <w:szCs w:val="20"/>
                <w:highlight w:val="none"/>
                <w:lang w:val="en-US" w:eastAsia="zh-CN" w:bidi="ar-SA"/>
              </w:rPr>
            </w:pPr>
            <w:r>
              <w:rPr>
                <w:rFonts w:hint="eastAsia" w:ascii="宋体" w:hAnsi="宋体" w:eastAsia="@仿宋_GB2312" w:cs="@仿宋_GB2312"/>
                <w:b w:val="0"/>
                <w:bCs w:val="0"/>
                <w:color w:val="auto"/>
                <w:kern w:val="2"/>
                <w:sz w:val="24"/>
                <w:szCs w:val="20"/>
                <w:highlight w:val="none"/>
                <w:lang w:val="en-US" w:eastAsia="zh-CN" w:bidi="ar-SA"/>
              </w:rPr>
              <w:t>所属行业：其他未列明行业</w:t>
            </w:r>
          </w:p>
        </w:tc>
      </w:tr>
    </w:tbl>
    <w:p w14:paraId="3E2A6FBA">
      <w:pPr>
        <w:spacing w:line="360" w:lineRule="auto"/>
        <w:rPr>
          <w:rFonts w:ascii="宋体" w:hAnsi="宋体" w:eastAsia="宋体"/>
          <w:b/>
          <w:color w:val="auto"/>
          <w:sz w:val="24"/>
          <w:szCs w:val="18"/>
          <w:highlight w:val="none"/>
        </w:rPr>
      </w:pPr>
      <w:bookmarkStart w:id="39" w:name="_Toc16543"/>
      <w:bookmarkStart w:id="40" w:name="_Hlk16461016"/>
    </w:p>
    <w:p w14:paraId="40574BF0">
      <w:pPr>
        <w:numPr>
          <w:ilvl w:val="0"/>
          <w:numId w:val="2"/>
        </w:numPr>
        <w:spacing w:line="360" w:lineRule="auto"/>
        <w:ind w:firstLine="482" w:firstLineChars="200"/>
        <w:outlineLvl w:val="1"/>
        <w:rPr>
          <w:rFonts w:hint="eastAsia" w:ascii="宋体" w:hAnsi="宋体" w:eastAsia="宋体"/>
          <w:b/>
          <w:color w:val="auto"/>
          <w:sz w:val="24"/>
          <w:szCs w:val="18"/>
          <w:highlight w:val="none"/>
        </w:rPr>
      </w:pPr>
      <w:bookmarkStart w:id="41" w:name="_Toc8753"/>
      <w:r>
        <w:rPr>
          <w:rFonts w:hint="eastAsia" w:ascii="宋体" w:hAnsi="宋体" w:eastAsia="宋体"/>
          <w:b/>
          <w:color w:val="auto"/>
          <w:sz w:val="24"/>
          <w:szCs w:val="18"/>
          <w:highlight w:val="none"/>
        </w:rPr>
        <w:t>项目概况</w:t>
      </w:r>
      <w:bookmarkEnd w:id="39"/>
      <w:bookmarkEnd w:id="41"/>
    </w:p>
    <w:p w14:paraId="5266EFE6">
      <w:p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本次招标物业管理服务包括以下</w:t>
      </w:r>
      <w:r>
        <w:rPr>
          <w:rFonts w:hint="eastAsia" w:ascii="宋体" w:hAnsi="宋体" w:cs="宋体"/>
          <w:color w:val="auto"/>
          <w:sz w:val="24"/>
          <w:highlight w:val="none"/>
        </w:rPr>
        <w:t>：</w:t>
      </w:r>
    </w:p>
    <w:p w14:paraId="12AA4E40">
      <w:p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（A</w:t>
      </w:r>
      <w:r>
        <w:rPr>
          <w:rFonts w:hint="eastAsia" w:ascii="宋体" w:hAnsi="宋体" w:cs="宋体"/>
          <w:color w:val="auto"/>
          <w:sz w:val="24"/>
          <w:highlight w:val="none"/>
        </w:rPr>
        <w:t>）人民法院大楼</w:t>
      </w:r>
      <w:r>
        <w:rPr>
          <w:rFonts w:ascii="宋体" w:hAnsi="宋体" w:cs="宋体"/>
          <w:color w:val="auto"/>
          <w:sz w:val="24"/>
          <w:highlight w:val="none"/>
        </w:rPr>
        <w:t>建筑物主体的所有公共区域及楼顶、停车库、周边区域</w:t>
      </w:r>
      <w:r>
        <w:rPr>
          <w:rFonts w:hint="eastAsia" w:ascii="宋体" w:hAnsi="宋体" w:cs="宋体"/>
          <w:color w:val="auto"/>
          <w:sz w:val="24"/>
          <w:highlight w:val="none"/>
        </w:rPr>
        <w:t>。</w:t>
      </w:r>
    </w:p>
    <w:p w14:paraId="254D122B">
      <w:p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（B）</w:t>
      </w:r>
      <w:r>
        <w:rPr>
          <w:rFonts w:hint="eastAsia" w:ascii="宋体" w:hAnsi="宋体" w:cs="宋体"/>
          <w:color w:val="auto"/>
          <w:sz w:val="24"/>
          <w:highlight w:val="none"/>
        </w:rPr>
        <w:t>四个人民法庭审判用房</w:t>
      </w:r>
      <w:r>
        <w:rPr>
          <w:rFonts w:ascii="宋体" w:hAnsi="宋体" w:cs="宋体"/>
          <w:color w:val="auto"/>
          <w:sz w:val="24"/>
          <w:highlight w:val="none"/>
        </w:rPr>
        <w:t>建筑物主体的所有公共区域及楼顶、停车库、周边区域等。</w:t>
      </w:r>
      <w:r>
        <w:rPr>
          <w:rFonts w:hint="eastAsia" w:ascii="宋体" w:hAnsi="宋体" w:cs="宋体"/>
          <w:color w:val="auto"/>
          <w:sz w:val="24"/>
          <w:highlight w:val="none"/>
        </w:rPr>
        <w:t xml:space="preserve"> </w:t>
      </w:r>
    </w:p>
    <w:p w14:paraId="48B6ABB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项目概况：本项目分人民法院大楼</w:t>
      </w:r>
      <w:r>
        <w:rPr>
          <w:rFonts w:ascii="宋体" w:hAnsi="宋体" w:cs="宋体"/>
          <w:color w:val="auto"/>
          <w:sz w:val="24"/>
          <w:highlight w:val="none"/>
        </w:rPr>
        <w:t>建筑物主体</w:t>
      </w:r>
      <w:r>
        <w:rPr>
          <w:rFonts w:hint="eastAsia" w:ascii="宋体" w:hAnsi="宋体" w:cs="宋体"/>
          <w:color w:val="auto"/>
          <w:sz w:val="24"/>
          <w:highlight w:val="none"/>
        </w:rPr>
        <w:t>项目和四个人民法庭审判用房附属项目两部分。主体项目：天长市法院大楼位于南市区，建筑面积10381.61平方米，实际用地面积21亩，14000平方米。附属项目：四个人民法庭审判用房，包含（一）南郊法庭审判用房：占地面积2637平方米，建筑面积600平方米，绿化面积650平方米。（二）秦栏法庭审判用房：占地面积3200平方米，建筑面积916平方米，绿化面积471平方米。（三）汊涧法庭审判用房：占地面积2422平方米，建筑面积773.98平方米，绿化面积350平方米。（四）铜城法庭审判用房：占地面积3334.5平方米，建筑面积741.17平方米，绿化面积680平方米。</w:t>
      </w:r>
      <w:r>
        <w:rPr>
          <w:rFonts w:ascii="宋体" w:hAnsi="宋体" w:cs="宋体"/>
          <w:color w:val="auto"/>
          <w:sz w:val="24"/>
          <w:highlight w:val="none"/>
        </w:rPr>
        <w:t>以上所提供的相关数据以实际</w:t>
      </w:r>
      <w:r>
        <w:rPr>
          <w:rFonts w:hint="eastAsia" w:ascii="宋体" w:hAnsi="宋体" w:cs="宋体"/>
          <w:color w:val="auto"/>
          <w:sz w:val="24"/>
          <w:highlight w:val="none"/>
        </w:rPr>
        <w:t>使用面积</w:t>
      </w:r>
      <w:r>
        <w:rPr>
          <w:rFonts w:ascii="宋体" w:hAnsi="宋体" w:cs="宋体"/>
          <w:color w:val="auto"/>
          <w:sz w:val="24"/>
          <w:highlight w:val="none"/>
        </w:rPr>
        <w:t>为准。</w:t>
      </w:r>
    </w:p>
    <w:p w14:paraId="78BD20F6">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A、主体项目：</w:t>
      </w:r>
      <w:r>
        <w:rPr>
          <w:rFonts w:hint="eastAsia" w:ascii="宋体" w:hAnsi="宋体" w:cs="宋体"/>
          <w:color w:val="auto"/>
          <w:sz w:val="24"/>
          <w:highlight w:val="none"/>
        </w:rPr>
        <w:t>人民法院</w:t>
      </w:r>
      <w:r>
        <w:rPr>
          <w:rFonts w:ascii="宋体" w:hAnsi="宋体" w:cs="宋体"/>
          <w:color w:val="auto"/>
          <w:sz w:val="24"/>
          <w:highlight w:val="none"/>
        </w:rPr>
        <w:t>大楼</w:t>
      </w:r>
    </w:p>
    <w:p w14:paraId="20B6E193">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（一）大楼主要设备和设施情况</w:t>
      </w:r>
    </w:p>
    <w:p w14:paraId="5EC28A10">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1、电梯：选用载重量1吨电梯</w:t>
      </w:r>
      <w:r>
        <w:rPr>
          <w:rFonts w:hint="eastAsia" w:ascii="宋体" w:hAnsi="宋体" w:cs="宋体"/>
          <w:color w:val="auto"/>
          <w:sz w:val="24"/>
          <w:highlight w:val="none"/>
        </w:rPr>
        <w:t>2</w:t>
      </w:r>
      <w:r>
        <w:rPr>
          <w:rFonts w:ascii="宋体" w:hAnsi="宋体" w:cs="宋体"/>
          <w:color w:val="auto"/>
          <w:sz w:val="24"/>
          <w:highlight w:val="none"/>
        </w:rPr>
        <w:t>台。</w:t>
      </w:r>
    </w:p>
    <w:p w14:paraId="7D13B4A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办公楼7层5396.95平方米，81间办公室，审判楼3层4599.01平方米，3层过道585.65平方米，档案室194.4平方米。大法庭建筑面积349平方米，旁听席299席，中法庭98.94平方米，旁听席60席，小法庭63.11平方米，旁听席30席，多功能厅98.94平方米，席位86席，调解室7个，每个面积18平方米。诉讼服务中心941.6平方米。</w:t>
      </w:r>
      <w:r>
        <w:rPr>
          <w:rFonts w:ascii="宋体" w:hAnsi="宋体" w:cs="宋体"/>
          <w:color w:val="auto"/>
          <w:sz w:val="24"/>
          <w:highlight w:val="none"/>
        </w:rPr>
        <w:t>以上所提供的相关数据以实际</w:t>
      </w:r>
      <w:r>
        <w:rPr>
          <w:rFonts w:hint="eastAsia" w:ascii="宋体" w:hAnsi="宋体" w:cs="宋体"/>
          <w:color w:val="auto"/>
          <w:sz w:val="24"/>
          <w:highlight w:val="none"/>
        </w:rPr>
        <w:t>使用面积</w:t>
      </w:r>
      <w:r>
        <w:rPr>
          <w:rFonts w:ascii="宋体" w:hAnsi="宋体" w:cs="宋体"/>
          <w:color w:val="auto"/>
          <w:sz w:val="24"/>
          <w:highlight w:val="none"/>
        </w:rPr>
        <w:t>为准。</w:t>
      </w:r>
    </w:p>
    <w:p w14:paraId="381D0540">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（二）大楼外部环境基本情况</w:t>
      </w:r>
    </w:p>
    <w:p w14:paraId="3E7A1255">
      <w:p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1、道路：</w:t>
      </w:r>
      <w:r>
        <w:rPr>
          <w:rFonts w:hint="eastAsia" w:ascii="宋体" w:hAnsi="宋体" w:cs="宋体"/>
          <w:color w:val="auto"/>
          <w:sz w:val="24"/>
          <w:highlight w:val="none"/>
        </w:rPr>
        <w:t>南为</w:t>
      </w:r>
      <w:r>
        <w:rPr>
          <w:rFonts w:ascii="宋体" w:hAnsi="宋体" w:cs="宋体"/>
          <w:color w:val="auto"/>
          <w:sz w:val="24"/>
          <w:highlight w:val="none"/>
        </w:rPr>
        <w:t>广陵路</w:t>
      </w:r>
      <w:r>
        <w:rPr>
          <w:rFonts w:hint="eastAsia" w:ascii="宋体" w:hAnsi="宋体" w:cs="宋体"/>
          <w:color w:val="auto"/>
          <w:sz w:val="24"/>
          <w:highlight w:val="none"/>
        </w:rPr>
        <w:t>。</w:t>
      </w:r>
    </w:p>
    <w:p w14:paraId="504A2E98">
      <w:p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2、景观照明、路灯、广场照明、楼外停车区、升旗等公用设施。</w:t>
      </w:r>
    </w:p>
    <w:p w14:paraId="4DAD84F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3、绿化养护。</w:t>
      </w:r>
    </w:p>
    <w:p w14:paraId="79D418B5">
      <w:pPr>
        <w:pStyle w:val="2"/>
        <w:ind w:left="0" w:leftChars="0"/>
        <w:rPr>
          <w:rFonts w:hint="eastAsia"/>
          <w:b/>
          <w:color w:val="auto"/>
          <w:sz w:val="24"/>
          <w:szCs w:val="24"/>
          <w:highlight w:val="none"/>
        </w:rPr>
      </w:pPr>
      <w:r>
        <w:rPr>
          <w:rFonts w:hint="eastAsia"/>
          <w:b/>
          <w:color w:val="auto"/>
          <w:sz w:val="24"/>
          <w:szCs w:val="24"/>
          <w:highlight w:val="none"/>
        </w:rPr>
        <w:t>三、服务需求</w:t>
      </w:r>
    </w:p>
    <w:p w14:paraId="317D500F">
      <w:pPr>
        <w:topLinePunct/>
        <w:spacing w:line="332" w:lineRule="auto"/>
        <w:ind w:firstLine="595" w:firstLineChars="247"/>
        <w:rPr>
          <w:rFonts w:ascii="宋体" w:hAnsi="宋体" w:cs="宋体"/>
          <w:b/>
          <w:color w:val="auto"/>
          <w:sz w:val="24"/>
          <w:highlight w:val="none"/>
        </w:rPr>
      </w:pPr>
      <w:r>
        <w:rPr>
          <w:rFonts w:hint="eastAsia" w:ascii="宋体" w:hAnsi="宋体" w:cs="宋体"/>
          <w:b/>
          <w:color w:val="auto"/>
          <w:sz w:val="24"/>
          <w:highlight w:val="none"/>
        </w:rPr>
        <w:t>（一）物业服务的范围：</w:t>
      </w:r>
    </w:p>
    <w:p w14:paraId="6C84F077">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1、秩序维护。主要包括：室外及停车场车辆秩序管理，室内、外秩序维护管理；夜间值班巡逻；消防、监控、安全等。来人来访礼仪接待，登记引导，文件交换站收发等。</w:t>
      </w:r>
    </w:p>
    <w:p w14:paraId="458EF747">
      <w:p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2、卫生保洁。主要包括：大楼内公共部位，停车场所，室外道路，硬化、绿化部位以及业主方承担的办公区域内其它环境等。</w:t>
      </w:r>
    </w:p>
    <w:p w14:paraId="32A89E7D">
      <w:p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3、设备设施维护。主要包括：标的物内外所有设备设施、强弱电及建筑物日常维护、维修、巡查、值守等。</w:t>
      </w:r>
      <w:r>
        <w:rPr>
          <w:rFonts w:hint="eastAsia" w:ascii="宋体" w:hAnsi="宋体" w:cs="宋体"/>
          <w:color w:val="auto"/>
          <w:sz w:val="24"/>
          <w:highlight w:val="none"/>
        </w:rPr>
        <w:t>其中：电梯仅为日常保洁及简易维护，不含维保及年检工作。</w:t>
      </w:r>
    </w:p>
    <w:p w14:paraId="3018F79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4、绿化养护。主要包括法院本部院内外绿化和4个基层法庭绿化提供养护服务。具体有：浇水、清理垃圾、防风防汛、防人为破坏等；定期全面修剪整形、施肥、除杂草、松土和全面病虫害防治。</w:t>
      </w:r>
    </w:p>
    <w:p w14:paraId="504693E7">
      <w:pPr>
        <w:topLinePunct/>
        <w:spacing w:line="332" w:lineRule="auto"/>
        <w:ind w:firstLine="354" w:firstLineChars="147"/>
        <w:rPr>
          <w:rFonts w:hint="eastAsia" w:ascii="宋体" w:hAnsi="宋体" w:cs="宋体"/>
          <w:color w:val="auto"/>
          <w:sz w:val="24"/>
          <w:highlight w:val="none"/>
        </w:rPr>
      </w:pPr>
      <w:r>
        <w:rPr>
          <w:rFonts w:hint="eastAsia" w:ascii="宋体" w:hAnsi="宋体" w:cs="宋体"/>
          <w:b/>
          <w:color w:val="auto"/>
          <w:sz w:val="24"/>
          <w:highlight w:val="none"/>
        </w:rPr>
        <w:t>（二）物业管理服务内容（</w:t>
      </w:r>
      <w:r>
        <w:rPr>
          <w:rFonts w:hint="eastAsia" w:ascii="宋体" w:hAnsi="宋体" w:cs="宋体"/>
          <w:color w:val="auto"/>
          <w:sz w:val="24"/>
          <w:highlight w:val="none"/>
        </w:rPr>
        <w:t>主要包括但不限于以下</w:t>
      </w:r>
      <w:r>
        <w:rPr>
          <w:rFonts w:hint="eastAsia" w:ascii="宋体" w:hAnsi="宋体" w:cs="宋体"/>
          <w:b/>
          <w:color w:val="auto"/>
          <w:sz w:val="24"/>
          <w:highlight w:val="none"/>
        </w:rPr>
        <w:t>）</w:t>
      </w:r>
      <w:r>
        <w:rPr>
          <w:rFonts w:hint="eastAsia" w:ascii="宋体" w:hAnsi="宋体" w:cs="宋体"/>
          <w:color w:val="auto"/>
          <w:sz w:val="24"/>
          <w:highlight w:val="none"/>
        </w:rPr>
        <w:t>：</w:t>
      </w:r>
    </w:p>
    <w:p w14:paraId="0706F9E2">
      <w:pPr>
        <w:spacing w:line="332" w:lineRule="auto"/>
        <w:ind w:firstLine="482" w:firstLineChars="200"/>
        <w:rPr>
          <w:rFonts w:hint="eastAsia" w:ascii="宋体" w:hAnsi="宋体" w:cs="宋体"/>
          <w:b/>
          <w:bCs/>
          <w:color w:val="auto"/>
          <w:sz w:val="24"/>
          <w:highlight w:val="none"/>
        </w:rPr>
      </w:pPr>
      <w:r>
        <w:rPr>
          <w:rFonts w:ascii="宋体" w:hAnsi="宋体" w:cs="宋体"/>
          <w:b/>
          <w:bCs/>
          <w:color w:val="auto"/>
          <w:sz w:val="24"/>
          <w:highlight w:val="none"/>
        </w:rPr>
        <w:t>1、项目</w:t>
      </w:r>
      <w:r>
        <w:rPr>
          <w:rFonts w:hint="eastAsia" w:ascii="宋体" w:hAnsi="宋体" w:cs="宋体"/>
          <w:b/>
          <w:bCs/>
          <w:color w:val="auto"/>
          <w:sz w:val="24"/>
          <w:highlight w:val="none"/>
        </w:rPr>
        <w:t>负责人：</w:t>
      </w:r>
    </w:p>
    <w:p w14:paraId="039B8208">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全面负责主体项目及附属项目物业服务工作的管理，服从业主方管理调度，有较强的管理能力和工作经验，能够充分调动全体员工的积极性，善于管理和沟通，能够统筹做好主体项目和附属项目各项服务管理工作。</w:t>
      </w:r>
    </w:p>
    <w:p w14:paraId="60D80B39">
      <w:pPr>
        <w:spacing w:line="332"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2、秩序维护管理服务（保安）：</w:t>
      </w:r>
    </w:p>
    <w:p w14:paraId="02A63D04">
      <w:pPr>
        <w:spacing w:line="332"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人员素质要求：</w:t>
      </w:r>
    </w:p>
    <w:p w14:paraId="354881B8">
      <w:pPr>
        <w:numPr>
          <w:ilvl w:val="0"/>
          <w:numId w:val="3"/>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政审合格，品德良好，工作态度端正，责任心强，无不良记录；</w:t>
      </w:r>
    </w:p>
    <w:p w14:paraId="6E346D3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接受过专业训练，获得上岗资格证书，业务熟练，机智勇敢；</w:t>
      </w:r>
    </w:p>
    <w:p w14:paraId="14C429E5">
      <w:pPr>
        <w:numPr>
          <w:ilvl w:val="0"/>
          <w:numId w:val="0"/>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（3）仪表端庄、仪态大方要求五官端正；</w:t>
      </w:r>
    </w:p>
    <w:p w14:paraId="76F0132A">
      <w:pPr>
        <w:numPr>
          <w:ilvl w:val="0"/>
          <w:numId w:val="0"/>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（4）精力充沛、身体健康，形体符合工作要求。</w:t>
      </w:r>
    </w:p>
    <w:p w14:paraId="633EA236">
      <w:pPr>
        <w:numPr>
          <w:ilvl w:val="0"/>
          <w:numId w:val="0"/>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w:t>
      </w:r>
      <w:r>
        <w:rPr>
          <w:rFonts w:hint="eastAsia" w:ascii="宋体" w:hAnsi="宋体" w:cs="宋体"/>
          <w:color w:val="auto"/>
          <w:sz w:val="24"/>
          <w:highlight w:val="none"/>
        </w:rPr>
        <w:t>退伍军人优先；</w:t>
      </w:r>
    </w:p>
    <w:p w14:paraId="11B26FCE">
      <w:pPr>
        <w:spacing w:line="332"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工作岗位职责：</w:t>
      </w:r>
    </w:p>
    <w:p w14:paraId="062F629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（1）负责楼内外公共部位秩序维护，负责消防、监控、安全等相关各项工作；</w:t>
      </w:r>
    </w:p>
    <w:p w14:paraId="2AAC96F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（2）负责整个区域内车辆秩序的管理，指挥各类车辆有序停放、进出；</w:t>
      </w:r>
    </w:p>
    <w:p w14:paraId="2C28D29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（3）负责外来人员的接礼仪待、登记、服务、疏导和管理工作；</w:t>
      </w:r>
    </w:p>
    <w:p w14:paraId="26A94F2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（4）负责整个区域内安全保卫工作和24小时值班巡逻工作；</w:t>
      </w:r>
    </w:p>
    <w:p w14:paraId="2A7FA8C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（5）负责文件交换、报刊、邮件收发工作；</w:t>
      </w:r>
    </w:p>
    <w:p w14:paraId="5531CD2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（6）负责突发应急事件处理工作；协助做好信访维稳工作，负责国旗升降工作；</w:t>
      </w:r>
    </w:p>
    <w:p w14:paraId="24A08B4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（7）负责出门大件物品、进门不明物品的查验；</w:t>
      </w:r>
    </w:p>
    <w:p w14:paraId="797D90F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（8）四个基层法庭保安兼职负责食堂管理工作；</w:t>
      </w:r>
    </w:p>
    <w:p w14:paraId="0FDA9D3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（9）完成委托方交办的其它工作。</w:t>
      </w:r>
    </w:p>
    <w:p w14:paraId="3C410F99">
      <w:pPr>
        <w:spacing w:line="332"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服务要求：</w:t>
      </w:r>
    </w:p>
    <w:p w14:paraId="4C0B216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（1）按规定着装，举止文明，符合礼节；认真履行职责，语言礼貌，态度热情；</w:t>
      </w:r>
    </w:p>
    <w:p w14:paraId="1EF9991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（2）保证正常的办公秩序井然有序，不受任何干扰和影响，无吸烟、大声喧哗、推销、叫卖、携带宠物等现象；</w:t>
      </w:r>
    </w:p>
    <w:p w14:paraId="3B9B32C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（3）确保整个区域内无火灾、无治安事件、无安全隐患；</w:t>
      </w:r>
    </w:p>
    <w:p w14:paraId="7DED97C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（4）有应急事件处理计划预案和措施，保证本区域公共财产不受损坏和损失；</w:t>
      </w:r>
    </w:p>
    <w:p w14:paraId="118F36A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（5）指挥各种车辆慢速行驶，按照划定区域停放，无乱停放现象；</w:t>
      </w:r>
    </w:p>
    <w:p w14:paraId="6C933F6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（6）确保文件交换、邮件、信件等收发安全、准确、顺畅。</w:t>
      </w:r>
    </w:p>
    <w:p w14:paraId="4FD5304B">
      <w:pPr>
        <w:spacing w:line="332" w:lineRule="auto"/>
        <w:rPr>
          <w:rFonts w:hint="eastAsia" w:ascii="宋体" w:hAnsi="宋体" w:cs="宋体"/>
          <w:b/>
          <w:bCs/>
          <w:color w:val="auto"/>
          <w:sz w:val="24"/>
          <w:highlight w:val="none"/>
        </w:rPr>
      </w:pPr>
      <w:r>
        <w:rPr>
          <w:rFonts w:hint="eastAsia" w:ascii="宋体" w:hAnsi="宋体" w:cs="宋体"/>
          <w:b/>
          <w:bCs/>
          <w:color w:val="auto"/>
          <w:sz w:val="24"/>
          <w:highlight w:val="none"/>
        </w:rPr>
        <w:t>3、安检人员：</w:t>
      </w:r>
    </w:p>
    <w:p w14:paraId="014C4E10">
      <w:pPr>
        <w:spacing w:line="332" w:lineRule="auto"/>
        <w:ind w:firstLine="482" w:firstLineChars="200"/>
        <w:rPr>
          <w:rFonts w:ascii="宋体" w:hAnsi="宋体" w:cs="宋体"/>
          <w:b/>
          <w:color w:val="auto"/>
          <w:sz w:val="24"/>
          <w:highlight w:val="none"/>
        </w:rPr>
      </w:pPr>
      <w:r>
        <w:rPr>
          <w:rFonts w:ascii="宋体" w:hAnsi="宋体" w:cs="宋体"/>
          <w:b/>
          <w:color w:val="auto"/>
          <w:sz w:val="24"/>
          <w:highlight w:val="none"/>
        </w:rPr>
        <w:t>人员素质要求：</w:t>
      </w:r>
    </w:p>
    <w:p w14:paraId="01C06FDE">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w:t>
      </w:r>
      <w:r>
        <w:rPr>
          <w:rFonts w:hint="eastAsia" w:ascii="宋体" w:hAnsi="宋体" w:cs="宋体"/>
          <w:color w:val="auto"/>
          <w:sz w:val="24"/>
          <w:highlight w:val="none"/>
          <w:lang w:val="en-US" w:eastAsia="zh-CN"/>
        </w:rPr>
        <w:t>1</w:t>
      </w:r>
      <w:r>
        <w:rPr>
          <w:rFonts w:ascii="宋体" w:hAnsi="宋体" w:cs="宋体"/>
          <w:color w:val="auto"/>
          <w:sz w:val="24"/>
          <w:highlight w:val="none"/>
        </w:rPr>
        <w:t>）政审合格，品德良好，工作态度端正，责任心强，无不良记录；</w:t>
      </w:r>
    </w:p>
    <w:p w14:paraId="3D12E615">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w:t>
      </w:r>
      <w:r>
        <w:rPr>
          <w:rFonts w:hint="eastAsia" w:ascii="宋体" w:hAnsi="宋体" w:cs="宋体"/>
          <w:color w:val="auto"/>
          <w:sz w:val="24"/>
          <w:highlight w:val="none"/>
          <w:lang w:val="en-US" w:eastAsia="zh-CN"/>
        </w:rPr>
        <w:t>2</w:t>
      </w:r>
      <w:r>
        <w:rPr>
          <w:rFonts w:ascii="宋体" w:hAnsi="宋体" w:cs="宋体"/>
          <w:color w:val="auto"/>
          <w:sz w:val="24"/>
          <w:highlight w:val="none"/>
        </w:rPr>
        <w:t>）接受过专业训练，业务熟练；</w:t>
      </w:r>
    </w:p>
    <w:p w14:paraId="13855592">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w:t>
      </w:r>
      <w:r>
        <w:rPr>
          <w:rFonts w:hint="eastAsia" w:ascii="宋体" w:hAnsi="宋体" w:cs="宋体"/>
          <w:color w:val="auto"/>
          <w:sz w:val="24"/>
          <w:highlight w:val="none"/>
          <w:lang w:val="en-US" w:eastAsia="zh-CN"/>
        </w:rPr>
        <w:t>3</w:t>
      </w:r>
      <w:r>
        <w:rPr>
          <w:rFonts w:ascii="宋体" w:hAnsi="宋体" w:cs="宋体"/>
          <w:color w:val="auto"/>
          <w:sz w:val="24"/>
          <w:highlight w:val="none"/>
        </w:rPr>
        <w:t>）精力充沛、身体健康，形体符合工作要求。</w:t>
      </w:r>
    </w:p>
    <w:p w14:paraId="18B0C98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）退伍军人优先。</w:t>
      </w:r>
    </w:p>
    <w:p w14:paraId="23B593B8">
      <w:pPr>
        <w:spacing w:line="332" w:lineRule="auto"/>
        <w:ind w:firstLine="482" w:firstLineChars="200"/>
        <w:rPr>
          <w:rFonts w:ascii="宋体" w:hAnsi="宋体" w:cs="宋体"/>
          <w:b/>
          <w:color w:val="auto"/>
          <w:sz w:val="24"/>
          <w:highlight w:val="none"/>
        </w:rPr>
      </w:pPr>
      <w:r>
        <w:rPr>
          <w:rFonts w:ascii="宋体" w:hAnsi="宋体" w:cs="宋体"/>
          <w:b/>
          <w:color w:val="auto"/>
          <w:sz w:val="24"/>
          <w:highlight w:val="none"/>
        </w:rPr>
        <w:t>工作岗位职责：</w:t>
      </w:r>
    </w:p>
    <w:p w14:paraId="4A5B1E29">
      <w:p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（1）负责外来人员的</w:t>
      </w:r>
      <w:r>
        <w:rPr>
          <w:rFonts w:hint="eastAsia" w:ascii="宋体" w:hAnsi="宋体" w:cs="宋体"/>
          <w:color w:val="auto"/>
          <w:sz w:val="24"/>
          <w:highlight w:val="none"/>
        </w:rPr>
        <w:t>安检工作；</w:t>
      </w:r>
    </w:p>
    <w:p w14:paraId="3B402B4B">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w:t>
      </w:r>
      <w:r>
        <w:rPr>
          <w:rFonts w:hint="eastAsia" w:ascii="宋体" w:hAnsi="宋体" w:cs="宋体"/>
          <w:color w:val="auto"/>
          <w:sz w:val="24"/>
          <w:highlight w:val="none"/>
        </w:rPr>
        <w:t>2</w:t>
      </w:r>
      <w:r>
        <w:rPr>
          <w:rFonts w:ascii="宋体" w:hAnsi="宋体" w:cs="宋体"/>
          <w:color w:val="auto"/>
          <w:sz w:val="24"/>
          <w:highlight w:val="none"/>
        </w:rPr>
        <w:t>）完成委托方交办的其它工作。</w:t>
      </w:r>
    </w:p>
    <w:p w14:paraId="4E237BB6">
      <w:pPr>
        <w:spacing w:line="332" w:lineRule="auto"/>
        <w:ind w:firstLine="482" w:firstLineChars="200"/>
        <w:rPr>
          <w:rFonts w:ascii="宋体" w:hAnsi="宋体" w:cs="宋体"/>
          <w:b/>
          <w:color w:val="auto"/>
          <w:sz w:val="24"/>
          <w:highlight w:val="none"/>
        </w:rPr>
      </w:pPr>
      <w:r>
        <w:rPr>
          <w:rFonts w:ascii="宋体" w:hAnsi="宋体" w:cs="宋体"/>
          <w:b/>
          <w:color w:val="auto"/>
          <w:sz w:val="24"/>
          <w:highlight w:val="none"/>
        </w:rPr>
        <w:t>服务要求：</w:t>
      </w:r>
    </w:p>
    <w:p w14:paraId="52C052DC">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（1）按规定着装，举止文明，符合礼节；认真履行职责，任劳任怨，语言礼貌，态度热情；</w:t>
      </w:r>
    </w:p>
    <w:p w14:paraId="550E0173">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（2）有应急事件处理计划预案和措施，保证本区域公共财产不受损坏和损失</w:t>
      </w:r>
      <w:r>
        <w:rPr>
          <w:rFonts w:hint="eastAsia" w:ascii="宋体" w:hAnsi="宋体" w:cs="宋体"/>
          <w:color w:val="auto"/>
          <w:sz w:val="24"/>
          <w:highlight w:val="none"/>
        </w:rPr>
        <w:t>。</w:t>
      </w:r>
    </w:p>
    <w:p w14:paraId="6D71E259">
      <w:pPr>
        <w:spacing w:line="332" w:lineRule="auto"/>
        <w:rPr>
          <w:rFonts w:ascii="宋体" w:hAnsi="宋体" w:cs="宋体"/>
          <w:b/>
          <w:bCs/>
          <w:color w:val="auto"/>
          <w:sz w:val="24"/>
          <w:highlight w:val="none"/>
        </w:rPr>
      </w:pPr>
      <w:r>
        <w:rPr>
          <w:rFonts w:hint="eastAsia" w:ascii="宋体" w:hAnsi="宋体" w:cs="宋体"/>
          <w:b/>
          <w:bCs/>
          <w:color w:val="auto"/>
          <w:sz w:val="24"/>
          <w:highlight w:val="none"/>
        </w:rPr>
        <w:t xml:space="preserve"> 4、保洁服务：</w:t>
      </w:r>
    </w:p>
    <w:p w14:paraId="7984DF5A">
      <w:pPr>
        <w:spacing w:line="332"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人员素质要求：</w:t>
      </w:r>
    </w:p>
    <w:p w14:paraId="7193A62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（1）女性，政审合格，品德良好，工作态度端正，责任心强，无不良记录；</w:t>
      </w:r>
    </w:p>
    <w:p w14:paraId="368711C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）接受过专业训练，业务熟练；</w:t>
      </w:r>
    </w:p>
    <w:p w14:paraId="2B8E728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）仪表端庄、仪态大方；</w:t>
      </w:r>
    </w:p>
    <w:p w14:paraId="7D5F694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）精力充沛、身体健康，形体符合工作要求。</w:t>
      </w:r>
    </w:p>
    <w:p w14:paraId="6E84B73C">
      <w:pPr>
        <w:spacing w:line="332"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工作岗位职责：</w:t>
      </w:r>
    </w:p>
    <w:p w14:paraId="34018B0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（1）办公室外的走道、扶手、卫生间、电梯、楼梯间、停车场所等公共场所的日常卫生保洁、垃圾整理收集和清运；</w:t>
      </w:r>
    </w:p>
    <w:p w14:paraId="7338D15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（2）办公大楼周边环境以及业主方承担的办公区域内其它环境的日常卫生保洁、垃圾收集和清运；</w:t>
      </w:r>
    </w:p>
    <w:p w14:paraId="705A2A6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（3）负责卫生间的清洁用品（如洗手液、卫生球、卫生纸等）的更换、补充；</w:t>
      </w:r>
    </w:p>
    <w:p w14:paraId="53B27BA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（4）制定办公区公共部位消杀制度，定期灭除害虫；</w:t>
      </w:r>
    </w:p>
    <w:p w14:paraId="2AB0DB2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（5）负责区域内下水道，化粪池清淤，保证通畅；</w:t>
      </w:r>
    </w:p>
    <w:p w14:paraId="060CD04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（6）雨雪天气，及时完成路面的排水、除雪工作，保持路面畅通整洁；如遇特殊、恶劣天气，可申请其他物业人员协助工作，具体物业人员调配须征得招标人同意；</w:t>
      </w:r>
    </w:p>
    <w:p w14:paraId="390DA3F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（7）完成委托方交办的其它工作。</w:t>
      </w:r>
    </w:p>
    <w:p w14:paraId="4FE7EC47">
      <w:pPr>
        <w:spacing w:line="332"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服务要求：</w:t>
      </w:r>
    </w:p>
    <w:p w14:paraId="388C3BA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（1）按规定着装，举止文明，符合礼节；认真履行职责，语言礼貌，态度热情；</w:t>
      </w:r>
    </w:p>
    <w:p w14:paraId="32300D2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（2）配有必须的相关保洁设备；</w:t>
      </w:r>
    </w:p>
    <w:p w14:paraId="44F6728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（3）每天（含周末、节假日）上班前半小时完成打扫、维护工作，并在正常工作时间内不间断保洁；保持墙面、天花板、门窗、踢脚线等部位的清洁，保持空气清新，无异味，搞好环境卫生；</w:t>
      </w:r>
    </w:p>
    <w:p w14:paraId="25DC2F5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（4）要保持卫生间卫生洁具、墙面、地面的清洁、无异味、地面无积水；</w:t>
      </w:r>
    </w:p>
    <w:p w14:paraId="0EC918D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（5）卫生间、楼道、走廊等公共部位需制定保洁巡视制度，垃圾筒需清倒2次/日，保持无杂物，无污痕、无尘挂；</w:t>
      </w:r>
    </w:p>
    <w:p w14:paraId="10C67F7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（6）周边道路每天清扫，保持道路干净整洁，无垃圾、无弃物；</w:t>
      </w:r>
    </w:p>
    <w:p w14:paraId="0754058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（7）建筑物的入口门厅、楼道等公共部位及物业区域内通道整洁，无堆放杂物的现象；</w:t>
      </w:r>
    </w:p>
    <w:p w14:paraId="7E13FD6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（8）大理石、花岗石材质部分（含墙、柱、地面）清洗打腊2次/年（3米以上为高位）；不锈钢材质部位（含楼道扶手、电梯门等）日常保洁，另视污染程度使用护理剂；</w:t>
      </w:r>
    </w:p>
    <w:p w14:paraId="518E012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（9）完成委托方交办的其它工作。</w:t>
      </w:r>
    </w:p>
    <w:p w14:paraId="3FFCB7B2">
      <w:pPr>
        <w:spacing w:line="332" w:lineRule="auto"/>
        <w:rPr>
          <w:rFonts w:ascii="宋体" w:hAnsi="宋体" w:cs="宋体"/>
          <w:b/>
          <w:bCs/>
          <w:color w:val="auto"/>
          <w:sz w:val="24"/>
          <w:highlight w:val="none"/>
        </w:rPr>
      </w:pPr>
      <w:r>
        <w:rPr>
          <w:rFonts w:hint="eastAsia" w:ascii="宋体" w:hAnsi="宋体" w:cs="宋体"/>
          <w:b/>
          <w:bCs/>
          <w:color w:val="auto"/>
          <w:sz w:val="24"/>
          <w:highlight w:val="none"/>
        </w:rPr>
        <w:t xml:space="preserve"> 5、公共设备维护服务：</w:t>
      </w:r>
    </w:p>
    <w:p w14:paraId="58151FBE">
      <w:pPr>
        <w:spacing w:line="332"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人员素质要求：</w:t>
      </w:r>
    </w:p>
    <w:p w14:paraId="1A7143F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（1）政审合格，品德良好，工作态度端正，责任心强，无不良记录；</w:t>
      </w:r>
    </w:p>
    <w:p w14:paraId="45F10FF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（2）接受过专业训练，业务熟练；</w:t>
      </w:r>
    </w:p>
    <w:p w14:paraId="2A3927C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水电</w:t>
      </w:r>
      <w:r>
        <w:rPr>
          <w:rFonts w:hint="eastAsia" w:ascii="宋体" w:hAnsi="宋体" w:cs="宋体"/>
          <w:color w:val="auto"/>
          <w:sz w:val="24"/>
          <w:highlight w:val="none"/>
        </w:rPr>
        <w:t>等</w:t>
      </w:r>
      <w:r>
        <w:rPr>
          <w:rFonts w:ascii="宋体" w:hAnsi="宋体" w:cs="宋体"/>
          <w:color w:val="auto"/>
          <w:sz w:val="24"/>
          <w:highlight w:val="none"/>
        </w:rPr>
        <w:t>维修人员具有</w:t>
      </w:r>
      <w:r>
        <w:rPr>
          <w:rFonts w:hint="eastAsia" w:ascii="宋体" w:hAnsi="宋体" w:cs="宋体"/>
          <w:color w:val="auto"/>
          <w:sz w:val="24"/>
          <w:highlight w:val="none"/>
        </w:rPr>
        <w:t>特种作业高压或低压电工操作证书</w:t>
      </w:r>
      <w:r>
        <w:rPr>
          <w:rFonts w:ascii="宋体" w:hAnsi="宋体" w:cs="宋体"/>
          <w:color w:val="auto"/>
          <w:sz w:val="24"/>
          <w:highlight w:val="none"/>
        </w:rPr>
        <w:t>，业务熟练，能胜胜本职工作。</w:t>
      </w:r>
    </w:p>
    <w:p w14:paraId="43525342">
      <w:pPr>
        <w:spacing w:line="332"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工作岗位职责：</w:t>
      </w:r>
    </w:p>
    <w:p w14:paraId="74ADAF2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（1）负责相关设施的日常维护和保养，保证水、电的正常供应，电梯、空调设备设施的正常运行；</w:t>
      </w:r>
    </w:p>
    <w:p w14:paraId="43A6D5F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（2）对无压泵房、消防系统、电梯、空调机组的正常运行进行日常巡查；</w:t>
      </w:r>
    </w:p>
    <w:p w14:paraId="3368E8C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（3）负责建筑物、道路及庭院各处的零星维护等（人工、材料等费用自理）。</w:t>
      </w:r>
    </w:p>
    <w:p w14:paraId="39293153">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（4）完成委托方交办的其它工作。</w:t>
      </w:r>
    </w:p>
    <w:p w14:paraId="4841EC80">
      <w:pPr>
        <w:spacing w:line="332"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服务要求：</w:t>
      </w:r>
    </w:p>
    <w:p w14:paraId="64450E0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（1）每日应按时巡查并做好相关记录，每15日报送招标人审查，设施设备出现故障时能够随喊随到，及时排除（含晚间、节假日）；</w:t>
      </w:r>
    </w:p>
    <w:p w14:paraId="6245C01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（2）配备相关必要设备，如笔记本电脑、绝缘电阻测量仪等，同时做好相关巡查记录，节假日设备出现故障时能够随喊随到。</w:t>
      </w:r>
    </w:p>
    <w:p w14:paraId="1E0F3F5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（3）确保零修、急修及时率达100%，零修合格率达100%。</w:t>
      </w:r>
    </w:p>
    <w:p w14:paraId="03A87A7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（4）电梯、空调、消防、网络等设施在保质期内由厂家负责维修、维护，物业相关人员配合监督厂家，做好维保工作。</w:t>
      </w:r>
    </w:p>
    <w:p w14:paraId="2F711B41">
      <w:pPr>
        <w:spacing w:line="332" w:lineRule="auto"/>
        <w:rPr>
          <w:rFonts w:hint="eastAsia" w:ascii="宋体" w:hAnsi="宋体" w:cs="宋体"/>
          <w:b/>
          <w:bCs/>
          <w:color w:val="auto"/>
          <w:sz w:val="24"/>
          <w:highlight w:val="none"/>
        </w:rPr>
      </w:pPr>
      <w:r>
        <w:rPr>
          <w:rFonts w:hint="eastAsia" w:ascii="宋体" w:hAnsi="宋体" w:cs="宋体"/>
          <w:b/>
          <w:bCs/>
          <w:color w:val="auto"/>
          <w:sz w:val="24"/>
          <w:highlight w:val="none"/>
        </w:rPr>
        <w:t>6、会议服务</w:t>
      </w:r>
    </w:p>
    <w:p w14:paraId="336F493C">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人员素质要求：</w:t>
      </w:r>
    </w:p>
    <w:p w14:paraId="29512817">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（1）品德良好，工作态度端正，责任心强，无不良记录；</w:t>
      </w:r>
    </w:p>
    <w:p w14:paraId="63893305">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w:t>
      </w:r>
      <w:r>
        <w:rPr>
          <w:rFonts w:hint="eastAsia" w:ascii="宋体" w:hAnsi="宋体" w:cs="宋体"/>
          <w:color w:val="auto"/>
          <w:sz w:val="24"/>
          <w:highlight w:val="none"/>
          <w:lang w:val="en-US" w:eastAsia="zh-CN"/>
        </w:rPr>
        <w:t>2</w:t>
      </w:r>
      <w:r>
        <w:rPr>
          <w:rFonts w:ascii="宋体" w:hAnsi="宋体" w:cs="宋体"/>
          <w:color w:val="auto"/>
          <w:sz w:val="24"/>
          <w:highlight w:val="none"/>
        </w:rPr>
        <w:t>）接受过专业培训，业务熟练；</w:t>
      </w:r>
    </w:p>
    <w:p w14:paraId="0A748F4E">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w:t>
      </w:r>
      <w:r>
        <w:rPr>
          <w:rFonts w:hint="eastAsia" w:ascii="宋体" w:hAnsi="宋体" w:cs="宋体"/>
          <w:color w:val="auto"/>
          <w:sz w:val="24"/>
          <w:highlight w:val="none"/>
          <w:lang w:val="en-US" w:eastAsia="zh-CN"/>
        </w:rPr>
        <w:t>3</w:t>
      </w:r>
      <w:r>
        <w:rPr>
          <w:rFonts w:ascii="宋体" w:hAnsi="宋体" w:cs="宋体"/>
          <w:color w:val="auto"/>
          <w:sz w:val="24"/>
          <w:highlight w:val="none"/>
        </w:rPr>
        <w:t>）五官端正，仪表大方；</w:t>
      </w:r>
    </w:p>
    <w:p w14:paraId="55FB878A">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w:t>
      </w:r>
      <w:r>
        <w:rPr>
          <w:rFonts w:hint="eastAsia" w:ascii="宋体" w:hAnsi="宋体" w:cs="宋体"/>
          <w:color w:val="auto"/>
          <w:sz w:val="24"/>
          <w:highlight w:val="none"/>
          <w:lang w:val="en-US" w:eastAsia="zh-CN"/>
        </w:rPr>
        <w:t>4</w:t>
      </w:r>
      <w:r>
        <w:rPr>
          <w:rFonts w:ascii="宋体" w:hAnsi="宋体" w:cs="宋体"/>
          <w:color w:val="auto"/>
          <w:sz w:val="24"/>
          <w:highlight w:val="none"/>
        </w:rPr>
        <w:t>）精力充沛、身体健康，形体符合工作要求。</w:t>
      </w:r>
    </w:p>
    <w:p w14:paraId="39421A58">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工作岗位职责：</w:t>
      </w:r>
    </w:p>
    <w:p w14:paraId="0DAA0969">
      <w:p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负责各楼层会议室茶水配送，会议室卫生清洁及相关其他服务；</w:t>
      </w:r>
    </w:p>
    <w:p w14:paraId="460DFD0F">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w:t>
      </w:r>
      <w:r>
        <w:rPr>
          <w:rFonts w:hint="eastAsia" w:ascii="宋体" w:hAnsi="宋体" w:cs="宋体"/>
          <w:color w:val="auto"/>
          <w:sz w:val="24"/>
          <w:highlight w:val="none"/>
        </w:rPr>
        <w:t>2</w:t>
      </w:r>
      <w:r>
        <w:rPr>
          <w:rFonts w:ascii="宋体" w:hAnsi="宋体" w:cs="宋体"/>
          <w:color w:val="auto"/>
          <w:sz w:val="24"/>
          <w:highlight w:val="none"/>
        </w:rPr>
        <w:t>）完成委托方交办的其它工作。</w:t>
      </w:r>
    </w:p>
    <w:p w14:paraId="30B1026C">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服务要求：</w:t>
      </w:r>
    </w:p>
    <w:p w14:paraId="3F8F69DF">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（1）按规定着装，举止文明，符合礼节；认真履行职责，语言礼貌，态度热情；</w:t>
      </w:r>
    </w:p>
    <w:p w14:paraId="20541DCC">
      <w:p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（2）完成委托方交办的其它工作。</w:t>
      </w:r>
    </w:p>
    <w:p w14:paraId="2F76EB32">
      <w:pPr>
        <w:spacing w:line="332" w:lineRule="auto"/>
        <w:rPr>
          <w:rFonts w:hint="eastAsia" w:ascii="宋体" w:hAnsi="宋体" w:cs="宋体"/>
          <w:b/>
          <w:bCs/>
          <w:color w:val="auto"/>
          <w:sz w:val="24"/>
          <w:highlight w:val="none"/>
        </w:rPr>
      </w:pPr>
      <w:r>
        <w:rPr>
          <w:rFonts w:hint="eastAsia" w:ascii="宋体" w:hAnsi="宋体" w:cs="宋体"/>
          <w:b/>
          <w:bCs/>
          <w:color w:val="auto"/>
          <w:sz w:val="24"/>
          <w:highlight w:val="none"/>
        </w:rPr>
        <w:t>7、绿化养护及其他</w:t>
      </w:r>
    </w:p>
    <w:p w14:paraId="1CE6534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院机关绿化面积约1000平方米，附属四个人民法庭审判房绿化约2151平方米，合计总面积约3150平方米（以上所提供的相关数据以招标单位实际使用面积进行维护）。需投标人安排专人负责绿化维护项目，主要任务包含：①定期浇水、除草。②每年打药、施肥次数不得少于4次。③因物业公司对绿化养护不到位，造成绿化苗木等死亡，由物业公司按市价赔偿（含移栽等费用）。</w:t>
      </w:r>
    </w:p>
    <w:p w14:paraId="6E1AAE9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中标方为招标方提供花卉69盆，其中大型花卉11盆，中型花58盆，常年摆放服务，保持花卉新鲜，室内造型设计及布置，需要专人管理（具体数量及要求合同签订时由招标人核准确定为准）。</w:t>
      </w:r>
    </w:p>
    <w:p w14:paraId="1434C874">
      <w:pPr>
        <w:pStyle w:val="2"/>
        <w:rPr>
          <w:color w:val="auto"/>
          <w:highlight w:val="none"/>
        </w:rPr>
      </w:pPr>
      <w:r>
        <w:rPr>
          <w:rFonts w:hint="eastAsia" w:ascii="仿宋" w:hAnsi="仿宋" w:eastAsia="仿宋" w:cs="仿宋"/>
          <w:color w:val="auto"/>
          <w:sz w:val="28"/>
          <w:szCs w:val="28"/>
          <w:highlight w:val="none"/>
          <w:lang w:val="en-US" w:eastAsia="zh-CN"/>
        </w:rPr>
        <w:t>上述服务人员年龄均不得高于法定退休年龄。</w:t>
      </w:r>
    </w:p>
    <w:p w14:paraId="6BD4BED0">
      <w:pPr>
        <w:spacing w:line="332" w:lineRule="auto"/>
        <w:outlineLvl w:val="1"/>
        <w:rPr>
          <w:rFonts w:ascii="宋体" w:hAnsi="宋体" w:cs="宋体"/>
          <w:b/>
          <w:color w:val="auto"/>
          <w:sz w:val="24"/>
          <w:highlight w:val="none"/>
        </w:rPr>
      </w:pPr>
      <w:bookmarkStart w:id="42" w:name="_Toc23218"/>
      <w:bookmarkStart w:id="43" w:name="_Toc95924021"/>
      <w:r>
        <w:rPr>
          <w:rFonts w:hint="eastAsia" w:ascii="宋体" w:hAnsi="宋体" w:cs="宋体"/>
          <w:b/>
          <w:color w:val="auto"/>
          <w:sz w:val="24"/>
          <w:highlight w:val="none"/>
        </w:rPr>
        <w:t>四、</w:t>
      </w:r>
      <w:bookmarkEnd w:id="42"/>
      <w:r>
        <w:rPr>
          <w:rFonts w:hint="eastAsia" w:ascii="宋体" w:hAnsi="宋体" w:cs="宋体"/>
          <w:b/>
          <w:color w:val="auto"/>
          <w:sz w:val="24"/>
          <w:highlight w:val="none"/>
        </w:rPr>
        <w:t>人员配备及岗位要求</w:t>
      </w:r>
      <w:bookmarkEnd w:id="43"/>
    </w:p>
    <w:p w14:paraId="669E5109">
      <w:pPr>
        <w:spacing w:line="332"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1．服务人员数量及岗位要求</w:t>
      </w:r>
    </w:p>
    <w:p w14:paraId="1B29C848">
      <w:pPr>
        <w:spacing w:line="33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rPr>
        <w:t>总体人员最低配备23人。其中：</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987"/>
        <w:gridCol w:w="779"/>
        <w:gridCol w:w="4309"/>
      </w:tblGrid>
      <w:tr w14:paraId="32C8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79" w:type="dxa"/>
            <w:noWrap w:val="0"/>
            <w:vAlign w:val="center"/>
          </w:tcPr>
          <w:p w14:paraId="1A82174D">
            <w:pPr>
              <w:pStyle w:val="26"/>
              <w:ind w:firstLine="0" w:firstLineChars="0"/>
              <w:jc w:val="center"/>
              <w:rPr>
                <w:color w:val="auto"/>
                <w:sz w:val="18"/>
                <w:szCs w:val="18"/>
                <w:highlight w:val="none"/>
              </w:rPr>
            </w:pPr>
            <w:r>
              <w:rPr>
                <w:rFonts w:hint="eastAsia"/>
                <w:color w:val="auto"/>
                <w:sz w:val="18"/>
                <w:szCs w:val="18"/>
                <w:highlight w:val="none"/>
              </w:rPr>
              <w:t>序号</w:t>
            </w:r>
          </w:p>
        </w:tc>
        <w:tc>
          <w:tcPr>
            <w:tcW w:w="1987" w:type="dxa"/>
            <w:noWrap w:val="0"/>
            <w:vAlign w:val="center"/>
          </w:tcPr>
          <w:p w14:paraId="75A891C1">
            <w:pPr>
              <w:pStyle w:val="26"/>
              <w:ind w:left="420" w:firstLine="0" w:firstLineChars="0"/>
              <w:rPr>
                <w:color w:val="auto"/>
                <w:sz w:val="18"/>
                <w:szCs w:val="18"/>
                <w:highlight w:val="none"/>
              </w:rPr>
            </w:pPr>
            <w:r>
              <w:rPr>
                <w:rFonts w:hint="eastAsia"/>
                <w:color w:val="auto"/>
                <w:sz w:val="18"/>
                <w:szCs w:val="18"/>
                <w:highlight w:val="none"/>
              </w:rPr>
              <w:t>名称</w:t>
            </w:r>
          </w:p>
        </w:tc>
        <w:tc>
          <w:tcPr>
            <w:tcW w:w="779" w:type="dxa"/>
            <w:noWrap w:val="0"/>
            <w:vAlign w:val="center"/>
          </w:tcPr>
          <w:p w14:paraId="0A3731EC">
            <w:pPr>
              <w:pStyle w:val="26"/>
              <w:ind w:firstLine="0" w:firstLineChars="0"/>
              <w:jc w:val="center"/>
              <w:rPr>
                <w:color w:val="auto"/>
                <w:sz w:val="18"/>
                <w:szCs w:val="18"/>
                <w:highlight w:val="none"/>
              </w:rPr>
            </w:pPr>
            <w:r>
              <w:rPr>
                <w:rFonts w:hint="eastAsia"/>
                <w:color w:val="auto"/>
                <w:sz w:val="18"/>
                <w:szCs w:val="18"/>
                <w:highlight w:val="none"/>
              </w:rPr>
              <w:t>人数</w:t>
            </w:r>
          </w:p>
        </w:tc>
        <w:tc>
          <w:tcPr>
            <w:tcW w:w="4309" w:type="dxa"/>
            <w:noWrap w:val="0"/>
            <w:vAlign w:val="center"/>
          </w:tcPr>
          <w:p w14:paraId="6C5203C2">
            <w:pPr>
              <w:pStyle w:val="26"/>
              <w:ind w:left="420" w:firstLine="0" w:firstLineChars="0"/>
              <w:jc w:val="center"/>
              <w:rPr>
                <w:color w:val="auto"/>
                <w:sz w:val="18"/>
                <w:szCs w:val="18"/>
                <w:highlight w:val="none"/>
              </w:rPr>
            </w:pPr>
            <w:r>
              <w:rPr>
                <w:rFonts w:hint="eastAsia"/>
                <w:color w:val="auto"/>
                <w:sz w:val="18"/>
                <w:szCs w:val="18"/>
                <w:highlight w:val="none"/>
              </w:rPr>
              <w:t>备注</w:t>
            </w:r>
          </w:p>
        </w:tc>
      </w:tr>
      <w:tr w14:paraId="79E0B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779" w:type="dxa"/>
            <w:noWrap w:val="0"/>
            <w:vAlign w:val="center"/>
          </w:tcPr>
          <w:p w14:paraId="72D95654">
            <w:pPr>
              <w:pStyle w:val="26"/>
              <w:ind w:firstLine="0" w:firstLineChars="0"/>
              <w:jc w:val="center"/>
              <w:rPr>
                <w:color w:val="auto"/>
                <w:sz w:val="18"/>
                <w:szCs w:val="18"/>
                <w:highlight w:val="none"/>
              </w:rPr>
            </w:pPr>
            <w:r>
              <w:rPr>
                <w:rFonts w:hint="eastAsia"/>
                <w:color w:val="auto"/>
                <w:sz w:val="18"/>
                <w:szCs w:val="18"/>
                <w:highlight w:val="none"/>
              </w:rPr>
              <w:t>1</w:t>
            </w:r>
          </w:p>
        </w:tc>
        <w:tc>
          <w:tcPr>
            <w:tcW w:w="1987" w:type="dxa"/>
            <w:noWrap w:val="0"/>
            <w:vAlign w:val="center"/>
          </w:tcPr>
          <w:p w14:paraId="74B1E0D0">
            <w:pPr>
              <w:pStyle w:val="26"/>
              <w:ind w:firstLine="0" w:firstLineChars="0"/>
              <w:jc w:val="center"/>
              <w:rPr>
                <w:color w:val="auto"/>
                <w:sz w:val="18"/>
                <w:szCs w:val="18"/>
                <w:highlight w:val="none"/>
              </w:rPr>
            </w:pPr>
            <w:r>
              <w:rPr>
                <w:rFonts w:hint="eastAsia" w:ascii="宋体" w:hAnsi="宋体" w:cs="宋体"/>
                <w:b/>
                <w:color w:val="auto"/>
                <w:sz w:val="18"/>
                <w:szCs w:val="18"/>
                <w:highlight w:val="none"/>
              </w:rPr>
              <w:t>项目负责人</w:t>
            </w:r>
          </w:p>
        </w:tc>
        <w:tc>
          <w:tcPr>
            <w:tcW w:w="779" w:type="dxa"/>
            <w:noWrap w:val="0"/>
            <w:vAlign w:val="center"/>
          </w:tcPr>
          <w:p w14:paraId="727D70C5">
            <w:pPr>
              <w:pStyle w:val="26"/>
              <w:ind w:firstLine="0" w:firstLineChars="0"/>
              <w:jc w:val="center"/>
              <w:rPr>
                <w:color w:val="auto"/>
                <w:sz w:val="18"/>
                <w:szCs w:val="18"/>
                <w:highlight w:val="none"/>
              </w:rPr>
            </w:pPr>
            <w:r>
              <w:rPr>
                <w:rFonts w:hint="eastAsia" w:ascii="宋体" w:hAnsi="宋体" w:cs="宋体"/>
                <w:color w:val="auto"/>
                <w:sz w:val="18"/>
                <w:szCs w:val="18"/>
                <w:highlight w:val="none"/>
              </w:rPr>
              <w:t>1人</w:t>
            </w:r>
          </w:p>
        </w:tc>
        <w:tc>
          <w:tcPr>
            <w:tcW w:w="4309" w:type="dxa"/>
            <w:noWrap w:val="0"/>
            <w:vAlign w:val="center"/>
          </w:tcPr>
          <w:p w14:paraId="141CB2DD">
            <w:pPr>
              <w:pStyle w:val="26"/>
              <w:ind w:left="420" w:firstLine="0" w:firstLineChars="0"/>
              <w:rPr>
                <w:color w:val="auto"/>
                <w:sz w:val="18"/>
                <w:szCs w:val="18"/>
                <w:highlight w:val="none"/>
              </w:rPr>
            </w:pPr>
          </w:p>
        </w:tc>
      </w:tr>
      <w:tr w14:paraId="7A12C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79" w:type="dxa"/>
            <w:noWrap w:val="0"/>
            <w:vAlign w:val="center"/>
          </w:tcPr>
          <w:p w14:paraId="5F8B4A1B">
            <w:pPr>
              <w:pStyle w:val="26"/>
              <w:ind w:firstLine="0" w:firstLineChars="0"/>
              <w:jc w:val="center"/>
              <w:rPr>
                <w:color w:val="auto"/>
                <w:sz w:val="18"/>
                <w:szCs w:val="18"/>
                <w:highlight w:val="none"/>
              </w:rPr>
            </w:pPr>
            <w:r>
              <w:rPr>
                <w:rFonts w:hint="eastAsia"/>
                <w:color w:val="auto"/>
                <w:sz w:val="18"/>
                <w:szCs w:val="18"/>
                <w:highlight w:val="none"/>
              </w:rPr>
              <w:t>2</w:t>
            </w:r>
          </w:p>
        </w:tc>
        <w:tc>
          <w:tcPr>
            <w:tcW w:w="1987" w:type="dxa"/>
            <w:noWrap w:val="0"/>
            <w:vAlign w:val="center"/>
          </w:tcPr>
          <w:p w14:paraId="22DF1BD2">
            <w:pPr>
              <w:pStyle w:val="26"/>
              <w:ind w:firstLine="0" w:firstLineChars="0"/>
              <w:jc w:val="center"/>
              <w:rPr>
                <w:color w:val="auto"/>
                <w:sz w:val="18"/>
                <w:szCs w:val="18"/>
                <w:highlight w:val="none"/>
              </w:rPr>
            </w:pPr>
            <w:r>
              <w:rPr>
                <w:rFonts w:hint="eastAsia" w:ascii="宋体" w:hAnsi="宋体" w:cs="宋体"/>
                <w:b/>
                <w:color w:val="auto"/>
                <w:sz w:val="18"/>
                <w:szCs w:val="18"/>
                <w:highlight w:val="none"/>
              </w:rPr>
              <w:t>秩序维护（保安）</w:t>
            </w:r>
          </w:p>
        </w:tc>
        <w:tc>
          <w:tcPr>
            <w:tcW w:w="779" w:type="dxa"/>
            <w:noWrap w:val="0"/>
            <w:vAlign w:val="center"/>
          </w:tcPr>
          <w:p w14:paraId="3BCA5ECB">
            <w:pPr>
              <w:pStyle w:val="26"/>
              <w:ind w:firstLine="0" w:firstLineChars="0"/>
              <w:jc w:val="center"/>
              <w:rPr>
                <w:color w:val="auto"/>
                <w:sz w:val="18"/>
                <w:szCs w:val="18"/>
                <w:highlight w:val="none"/>
              </w:rPr>
            </w:pPr>
            <w:r>
              <w:rPr>
                <w:rFonts w:hint="eastAsia"/>
                <w:color w:val="auto"/>
                <w:sz w:val="18"/>
                <w:szCs w:val="18"/>
                <w:highlight w:val="none"/>
              </w:rPr>
              <w:t>7人</w:t>
            </w:r>
          </w:p>
        </w:tc>
        <w:tc>
          <w:tcPr>
            <w:tcW w:w="4309" w:type="dxa"/>
            <w:noWrap w:val="0"/>
            <w:vAlign w:val="center"/>
          </w:tcPr>
          <w:p w14:paraId="5BC67700">
            <w:pPr>
              <w:spacing w:line="240" w:lineRule="exact"/>
              <w:rPr>
                <w:rFonts w:hint="eastAsia" w:ascii="宋体" w:hAnsi="宋体" w:cs="宋体"/>
                <w:color w:val="auto"/>
                <w:sz w:val="18"/>
                <w:szCs w:val="18"/>
                <w:highlight w:val="none"/>
              </w:rPr>
            </w:pPr>
            <w:r>
              <w:rPr>
                <w:rFonts w:hint="eastAsia" w:ascii="宋体" w:hAnsi="宋体" w:cs="宋体"/>
                <w:color w:val="auto"/>
                <w:sz w:val="18"/>
                <w:szCs w:val="18"/>
                <w:highlight w:val="none"/>
              </w:rPr>
              <w:t>天长市人民法院：保安3人；</w:t>
            </w:r>
          </w:p>
          <w:p w14:paraId="53AB1ECF">
            <w:pPr>
              <w:spacing w:line="240" w:lineRule="exact"/>
              <w:rPr>
                <w:color w:val="auto"/>
                <w:sz w:val="18"/>
                <w:szCs w:val="18"/>
                <w:highlight w:val="none"/>
              </w:rPr>
            </w:pPr>
            <w:r>
              <w:rPr>
                <w:rFonts w:hint="eastAsia" w:ascii="宋体" w:hAnsi="宋体" w:cs="宋体"/>
                <w:color w:val="auto"/>
                <w:sz w:val="18"/>
                <w:szCs w:val="18"/>
                <w:highlight w:val="none"/>
              </w:rPr>
              <w:t>四个基层法庭：保安各1人，兼职基层食堂管理。</w:t>
            </w:r>
          </w:p>
        </w:tc>
      </w:tr>
      <w:tr w14:paraId="4DF6C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79" w:type="dxa"/>
            <w:noWrap w:val="0"/>
            <w:vAlign w:val="center"/>
          </w:tcPr>
          <w:p w14:paraId="42A4D544">
            <w:pPr>
              <w:pStyle w:val="26"/>
              <w:ind w:firstLine="0" w:firstLineChars="0"/>
              <w:jc w:val="center"/>
              <w:rPr>
                <w:color w:val="auto"/>
                <w:sz w:val="18"/>
                <w:szCs w:val="18"/>
                <w:highlight w:val="none"/>
              </w:rPr>
            </w:pPr>
            <w:r>
              <w:rPr>
                <w:rFonts w:hint="eastAsia"/>
                <w:color w:val="auto"/>
                <w:sz w:val="18"/>
                <w:szCs w:val="18"/>
                <w:highlight w:val="none"/>
              </w:rPr>
              <w:t>3</w:t>
            </w:r>
          </w:p>
        </w:tc>
        <w:tc>
          <w:tcPr>
            <w:tcW w:w="1987" w:type="dxa"/>
            <w:noWrap w:val="0"/>
            <w:vAlign w:val="center"/>
          </w:tcPr>
          <w:p w14:paraId="414F4744">
            <w:pPr>
              <w:pStyle w:val="26"/>
              <w:ind w:firstLine="0" w:firstLineChars="0"/>
              <w:jc w:val="center"/>
              <w:rPr>
                <w:color w:val="auto"/>
                <w:sz w:val="18"/>
                <w:szCs w:val="18"/>
                <w:highlight w:val="none"/>
              </w:rPr>
            </w:pPr>
            <w:r>
              <w:rPr>
                <w:rFonts w:hint="eastAsia" w:ascii="宋体" w:hAnsi="宋体" w:cs="宋体"/>
                <w:b/>
                <w:bCs/>
                <w:color w:val="auto"/>
                <w:sz w:val="18"/>
                <w:szCs w:val="18"/>
                <w:highlight w:val="none"/>
              </w:rPr>
              <w:t>安检人员</w:t>
            </w:r>
          </w:p>
        </w:tc>
        <w:tc>
          <w:tcPr>
            <w:tcW w:w="779" w:type="dxa"/>
            <w:noWrap w:val="0"/>
            <w:vAlign w:val="center"/>
          </w:tcPr>
          <w:p w14:paraId="30C2259A">
            <w:pPr>
              <w:pStyle w:val="26"/>
              <w:ind w:firstLine="0" w:firstLineChars="0"/>
              <w:jc w:val="center"/>
              <w:rPr>
                <w:color w:val="auto"/>
                <w:sz w:val="18"/>
                <w:szCs w:val="18"/>
                <w:highlight w:val="none"/>
              </w:rPr>
            </w:pPr>
            <w:r>
              <w:rPr>
                <w:rFonts w:hint="eastAsia"/>
                <w:color w:val="auto"/>
                <w:sz w:val="18"/>
                <w:szCs w:val="18"/>
                <w:highlight w:val="none"/>
              </w:rPr>
              <w:t>9人</w:t>
            </w:r>
          </w:p>
        </w:tc>
        <w:tc>
          <w:tcPr>
            <w:tcW w:w="4309" w:type="dxa"/>
            <w:noWrap w:val="0"/>
            <w:vAlign w:val="center"/>
          </w:tcPr>
          <w:p w14:paraId="44217254">
            <w:pPr>
              <w:spacing w:line="240" w:lineRule="exact"/>
              <w:rPr>
                <w:rFonts w:hint="eastAsia" w:ascii="宋体" w:hAnsi="宋体" w:cs="宋体"/>
                <w:color w:val="auto"/>
                <w:sz w:val="18"/>
                <w:szCs w:val="18"/>
                <w:highlight w:val="none"/>
              </w:rPr>
            </w:pPr>
            <w:r>
              <w:rPr>
                <w:rFonts w:hint="eastAsia" w:ascii="宋体" w:hAnsi="宋体" w:cs="宋体"/>
                <w:color w:val="auto"/>
                <w:sz w:val="18"/>
                <w:szCs w:val="18"/>
                <w:highlight w:val="none"/>
              </w:rPr>
              <w:t>天长市人民法院：安检5人（其中2名女性）；</w:t>
            </w:r>
          </w:p>
          <w:p w14:paraId="22966E3E">
            <w:pPr>
              <w:spacing w:line="240" w:lineRule="exact"/>
              <w:rPr>
                <w:color w:val="auto"/>
                <w:sz w:val="18"/>
                <w:szCs w:val="18"/>
                <w:highlight w:val="none"/>
              </w:rPr>
            </w:pPr>
            <w:r>
              <w:rPr>
                <w:rFonts w:hint="eastAsia" w:ascii="宋体" w:hAnsi="宋体" w:cs="宋体"/>
                <w:color w:val="auto"/>
                <w:sz w:val="18"/>
                <w:szCs w:val="18"/>
                <w:highlight w:val="none"/>
              </w:rPr>
              <w:t>四个基层法庭：安检各1人。</w:t>
            </w:r>
          </w:p>
        </w:tc>
      </w:tr>
      <w:tr w14:paraId="49CE6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79" w:type="dxa"/>
            <w:noWrap w:val="0"/>
            <w:vAlign w:val="center"/>
          </w:tcPr>
          <w:p w14:paraId="13CB03A4">
            <w:pPr>
              <w:pStyle w:val="26"/>
              <w:ind w:firstLine="0" w:firstLineChars="0"/>
              <w:jc w:val="center"/>
              <w:rPr>
                <w:color w:val="auto"/>
                <w:sz w:val="18"/>
                <w:szCs w:val="18"/>
                <w:highlight w:val="none"/>
              </w:rPr>
            </w:pPr>
            <w:r>
              <w:rPr>
                <w:rFonts w:hint="eastAsia"/>
                <w:color w:val="auto"/>
                <w:sz w:val="18"/>
                <w:szCs w:val="18"/>
                <w:highlight w:val="none"/>
              </w:rPr>
              <w:t>4</w:t>
            </w:r>
          </w:p>
        </w:tc>
        <w:tc>
          <w:tcPr>
            <w:tcW w:w="1987" w:type="dxa"/>
            <w:noWrap w:val="0"/>
            <w:vAlign w:val="center"/>
          </w:tcPr>
          <w:p w14:paraId="10758B72">
            <w:pPr>
              <w:pStyle w:val="26"/>
              <w:ind w:firstLine="0" w:firstLineChars="0"/>
              <w:jc w:val="center"/>
              <w:rPr>
                <w:color w:val="auto"/>
                <w:sz w:val="18"/>
                <w:szCs w:val="18"/>
                <w:highlight w:val="none"/>
              </w:rPr>
            </w:pPr>
            <w:r>
              <w:rPr>
                <w:rFonts w:hint="eastAsia" w:ascii="宋体" w:hAnsi="宋体" w:cs="宋体"/>
                <w:b/>
                <w:color w:val="auto"/>
                <w:sz w:val="18"/>
                <w:szCs w:val="18"/>
                <w:highlight w:val="none"/>
              </w:rPr>
              <w:t>保洁</w:t>
            </w:r>
          </w:p>
        </w:tc>
        <w:tc>
          <w:tcPr>
            <w:tcW w:w="779" w:type="dxa"/>
            <w:noWrap w:val="0"/>
            <w:vAlign w:val="center"/>
          </w:tcPr>
          <w:p w14:paraId="10816365">
            <w:pPr>
              <w:pStyle w:val="26"/>
              <w:ind w:firstLine="0" w:firstLineChars="0"/>
              <w:jc w:val="center"/>
              <w:rPr>
                <w:color w:val="auto"/>
                <w:sz w:val="18"/>
                <w:szCs w:val="18"/>
                <w:highlight w:val="none"/>
              </w:rPr>
            </w:pPr>
            <w:r>
              <w:rPr>
                <w:rFonts w:hint="eastAsia"/>
                <w:color w:val="auto"/>
                <w:sz w:val="18"/>
                <w:szCs w:val="18"/>
                <w:highlight w:val="none"/>
              </w:rPr>
              <w:t>4人</w:t>
            </w:r>
          </w:p>
        </w:tc>
        <w:tc>
          <w:tcPr>
            <w:tcW w:w="4309" w:type="dxa"/>
            <w:noWrap w:val="0"/>
            <w:vAlign w:val="center"/>
          </w:tcPr>
          <w:p w14:paraId="1B5E6623">
            <w:pPr>
              <w:pStyle w:val="26"/>
              <w:ind w:left="420" w:firstLine="0" w:firstLineChars="0"/>
              <w:rPr>
                <w:color w:val="auto"/>
                <w:sz w:val="18"/>
                <w:szCs w:val="18"/>
                <w:highlight w:val="none"/>
              </w:rPr>
            </w:pPr>
          </w:p>
        </w:tc>
      </w:tr>
      <w:tr w14:paraId="41114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779" w:type="dxa"/>
            <w:noWrap w:val="0"/>
            <w:vAlign w:val="center"/>
          </w:tcPr>
          <w:p w14:paraId="3A35E615">
            <w:pPr>
              <w:pStyle w:val="26"/>
              <w:ind w:firstLine="0" w:firstLineChars="0"/>
              <w:jc w:val="center"/>
              <w:rPr>
                <w:rFonts w:hint="eastAsia"/>
                <w:color w:val="auto"/>
                <w:sz w:val="18"/>
                <w:szCs w:val="18"/>
                <w:highlight w:val="none"/>
              </w:rPr>
            </w:pPr>
            <w:r>
              <w:rPr>
                <w:rFonts w:hint="eastAsia"/>
                <w:color w:val="auto"/>
                <w:sz w:val="18"/>
                <w:szCs w:val="18"/>
                <w:highlight w:val="none"/>
              </w:rPr>
              <w:t>5</w:t>
            </w:r>
          </w:p>
        </w:tc>
        <w:tc>
          <w:tcPr>
            <w:tcW w:w="1987" w:type="dxa"/>
            <w:noWrap w:val="0"/>
            <w:vAlign w:val="center"/>
          </w:tcPr>
          <w:p w14:paraId="147A726F">
            <w:pPr>
              <w:pStyle w:val="26"/>
              <w:ind w:firstLine="0" w:firstLineChars="0"/>
              <w:jc w:val="center"/>
              <w:rPr>
                <w:rFonts w:hint="eastAsia" w:ascii="宋体" w:hAnsi="宋体" w:cs="宋体"/>
                <w:b/>
                <w:color w:val="auto"/>
                <w:sz w:val="18"/>
                <w:szCs w:val="18"/>
                <w:highlight w:val="none"/>
              </w:rPr>
            </w:pPr>
            <w:r>
              <w:rPr>
                <w:rFonts w:hint="eastAsia" w:ascii="宋体" w:hAnsi="宋体" w:cs="宋体"/>
                <w:b/>
                <w:bCs/>
                <w:color w:val="auto"/>
                <w:sz w:val="18"/>
                <w:szCs w:val="18"/>
                <w:highlight w:val="none"/>
              </w:rPr>
              <w:t>公共设备维护服务</w:t>
            </w:r>
          </w:p>
        </w:tc>
        <w:tc>
          <w:tcPr>
            <w:tcW w:w="779" w:type="dxa"/>
            <w:noWrap w:val="0"/>
            <w:vAlign w:val="center"/>
          </w:tcPr>
          <w:p w14:paraId="6D670351">
            <w:pPr>
              <w:pStyle w:val="26"/>
              <w:ind w:firstLine="0" w:firstLineChars="0"/>
              <w:jc w:val="center"/>
              <w:rPr>
                <w:color w:val="auto"/>
                <w:sz w:val="18"/>
                <w:szCs w:val="18"/>
                <w:highlight w:val="none"/>
              </w:rPr>
            </w:pPr>
            <w:r>
              <w:rPr>
                <w:rFonts w:hint="eastAsia"/>
                <w:color w:val="auto"/>
                <w:sz w:val="18"/>
                <w:szCs w:val="18"/>
                <w:highlight w:val="none"/>
              </w:rPr>
              <w:t>1人</w:t>
            </w:r>
          </w:p>
        </w:tc>
        <w:tc>
          <w:tcPr>
            <w:tcW w:w="4309" w:type="dxa"/>
            <w:noWrap w:val="0"/>
            <w:vAlign w:val="center"/>
          </w:tcPr>
          <w:p w14:paraId="6481BE68">
            <w:pPr>
              <w:pStyle w:val="26"/>
              <w:ind w:left="420" w:firstLine="0" w:firstLineChars="0"/>
              <w:rPr>
                <w:color w:val="auto"/>
                <w:sz w:val="18"/>
                <w:szCs w:val="18"/>
                <w:highlight w:val="none"/>
              </w:rPr>
            </w:pPr>
          </w:p>
        </w:tc>
      </w:tr>
      <w:tr w14:paraId="1A9FB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79" w:type="dxa"/>
            <w:noWrap w:val="0"/>
            <w:vAlign w:val="center"/>
          </w:tcPr>
          <w:p w14:paraId="24A5C85F">
            <w:pPr>
              <w:pStyle w:val="26"/>
              <w:ind w:firstLine="0" w:firstLineChars="0"/>
              <w:jc w:val="center"/>
              <w:rPr>
                <w:rFonts w:hint="eastAsia"/>
                <w:color w:val="auto"/>
                <w:sz w:val="18"/>
                <w:szCs w:val="18"/>
                <w:highlight w:val="none"/>
              </w:rPr>
            </w:pPr>
            <w:r>
              <w:rPr>
                <w:rFonts w:hint="eastAsia"/>
                <w:color w:val="auto"/>
                <w:sz w:val="18"/>
                <w:szCs w:val="18"/>
                <w:highlight w:val="none"/>
              </w:rPr>
              <w:t>6</w:t>
            </w:r>
          </w:p>
        </w:tc>
        <w:tc>
          <w:tcPr>
            <w:tcW w:w="1987" w:type="dxa"/>
            <w:noWrap w:val="0"/>
            <w:vAlign w:val="center"/>
          </w:tcPr>
          <w:p w14:paraId="78DA9B11">
            <w:pPr>
              <w:pStyle w:val="26"/>
              <w:ind w:firstLine="0" w:firstLineChars="0"/>
              <w:jc w:val="center"/>
              <w:rPr>
                <w:rFonts w:hint="eastAsia" w:ascii="宋体" w:hAnsi="宋体" w:cs="宋体"/>
                <w:b/>
                <w:color w:val="auto"/>
                <w:sz w:val="18"/>
                <w:szCs w:val="18"/>
                <w:highlight w:val="none"/>
              </w:rPr>
            </w:pPr>
            <w:r>
              <w:rPr>
                <w:rFonts w:hint="eastAsia" w:ascii="宋体" w:hAnsi="宋体" w:cs="宋体"/>
                <w:b/>
                <w:color w:val="auto"/>
                <w:sz w:val="18"/>
                <w:szCs w:val="18"/>
                <w:highlight w:val="none"/>
              </w:rPr>
              <w:t>会务服务</w:t>
            </w:r>
          </w:p>
        </w:tc>
        <w:tc>
          <w:tcPr>
            <w:tcW w:w="779" w:type="dxa"/>
            <w:noWrap w:val="0"/>
            <w:vAlign w:val="center"/>
          </w:tcPr>
          <w:p w14:paraId="21031F4F">
            <w:pPr>
              <w:pStyle w:val="26"/>
              <w:ind w:firstLine="0" w:firstLineChars="0"/>
              <w:jc w:val="center"/>
              <w:rPr>
                <w:color w:val="auto"/>
                <w:sz w:val="18"/>
                <w:szCs w:val="18"/>
                <w:highlight w:val="none"/>
              </w:rPr>
            </w:pPr>
            <w:r>
              <w:rPr>
                <w:rFonts w:hint="eastAsia"/>
                <w:color w:val="auto"/>
                <w:sz w:val="18"/>
                <w:szCs w:val="18"/>
                <w:highlight w:val="none"/>
              </w:rPr>
              <w:t>1人</w:t>
            </w:r>
          </w:p>
        </w:tc>
        <w:tc>
          <w:tcPr>
            <w:tcW w:w="4309" w:type="dxa"/>
            <w:noWrap w:val="0"/>
            <w:vAlign w:val="center"/>
          </w:tcPr>
          <w:p w14:paraId="3307B356">
            <w:pPr>
              <w:pStyle w:val="26"/>
              <w:ind w:left="420" w:firstLine="0" w:firstLineChars="0"/>
              <w:rPr>
                <w:color w:val="auto"/>
                <w:sz w:val="18"/>
                <w:szCs w:val="18"/>
                <w:highlight w:val="none"/>
              </w:rPr>
            </w:pPr>
          </w:p>
        </w:tc>
      </w:tr>
      <w:tr w14:paraId="0B78E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79" w:type="dxa"/>
            <w:noWrap w:val="0"/>
            <w:vAlign w:val="center"/>
          </w:tcPr>
          <w:p w14:paraId="3EBB5E1C">
            <w:pPr>
              <w:pStyle w:val="26"/>
              <w:ind w:firstLine="0" w:firstLineChars="0"/>
              <w:jc w:val="center"/>
              <w:rPr>
                <w:rFonts w:hint="eastAsia"/>
                <w:color w:val="auto"/>
                <w:sz w:val="18"/>
                <w:szCs w:val="18"/>
                <w:highlight w:val="none"/>
              </w:rPr>
            </w:pPr>
            <w:r>
              <w:rPr>
                <w:rFonts w:hint="eastAsia"/>
                <w:color w:val="auto"/>
                <w:sz w:val="18"/>
                <w:szCs w:val="18"/>
                <w:highlight w:val="none"/>
              </w:rPr>
              <w:t>7</w:t>
            </w:r>
          </w:p>
        </w:tc>
        <w:tc>
          <w:tcPr>
            <w:tcW w:w="1987" w:type="dxa"/>
            <w:noWrap w:val="0"/>
            <w:vAlign w:val="center"/>
          </w:tcPr>
          <w:p w14:paraId="60B1BB11">
            <w:pPr>
              <w:pStyle w:val="26"/>
              <w:ind w:firstLine="0" w:firstLineChars="0"/>
              <w:jc w:val="center"/>
              <w:rPr>
                <w:rFonts w:hint="eastAsia" w:ascii="宋体" w:hAnsi="宋体" w:cs="宋体"/>
                <w:b/>
                <w:color w:val="auto"/>
                <w:sz w:val="18"/>
                <w:szCs w:val="18"/>
                <w:highlight w:val="none"/>
              </w:rPr>
            </w:pPr>
            <w:r>
              <w:rPr>
                <w:rFonts w:hint="eastAsia" w:ascii="宋体" w:hAnsi="宋体" w:cs="宋体"/>
                <w:b/>
                <w:color w:val="auto"/>
                <w:sz w:val="18"/>
                <w:szCs w:val="18"/>
                <w:highlight w:val="none"/>
              </w:rPr>
              <w:t>合计</w:t>
            </w:r>
          </w:p>
        </w:tc>
        <w:tc>
          <w:tcPr>
            <w:tcW w:w="779" w:type="dxa"/>
            <w:noWrap w:val="0"/>
            <w:vAlign w:val="center"/>
          </w:tcPr>
          <w:p w14:paraId="62CAD72E">
            <w:pPr>
              <w:pStyle w:val="26"/>
              <w:ind w:firstLine="0" w:firstLineChars="0"/>
              <w:jc w:val="center"/>
              <w:rPr>
                <w:rFonts w:hint="eastAsia"/>
                <w:color w:val="auto"/>
                <w:sz w:val="18"/>
                <w:szCs w:val="18"/>
                <w:highlight w:val="none"/>
              </w:rPr>
            </w:pPr>
            <w:r>
              <w:rPr>
                <w:rFonts w:hint="eastAsia"/>
                <w:color w:val="auto"/>
                <w:sz w:val="18"/>
                <w:szCs w:val="18"/>
                <w:highlight w:val="none"/>
              </w:rPr>
              <w:t>23人</w:t>
            </w:r>
          </w:p>
        </w:tc>
        <w:tc>
          <w:tcPr>
            <w:tcW w:w="4309" w:type="dxa"/>
            <w:noWrap w:val="0"/>
            <w:vAlign w:val="center"/>
          </w:tcPr>
          <w:p w14:paraId="1052249D">
            <w:pPr>
              <w:pStyle w:val="26"/>
              <w:ind w:left="420" w:firstLine="0" w:firstLineChars="0"/>
              <w:rPr>
                <w:color w:val="auto"/>
                <w:sz w:val="18"/>
                <w:szCs w:val="18"/>
                <w:highlight w:val="none"/>
              </w:rPr>
            </w:pPr>
          </w:p>
        </w:tc>
      </w:tr>
    </w:tbl>
    <w:p w14:paraId="472792BB">
      <w:pPr>
        <w:spacing w:line="360" w:lineRule="auto"/>
        <w:ind w:firstLine="480" w:firstLineChars="200"/>
        <w:rPr>
          <w:rFonts w:ascii="宋体" w:hAnsi="宋体" w:cs="@仿宋_GB2312"/>
          <w:bCs/>
          <w:color w:val="auto"/>
          <w:sz w:val="24"/>
          <w:szCs w:val="18"/>
          <w:highlight w:val="none"/>
        </w:rPr>
      </w:pPr>
      <w:r>
        <w:rPr>
          <w:rFonts w:hint="eastAsia" w:ascii="宋体" w:hAnsi="宋体" w:cs="@仿宋_GB2312"/>
          <w:bCs/>
          <w:color w:val="auto"/>
          <w:sz w:val="24"/>
          <w:szCs w:val="18"/>
          <w:highlight w:val="none"/>
        </w:rPr>
        <w:t>（2）配备上岗人员必须提供健康证、身份证。</w:t>
      </w:r>
    </w:p>
    <w:p w14:paraId="35608BF2">
      <w:pPr>
        <w:spacing w:line="360" w:lineRule="auto"/>
        <w:ind w:firstLine="480" w:firstLineChars="200"/>
        <w:rPr>
          <w:rFonts w:ascii="宋体" w:hAnsi="宋体" w:cs="@仿宋_GB2312"/>
          <w:bCs/>
          <w:color w:val="auto"/>
          <w:sz w:val="24"/>
          <w:szCs w:val="18"/>
          <w:highlight w:val="none"/>
        </w:rPr>
      </w:pPr>
      <w:r>
        <w:rPr>
          <w:rFonts w:hint="eastAsia" w:ascii="宋体" w:hAnsi="宋体" w:cs="@仿宋_GB2312"/>
          <w:bCs/>
          <w:color w:val="auto"/>
          <w:sz w:val="24"/>
          <w:szCs w:val="18"/>
          <w:highlight w:val="none"/>
        </w:rPr>
        <w:t>（3）中标人的人员数量及要求须按招标人的规定要求配置，不符合要求的须在一周内整改到位。人员配置的资质不符合岗位要求的，发现一次扣2000元，发现三次</w:t>
      </w:r>
      <w:r>
        <w:rPr>
          <w:rFonts w:hint="eastAsia" w:ascii="宋体" w:hAnsi="宋体" w:cs="@仿宋_GB2312"/>
          <w:bCs/>
          <w:color w:val="auto"/>
          <w:sz w:val="24"/>
          <w:szCs w:val="18"/>
          <w:highlight w:val="none"/>
        </w:rPr>
        <w:t>终止协议，并通报物业主管部门。</w:t>
      </w:r>
    </w:p>
    <w:p w14:paraId="01EB04D6">
      <w:pPr>
        <w:spacing w:line="360" w:lineRule="auto"/>
        <w:ind w:firstLine="480" w:firstLineChars="200"/>
        <w:rPr>
          <w:rFonts w:ascii="宋体" w:hAnsi="宋体" w:cs="@仿宋_GB2312"/>
          <w:bCs/>
          <w:color w:val="auto"/>
          <w:sz w:val="24"/>
          <w:szCs w:val="18"/>
          <w:highlight w:val="none"/>
        </w:rPr>
      </w:pPr>
      <w:r>
        <w:rPr>
          <w:rFonts w:hint="eastAsia" w:ascii="宋体" w:hAnsi="宋体" w:cs="@仿宋_GB2312"/>
          <w:bCs/>
          <w:color w:val="auto"/>
          <w:sz w:val="24"/>
          <w:szCs w:val="18"/>
          <w:highlight w:val="none"/>
        </w:rPr>
        <w:t>（4）项目经理持证服务，中标后仅在本项目服务，原则上不得到其他项目任项目经理（客观原因需要变更的，需经业主同意），每周须五天坚守岗位。特殊情况须向招标人请假，经批准后方可离岗。如擅自变更项目经理的，经核实属实的，每出现一次扣减物业服务费1万元（从下月服务费中扣减）。</w:t>
      </w:r>
    </w:p>
    <w:p w14:paraId="2684CC0A">
      <w:pPr>
        <w:spacing w:line="360" w:lineRule="auto"/>
        <w:ind w:firstLine="480" w:firstLineChars="200"/>
        <w:rPr>
          <w:rFonts w:hint="eastAsia" w:ascii="宋体" w:hAnsi="宋体" w:cs="@仿宋_GB2312"/>
          <w:bCs/>
          <w:color w:val="auto"/>
          <w:sz w:val="24"/>
          <w:szCs w:val="18"/>
          <w:highlight w:val="none"/>
        </w:rPr>
      </w:pPr>
      <w:r>
        <w:rPr>
          <w:rFonts w:hint="eastAsia" w:ascii="宋体" w:hAnsi="宋体" w:cs="@仿宋_GB2312"/>
          <w:bCs/>
          <w:color w:val="auto"/>
          <w:sz w:val="24"/>
          <w:szCs w:val="18"/>
          <w:highlight w:val="none"/>
        </w:rPr>
        <w:t>（5）所有人员统一着装，服装应干净整洁，无褶皱、较重褪色等影响美观的现象，一律挂牌上岗。</w:t>
      </w:r>
    </w:p>
    <w:p w14:paraId="710609BA">
      <w:pPr>
        <w:spacing w:line="332" w:lineRule="auto"/>
        <w:outlineLvl w:val="1"/>
        <w:rPr>
          <w:rFonts w:ascii="宋体" w:hAnsi="宋体" w:cs="宋体"/>
          <w:b/>
          <w:color w:val="auto"/>
          <w:sz w:val="24"/>
          <w:highlight w:val="none"/>
        </w:rPr>
      </w:pPr>
      <w:bookmarkStart w:id="44" w:name="_Toc95924022"/>
      <w:r>
        <w:rPr>
          <w:rFonts w:hint="eastAsia" w:ascii="宋体" w:hAnsi="宋体" w:cs="宋体"/>
          <w:b/>
          <w:color w:val="auto"/>
          <w:sz w:val="24"/>
          <w:highlight w:val="none"/>
        </w:rPr>
        <w:t>五、</w:t>
      </w:r>
      <w:r>
        <w:rPr>
          <w:rFonts w:ascii="宋体" w:hAnsi="宋体" w:cs="宋体"/>
          <w:b/>
          <w:color w:val="auto"/>
          <w:sz w:val="24"/>
          <w:highlight w:val="none"/>
        </w:rPr>
        <w:t>交接过渡期工作</w:t>
      </w:r>
      <w:bookmarkEnd w:id="44"/>
    </w:p>
    <w:p w14:paraId="50E2D689">
      <w:pPr>
        <w:spacing w:line="360" w:lineRule="auto"/>
        <w:ind w:firstLine="480" w:firstLineChars="200"/>
        <w:rPr>
          <w:rFonts w:ascii="宋体" w:hAnsi="宋体" w:cs="@仿宋_GB2312"/>
          <w:bCs/>
          <w:color w:val="auto"/>
          <w:sz w:val="24"/>
          <w:szCs w:val="18"/>
          <w:highlight w:val="none"/>
        </w:rPr>
      </w:pPr>
      <w:r>
        <w:rPr>
          <w:rFonts w:hint="eastAsia" w:ascii="宋体" w:hAnsi="宋体" w:cs="@仿宋_GB2312"/>
          <w:bCs/>
          <w:color w:val="auto"/>
          <w:sz w:val="24"/>
          <w:szCs w:val="18"/>
          <w:highlight w:val="none"/>
        </w:rPr>
        <w:t>1、</w:t>
      </w:r>
      <w:r>
        <w:rPr>
          <w:rFonts w:ascii="宋体" w:hAnsi="宋体" w:cs="@仿宋_GB2312"/>
          <w:bCs/>
          <w:color w:val="auto"/>
          <w:sz w:val="24"/>
          <w:szCs w:val="18"/>
          <w:highlight w:val="none"/>
        </w:rPr>
        <w:t>除原物业公司继续中标外，</w:t>
      </w:r>
      <w:r>
        <w:rPr>
          <w:rFonts w:hint="eastAsia" w:ascii="宋体" w:hAnsi="宋体" w:cs="@仿宋_GB2312"/>
          <w:bCs/>
          <w:color w:val="auto"/>
          <w:sz w:val="24"/>
          <w:szCs w:val="18"/>
          <w:highlight w:val="none"/>
        </w:rPr>
        <w:t>其他</w:t>
      </w:r>
      <w:r>
        <w:rPr>
          <w:rFonts w:ascii="宋体" w:hAnsi="宋体" w:cs="@仿宋_GB2312"/>
          <w:bCs/>
          <w:color w:val="auto"/>
          <w:sz w:val="24"/>
          <w:szCs w:val="18"/>
          <w:highlight w:val="none"/>
        </w:rPr>
        <w:t>中标方应在中标后20日内成立交接过渡期工作小组，组织物业管理层及相关专业技术人员进入办公楼；与原物业公司协调有关员工去留、新录用员工招聘、培训工作、档案、办公物品等交接工作；</w:t>
      </w:r>
      <w:r>
        <w:rPr>
          <w:rFonts w:hint="eastAsia" w:ascii="宋体" w:hAnsi="宋体" w:cs="@仿宋_GB2312"/>
          <w:bCs/>
          <w:color w:val="auto"/>
          <w:sz w:val="24"/>
          <w:szCs w:val="18"/>
          <w:highlight w:val="none"/>
        </w:rPr>
        <w:t>40日内</w:t>
      </w:r>
      <w:r>
        <w:rPr>
          <w:rFonts w:ascii="宋体" w:hAnsi="宋体" w:cs="@仿宋_GB2312"/>
          <w:bCs/>
          <w:color w:val="auto"/>
          <w:sz w:val="24"/>
          <w:szCs w:val="18"/>
          <w:highlight w:val="none"/>
        </w:rPr>
        <w:t>完成所有人员的进入工作，全部到岗上班，正式独立履行各项物业服务工作。</w:t>
      </w:r>
    </w:p>
    <w:p w14:paraId="5291938F">
      <w:pPr>
        <w:spacing w:line="360" w:lineRule="auto"/>
        <w:ind w:firstLine="480" w:firstLineChars="200"/>
        <w:rPr>
          <w:rFonts w:hint="eastAsia" w:ascii="宋体" w:hAnsi="宋体" w:cs="@仿宋_GB2312"/>
          <w:bCs/>
          <w:color w:val="auto"/>
          <w:sz w:val="24"/>
          <w:szCs w:val="18"/>
          <w:highlight w:val="none"/>
        </w:rPr>
      </w:pPr>
      <w:r>
        <w:rPr>
          <w:rFonts w:hint="eastAsia" w:ascii="宋体" w:hAnsi="宋体" w:cs="@仿宋_GB2312"/>
          <w:bCs/>
          <w:color w:val="auto"/>
          <w:sz w:val="24"/>
          <w:szCs w:val="18"/>
          <w:highlight w:val="none"/>
        </w:rPr>
        <w:t>2、中标方物业与原物业在交接过渡期所发生的所有费用由中标人自行承担，招标人不承担任何费用。</w:t>
      </w:r>
    </w:p>
    <w:p w14:paraId="7538BC88">
      <w:pPr>
        <w:spacing w:line="360" w:lineRule="auto"/>
        <w:ind w:firstLine="480" w:firstLineChars="200"/>
        <w:rPr>
          <w:rFonts w:hint="eastAsia" w:ascii="宋体" w:hAnsi="宋体" w:cs="@仿宋_GB2312"/>
          <w:bCs/>
          <w:color w:val="auto"/>
          <w:sz w:val="24"/>
          <w:szCs w:val="18"/>
          <w:highlight w:val="none"/>
        </w:rPr>
      </w:pPr>
      <w:r>
        <w:rPr>
          <w:rFonts w:hint="eastAsia" w:ascii="宋体" w:hAnsi="宋体" w:cs="@仿宋_GB2312"/>
          <w:bCs/>
          <w:color w:val="auto"/>
          <w:sz w:val="24"/>
          <w:szCs w:val="18"/>
          <w:highlight w:val="none"/>
        </w:rPr>
        <w:t>3、招标人在中标人完成交接过渡期，</w:t>
      </w:r>
      <w:r>
        <w:rPr>
          <w:rFonts w:ascii="宋体" w:hAnsi="宋体" w:cs="@仿宋_GB2312"/>
          <w:bCs/>
          <w:color w:val="auto"/>
          <w:sz w:val="24"/>
          <w:szCs w:val="18"/>
          <w:highlight w:val="none"/>
        </w:rPr>
        <w:t>所有人员的进入工作，全部到岗上班，正式独立履行各项物业服务工作</w:t>
      </w:r>
      <w:r>
        <w:rPr>
          <w:rFonts w:hint="eastAsia" w:ascii="宋体" w:hAnsi="宋体" w:cs="@仿宋_GB2312"/>
          <w:bCs/>
          <w:color w:val="auto"/>
          <w:sz w:val="24"/>
          <w:szCs w:val="18"/>
          <w:highlight w:val="none"/>
        </w:rPr>
        <w:t>，才与中标方签订合同。</w:t>
      </w:r>
    </w:p>
    <w:p w14:paraId="4F74720A">
      <w:pPr>
        <w:spacing w:line="360" w:lineRule="auto"/>
        <w:ind w:firstLine="480" w:firstLineChars="200"/>
        <w:rPr>
          <w:rFonts w:hint="eastAsia" w:ascii="宋体" w:hAnsi="宋体" w:cs="@仿宋_GB2312"/>
          <w:bCs/>
          <w:color w:val="auto"/>
          <w:sz w:val="24"/>
          <w:szCs w:val="18"/>
          <w:highlight w:val="none"/>
        </w:rPr>
      </w:pPr>
      <w:r>
        <w:rPr>
          <w:rFonts w:hint="eastAsia" w:ascii="宋体" w:hAnsi="宋体" w:cs="@仿宋_GB2312"/>
          <w:bCs/>
          <w:color w:val="auto"/>
          <w:sz w:val="24"/>
          <w:szCs w:val="18"/>
          <w:highlight w:val="none"/>
        </w:rPr>
        <w:t>4、中标后，所有物业人员须在招标单位审核同意后方可进场，如有不合格人员，招标人有权要求更新，重新配置。</w:t>
      </w:r>
    </w:p>
    <w:p w14:paraId="7F1ABC71">
      <w:pPr>
        <w:pStyle w:val="2"/>
        <w:ind w:left="0" w:leftChars="0"/>
        <w:rPr>
          <w:b/>
          <w:color w:val="auto"/>
          <w:sz w:val="28"/>
          <w:szCs w:val="28"/>
          <w:highlight w:val="none"/>
        </w:rPr>
      </w:pPr>
      <w:r>
        <w:rPr>
          <w:rFonts w:hint="eastAsia"/>
          <w:b/>
          <w:color w:val="auto"/>
          <w:sz w:val="28"/>
          <w:szCs w:val="28"/>
          <w:highlight w:val="none"/>
        </w:rPr>
        <w:t>四、报价要求</w:t>
      </w:r>
    </w:p>
    <w:p w14:paraId="333E4BDC">
      <w:pPr>
        <w:spacing w:line="360" w:lineRule="auto"/>
        <w:ind w:firstLine="480" w:firstLineChars="200"/>
        <w:rPr>
          <w:rFonts w:hint="eastAsia" w:ascii="宋体" w:hAnsi="宋体" w:cs="@仿宋_GB2312"/>
          <w:bCs/>
          <w:color w:val="auto"/>
          <w:sz w:val="24"/>
          <w:szCs w:val="18"/>
          <w:highlight w:val="none"/>
        </w:rPr>
      </w:pPr>
      <w:r>
        <w:rPr>
          <w:rFonts w:hint="eastAsia" w:ascii="宋体" w:hAnsi="宋体" w:cs="@仿宋_GB2312"/>
          <w:bCs/>
          <w:color w:val="auto"/>
          <w:sz w:val="24"/>
          <w:szCs w:val="18"/>
          <w:highlight w:val="none"/>
        </w:rPr>
        <w:t>1、项目按一年服务期的总价报价，总价包干。投标报价是指投标人为正确地完全履行本项目采购内容及要求的价格体现，核算需符合国家相关法律、法规及有关劳动、税务、社会保险等方面的规定。特别是人员工资和社保，必须严格按国家有关规定和本招标文件规定执行。</w:t>
      </w:r>
    </w:p>
    <w:p w14:paraId="7F5E5802">
      <w:pPr>
        <w:spacing w:line="360" w:lineRule="auto"/>
        <w:ind w:firstLine="482" w:firstLineChars="200"/>
        <w:rPr>
          <w:rFonts w:hint="eastAsia" w:ascii="宋体" w:hAnsi="宋体" w:cs="@仿宋_GB2312"/>
          <w:bCs/>
          <w:color w:val="auto"/>
          <w:sz w:val="24"/>
          <w:szCs w:val="18"/>
          <w:highlight w:val="none"/>
        </w:rPr>
      </w:pPr>
      <w:r>
        <w:rPr>
          <w:rFonts w:hint="eastAsia" w:ascii="宋体" w:hAnsi="宋体" w:cs="宋体"/>
          <w:b/>
          <w:bCs/>
          <w:color w:val="auto"/>
          <w:kern w:val="0"/>
          <w:sz w:val="24"/>
          <w:highlight w:val="none"/>
          <w:lang w:bidi="ar"/>
        </w:rPr>
        <w:t>2、</w:t>
      </w:r>
      <w:r>
        <w:rPr>
          <w:rFonts w:hint="eastAsia" w:ascii="宋体" w:hAnsi="宋体" w:cs="@仿宋_GB2312"/>
          <w:bCs/>
          <w:color w:val="auto"/>
          <w:sz w:val="24"/>
          <w:szCs w:val="18"/>
          <w:highlight w:val="none"/>
        </w:rPr>
        <w:t>中标单位所派驻的相关人员在劳动人事、工资福利、社会保险等各方面均隶属于中标单位，中标人必须和拟派的所有岗位人员按照相关规定签订劳动合同并为其缴纳社保，否则产生的相关纠纷由中标人自行承担，与采购人无关。</w:t>
      </w:r>
    </w:p>
    <w:p w14:paraId="2B8101DC">
      <w:pPr>
        <w:spacing w:line="360" w:lineRule="auto"/>
        <w:ind w:firstLine="480" w:firstLineChars="200"/>
        <w:rPr>
          <w:rFonts w:hint="eastAsia" w:ascii="宋体" w:hAnsi="宋体" w:cs="@仿宋_GB2312"/>
          <w:bCs/>
          <w:color w:val="auto"/>
          <w:sz w:val="24"/>
          <w:szCs w:val="18"/>
          <w:highlight w:val="none"/>
        </w:rPr>
      </w:pPr>
      <w:r>
        <w:rPr>
          <w:rFonts w:hint="eastAsia" w:ascii="宋体" w:hAnsi="宋体" w:cs="@仿宋_GB2312"/>
          <w:bCs/>
          <w:color w:val="auto"/>
          <w:sz w:val="24"/>
          <w:szCs w:val="18"/>
          <w:highlight w:val="none"/>
        </w:rPr>
        <w:t>招标人仅为中标人提供物业办公用房；物业管理所需物品，如办公家具、维修工具等所有物品由中标人自行解决。服务期满后中标人不得就办公用房装修等事项向采购人要求索赔。</w:t>
      </w:r>
    </w:p>
    <w:p w14:paraId="690BC77A">
      <w:pPr>
        <w:spacing w:line="360" w:lineRule="auto"/>
        <w:ind w:firstLine="482" w:firstLineChars="200"/>
        <w:rPr>
          <w:rFonts w:hint="eastAsia" w:ascii="宋体" w:hAnsi="宋体" w:cs="@仿宋_GB2312"/>
          <w:bCs/>
          <w:color w:val="auto"/>
          <w:sz w:val="24"/>
          <w:szCs w:val="18"/>
          <w:highlight w:val="none"/>
        </w:rPr>
      </w:pPr>
      <w:r>
        <w:rPr>
          <w:rFonts w:hint="eastAsia" w:ascii="宋体" w:hAnsi="宋体" w:cs="宋体"/>
          <w:b/>
          <w:bCs/>
          <w:color w:val="auto"/>
          <w:kern w:val="0"/>
          <w:sz w:val="24"/>
          <w:highlight w:val="none"/>
          <w:lang w:bidi="ar"/>
        </w:rPr>
        <w:t>投标人投标报价为完成本次招标项目的全费用价格，</w:t>
      </w:r>
      <w:r>
        <w:rPr>
          <w:rFonts w:hint="eastAsia" w:ascii="宋体" w:hAnsi="宋体" w:cs="@仿宋_GB2312"/>
          <w:bCs/>
          <w:color w:val="auto"/>
          <w:sz w:val="24"/>
          <w:szCs w:val="18"/>
          <w:highlight w:val="none"/>
        </w:rPr>
        <w:t>根据服务范围及标准，实行物业费年报价，本次招标报价为第一年度物业费标准，后续年度物业费标准保持基本稳定，报价时须按服务项目内容分项报价，汇总计算；服务费用在服务期限内因政策性原因需调整的，给予调整，其余不予调整。</w:t>
      </w:r>
    </w:p>
    <w:p w14:paraId="3A9689D1">
      <w:pPr>
        <w:spacing w:line="360" w:lineRule="auto"/>
        <w:ind w:firstLine="480" w:firstLineChars="200"/>
        <w:rPr>
          <w:rFonts w:ascii="宋体" w:hAnsi="宋体" w:cs="@仿宋_GB2312"/>
          <w:bCs/>
          <w:color w:val="auto"/>
          <w:sz w:val="24"/>
          <w:szCs w:val="18"/>
          <w:highlight w:val="none"/>
        </w:rPr>
      </w:pPr>
      <w:r>
        <w:rPr>
          <w:rFonts w:hint="eastAsia" w:ascii="宋体" w:hAnsi="宋体" w:cs="@仿宋_GB2312"/>
          <w:bCs/>
          <w:color w:val="auto"/>
          <w:sz w:val="24"/>
          <w:szCs w:val="18"/>
          <w:highlight w:val="none"/>
        </w:rPr>
        <w:t>1、物业管理运行费用，包括：</w:t>
      </w:r>
    </w:p>
    <w:p w14:paraId="563B44F6">
      <w:pPr>
        <w:spacing w:line="360" w:lineRule="auto"/>
        <w:ind w:firstLine="480" w:firstLineChars="200"/>
        <w:rPr>
          <w:rFonts w:hint="eastAsia" w:ascii="宋体" w:hAnsi="宋体" w:cs="@仿宋_GB2312"/>
          <w:bCs/>
          <w:color w:val="auto"/>
          <w:sz w:val="24"/>
          <w:szCs w:val="18"/>
          <w:highlight w:val="none"/>
        </w:rPr>
      </w:pPr>
      <w:r>
        <w:rPr>
          <w:rFonts w:hint="eastAsia" w:ascii="宋体" w:hAnsi="宋体" w:cs="@仿宋_GB2312"/>
          <w:bCs/>
          <w:color w:val="auto"/>
          <w:sz w:val="24"/>
          <w:szCs w:val="18"/>
          <w:highlight w:val="none"/>
        </w:rPr>
        <w:t>（1）人工费用(含服务于本项目的各类人员的工资、福利、社保、交通、培训等)。</w:t>
      </w:r>
    </w:p>
    <w:p w14:paraId="3B3A0F98">
      <w:pPr>
        <w:spacing w:line="360" w:lineRule="auto"/>
        <w:ind w:firstLine="480" w:firstLineChars="200"/>
        <w:rPr>
          <w:rFonts w:ascii="宋体" w:hAnsi="宋体" w:cs="@仿宋_GB2312"/>
          <w:bCs/>
          <w:color w:val="auto"/>
          <w:sz w:val="24"/>
          <w:szCs w:val="18"/>
          <w:highlight w:val="none"/>
        </w:rPr>
      </w:pPr>
      <w:r>
        <w:rPr>
          <w:rFonts w:hint="eastAsia" w:ascii="宋体" w:hAnsi="宋体" w:cs="@仿宋_GB2312"/>
          <w:bCs/>
          <w:color w:val="auto"/>
          <w:sz w:val="24"/>
          <w:szCs w:val="18"/>
          <w:highlight w:val="none"/>
        </w:rPr>
        <w:t>（2）公用设备、公共场所等管理养护费用（含房屋、办公家具、水电设施、亮化设施、智能化设施等公共设施设备维修、维护及绿化养护费用）；</w:t>
      </w:r>
    </w:p>
    <w:p w14:paraId="22175F54">
      <w:pPr>
        <w:spacing w:line="360" w:lineRule="auto"/>
        <w:ind w:firstLine="480" w:firstLineChars="200"/>
        <w:rPr>
          <w:rFonts w:hint="eastAsia" w:ascii="宋体" w:hAnsi="宋体" w:cs="@仿宋_GB2312"/>
          <w:bCs/>
          <w:color w:val="auto"/>
          <w:sz w:val="24"/>
          <w:szCs w:val="18"/>
          <w:highlight w:val="none"/>
        </w:rPr>
      </w:pPr>
      <w:r>
        <w:rPr>
          <w:rFonts w:hint="eastAsia" w:ascii="宋体" w:hAnsi="宋体" w:cs="@仿宋_GB2312"/>
          <w:bCs/>
          <w:color w:val="auto"/>
          <w:sz w:val="24"/>
          <w:szCs w:val="18"/>
          <w:highlight w:val="none"/>
        </w:rPr>
        <w:t>（3）保洁费【</w:t>
      </w:r>
      <w:r>
        <w:rPr>
          <w:rFonts w:hint="eastAsia" w:ascii="宋体" w:hAnsi="宋体" w:cs="@仿宋_GB2312"/>
          <w:b/>
          <w:bCs/>
          <w:color w:val="auto"/>
          <w:sz w:val="24"/>
          <w:szCs w:val="18"/>
          <w:highlight w:val="none"/>
        </w:rPr>
        <w:t>不包括用于本项目所有保洁耗材（垃圾袋、洗手液、垃圾桶、消毒液、清洁剂等）费用，耗材均由采购人提供</w:t>
      </w:r>
      <w:r>
        <w:rPr>
          <w:rFonts w:hint="eastAsia" w:ascii="宋体" w:hAnsi="宋体" w:cs="@仿宋_GB2312"/>
          <w:bCs/>
          <w:color w:val="auto"/>
          <w:sz w:val="24"/>
          <w:szCs w:val="18"/>
          <w:highlight w:val="none"/>
        </w:rPr>
        <w:t>】；</w:t>
      </w:r>
    </w:p>
    <w:p w14:paraId="365AF5EB">
      <w:pPr>
        <w:spacing w:line="360" w:lineRule="auto"/>
        <w:ind w:firstLine="480" w:firstLineChars="200"/>
        <w:rPr>
          <w:rFonts w:hint="eastAsia" w:ascii="宋体" w:hAnsi="宋体" w:cs="@仿宋_GB2312"/>
          <w:bCs/>
          <w:color w:val="auto"/>
          <w:sz w:val="24"/>
          <w:szCs w:val="18"/>
          <w:highlight w:val="none"/>
        </w:rPr>
      </w:pPr>
      <w:r>
        <w:rPr>
          <w:rFonts w:hint="eastAsia" w:ascii="宋体" w:hAnsi="宋体" w:cs="@仿宋_GB2312"/>
          <w:bCs/>
          <w:color w:val="auto"/>
          <w:sz w:val="24"/>
          <w:szCs w:val="18"/>
          <w:highlight w:val="none"/>
        </w:rPr>
        <w:t>（4）绿化养护费及花卉常年摆放服务费；</w:t>
      </w:r>
    </w:p>
    <w:p w14:paraId="65D29E36">
      <w:pPr>
        <w:spacing w:line="360" w:lineRule="auto"/>
        <w:ind w:firstLine="480" w:firstLineChars="200"/>
        <w:rPr>
          <w:rFonts w:ascii="宋体" w:hAnsi="宋体" w:cs="@仿宋_GB2312"/>
          <w:bCs/>
          <w:color w:val="auto"/>
          <w:sz w:val="24"/>
          <w:szCs w:val="18"/>
          <w:highlight w:val="none"/>
        </w:rPr>
      </w:pPr>
      <w:r>
        <w:rPr>
          <w:rFonts w:hint="eastAsia" w:ascii="宋体" w:hAnsi="宋体" w:cs="@仿宋_GB2312"/>
          <w:bCs/>
          <w:color w:val="auto"/>
          <w:sz w:val="24"/>
          <w:szCs w:val="18"/>
          <w:highlight w:val="none"/>
        </w:rPr>
        <w:t>（5）各类工程维修工具、保洁用具、对讲通讯设备等配置费用；</w:t>
      </w:r>
    </w:p>
    <w:p w14:paraId="1618D612">
      <w:pPr>
        <w:spacing w:line="360" w:lineRule="auto"/>
        <w:ind w:firstLine="480" w:firstLineChars="200"/>
        <w:rPr>
          <w:rFonts w:ascii="宋体" w:hAnsi="宋体" w:cs="@仿宋_GB2312"/>
          <w:bCs/>
          <w:color w:val="auto"/>
          <w:sz w:val="24"/>
          <w:szCs w:val="18"/>
          <w:highlight w:val="none"/>
        </w:rPr>
      </w:pPr>
      <w:r>
        <w:rPr>
          <w:rFonts w:hint="eastAsia" w:ascii="宋体" w:hAnsi="宋体" w:cs="@仿宋_GB2312"/>
          <w:bCs/>
          <w:color w:val="auto"/>
          <w:sz w:val="24"/>
          <w:szCs w:val="18"/>
          <w:highlight w:val="none"/>
        </w:rPr>
        <w:t>（6）行政费用（</w:t>
      </w:r>
      <w:r>
        <w:rPr>
          <w:rFonts w:ascii="宋体" w:hAnsi="宋体" w:cs="@仿宋_GB2312"/>
          <w:bCs/>
          <w:color w:val="auto"/>
          <w:sz w:val="24"/>
          <w:szCs w:val="18"/>
          <w:highlight w:val="none"/>
        </w:rPr>
        <w:t>含办公费用、办公用水电费、通讯费</w:t>
      </w:r>
      <w:r>
        <w:rPr>
          <w:rFonts w:hint="eastAsia" w:ascii="宋体" w:hAnsi="宋体" w:cs="@仿宋_GB2312"/>
          <w:bCs/>
          <w:color w:val="auto"/>
          <w:sz w:val="24"/>
          <w:szCs w:val="18"/>
          <w:highlight w:val="none"/>
        </w:rPr>
        <w:t>、服装费、培训费</w:t>
      </w:r>
      <w:r>
        <w:rPr>
          <w:rFonts w:ascii="宋体" w:hAnsi="宋体" w:cs="@仿宋_GB2312"/>
          <w:bCs/>
          <w:color w:val="auto"/>
          <w:sz w:val="24"/>
          <w:szCs w:val="18"/>
          <w:highlight w:val="none"/>
        </w:rPr>
        <w:t>等</w:t>
      </w:r>
      <w:r>
        <w:rPr>
          <w:rFonts w:hint="eastAsia" w:ascii="宋体" w:hAnsi="宋体" w:cs="@仿宋_GB2312"/>
          <w:bCs/>
          <w:color w:val="auto"/>
          <w:sz w:val="24"/>
          <w:szCs w:val="18"/>
          <w:highlight w:val="none"/>
        </w:rPr>
        <w:t>）</w:t>
      </w:r>
      <w:r>
        <w:rPr>
          <w:rFonts w:ascii="宋体" w:hAnsi="宋体" w:cs="@仿宋_GB2312"/>
          <w:bCs/>
          <w:color w:val="auto"/>
          <w:sz w:val="24"/>
          <w:szCs w:val="18"/>
          <w:highlight w:val="none"/>
        </w:rPr>
        <w:t>；</w:t>
      </w:r>
    </w:p>
    <w:p w14:paraId="1A5A8F1F">
      <w:pPr>
        <w:spacing w:line="360" w:lineRule="auto"/>
        <w:ind w:firstLine="480" w:firstLineChars="200"/>
        <w:rPr>
          <w:rFonts w:ascii="宋体" w:hAnsi="宋体" w:cs="@仿宋_GB2312"/>
          <w:bCs/>
          <w:color w:val="auto"/>
          <w:sz w:val="24"/>
          <w:szCs w:val="18"/>
          <w:highlight w:val="none"/>
        </w:rPr>
      </w:pPr>
      <w:r>
        <w:rPr>
          <w:rFonts w:hint="eastAsia" w:ascii="宋体" w:hAnsi="宋体" w:cs="@仿宋_GB2312"/>
          <w:bCs/>
          <w:color w:val="auto"/>
          <w:sz w:val="24"/>
          <w:szCs w:val="18"/>
          <w:highlight w:val="none"/>
        </w:rPr>
        <w:t>（7）其他（交接过渡期有关费用，含垃圾清运、下水疏通、防虫灭鼠等其他费用）；</w:t>
      </w:r>
    </w:p>
    <w:p w14:paraId="5FA16515">
      <w:pPr>
        <w:spacing w:line="360" w:lineRule="auto"/>
        <w:ind w:firstLine="480" w:firstLineChars="200"/>
        <w:rPr>
          <w:rFonts w:ascii="宋体" w:hAnsi="宋体" w:cs="@仿宋_GB2312"/>
          <w:bCs/>
          <w:color w:val="auto"/>
          <w:sz w:val="24"/>
          <w:szCs w:val="18"/>
          <w:highlight w:val="none"/>
        </w:rPr>
      </w:pPr>
      <w:r>
        <w:rPr>
          <w:rFonts w:hint="eastAsia" w:ascii="宋体" w:hAnsi="宋体" w:cs="@仿宋_GB2312"/>
          <w:bCs/>
          <w:color w:val="auto"/>
          <w:sz w:val="24"/>
          <w:szCs w:val="18"/>
          <w:highlight w:val="none"/>
        </w:rPr>
        <w:t>（8）管理酬金；</w:t>
      </w:r>
    </w:p>
    <w:p w14:paraId="0FFE3412">
      <w:pPr>
        <w:spacing w:line="360" w:lineRule="auto"/>
        <w:ind w:firstLine="480" w:firstLineChars="200"/>
        <w:rPr>
          <w:rFonts w:ascii="宋体" w:hAnsi="宋体" w:cs="@仿宋_GB2312"/>
          <w:bCs/>
          <w:color w:val="auto"/>
          <w:sz w:val="24"/>
          <w:szCs w:val="18"/>
          <w:highlight w:val="none"/>
        </w:rPr>
      </w:pPr>
      <w:r>
        <w:rPr>
          <w:rFonts w:hint="eastAsia" w:ascii="宋体" w:hAnsi="宋体" w:cs="@仿宋_GB2312"/>
          <w:bCs/>
          <w:color w:val="auto"/>
          <w:sz w:val="24"/>
          <w:szCs w:val="18"/>
          <w:highlight w:val="none"/>
        </w:rPr>
        <w:t>（9）税金【投标人税金统一按一般纳税人核定标准计算（税率按 6.72%计入）】；</w:t>
      </w:r>
    </w:p>
    <w:p w14:paraId="32093DD0">
      <w:pPr>
        <w:spacing w:line="360" w:lineRule="auto"/>
        <w:ind w:firstLine="482" w:firstLineChars="200"/>
        <w:rPr>
          <w:rFonts w:hint="eastAsia" w:ascii="宋体" w:hAnsi="宋体" w:cs="@仿宋_GB2312"/>
          <w:b/>
          <w:bCs/>
          <w:color w:val="auto"/>
          <w:sz w:val="24"/>
          <w:szCs w:val="18"/>
          <w:highlight w:val="none"/>
        </w:rPr>
      </w:pPr>
      <w:r>
        <w:rPr>
          <w:rFonts w:hint="eastAsia" w:ascii="宋体" w:hAnsi="宋体" w:cs="@仿宋_GB2312"/>
          <w:b/>
          <w:bCs/>
          <w:color w:val="auto"/>
          <w:sz w:val="24"/>
          <w:szCs w:val="18"/>
          <w:highlight w:val="none"/>
        </w:rPr>
        <w:t>以上报价</w:t>
      </w:r>
      <w:r>
        <w:rPr>
          <w:rFonts w:ascii="宋体" w:hAnsi="宋体" w:cs="@仿宋_GB2312"/>
          <w:b/>
          <w:bCs/>
          <w:color w:val="auto"/>
          <w:sz w:val="24"/>
          <w:szCs w:val="18"/>
          <w:highlight w:val="none"/>
        </w:rPr>
        <w:t>不包含以下费用：1、</w:t>
      </w:r>
      <w:r>
        <w:rPr>
          <w:rFonts w:hint="eastAsia" w:ascii="宋体" w:hAnsi="宋体" w:cs="@仿宋_GB2312"/>
          <w:b/>
          <w:bCs/>
          <w:color w:val="auto"/>
          <w:sz w:val="24"/>
          <w:szCs w:val="18"/>
          <w:highlight w:val="none"/>
        </w:rPr>
        <w:t>法院日常办公</w:t>
      </w:r>
      <w:r>
        <w:rPr>
          <w:rFonts w:ascii="宋体" w:hAnsi="宋体" w:cs="@仿宋_GB2312"/>
          <w:b/>
          <w:bCs/>
          <w:color w:val="auto"/>
          <w:sz w:val="24"/>
          <w:szCs w:val="18"/>
          <w:highlight w:val="none"/>
        </w:rPr>
        <w:t>水电气费；2、大型设备专业维保费；3、各类维修维护所需要材料配件费；4、各类大宗易耗品，如</w:t>
      </w:r>
      <w:r>
        <w:rPr>
          <w:rFonts w:hint="eastAsia" w:ascii="宋体" w:hAnsi="宋体" w:cs="@仿宋_GB2312"/>
          <w:b/>
          <w:bCs/>
          <w:color w:val="auto"/>
          <w:sz w:val="24"/>
          <w:szCs w:val="18"/>
          <w:highlight w:val="none"/>
        </w:rPr>
        <w:t>洗手液、垃圾桶、消毒液、清洁剂、</w:t>
      </w:r>
      <w:r>
        <w:rPr>
          <w:rFonts w:ascii="宋体" w:hAnsi="宋体" w:cs="@仿宋_GB2312"/>
          <w:b/>
          <w:bCs/>
          <w:color w:val="auto"/>
          <w:sz w:val="24"/>
          <w:szCs w:val="18"/>
          <w:highlight w:val="none"/>
        </w:rPr>
        <w:t>抽纸、垃圾袋、垃圾箱等。</w:t>
      </w:r>
    </w:p>
    <w:p w14:paraId="631635A6">
      <w:pPr>
        <w:spacing w:line="360" w:lineRule="auto"/>
        <w:ind w:firstLine="480" w:firstLineChars="200"/>
        <w:rPr>
          <w:rFonts w:hint="eastAsia" w:ascii="宋体" w:hAnsi="宋体" w:cs="@仿宋_GB2312"/>
          <w:bCs/>
          <w:color w:val="auto"/>
          <w:sz w:val="24"/>
          <w:szCs w:val="18"/>
          <w:highlight w:val="none"/>
        </w:rPr>
      </w:pPr>
      <w:r>
        <w:rPr>
          <w:rFonts w:hint="eastAsia" w:ascii="宋体" w:hAnsi="宋体" w:cs="@仿宋_GB2312"/>
          <w:bCs/>
          <w:color w:val="auto"/>
          <w:sz w:val="24"/>
          <w:szCs w:val="18"/>
          <w:highlight w:val="none"/>
        </w:rPr>
        <w:t>投标人必须和拟派的所有岗位人员按照相关规定签订劳动合同并为其缴纳社保，否则产生的相关纠纷由投标人自行承担。</w:t>
      </w:r>
      <w:r>
        <w:rPr>
          <w:rFonts w:hint="eastAsia" w:ascii="宋体" w:hAnsi="宋体" w:cs="@仿宋_GB2312"/>
          <w:b/>
          <w:bCs/>
          <w:color w:val="auto"/>
          <w:sz w:val="24"/>
          <w:szCs w:val="18"/>
          <w:highlight w:val="none"/>
        </w:rPr>
        <w:t>投标人投标时充分考虑人员工资水平、企业利润等因素，合理报价。</w:t>
      </w:r>
      <w:r>
        <w:rPr>
          <w:rFonts w:hint="eastAsia" w:ascii="宋体" w:hAnsi="宋体" w:cs="@仿宋_GB2312"/>
          <w:bCs/>
          <w:color w:val="auto"/>
          <w:sz w:val="24"/>
          <w:szCs w:val="18"/>
          <w:highlight w:val="none"/>
        </w:rPr>
        <w:t>滁州市人社局对天长市人员最低工资及五险进行调整时，中标人应相应作适当调整。</w:t>
      </w:r>
    </w:p>
    <w:p w14:paraId="020D1F69">
      <w:pPr>
        <w:pStyle w:val="2"/>
        <w:ind w:left="0" w:leftChars="0"/>
        <w:rPr>
          <w:b/>
          <w:color w:val="auto"/>
          <w:sz w:val="28"/>
          <w:szCs w:val="28"/>
          <w:highlight w:val="none"/>
        </w:rPr>
      </w:pPr>
      <w:r>
        <w:rPr>
          <w:rFonts w:hint="eastAsia"/>
          <w:b/>
          <w:color w:val="auto"/>
          <w:sz w:val="28"/>
          <w:szCs w:val="28"/>
          <w:highlight w:val="none"/>
        </w:rPr>
        <w:t>五、其他要求</w:t>
      </w:r>
    </w:p>
    <w:p w14:paraId="22B44F7B">
      <w:pPr>
        <w:spacing w:line="360" w:lineRule="auto"/>
        <w:ind w:firstLine="480" w:firstLineChars="200"/>
        <w:rPr>
          <w:rFonts w:hint="eastAsia" w:ascii="宋体" w:hAnsi="宋体" w:cs="@仿宋_GB2312"/>
          <w:bCs/>
          <w:color w:val="auto"/>
          <w:sz w:val="24"/>
          <w:szCs w:val="18"/>
          <w:highlight w:val="none"/>
        </w:rPr>
      </w:pPr>
      <w:r>
        <w:rPr>
          <w:rFonts w:hint="eastAsia" w:ascii="宋体" w:hAnsi="宋体" w:cs="@仿宋_GB2312"/>
          <w:bCs/>
          <w:color w:val="auto"/>
          <w:sz w:val="24"/>
          <w:szCs w:val="18"/>
          <w:highlight w:val="none"/>
        </w:rPr>
        <w:t>1、中标人必须与其组建队伍的所有组成人员签订劳动合同并缴纳社保，不得采取外包等形式与第三方签订合同。如发现转包行为，甲方有权解除合同。</w:t>
      </w:r>
    </w:p>
    <w:p w14:paraId="3BFD5CEE">
      <w:pPr>
        <w:spacing w:line="360" w:lineRule="auto"/>
        <w:ind w:firstLine="480" w:firstLineChars="200"/>
        <w:rPr>
          <w:rFonts w:hint="eastAsia" w:ascii="宋体" w:hAnsi="宋体" w:cs="@仿宋_GB2312"/>
          <w:bCs/>
          <w:color w:val="auto"/>
          <w:sz w:val="24"/>
          <w:szCs w:val="18"/>
          <w:highlight w:val="none"/>
        </w:rPr>
      </w:pPr>
      <w:r>
        <w:rPr>
          <w:rFonts w:hint="eastAsia" w:ascii="宋体" w:hAnsi="宋体" w:cs="@仿宋_GB2312"/>
          <w:bCs/>
          <w:color w:val="auto"/>
          <w:sz w:val="24"/>
          <w:szCs w:val="18"/>
          <w:highlight w:val="none"/>
        </w:rPr>
        <w:t>2、中标人必须保证按照招标文件要求满员配备各岗位人员。如有违反，采购人有权单方解除合同，中标人需赔偿一切经济损失，并承担相应的法律责任。</w:t>
      </w:r>
    </w:p>
    <w:p w14:paraId="3F30DA5F">
      <w:pPr>
        <w:spacing w:line="360" w:lineRule="auto"/>
        <w:ind w:firstLine="480" w:firstLineChars="200"/>
        <w:rPr>
          <w:rFonts w:hint="eastAsia" w:ascii="宋体" w:hAnsi="宋体" w:cs="@仿宋_GB2312"/>
          <w:bCs/>
          <w:color w:val="auto"/>
          <w:sz w:val="24"/>
          <w:szCs w:val="18"/>
          <w:highlight w:val="none"/>
        </w:rPr>
      </w:pPr>
      <w:r>
        <w:rPr>
          <w:rFonts w:hint="eastAsia" w:ascii="宋体" w:hAnsi="宋体" w:cs="@仿宋_GB2312"/>
          <w:bCs/>
          <w:color w:val="auto"/>
          <w:sz w:val="24"/>
          <w:szCs w:val="18"/>
          <w:highlight w:val="none"/>
        </w:rPr>
        <w:t>3、中标人应按时发放所有指派服务人员工资（包括绩效、奖金、福利等）。中标人如未能按时发放工资，必要时采购方有权单方终止合同，给采购方造成损失的，由中标人予以赔偿。</w:t>
      </w:r>
    </w:p>
    <w:p w14:paraId="31985C31">
      <w:pPr>
        <w:spacing w:line="360" w:lineRule="auto"/>
        <w:ind w:firstLine="480" w:firstLineChars="200"/>
        <w:jc w:val="left"/>
        <w:rPr>
          <w:rFonts w:hint="eastAsia" w:ascii="宋体" w:hAnsi="宋体" w:cs="@仿宋_GB2312"/>
          <w:bCs/>
          <w:color w:val="auto"/>
          <w:sz w:val="24"/>
          <w:szCs w:val="18"/>
          <w:highlight w:val="none"/>
        </w:rPr>
      </w:pPr>
      <w:r>
        <w:rPr>
          <w:rFonts w:hint="eastAsia" w:ascii="宋体" w:hAnsi="宋体" w:cs="@仿宋_GB2312"/>
          <w:bCs/>
          <w:color w:val="auto"/>
          <w:sz w:val="24"/>
          <w:szCs w:val="18"/>
          <w:highlight w:val="none"/>
        </w:rPr>
        <w:t>4、采购方按照考核标准每月对中标人队伍管理、服务质量等进行考核，考核标准由采购人另行制定。</w:t>
      </w:r>
    </w:p>
    <w:p w14:paraId="301814ED">
      <w:pPr>
        <w:pStyle w:val="27"/>
        <w:ind w:left="0" w:leftChars="0" w:firstLine="3120" w:firstLineChars="1300"/>
        <w:rPr>
          <w:color w:val="auto"/>
          <w:highlight w:val="none"/>
        </w:rPr>
      </w:pPr>
      <w:r>
        <w:rPr>
          <w:rFonts w:hint="eastAsia" w:ascii="方正姚体" w:hAnsi="方正姚体" w:eastAsia="方正姚体" w:cs="方正姚体"/>
          <w:color w:val="auto"/>
          <w:sz w:val="24"/>
          <w:highlight w:val="none"/>
        </w:rPr>
        <w:t>物业考核表</w:t>
      </w:r>
      <w:r>
        <w:rPr>
          <w:rFonts w:hint="eastAsia" w:ascii="宋体" w:hAnsi="宋体"/>
          <w:color w:val="auto"/>
          <w:sz w:val="24"/>
          <w:highlight w:val="none"/>
        </w:rPr>
        <w:t>（100分）</w:t>
      </w:r>
    </w:p>
    <w:tbl>
      <w:tblPr>
        <w:tblStyle w:val="28"/>
        <w:tblW w:w="9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721"/>
        <w:gridCol w:w="3960"/>
        <w:gridCol w:w="3114"/>
        <w:gridCol w:w="808"/>
      </w:tblGrid>
      <w:tr w14:paraId="7ECE6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260" w:type="dxa"/>
            <w:gridSpan w:val="2"/>
            <w:tcBorders>
              <w:top w:val="single" w:color="auto" w:sz="4" w:space="0"/>
              <w:left w:val="single" w:color="auto" w:sz="4" w:space="0"/>
            </w:tcBorders>
            <w:noWrap w:val="0"/>
            <w:vAlign w:val="center"/>
          </w:tcPr>
          <w:p w14:paraId="294CD5DE">
            <w:pPr>
              <w:jc w:val="center"/>
              <w:rPr>
                <w:rFonts w:ascii="宋体" w:hAnsi="宋体"/>
                <w:color w:val="auto"/>
                <w:sz w:val="18"/>
                <w:szCs w:val="18"/>
                <w:highlight w:val="none"/>
              </w:rPr>
            </w:pPr>
            <w:r>
              <w:rPr>
                <w:rFonts w:hint="eastAsia" w:ascii="宋体" w:hAnsi="宋体"/>
                <w:color w:val="auto"/>
                <w:sz w:val="18"/>
                <w:szCs w:val="18"/>
                <w:highlight w:val="none"/>
              </w:rPr>
              <w:t>项目</w:t>
            </w:r>
          </w:p>
        </w:tc>
        <w:tc>
          <w:tcPr>
            <w:tcW w:w="3960" w:type="dxa"/>
            <w:tcBorders>
              <w:top w:val="single" w:color="auto" w:sz="4" w:space="0"/>
            </w:tcBorders>
            <w:noWrap w:val="0"/>
            <w:vAlign w:val="center"/>
          </w:tcPr>
          <w:p w14:paraId="7B252A64">
            <w:pPr>
              <w:jc w:val="center"/>
              <w:rPr>
                <w:rFonts w:ascii="宋体" w:hAnsi="宋体"/>
                <w:color w:val="auto"/>
                <w:sz w:val="18"/>
                <w:szCs w:val="18"/>
                <w:highlight w:val="none"/>
              </w:rPr>
            </w:pPr>
            <w:r>
              <w:rPr>
                <w:rFonts w:hint="eastAsia" w:ascii="宋体" w:hAnsi="宋体"/>
                <w:color w:val="auto"/>
                <w:sz w:val="18"/>
                <w:szCs w:val="18"/>
                <w:highlight w:val="none"/>
              </w:rPr>
              <w:t>工作标准</w:t>
            </w:r>
          </w:p>
        </w:tc>
        <w:tc>
          <w:tcPr>
            <w:tcW w:w="3114" w:type="dxa"/>
            <w:tcBorders>
              <w:top w:val="single" w:color="auto" w:sz="4" w:space="0"/>
            </w:tcBorders>
            <w:noWrap w:val="0"/>
            <w:vAlign w:val="center"/>
          </w:tcPr>
          <w:p w14:paraId="3781ACE3">
            <w:pPr>
              <w:jc w:val="center"/>
              <w:rPr>
                <w:rFonts w:ascii="宋体" w:hAnsi="宋体"/>
                <w:color w:val="auto"/>
                <w:sz w:val="18"/>
                <w:szCs w:val="18"/>
                <w:highlight w:val="none"/>
              </w:rPr>
            </w:pPr>
            <w:r>
              <w:rPr>
                <w:rFonts w:hint="eastAsia" w:ascii="宋体" w:hAnsi="宋体"/>
                <w:color w:val="auto"/>
                <w:sz w:val="18"/>
                <w:szCs w:val="18"/>
                <w:highlight w:val="none"/>
              </w:rPr>
              <w:t>检查方法及扣分</w:t>
            </w:r>
          </w:p>
        </w:tc>
        <w:tc>
          <w:tcPr>
            <w:tcW w:w="808" w:type="dxa"/>
            <w:tcBorders>
              <w:top w:val="single" w:color="auto" w:sz="4" w:space="0"/>
            </w:tcBorders>
            <w:noWrap w:val="0"/>
            <w:vAlign w:val="center"/>
          </w:tcPr>
          <w:p w14:paraId="074672FF">
            <w:pPr>
              <w:jc w:val="center"/>
              <w:rPr>
                <w:rFonts w:ascii="宋体" w:hAnsi="宋体"/>
                <w:color w:val="auto"/>
                <w:sz w:val="18"/>
                <w:szCs w:val="18"/>
                <w:highlight w:val="none"/>
              </w:rPr>
            </w:pPr>
            <w:r>
              <w:rPr>
                <w:rFonts w:hint="eastAsia" w:ascii="宋体" w:hAnsi="宋体"/>
                <w:color w:val="auto"/>
                <w:sz w:val="18"/>
                <w:szCs w:val="18"/>
                <w:highlight w:val="none"/>
              </w:rPr>
              <w:t>扣分</w:t>
            </w:r>
          </w:p>
        </w:tc>
      </w:tr>
      <w:tr w14:paraId="04791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260" w:type="dxa"/>
            <w:gridSpan w:val="2"/>
            <w:vMerge w:val="restart"/>
            <w:tcBorders>
              <w:left w:val="single" w:color="auto" w:sz="4" w:space="0"/>
            </w:tcBorders>
            <w:noWrap w:val="0"/>
            <w:vAlign w:val="center"/>
          </w:tcPr>
          <w:p w14:paraId="26877C8D">
            <w:pPr>
              <w:rPr>
                <w:rFonts w:hint="eastAsia" w:ascii="宋体" w:hAnsi="宋体" w:cs="宋体"/>
                <w:color w:val="auto"/>
                <w:sz w:val="18"/>
                <w:szCs w:val="18"/>
                <w:highlight w:val="none"/>
              </w:rPr>
            </w:pPr>
            <w:r>
              <w:rPr>
                <w:rFonts w:hint="eastAsia" w:ascii="宋体" w:hAnsi="宋体" w:cs="宋体"/>
                <w:color w:val="auto"/>
                <w:sz w:val="18"/>
                <w:szCs w:val="18"/>
                <w:highlight w:val="none"/>
              </w:rPr>
              <w:t>用户满意度</w:t>
            </w:r>
          </w:p>
        </w:tc>
        <w:tc>
          <w:tcPr>
            <w:tcW w:w="3960" w:type="dxa"/>
            <w:noWrap w:val="0"/>
            <w:vAlign w:val="center"/>
          </w:tcPr>
          <w:p w14:paraId="6C8AD32E">
            <w:pPr>
              <w:rPr>
                <w:rFonts w:hint="eastAsia" w:ascii="宋体" w:hAnsi="宋体"/>
                <w:b/>
                <w:bCs/>
                <w:color w:val="auto"/>
                <w:sz w:val="18"/>
                <w:szCs w:val="18"/>
                <w:highlight w:val="none"/>
              </w:rPr>
            </w:pPr>
            <w:r>
              <w:rPr>
                <w:rFonts w:hint="eastAsia" w:ascii="宋体" w:hAnsi="宋体" w:cs="宋体"/>
                <w:color w:val="auto"/>
                <w:sz w:val="18"/>
                <w:szCs w:val="18"/>
                <w:highlight w:val="none"/>
              </w:rPr>
              <w:t>责任心不强、操作不规范，安保检查不仔细,出现违禁物品带入等其他违规现象，督查发现问题通报的。</w:t>
            </w:r>
          </w:p>
        </w:tc>
        <w:tc>
          <w:tcPr>
            <w:tcW w:w="3114" w:type="dxa"/>
            <w:noWrap w:val="0"/>
            <w:vAlign w:val="center"/>
          </w:tcPr>
          <w:p w14:paraId="406DB11A">
            <w:pPr>
              <w:rPr>
                <w:rFonts w:ascii="宋体" w:hAnsi="宋体"/>
                <w:b/>
                <w:bCs/>
                <w:color w:val="auto"/>
                <w:sz w:val="18"/>
                <w:szCs w:val="18"/>
                <w:highlight w:val="none"/>
              </w:rPr>
            </w:pPr>
            <w:r>
              <w:rPr>
                <w:rFonts w:hint="eastAsia" w:ascii="宋体" w:hAnsi="宋体" w:cs="宋体"/>
                <w:color w:val="auto"/>
                <w:sz w:val="18"/>
                <w:szCs w:val="18"/>
                <w:highlight w:val="none"/>
              </w:rPr>
              <w:t>发现一次扣10分</w:t>
            </w:r>
          </w:p>
        </w:tc>
        <w:tc>
          <w:tcPr>
            <w:tcW w:w="808" w:type="dxa"/>
            <w:noWrap w:val="0"/>
            <w:vAlign w:val="center"/>
          </w:tcPr>
          <w:p w14:paraId="076F2E8C">
            <w:pPr>
              <w:jc w:val="center"/>
              <w:rPr>
                <w:rFonts w:ascii="宋体" w:hAnsi="宋体"/>
                <w:color w:val="auto"/>
                <w:sz w:val="18"/>
                <w:szCs w:val="18"/>
                <w:highlight w:val="none"/>
              </w:rPr>
            </w:pPr>
          </w:p>
        </w:tc>
      </w:tr>
      <w:tr w14:paraId="67C5C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1260" w:type="dxa"/>
            <w:gridSpan w:val="2"/>
            <w:vMerge w:val="continue"/>
            <w:tcBorders>
              <w:left w:val="single" w:color="auto" w:sz="4" w:space="0"/>
            </w:tcBorders>
            <w:noWrap w:val="0"/>
            <w:vAlign w:val="center"/>
          </w:tcPr>
          <w:p w14:paraId="40FCCA52">
            <w:pPr>
              <w:jc w:val="center"/>
              <w:rPr>
                <w:rFonts w:ascii="宋体" w:hAnsi="宋体"/>
                <w:color w:val="auto"/>
                <w:sz w:val="18"/>
                <w:szCs w:val="18"/>
                <w:highlight w:val="none"/>
              </w:rPr>
            </w:pPr>
          </w:p>
        </w:tc>
        <w:tc>
          <w:tcPr>
            <w:tcW w:w="3960" w:type="dxa"/>
            <w:noWrap w:val="0"/>
            <w:vAlign w:val="center"/>
          </w:tcPr>
          <w:p w14:paraId="744897CB">
            <w:pPr>
              <w:rPr>
                <w:rFonts w:hint="eastAsia" w:ascii="宋体" w:hAnsi="宋体"/>
                <w:color w:val="auto"/>
                <w:sz w:val="18"/>
                <w:szCs w:val="18"/>
                <w:highlight w:val="none"/>
              </w:rPr>
            </w:pPr>
            <w:r>
              <w:rPr>
                <w:rFonts w:hint="eastAsia" w:ascii="宋体" w:hAnsi="宋体" w:cs="宋体"/>
                <w:color w:val="auto"/>
                <w:sz w:val="18"/>
                <w:szCs w:val="18"/>
                <w:highlight w:val="none"/>
              </w:rPr>
              <w:t>招标人每月工作满意度须达到90%以上</w:t>
            </w:r>
          </w:p>
        </w:tc>
        <w:tc>
          <w:tcPr>
            <w:tcW w:w="3114" w:type="dxa"/>
            <w:noWrap w:val="0"/>
            <w:vAlign w:val="center"/>
          </w:tcPr>
          <w:p w14:paraId="13B04695">
            <w:pPr>
              <w:rPr>
                <w:rFonts w:ascii="宋体" w:hAnsi="宋体"/>
                <w:color w:val="auto"/>
                <w:sz w:val="18"/>
                <w:szCs w:val="18"/>
                <w:highlight w:val="none"/>
              </w:rPr>
            </w:pPr>
            <w:r>
              <w:rPr>
                <w:rFonts w:hint="eastAsia" w:ascii="宋体" w:hAnsi="宋体" w:cs="宋体"/>
                <w:color w:val="auto"/>
                <w:sz w:val="18"/>
                <w:szCs w:val="18"/>
                <w:highlight w:val="none"/>
              </w:rPr>
              <w:t>随机抽查</w:t>
            </w:r>
            <w:r>
              <w:rPr>
                <w:rFonts w:hint="eastAsia" w:ascii="宋体" w:hAnsi="宋体"/>
                <w:color w:val="auto"/>
                <w:sz w:val="18"/>
                <w:szCs w:val="18"/>
                <w:highlight w:val="none"/>
              </w:rPr>
              <w:t>满意度未能达到90%扣6分</w:t>
            </w:r>
          </w:p>
        </w:tc>
        <w:tc>
          <w:tcPr>
            <w:tcW w:w="808" w:type="dxa"/>
            <w:noWrap w:val="0"/>
            <w:vAlign w:val="center"/>
          </w:tcPr>
          <w:p w14:paraId="255F1217">
            <w:pPr>
              <w:jc w:val="center"/>
              <w:rPr>
                <w:rFonts w:ascii="宋体" w:hAnsi="宋体"/>
                <w:color w:val="auto"/>
                <w:sz w:val="18"/>
                <w:szCs w:val="18"/>
                <w:highlight w:val="none"/>
              </w:rPr>
            </w:pPr>
          </w:p>
        </w:tc>
      </w:tr>
      <w:tr w14:paraId="1110C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260" w:type="dxa"/>
            <w:gridSpan w:val="2"/>
            <w:vMerge w:val="continue"/>
            <w:tcBorders>
              <w:left w:val="single" w:color="auto" w:sz="4" w:space="0"/>
            </w:tcBorders>
            <w:noWrap w:val="0"/>
            <w:vAlign w:val="center"/>
          </w:tcPr>
          <w:p w14:paraId="2359CF39">
            <w:pPr>
              <w:jc w:val="center"/>
              <w:rPr>
                <w:rFonts w:ascii="宋体" w:hAnsi="宋体"/>
                <w:color w:val="auto"/>
                <w:sz w:val="18"/>
                <w:szCs w:val="18"/>
                <w:highlight w:val="none"/>
              </w:rPr>
            </w:pPr>
          </w:p>
        </w:tc>
        <w:tc>
          <w:tcPr>
            <w:tcW w:w="3960" w:type="dxa"/>
            <w:noWrap w:val="0"/>
            <w:vAlign w:val="center"/>
          </w:tcPr>
          <w:p w14:paraId="2B801D37">
            <w:pPr>
              <w:rPr>
                <w:rFonts w:hint="eastAsia" w:ascii="宋体" w:hAnsi="宋体"/>
                <w:color w:val="auto"/>
                <w:sz w:val="18"/>
                <w:szCs w:val="18"/>
                <w:highlight w:val="none"/>
              </w:rPr>
            </w:pPr>
            <w:r>
              <w:rPr>
                <w:rFonts w:hint="eastAsia" w:ascii="宋体" w:hAnsi="宋体" w:cs="宋体"/>
                <w:b/>
                <w:bCs/>
                <w:color w:val="auto"/>
                <w:sz w:val="18"/>
                <w:szCs w:val="18"/>
                <w:highlight w:val="none"/>
              </w:rPr>
              <w:t xml:space="preserve"> </w:t>
            </w:r>
            <w:r>
              <w:rPr>
                <w:rFonts w:hint="eastAsia" w:ascii="宋体" w:hAnsi="宋体" w:cs="宋体"/>
                <w:color w:val="auto"/>
                <w:sz w:val="18"/>
                <w:szCs w:val="18"/>
                <w:highlight w:val="none"/>
              </w:rPr>
              <w:t xml:space="preserve">要求每天安保人员正常巡逻，及时排查可疑人员不得出现盗窃事件，夜班人员对电房、消防泵房、机房等重点区域进行安全检查 </w:t>
            </w:r>
          </w:p>
        </w:tc>
        <w:tc>
          <w:tcPr>
            <w:tcW w:w="3114" w:type="dxa"/>
            <w:noWrap w:val="0"/>
            <w:vAlign w:val="center"/>
          </w:tcPr>
          <w:p w14:paraId="523C1B33">
            <w:pPr>
              <w:rPr>
                <w:rFonts w:hint="eastAsia" w:ascii="宋体" w:hAnsi="宋体"/>
                <w:color w:val="auto"/>
                <w:sz w:val="18"/>
                <w:szCs w:val="18"/>
                <w:highlight w:val="none"/>
              </w:rPr>
            </w:pPr>
            <w:r>
              <w:rPr>
                <w:rFonts w:hint="eastAsia" w:ascii="宋体" w:hAnsi="宋体" w:cs="宋体"/>
                <w:color w:val="auto"/>
                <w:sz w:val="18"/>
                <w:szCs w:val="18"/>
                <w:highlight w:val="none"/>
              </w:rPr>
              <w:t>巡逻工作流于形式、出现盗窃事件、安全事故扣4分</w:t>
            </w:r>
            <w:r>
              <w:rPr>
                <w:rFonts w:hint="eastAsia" w:ascii="宋体" w:hAnsi="宋体"/>
                <w:color w:val="auto"/>
                <w:sz w:val="18"/>
                <w:szCs w:val="18"/>
                <w:highlight w:val="none"/>
              </w:rPr>
              <w:t xml:space="preserve"> </w:t>
            </w:r>
          </w:p>
        </w:tc>
        <w:tc>
          <w:tcPr>
            <w:tcW w:w="808" w:type="dxa"/>
            <w:tcBorders>
              <w:bottom w:val="single" w:color="auto" w:sz="4" w:space="0"/>
            </w:tcBorders>
            <w:noWrap w:val="0"/>
            <w:vAlign w:val="center"/>
          </w:tcPr>
          <w:p w14:paraId="174C35F8">
            <w:pPr>
              <w:jc w:val="center"/>
              <w:rPr>
                <w:rFonts w:ascii="宋体" w:hAnsi="宋体"/>
                <w:color w:val="auto"/>
                <w:sz w:val="18"/>
                <w:szCs w:val="18"/>
                <w:highlight w:val="none"/>
              </w:rPr>
            </w:pPr>
          </w:p>
        </w:tc>
      </w:tr>
      <w:tr w14:paraId="05883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1260" w:type="dxa"/>
            <w:gridSpan w:val="2"/>
            <w:vMerge w:val="restart"/>
            <w:tcBorders>
              <w:top w:val="single" w:color="auto" w:sz="4" w:space="0"/>
            </w:tcBorders>
            <w:noWrap w:val="0"/>
            <w:vAlign w:val="center"/>
          </w:tcPr>
          <w:p w14:paraId="636E28FF">
            <w:pPr>
              <w:jc w:val="center"/>
              <w:rPr>
                <w:rFonts w:ascii="宋体" w:hAnsi="宋体"/>
                <w:color w:val="auto"/>
                <w:sz w:val="18"/>
                <w:szCs w:val="18"/>
                <w:highlight w:val="none"/>
              </w:rPr>
            </w:pPr>
            <w:r>
              <w:rPr>
                <w:rFonts w:hint="eastAsia" w:ascii="宋体" w:hAnsi="宋体" w:cs="宋体"/>
                <w:color w:val="auto"/>
                <w:sz w:val="18"/>
                <w:szCs w:val="18"/>
                <w:highlight w:val="none"/>
              </w:rPr>
              <w:t>物业维修</w:t>
            </w:r>
          </w:p>
        </w:tc>
        <w:tc>
          <w:tcPr>
            <w:tcW w:w="3960" w:type="dxa"/>
            <w:tcBorders>
              <w:top w:val="single" w:color="auto" w:sz="4" w:space="0"/>
            </w:tcBorders>
            <w:noWrap w:val="0"/>
            <w:vAlign w:val="center"/>
          </w:tcPr>
          <w:p w14:paraId="09F92876">
            <w:pPr>
              <w:rPr>
                <w:rFonts w:ascii="宋体" w:hAnsi="宋体"/>
                <w:color w:val="auto"/>
                <w:sz w:val="18"/>
                <w:szCs w:val="18"/>
                <w:highlight w:val="none"/>
              </w:rPr>
            </w:pPr>
            <w:r>
              <w:rPr>
                <w:rFonts w:hint="eastAsia" w:ascii="宋体" w:hAnsi="宋体" w:cs="宋体"/>
                <w:color w:val="auto"/>
                <w:sz w:val="18"/>
                <w:szCs w:val="18"/>
                <w:highlight w:val="none"/>
              </w:rPr>
              <w:t>设备维修故障要及时维修：其中小型修维须在1小时内完成，涉及供水、供电抢修的，须在当天抢修完成</w:t>
            </w:r>
          </w:p>
        </w:tc>
        <w:tc>
          <w:tcPr>
            <w:tcW w:w="3114" w:type="dxa"/>
            <w:tcBorders>
              <w:top w:val="single" w:color="auto" w:sz="4" w:space="0"/>
            </w:tcBorders>
            <w:noWrap w:val="0"/>
            <w:vAlign w:val="center"/>
          </w:tcPr>
          <w:p w14:paraId="749BDEAD">
            <w:pPr>
              <w:rPr>
                <w:rFonts w:ascii="宋体" w:hAnsi="宋体"/>
                <w:color w:val="auto"/>
                <w:sz w:val="18"/>
                <w:szCs w:val="18"/>
                <w:highlight w:val="none"/>
              </w:rPr>
            </w:pPr>
            <w:r>
              <w:rPr>
                <w:rFonts w:hint="eastAsia" w:ascii="宋体" w:hAnsi="宋体"/>
                <w:color w:val="auto"/>
                <w:sz w:val="18"/>
                <w:szCs w:val="18"/>
                <w:highlight w:val="none"/>
              </w:rPr>
              <w:t xml:space="preserve"> 维修未在规定时间内完成的扣2分</w:t>
            </w:r>
          </w:p>
        </w:tc>
        <w:tc>
          <w:tcPr>
            <w:tcW w:w="808" w:type="dxa"/>
            <w:tcBorders>
              <w:top w:val="single" w:color="auto" w:sz="4" w:space="0"/>
            </w:tcBorders>
            <w:noWrap w:val="0"/>
            <w:vAlign w:val="center"/>
          </w:tcPr>
          <w:p w14:paraId="0D3B8D14">
            <w:pPr>
              <w:rPr>
                <w:rFonts w:ascii="宋体" w:hAnsi="宋体"/>
                <w:color w:val="auto"/>
                <w:sz w:val="18"/>
                <w:szCs w:val="18"/>
                <w:highlight w:val="none"/>
              </w:rPr>
            </w:pPr>
          </w:p>
        </w:tc>
      </w:tr>
      <w:tr w14:paraId="6370A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260" w:type="dxa"/>
            <w:gridSpan w:val="2"/>
            <w:vMerge w:val="continue"/>
            <w:noWrap w:val="0"/>
            <w:vAlign w:val="center"/>
          </w:tcPr>
          <w:p w14:paraId="606A9481">
            <w:pPr>
              <w:jc w:val="center"/>
              <w:rPr>
                <w:rFonts w:ascii="宋体" w:hAnsi="宋体"/>
                <w:color w:val="auto"/>
                <w:sz w:val="18"/>
                <w:szCs w:val="18"/>
                <w:highlight w:val="none"/>
              </w:rPr>
            </w:pPr>
          </w:p>
        </w:tc>
        <w:tc>
          <w:tcPr>
            <w:tcW w:w="3960" w:type="dxa"/>
            <w:noWrap w:val="0"/>
            <w:vAlign w:val="center"/>
          </w:tcPr>
          <w:p w14:paraId="5B48DCF5">
            <w:pPr>
              <w:rPr>
                <w:rFonts w:ascii="宋体" w:hAnsi="宋体"/>
                <w:color w:val="auto"/>
                <w:sz w:val="18"/>
                <w:szCs w:val="18"/>
                <w:highlight w:val="none"/>
              </w:rPr>
            </w:pPr>
            <w:r>
              <w:rPr>
                <w:rFonts w:hint="eastAsia" w:ascii="宋体" w:hAnsi="宋体" w:cs="宋体"/>
                <w:color w:val="auto"/>
                <w:sz w:val="18"/>
                <w:szCs w:val="18"/>
                <w:highlight w:val="none"/>
              </w:rPr>
              <w:t xml:space="preserve">维修质量确保一次性合格，维修后现场清理整洁 </w:t>
            </w:r>
          </w:p>
        </w:tc>
        <w:tc>
          <w:tcPr>
            <w:tcW w:w="3114" w:type="dxa"/>
            <w:noWrap w:val="0"/>
            <w:vAlign w:val="center"/>
          </w:tcPr>
          <w:p w14:paraId="0BAC3A54">
            <w:pPr>
              <w:rPr>
                <w:rFonts w:ascii="宋体" w:hAnsi="宋体" w:cs="宋体"/>
                <w:color w:val="auto"/>
                <w:sz w:val="18"/>
                <w:szCs w:val="18"/>
                <w:highlight w:val="none"/>
              </w:rPr>
            </w:pPr>
            <w:r>
              <w:rPr>
                <w:rFonts w:hint="eastAsia" w:ascii="宋体" w:hAnsi="宋体" w:cs="宋体"/>
                <w:color w:val="auto"/>
                <w:sz w:val="18"/>
                <w:szCs w:val="18"/>
                <w:highlight w:val="none"/>
              </w:rPr>
              <w:t>维修后未达到使用标准不合格扣3分</w:t>
            </w:r>
          </w:p>
        </w:tc>
        <w:tc>
          <w:tcPr>
            <w:tcW w:w="808" w:type="dxa"/>
            <w:noWrap w:val="0"/>
            <w:vAlign w:val="center"/>
          </w:tcPr>
          <w:p w14:paraId="28566DD4">
            <w:pPr>
              <w:jc w:val="center"/>
              <w:rPr>
                <w:rFonts w:ascii="宋体" w:hAnsi="宋体" w:cs="宋体"/>
                <w:color w:val="auto"/>
                <w:sz w:val="18"/>
                <w:szCs w:val="18"/>
                <w:highlight w:val="none"/>
              </w:rPr>
            </w:pPr>
          </w:p>
        </w:tc>
      </w:tr>
      <w:tr w14:paraId="057A4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260" w:type="dxa"/>
            <w:gridSpan w:val="2"/>
            <w:vMerge w:val="continue"/>
            <w:noWrap w:val="0"/>
            <w:vAlign w:val="center"/>
          </w:tcPr>
          <w:p w14:paraId="7BDA4B81">
            <w:pPr>
              <w:jc w:val="center"/>
              <w:rPr>
                <w:rFonts w:ascii="宋体" w:hAnsi="宋体"/>
                <w:color w:val="auto"/>
                <w:sz w:val="18"/>
                <w:szCs w:val="18"/>
                <w:highlight w:val="none"/>
              </w:rPr>
            </w:pPr>
          </w:p>
        </w:tc>
        <w:tc>
          <w:tcPr>
            <w:tcW w:w="3960" w:type="dxa"/>
            <w:noWrap w:val="0"/>
            <w:vAlign w:val="center"/>
          </w:tcPr>
          <w:p w14:paraId="10FA59F2">
            <w:pPr>
              <w:rPr>
                <w:rFonts w:ascii="宋体" w:hAnsi="宋体" w:cs="宋体"/>
                <w:color w:val="auto"/>
                <w:sz w:val="18"/>
                <w:szCs w:val="18"/>
                <w:highlight w:val="none"/>
              </w:rPr>
            </w:pPr>
            <w:r>
              <w:rPr>
                <w:rFonts w:hint="eastAsia" w:ascii="宋体" w:hAnsi="宋体" w:cs="宋体"/>
                <w:color w:val="auto"/>
                <w:sz w:val="18"/>
                <w:szCs w:val="18"/>
                <w:highlight w:val="none"/>
              </w:rPr>
              <w:t>建立24小时值班制度，设立24小时服务电话</w:t>
            </w:r>
          </w:p>
        </w:tc>
        <w:tc>
          <w:tcPr>
            <w:tcW w:w="3114" w:type="dxa"/>
            <w:noWrap w:val="0"/>
            <w:vAlign w:val="center"/>
          </w:tcPr>
          <w:p w14:paraId="0BB6640B">
            <w:pPr>
              <w:rPr>
                <w:rFonts w:ascii="宋体" w:hAnsi="宋体" w:cs="宋体"/>
                <w:color w:val="auto"/>
                <w:sz w:val="18"/>
                <w:szCs w:val="18"/>
                <w:highlight w:val="none"/>
              </w:rPr>
            </w:pPr>
            <w:r>
              <w:rPr>
                <w:rFonts w:hint="eastAsia" w:ascii="宋体" w:hAnsi="宋体" w:cs="宋体"/>
                <w:color w:val="auto"/>
                <w:sz w:val="18"/>
                <w:szCs w:val="18"/>
                <w:highlight w:val="none"/>
              </w:rPr>
              <w:t>服务电话长时间无人接听的扣4分</w:t>
            </w:r>
          </w:p>
        </w:tc>
        <w:tc>
          <w:tcPr>
            <w:tcW w:w="808" w:type="dxa"/>
            <w:noWrap w:val="0"/>
            <w:vAlign w:val="center"/>
          </w:tcPr>
          <w:p w14:paraId="7A910472">
            <w:pPr>
              <w:jc w:val="center"/>
              <w:rPr>
                <w:rFonts w:ascii="宋体" w:hAnsi="宋体" w:cs="宋体"/>
                <w:color w:val="auto"/>
                <w:sz w:val="18"/>
                <w:szCs w:val="18"/>
                <w:highlight w:val="none"/>
              </w:rPr>
            </w:pPr>
          </w:p>
        </w:tc>
      </w:tr>
      <w:tr w14:paraId="3C14C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1260" w:type="dxa"/>
            <w:gridSpan w:val="2"/>
            <w:vMerge w:val="restart"/>
            <w:noWrap w:val="0"/>
            <w:vAlign w:val="center"/>
          </w:tcPr>
          <w:p w14:paraId="43C402D4">
            <w:pPr>
              <w:jc w:val="center"/>
              <w:rPr>
                <w:rFonts w:ascii="宋体" w:hAnsi="宋体"/>
                <w:color w:val="auto"/>
                <w:sz w:val="18"/>
                <w:szCs w:val="18"/>
                <w:highlight w:val="none"/>
              </w:rPr>
            </w:pPr>
            <w:r>
              <w:rPr>
                <w:rFonts w:hint="eastAsia" w:ascii="宋体" w:hAnsi="宋体" w:cs="宋体"/>
                <w:color w:val="auto"/>
                <w:sz w:val="18"/>
                <w:szCs w:val="18"/>
                <w:highlight w:val="none"/>
              </w:rPr>
              <w:t>日常物业服务</w:t>
            </w:r>
          </w:p>
        </w:tc>
        <w:tc>
          <w:tcPr>
            <w:tcW w:w="3960" w:type="dxa"/>
            <w:noWrap w:val="0"/>
            <w:vAlign w:val="center"/>
          </w:tcPr>
          <w:p w14:paraId="6F55A9F2">
            <w:pPr>
              <w:rPr>
                <w:rFonts w:hint="eastAsia" w:ascii="宋体" w:hAnsi="宋体"/>
                <w:color w:val="auto"/>
                <w:sz w:val="18"/>
                <w:szCs w:val="18"/>
                <w:highlight w:val="none"/>
              </w:rPr>
            </w:pPr>
            <w:r>
              <w:rPr>
                <w:rFonts w:hint="eastAsia" w:ascii="宋体" w:hAnsi="宋体" w:cs="宋体"/>
                <w:color w:val="auto"/>
                <w:sz w:val="18"/>
                <w:szCs w:val="18"/>
                <w:highlight w:val="none"/>
              </w:rPr>
              <w:t xml:space="preserve"> 公共区域地面清洁、物品摆放整齐</w:t>
            </w:r>
          </w:p>
        </w:tc>
        <w:tc>
          <w:tcPr>
            <w:tcW w:w="3114" w:type="dxa"/>
            <w:noWrap w:val="0"/>
            <w:vAlign w:val="center"/>
          </w:tcPr>
          <w:p w14:paraId="2CE6477E">
            <w:pPr>
              <w:rPr>
                <w:rFonts w:ascii="宋体" w:hAnsi="宋体"/>
                <w:color w:val="auto"/>
                <w:sz w:val="18"/>
                <w:szCs w:val="18"/>
                <w:highlight w:val="none"/>
              </w:rPr>
            </w:pPr>
            <w:r>
              <w:rPr>
                <w:rFonts w:hint="eastAsia" w:ascii="宋体" w:hAnsi="宋体"/>
                <w:color w:val="auto"/>
                <w:sz w:val="18"/>
                <w:szCs w:val="18"/>
                <w:highlight w:val="none"/>
              </w:rPr>
              <w:t>公共区域卫生环境较差扣1分</w:t>
            </w:r>
          </w:p>
        </w:tc>
        <w:tc>
          <w:tcPr>
            <w:tcW w:w="808" w:type="dxa"/>
            <w:noWrap w:val="0"/>
            <w:vAlign w:val="center"/>
          </w:tcPr>
          <w:p w14:paraId="712EB730">
            <w:pPr>
              <w:jc w:val="center"/>
              <w:rPr>
                <w:rFonts w:ascii="宋体" w:hAnsi="宋体"/>
                <w:color w:val="auto"/>
                <w:sz w:val="18"/>
                <w:szCs w:val="18"/>
                <w:highlight w:val="none"/>
              </w:rPr>
            </w:pPr>
          </w:p>
        </w:tc>
      </w:tr>
      <w:tr w14:paraId="2EC19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1260" w:type="dxa"/>
            <w:gridSpan w:val="2"/>
            <w:vMerge w:val="continue"/>
            <w:noWrap w:val="0"/>
            <w:vAlign w:val="center"/>
          </w:tcPr>
          <w:p w14:paraId="2748A969">
            <w:pPr>
              <w:jc w:val="center"/>
              <w:rPr>
                <w:rFonts w:ascii="宋体" w:hAnsi="宋体"/>
                <w:color w:val="auto"/>
                <w:sz w:val="18"/>
                <w:szCs w:val="18"/>
                <w:highlight w:val="none"/>
              </w:rPr>
            </w:pPr>
          </w:p>
        </w:tc>
        <w:tc>
          <w:tcPr>
            <w:tcW w:w="3960" w:type="dxa"/>
            <w:noWrap w:val="0"/>
            <w:vAlign w:val="center"/>
          </w:tcPr>
          <w:p w14:paraId="219F07E8">
            <w:pPr>
              <w:rPr>
                <w:rFonts w:hint="eastAsia" w:ascii="宋体" w:hAnsi="宋体"/>
                <w:b/>
                <w:bCs/>
                <w:color w:val="auto"/>
                <w:sz w:val="18"/>
                <w:szCs w:val="18"/>
                <w:highlight w:val="none"/>
              </w:rPr>
            </w:pPr>
            <w:r>
              <w:rPr>
                <w:rFonts w:hint="eastAsia" w:ascii="宋体" w:hAnsi="宋体" w:cs="宋体"/>
                <w:color w:val="auto"/>
                <w:sz w:val="18"/>
                <w:szCs w:val="18"/>
                <w:highlight w:val="none"/>
              </w:rPr>
              <w:t>物业工作人员按时交接班，不准脱岗、旷工</w:t>
            </w:r>
          </w:p>
        </w:tc>
        <w:tc>
          <w:tcPr>
            <w:tcW w:w="3114" w:type="dxa"/>
            <w:noWrap w:val="0"/>
            <w:vAlign w:val="center"/>
          </w:tcPr>
          <w:p w14:paraId="6085BFC5">
            <w:pPr>
              <w:rPr>
                <w:rFonts w:ascii="宋体" w:hAnsi="宋体"/>
                <w:b/>
                <w:bCs/>
                <w:color w:val="auto"/>
                <w:sz w:val="18"/>
                <w:szCs w:val="18"/>
                <w:highlight w:val="none"/>
              </w:rPr>
            </w:pPr>
            <w:r>
              <w:rPr>
                <w:rFonts w:hint="eastAsia" w:ascii="宋体" w:hAnsi="宋体" w:cs="宋体"/>
                <w:color w:val="auto"/>
                <w:sz w:val="18"/>
                <w:szCs w:val="18"/>
                <w:highlight w:val="none"/>
              </w:rPr>
              <w:t>发现一次扣2分</w:t>
            </w:r>
          </w:p>
        </w:tc>
        <w:tc>
          <w:tcPr>
            <w:tcW w:w="808" w:type="dxa"/>
            <w:noWrap w:val="0"/>
            <w:vAlign w:val="center"/>
          </w:tcPr>
          <w:p w14:paraId="01645546">
            <w:pPr>
              <w:jc w:val="center"/>
              <w:rPr>
                <w:rFonts w:ascii="宋体" w:hAnsi="宋体"/>
                <w:color w:val="auto"/>
                <w:sz w:val="18"/>
                <w:szCs w:val="18"/>
                <w:highlight w:val="none"/>
              </w:rPr>
            </w:pPr>
          </w:p>
        </w:tc>
      </w:tr>
      <w:tr w14:paraId="177D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1260" w:type="dxa"/>
            <w:gridSpan w:val="2"/>
            <w:vMerge w:val="continue"/>
            <w:noWrap w:val="0"/>
            <w:vAlign w:val="center"/>
          </w:tcPr>
          <w:p w14:paraId="17F6508E">
            <w:pPr>
              <w:jc w:val="center"/>
              <w:rPr>
                <w:rFonts w:ascii="宋体" w:hAnsi="宋体"/>
                <w:color w:val="auto"/>
                <w:sz w:val="18"/>
                <w:szCs w:val="18"/>
                <w:highlight w:val="none"/>
              </w:rPr>
            </w:pPr>
          </w:p>
        </w:tc>
        <w:tc>
          <w:tcPr>
            <w:tcW w:w="3960" w:type="dxa"/>
            <w:noWrap w:val="0"/>
            <w:vAlign w:val="center"/>
          </w:tcPr>
          <w:p w14:paraId="0D0DEE2B">
            <w:pPr>
              <w:rPr>
                <w:rFonts w:ascii="宋体" w:hAnsi="宋体"/>
                <w:color w:val="auto"/>
                <w:sz w:val="18"/>
                <w:szCs w:val="18"/>
                <w:highlight w:val="none"/>
              </w:rPr>
            </w:pPr>
            <w:r>
              <w:rPr>
                <w:rFonts w:hint="eastAsia" w:ascii="宋体" w:hAnsi="宋体" w:cs="宋体"/>
                <w:color w:val="auto"/>
                <w:sz w:val="18"/>
                <w:szCs w:val="18"/>
                <w:highlight w:val="none"/>
              </w:rPr>
              <w:t>安保值班时禁止喝酒、吸烟、听收（录）音机、打瞌睡，或做其他与值班职责无关的事</w:t>
            </w:r>
          </w:p>
        </w:tc>
        <w:tc>
          <w:tcPr>
            <w:tcW w:w="3114" w:type="dxa"/>
            <w:noWrap w:val="0"/>
            <w:vAlign w:val="center"/>
          </w:tcPr>
          <w:p w14:paraId="638FE2B3">
            <w:pPr>
              <w:rPr>
                <w:rFonts w:ascii="宋体" w:hAnsi="宋体"/>
                <w:color w:val="auto"/>
                <w:sz w:val="18"/>
                <w:szCs w:val="18"/>
                <w:highlight w:val="none"/>
              </w:rPr>
            </w:pPr>
            <w:r>
              <w:rPr>
                <w:rFonts w:hint="eastAsia" w:ascii="宋体" w:hAnsi="宋体"/>
                <w:color w:val="auto"/>
                <w:sz w:val="18"/>
                <w:szCs w:val="18"/>
                <w:highlight w:val="none"/>
              </w:rPr>
              <w:t>在岗时发现做与值班职责无关的事扣2分</w:t>
            </w:r>
          </w:p>
        </w:tc>
        <w:tc>
          <w:tcPr>
            <w:tcW w:w="808" w:type="dxa"/>
            <w:noWrap w:val="0"/>
            <w:vAlign w:val="center"/>
          </w:tcPr>
          <w:p w14:paraId="082B1091">
            <w:pPr>
              <w:rPr>
                <w:rFonts w:ascii="宋体" w:hAnsi="宋体"/>
                <w:color w:val="auto"/>
                <w:sz w:val="18"/>
                <w:szCs w:val="18"/>
                <w:highlight w:val="none"/>
              </w:rPr>
            </w:pPr>
          </w:p>
        </w:tc>
      </w:tr>
      <w:tr w14:paraId="2869C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60" w:type="dxa"/>
            <w:gridSpan w:val="2"/>
            <w:vMerge w:val="continue"/>
            <w:noWrap w:val="0"/>
            <w:vAlign w:val="center"/>
          </w:tcPr>
          <w:p w14:paraId="3551F7D9">
            <w:pPr>
              <w:jc w:val="center"/>
              <w:rPr>
                <w:rFonts w:ascii="宋体" w:hAnsi="宋体"/>
                <w:color w:val="auto"/>
                <w:sz w:val="18"/>
                <w:szCs w:val="18"/>
                <w:highlight w:val="none"/>
              </w:rPr>
            </w:pPr>
          </w:p>
        </w:tc>
        <w:tc>
          <w:tcPr>
            <w:tcW w:w="3960" w:type="dxa"/>
            <w:noWrap w:val="0"/>
            <w:vAlign w:val="center"/>
          </w:tcPr>
          <w:p w14:paraId="16CEF314">
            <w:pPr>
              <w:rPr>
                <w:rFonts w:ascii="宋体" w:hAnsi="宋体"/>
                <w:color w:val="auto"/>
                <w:sz w:val="18"/>
                <w:szCs w:val="18"/>
                <w:highlight w:val="none"/>
              </w:rPr>
            </w:pPr>
            <w:r>
              <w:rPr>
                <w:rFonts w:hint="eastAsia" w:ascii="宋体" w:hAnsi="宋体" w:cs="宋体"/>
                <w:color w:val="auto"/>
                <w:sz w:val="18"/>
                <w:szCs w:val="18"/>
                <w:highlight w:val="none"/>
              </w:rPr>
              <w:t>公共区域不得有明显垃圾、浮尘，按规定时间清扫，垃圾日产日清</w:t>
            </w:r>
          </w:p>
        </w:tc>
        <w:tc>
          <w:tcPr>
            <w:tcW w:w="3114" w:type="dxa"/>
            <w:noWrap w:val="0"/>
            <w:vAlign w:val="center"/>
          </w:tcPr>
          <w:p w14:paraId="78BD3562">
            <w:pPr>
              <w:rPr>
                <w:rFonts w:ascii="宋体" w:hAnsi="宋体"/>
                <w:color w:val="auto"/>
                <w:sz w:val="18"/>
                <w:szCs w:val="18"/>
                <w:highlight w:val="none"/>
              </w:rPr>
            </w:pPr>
            <w:r>
              <w:rPr>
                <w:rFonts w:hint="eastAsia" w:ascii="宋体" w:hAnsi="宋体"/>
                <w:color w:val="auto"/>
                <w:sz w:val="18"/>
                <w:szCs w:val="18"/>
                <w:highlight w:val="none"/>
              </w:rPr>
              <w:t>产生明显垃圾无人清理</w:t>
            </w:r>
            <w:r>
              <w:rPr>
                <w:rFonts w:hint="eastAsia" w:ascii="宋体" w:hAnsi="宋体" w:cs="宋体"/>
                <w:color w:val="auto"/>
                <w:sz w:val="18"/>
                <w:szCs w:val="18"/>
                <w:highlight w:val="none"/>
              </w:rPr>
              <w:t>发现一次扣2分</w:t>
            </w:r>
          </w:p>
        </w:tc>
        <w:tc>
          <w:tcPr>
            <w:tcW w:w="808" w:type="dxa"/>
            <w:noWrap w:val="0"/>
            <w:vAlign w:val="center"/>
          </w:tcPr>
          <w:p w14:paraId="5CE229C4">
            <w:pPr>
              <w:jc w:val="center"/>
              <w:rPr>
                <w:rFonts w:ascii="宋体" w:hAnsi="宋体"/>
                <w:color w:val="auto"/>
                <w:sz w:val="18"/>
                <w:szCs w:val="18"/>
                <w:highlight w:val="none"/>
              </w:rPr>
            </w:pPr>
          </w:p>
        </w:tc>
      </w:tr>
      <w:tr w14:paraId="638FF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260" w:type="dxa"/>
            <w:gridSpan w:val="2"/>
            <w:vMerge w:val="continue"/>
            <w:noWrap w:val="0"/>
            <w:vAlign w:val="center"/>
          </w:tcPr>
          <w:p w14:paraId="34F74D42">
            <w:pPr>
              <w:jc w:val="center"/>
              <w:rPr>
                <w:rFonts w:ascii="宋体" w:hAnsi="宋体"/>
                <w:color w:val="auto"/>
                <w:sz w:val="18"/>
                <w:szCs w:val="18"/>
                <w:highlight w:val="none"/>
              </w:rPr>
            </w:pPr>
          </w:p>
        </w:tc>
        <w:tc>
          <w:tcPr>
            <w:tcW w:w="3960" w:type="dxa"/>
            <w:noWrap w:val="0"/>
            <w:vAlign w:val="center"/>
          </w:tcPr>
          <w:p w14:paraId="2A1161FF">
            <w:pPr>
              <w:spacing w:line="320" w:lineRule="exact"/>
              <w:jc w:val="left"/>
              <w:rPr>
                <w:rFonts w:hint="eastAsia" w:ascii="宋体" w:hAnsi="宋体"/>
                <w:color w:val="auto"/>
                <w:sz w:val="18"/>
                <w:szCs w:val="18"/>
                <w:highlight w:val="none"/>
              </w:rPr>
            </w:pPr>
            <w:r>
              <w:rPr>
                <w:rFonts w:hint="eastAsia" w:ascii="宋体" w:hAnsi="宋体" w:cs="宋体"/>
                <w:color w:val="auto"/>
                <w:sz w:val="18"/>
                <w:szCs w:val="18"/>
                <w:highlight w:val="none"/>
              </w:rPr>
              <w:t>配电房、泵房设备有维护、保养、巡查登记制度完善，消防重点场所有维护、保养、巡查登记制度，确保正常使用</w:t>
            </w:r>
          </w:p>
        </w:tc>
        <w:tc>
          <w:tcPr>
            <w:tcW w:w="3114" w:type="dxa"/>
            <w:noWrap w:val="0"/>
            <w:vAlign w:val="center"/>
          </w:tcPr>
          <w:p w14:paraId="53B22B87">
            <w:pPr>
              <w:rPr>
                <w:rFonts w:ascii="宋体" w:hAnsi="宋体"/>
                <w:color w:val="auto"/>
                <w:sz w:val="18"/>
                <w:szCs w:val="18"/>
                <w:highlight w:val="none"/>
              </w:rPr>
            </w:pPr>
            <w:r>
              <w:rPr>
                <w:rFonts w:hint="eastAsia" w:ascii="宋体" w:hAnsi="宋体" w:cs="宋体"/>
                <w:color w:val="auto"/>
                <w:sz w:val="18"/>
                <w:szCs w:val="18"/>
                <w:highlight w:val="none"/>
              </w:rPr>
              <w:t>设备维护、保养不及时且巡查登记制度不完善的扣3分</w:t>
            </w:r>
            <w:r>
              <w:rPr>
                <w:rFonts w:hint="eastAsia" w:ascii="宋体" w:hAnsi="宋体"/>
                <w:color w:val="auto"/>
                <w:sz w:val="18"/>
                <w:szCs w:val="18"/>
                <w:highlight w:val="none"/>
              </w:rPr>
              <w:t xml:space="preserve"> </w:t>
            </w:r>
          </w:p>
        </w:tc>
        <w:tc>
          <w:tcPr>
            <w:tcW w:w="808" w:type="dxa"/>
            <w:noWrap w:val="0"/>
            <w:vAlign w:val="center"/>
          </w:tcPr>
          <w:p w14:paraId="48D36209">
            <w:pPr>
              <w:jc w:val="center"/>
              <w:rPr>
                <w:rFonts w:ascii="宋体" w:hAnsi="宋体"/>
                <w:color w:val="auto"/>
                <w:sz w:val="18"/>
                <w:szCs w:val="18"/>
                <w:highlight w:val="none"/>
              </w:rPr>
            </w:pPr>
          </w:p>
        </w:tc>
      </w:tr>
      <w:tr w14:paraId="67C0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1260" w:type="dxa"/>
            <w:gridSpan w:val="2"/>
            <w:vMerge w:val="continue"/>
            <w:noWrap w:val="0"/>
            <w:vAlign w:val="center"/>
          </w:tcPr>
          <w:p w14:paraId="461076DB">
            <w:pPr>
              <w:jc w:val="center"/>
              <w:rPr>
                <w:rFonts w:ascii="宋体" w:hAnsi="宋体"/>
                <w:color w:val="auto"/>
                <w:sz w:val="18"/>
                <w:szCs w:val="18"/>
                <w:highlight w:val="none"/>
              </w:rPr>
            </w:pPr>
          </w:p>
        </w:tc>
        <w:tc>
          <w:tcPr>
            <w:tcW w:w="3960" w:type="dxa"/>
            <w:noWrap w:val="0"/>
            <w:vAlign w:val="center"/>
          </w:tcPr>
          <w:p w14:paraId="04C9969B">
            <w:pPr>
              <w:rPr>
                <w:rFonts w:ascii="宋体" w:hAnsi="宋体"/>
                <w:color w:val="auto"/>
                <w:sz w:val="18"/>
                <w:szCs w:val="18"/>
                <w:highlight w:val="none"/>
              </w:rPr>
            </w:pPr>
            <w:r>
              <w:rPr>
                <w:rFonts w:hint="eastAsia" w:ascii="宋体" w:hAnsi="宋体" w:cs="宋体"/>
                <w:color w:val="auto"/>
                <w:sz w:val="18"/>
                <w:szCs w:val="18"/>
                <w:highlight w:val="none"/>
              </w:rPr>
              <w:t>垃圾桶无破损、脏乱楼道无杂物堆放</w:t>
            </w:r>
          </w:p>
        </w:tc>
        <w:tc>
          <w:tcPr>
            <w:tcW w:w="3114" w:type="dxa"/>
            <w:noWrap w:val="0"/>
            <w:vAlign w:val="center"/>
          </w:tcPr>
          <w:p w14:paraId="061047A9">
            <w:pPr>
              <w:rPr>
                <w:rFonts w:ascii="宋体" w:hAnsi="宋体"/>
                <w:color w:val="auto"/>
                <w:sz w:val="18"/>
                <w:szCs w:val="18"/>
                <w:highlight w:val="none"/>
              </w:rPr>
            </w:pPr>
            <w:r>
              <w:rPr>
                <w:rFonts w:hint="eastAsia" w:ascii="宋体" w:hAnsi="宋体"/>
                <w:color w:val="auto"/>
                <w:sz w:val="18"/>
                <w:szCs w:val="18"/>
                <w:highlight w:val="none"/>
              </w:rPr>
              <w:t>垃圾桶外观破损、安全通道内卫生杂乱无章的扣2分</w:t>
            </w:r>
          </w:p>
        </w:tc>
        <w:tc>
          <w:tcPr>
            <w:tcW w:w="808" w:type="dxa"/>
            <w:noWrap w:val="0"/>
            <w:vAlign w:val="center"/>
          </w:tcPr>
          <w:p w14:paraId="44A4AA8B">
            <w:pPr>
              <w:jc w:val="center"/>
              <w:rPr>
                <w:rFonts w:ascii="宋体" w:hAnsi="宋体"/>
                <w:color w:val="auto"/>
                <w:sz w:val="18"/>
                <w:szCs w:val="18"/>
                <w:highlight w:val="none"/>
              </w:rPr>
            </w:pPr>
          </w:p>
        </w:tc>
      </w:tr>
      <w:tr w14:paraId="4DAFB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1260" w:type="dxa"/>
            <w:gridSpan w:val="2"/>
            <w:vMerge w:val="continue"/>
            <w:noWrap w:val="0"/>
            <w:vAlign w:val="center"/>
          </w:tcPr>
          <w:p w14:paraId="73D54420">
            <w:pPr>
              <w:jc w:val="center"/>
              <w:rPr>
                <w:rFonts w:ascii="宋体" w:hAnsi="宋体"/>
                <w:color w:val="auto"/>
                <w:sz w:val="18"/>
                <w:szCs w:val="18"/>
                <w:highlight w:val="none"/>
              </w:rPr>
            </w:pPr>
          </w:p>
        </w:tc>
        <w:tc>
          <w:tcPr>
            <w:tcW w:w="3960" w:type="dxa"/>
            <w:noWrap w:val="0"/>
            <w:vAlign w:val="center"/>
          </w:tcPr>
          <w:p w14:paraId="34F1BA84">
            <w:pPr>
              <w:rPr>
                <w:rFonts w:ascii="宋体" w:hAnsi="宋体"/>
                <w:color w:val="auto"/>
                <w:sz w:val="18"/>
                <w:szCs w:val="18"/>
                <w:highlight w:val="none"/>
              </w:rPr>
            </w:pPr>
            <w:r>
              <w:rPr>
                <w:rFonts w:hint="eastAsia" w:ascii="宋体" w:hAnsi="宋体" w:cs="宋体"/>
                <w:color w:val="auto"/>
                <w:sz w:val="18"/>
                <w:szCs w:val="18"/>
                <w:highlight w:val="none"/>
              </w:rPr>
              <w:t>严禁乱接乱拉临时管、线</w:t>
            </w:r>
          </w:p>
        </w:tc>
        <w:tc>
          <w:tcPr>
            <w:tcW w:w="3114" w:type="dxa"/>
            <w:noWrap w:val="0"/>
            <w:vAlign w:val="center"/>
          </w:tcPr>
          <w:p w14:paraId="1F5104FD">
            <w:pPr>
              <w:rPr>
                <w:rFonts w:ascii="宋体" w:hAnsi="宋体"/>
                <w:color w:val="auto"/>
                <w:sz w:val="18"/>
                <w:szCs w:val="18"/>
                <w:highlight w:val="none"/>
              </w:rPr>
            </w:pPr>
            <w:r>
              <w:rPr>
                <w:rFonts w:hint="eastAsia" w:ascii="宋体" w:hAnsi="宋体"/>
                <w:color w:val="auto"/>
                <w:sz w:val="18"/>
                <w:szCs w:val="18"/>
                <w:highlight w:val="none"/>
              </w:rPr>
              <w:t>发现一次扣1分</w:t>
            </w:r>
          </w:p>
        </w:tc>
        <w:tc>
          <w:tcPr>
            <w:tcW w:w="808" w:type="dxa"/>
            <w:noWrap w:val="0"/>
            <w:vAlign w:val="center"/>
          </w:tcPr>
          <w:p w14:paraId="2885CE05">
            <w:pPr>
              <w:jc w:val="center"/>
              <w:rPr>
                <w:rFonts w:ascii="宋体" w:hAnsi="宋体"/>
                <w:color w:val="auto"/>
                <w:sz w:val="18"/>
                <w:szCs w:val="18"/>
                <w:highlight w:val="none"/>
              </w:rPr>
            </w:pPr>
          </w:p>
        </w:tc>
      </w:tr>
      <w:tr w14:paraId="33AD5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0" w:type="dxa"/>
            <w:gridSpan w:val="2"/>
            <w:vMerge w:val="continue"/>
            <w:noWrap w:val="0"/>
            <w:vAlign w:val="center"/>
          </w:tcPr>
          <w:p w14:paraId="3299FB59">
            <w:pPr>
              <w:jc w:val="center"/>
              <w:rPr>
                <w:rFonts w:ascii="宋体" w:hAnsi="宋体"/>
                <w:color w:val="auto"/>
                <w:sz w:val="18"/>
                <w:szCs w:val="18"/>
                <w:highlight w:val="none"/>
              </w:rPr>
            </w:pPr>
          </w:p>
        </w:tc>
        <w:tc>
          <w:tcPr>
            <w:tcW w:w="3960" w:type="dxa"/>
            <w:noWrap w:val="0"/>
            <w:vAlign w:val="center"/>
          </w:tcPr>
          <w:p w14:paraId="08189D10">
            <w:pPr>
              <w:rPr>
                <w:rFonts w:hint="eastAsia" w:ascii="宋体" w:hAnsi="宋体"/>
                <w:color w:val="auto"/>
                <w:sz w:val="18"/>
                <w:szCs w:val="18"/>
                <w:highlight w:val="none"/>
              </w:rPr>
            </w:pPr>
            <w:r>
              <w:rPr>
                <w:rFonts w:hint="eastAsia" w:ascii="宋体" w:hAnsi="宋体" w:cs="宋体"/>
                <w:color w:val="auto"/>
                <w:sz w:val="18"/>
                <w:szCs w:val="18"/>
                <w:highlight w:val="none"/>
              </w:rPr>
              <w:t>公共秩序混乱、大声喧哗、吸烟、酗酒、车辆乱停乱放</w:t>
            </w:r>
          </w:p>
        </w:tc>
        <w:tc>
          <w:tcPr>
            <w:tcW w:w="3114" w:type="dxa"/>
            <w:noWrap w:val="0"/>
            <w:vAlign w:val="center"/>
          </w:tcPr>
          <w:p w14:paraId="2277EF5F">
            <w:pPr>
              <w:rPr>
                <w:rFonts w:ascii="宋体" w:hAnsi="宋体"/>
                <w:color w:val="auto"/>
                <w:sz w:val="18"/>
                <w:szCs w:val="18"/>
                <w:highlight w:val="none"/>
              </w:rPr>
            </w:pPr>
            <w:r>
              <w:rPr>
                <w:rFonts w:hint="eastAsia" w:ascii="宋体" w:hAnsi="宋体"/>
                <w:color w:val="auto"/>
                <w:sz w:val="18"/>
                <w:szCs w:val="18"/>
                <w:highlight w:val="none"/>
              </w:rPr>
              <w:t>公共区域秩序较差的扣2分</w:t>
            </w:r>
          </w:p>
        </w:tc>
        <w:tc>
          <w:tcPr>
            <w:tcW w:w="808" w:type="dxa"/>
            <w:noWrap w:val="0"/>
            <w:vAlign w:val="center"/>
          </w:tcPr>
          <w:p w14:paraId="6D5057B8">
            <w:pPr>
              <w:jc w:val="center"/>
              <w:rPr>
                <w:rFonts w:ascii="宋体" w:hAnsi="宋体"/>
                <w:color w:val="auto"/>
                <w:sz w:val="18"/>
                <w:szCs w:val="18"/>
                <w:highlight w:val="none"/>
              </w:rPr>
            </w:pPr>
          </w:p>
        </w:tc>
      </w:tr>
      <w:tr w14:paraId="0E745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gridSpan w:val="2"/>
            <w:noWrap w:val="0"/>
            <w:vAlign w:val="center"/>
          </w:tcPr>
          <w:p w14:paraId="6538A847">
            <w:pPr>
              <w:ind w:left="180" w:hanging="180" w:hangingChars="100"/>
              <w:rPr>
                <w:rFonts w:hint="eastAsia" w:ascii="宋体" w:hAnsi="宋体" w:cs="宋体"/>
                <w:b/>
                <w:bCs/>
                <w:color w:val="auto"/>
                <w:sz w:val="18"/>
                <w:szCs w:val="18"/>
                <w:highlight w:val="none"/>
              </w:rPr>
            </w:pPr>
            <w:r>
              <w:rPr>
                <w:rFonts w:hint="eastAsia" w:ascii="宋体" w:hAnsi="宋体" w:cs="宋体"/>
                <w:color w:val="auto"/>
                <w:sz w:val="18"/>
                <w:szCs w:val="18"/>
                <w:highlight w:val="none"/>
              </w:rPr>
              <w:t xml:space="preserve">  问题整改 </w:t>
            </w:r>
          </w:p>
        </w:tc>
        <w:tc>
          <w:tcPr>
            <w:tcW w:w="3960" w:type="dxa"/>
            <w:noWrap w:val="0"/>
            <w:vAlign w:val="center"/>
          </w:tcPr>
          <w:p w14:paraId="25628E1E">
            <w:pPr>
              <w:rPr>
                <w:rFonts w:hint="eastAsia" w:ascii="宋体" w:hAnsi="宋体" w:cs="宋体"/>
                <w:b/>
                <w:bCs/>
                <w:color w:val="auto"/>
                <w:sz w:val="18"/>
                <w:szCs w:val="18"/>
                <w:highlight w:val="none"/>
              </w:rPr>
            </w:pPr>
            <w:r>
              <w:rPr>
                <w:rFonts w:hint="eastAsia" w:ascii="宋体" w:hAnsi="宋体" w:cs="宋体"/>
                <w:color w:val="auto"/>
                <w:sz w:val="18"/>
                <w:szCs w:val="18"/>
                <w:highlight w:val="none"/>
              </w:rPr>
              <w:t>发现存在问题并要求及时整改的</w:t>
            </w:r>
          </w:p>
        </w:tc>
        <w:tc>
          <w:tcPr>
            <w:tcW w:w="3114" w:type="dxa"/>
            <w:noWrap w:val="0"/>
            <w:vAlign w:val="center"/>
          </w:tcPr>
          <w:p w14:paraId="081D5E41">
            <w:pPr>
              <w:rPr>
                <w:rFonts w:ascii="宋体" w:hAnsi="宋体" w:cs="宋体"/>
                <w:b/>
                <w:bCs/>
                <w:color w:val="auto"/>
                <w:sz w:val="18"/>
                <w:szCs w:val="18"/>
                <w:highlight w:val="none"/>
              </w:rPr>
            </w:pPr>
            <w:r>
              <w:rPr>
                <w:rFonts w:hint="eastAsia" w:ascii="宋体" w:hAnsi="宋体" w:cs="宋体"/>
                <w:color w:val="auto"/>
                <w:sz w:val="18"/>
                <w:szCs w:val="18"/>
                <w:highlight w:val="none"/>
              </w:rPr>
              <w:t>不合格扣5分</w:t>
            </w:r>
          </w:p>
        </w:tc>
        <w:tc>
          <w:tcPr>
            <w:tcW w:w="808" w:type="dxa"/>
            <w:noWrap w:val="0"/>
            <w:vAlign w:val="center"/>
          </w:tcPr>
          <w:p w14:paraId="580C939A">
            <w:pPr>
              <w:rPr>
                <w:rFonts w:ascii="宋体" w:hAnsi="宋体" w:cs="宋体"/>
                <w:color w:val="auto"/>
                <w:sz w:val="18"/>
                <w:szCs w:val="18"/>
                <w:highlight w:val="none"/>
              </w:rPr>
            </w:pPr>
          </w:p>
        </w:tc>
      </w:tr>
      <w:tr w14:paraId="7557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260" w:type="dxa"/>
            <w:gridSpan w:val="2"/>
            <w:vMerge w:val="restart"/>
            <w:noWrap w:val="0"/>
            <w:vAlign w:val="center"/>
          </w:tcPr>
          <w:p w14:paraId="580106BF">
            <w:pPr>
              <w:rPr>
                <w:rFonts w:ascii="宋体" w:hAnsi="宋体" w:cs="宋体"/>
                <w:color w:val="auto"/>
                <w:sz w:val="18"/>
                <w:szCs w:val="18"/>
                <w:highlight w:val="none"/>
              </w:rPr>
            </w:pPr>
            <w:r>
              <w:rPr>
                <w:rFonts w:hint="eastAsia" w:ascii="宋体" w:hAnsi="宋体" w:cs="宋体"/>
                <w:color w:val="auto"/>
                <w:sz w:val="18"/>
                <w:szCs w:val="18"/>
                <w:highlight w:val="none"/>
              </w:rPr>
              <w:t xml:space="preserve"> 制度规范及运行</w:t>
            </w:r>
          </w:p>
        </w:tc>
        <w:tc>
          <w:tcPr>
            <w:tcW w:w="3960" w:type="dxa"/>
            <w:noWrap w:val="0"/>
            <w:vAlign w:val="center"/>
          </w:tcPr>
          <w:p w14:paraId="00B185DE">
            <w:pPr>
              <w:rPr>
                <w:rFonts w:ascii="宋体" w:hAnsi="宋体" w:cs="宋体"/>
                <w:color w:val="auto"/>
                <w:sz w:val="18"/>
                <w:szCs w:val="18"/>
                <w:highlight w:val="none"/>
              </w:rPr>
            </w:pPr>
            <w:r>
              <w:rPr>
                <w:rFonts w:hint="eastAsia" w:ascii="宋体" w:hAnsi="宋体" w:cs="宋体"/>
                <w:color w:val="auto"/>
                <w:sz w:val="18"/>
                <w:szCs w:val="18"/>
                <w:highlight w:val="none"/>
              </w:rPr>
              <w:t xml:space="preserve">物业服务人员上岗率达100%。 </w:t>
            </w:r>
          </w:p>
        </w:tc>
        <w:tc>
          <w:tcPr>
            <w:tcW w:w="3114" w:type="dxa"/>
            <w:noWrap w:val="0"/>
            <w:vAlign w:val="center"/>
          </w:tcPr>
          <w:p w14:paraId="784D52B4">
            <w:pPr>
              <w:rPr>
                <w:rFonts w:ascii="宋体" w:hAnsi="宋体" w:cs="宋体"/>
                <w:color w:val="auto"/>
                <w:sz w:val="18"/>
                <w:szCs w:val="18"/>
                <w:highlight w:val="none"/>
              </w:rPr>
            </w:pPr>
            <w:r>
              <w:rPr>
                <w:rFonts w:hint="eastAsia" w:ascii="宋体" w:hAnsi="宋体" w:cs="宋体"/>
                <w:color w:val="auto"/>
                <w:sz w:val="18"/>
                <w:szCs w:val="18"/>
                <w:highlight w:val="none"/>
              </w:rPr>
              <w:t>不合格扣8分。</w:t>
            </w:r>
          </w:p>
        </w:tc>
        <w:tc>
          <w:tcPr>
            <w:tcW w:w="808" w:type="dxa"/>
            <w:noWrap w:val="0"/>
            <w:vAlign w:val="center"/>
          </w:tcPr>
          <w:p w14:paraId="1A86B7D2">
            <w:pPr>
              <w:rPr>
                <w:rFonts w:ascii="宋体" w:hAnsi="宋体" w:cs="宋体"/>
                <w:color w:val="auto"/>
                <w:sz w:val="18"/>
                <w:szCs w:val="18"/>
                <w:highlight w:val="none"/>
              </w:rPr>
            </w:pPr>
          </w:p>
        </w:tc>
      </w:tr>
      <w:tr w14:paraId="0D9B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260" w:type="dxa"/>
            <w:gridSpan w:val="2"/>
            <w:vMerge w:val="continue"/>
            <w:noWrap w:val="0"/>
            <w:vAlign w:val="center"/>
          </w:tcPr>
          <w:p w14:paraId="36758F1A">
            <w:pPr>
              <w:rPr>
                <w:rFonts w:ascii="宋体" w:hAnsi="宋体" w:cs="宋体"/>
                <w:color w:val="auto"/>
                <w:sz w:val="18"/>
                <w:szCs w:val="18"/>
                <w:highlight w:val="none"/>
              </w:rPr>
            </w:pPr>
          </w:p>
        </w:tc>
        <w:tc>
          <w:tcPr>
            <w:tcW w:w="3960" w:type="dxa"/>
            <w:noWrap w:val="0"/>
            <w:vAlign w:val="center"/>
          </w:tcPr>
          <w:p w14:paraId="462DFB8B">
            <w:pP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人员服务态度好，敬业精神强。 </w:t>
            </w:r>
          </w:p>
        </w:tc>
        <w:tc>
          <w:tcPr>
            <w:tcW w:w="3114" w:type="dxa"/>
            <w:noWrap w:val="0"/>
            <w:vAlign w:val="center"/>
          </w:tcPr>
          <w:p w14:paraId="375E83DC">
            <w:pPr>
              <w:rPr>
                <w:rFonts w:ascii="宋体" w:hAnsi="宋体" w:cs="宋体"/>
                <w:color w:val="auto"/>
                <w:sz w:val="18"/>
                <w:szCs w:val="18"/>
                <w:highlight w:val="none"/>
              </w:rPr>
            </w:pPr>
            <w:r>
              <w:rPr>
                <w:rFonts w:hint="eastAsia" w:ascii="宋体" w:hAnsi="宋体" w:cs="宋体"/>
                <w:color w:val="auto"/>
                <w:sz w:val="18"/>
                <w:szCs w:val="18"/>
                <w:highlight w:val="none"/>
              </w:rPr>
              <w:t>不符合扣1分。</w:t>
            </w:r>
          </w:p>
        </w:tc>
        <w:tc>
          <w:tcPr>
            <w:tcW w:w="808" w:type="dxa"/>
            <w:noWrap w:val="0"/>
            <w:vAlign w:val="center"/>
          </w:tcPr>
          <w:p w14:paraId="0FD9A5C6">
            <w:pPr>
              <w:rPr>
                <w:rFonts w:ascii="宋体" w:hAnsi="宋体" w:cs="宋体"/>
                <w:color w:val="auto"/>
                <w:sz w:val="18"/>
                <w:szCs w:val="18"/>
                <w:highlight w:val="none"/>
              </w:rPr>
            </w:pPr>
          </w:p>
        </w:tc>
      </w:tr>
      <w:tr w14:paraId="7CA7B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1260" w:type="dxa"/>
            <w:gridSpan w:val="2"/>
            <w:vMerge w:val="continue"/>
            <w:noWrap w:val="0"/>
            <w:vAlign w:val="center"/>
          </w:tcPr>
          <w:p w14:paraId="3A5CAFF3">
            <w:pPr>
              <w:rPr>
                <w:rFonts w:ascii="宋体" w:hAnsi="宋体" w:cs="宋体"/>
                <w:color w:val="auto"/>
                <w:sz w:val="18"/>
                <w:szCs w:val="18"/>
                <w:highlight w:val="none"/>
              </w:rPr>
            </w:pPr>
          </w:p>
        </w:tc>
        <w:tc>
          <w:tcPr>
            <w:tcW w:w="3960" w:type="dxa"/>
            <w:noWrap w:val="0"/>
            <w:vAlign w:val="center"/>
          </w:tcPr>
          <w:p w14:paraId="1991F82C">
            <w:pPr>
              <w:rPr>
                <w:rFonts w:ascii="宋体" w:hAnsi="宋体" w:cs="宋体"/>
                <w:color w:val="auto"/>
                <w:sz w:val="18"/>
                <w:szCs w:val="18"/>
                <w:highlight w:val="none"/>
              </w:rPr>
            </w:pPr>
            <w:r>
              <w:rPr>
                <w:rFonts w:hint="eastAsia" w:ascii="宋体" w:hAnsi="宋体" w:cs="宋体"/>
                <w:color w:val="auto"/>
                <w:sz w:val="18"/>
                <w:szCs w:val="18"/>
                <w:highlight w:val="none"/>
              </w:rPr>
              <w:t>建立24小时值班制度，设立服务电话，接受业主对物业管理服务报修、建议、问询、质疑、投诉等各类信息的收集和反馈，并及时处理，有值班记录和回访记录。</w:t>
            </w:r>
          </w:p>
        </w:tc>
        <w:tc>
          <w:tcPr>
            <w:tcW w:w="3114" w:type="dxa"/>
            <w:noWrap w:val="0"/>
            <w:vAlign w:val="center"/>
          </w:tcPr>
          <w:p w14:paraId="73E2D41C">
            <w:pPr>
              <w:rPr>
                <w:rFonts w:ascii="宋体" w:hAnsi="宋体" w:cs="宋体"/>
                <w:color w:val="auto"/>
                <w:sz w:val="18"/>
                <w:szCs w:val="18"/>
                <w:highlight w:val="none"/>
              </w:rPr>
            </w:pPr>
            <w:r>
              <w:rPr>
                <w:rFonts w:hint="eastAsia" w:ascii="宋体" w:hAnsi="宋体" w:cs="宋体"/>
                <w:color w:val="auto"/>
                <w:sz w:val="18"/>
                <w:szCs w:val="18"/>
                <w:highlight w:val="none"/>
              </w:rPr>
              <w:t>无值班制度扣1分,无值班记录每次扣1分,未设服务电话扣1分，未及时维修及回访记录扣1分。</w:t>
            </w:r>
          </w:p>
        </w:tc>
        <w:tc>
          <w:tcPr>
            <w:tcW w:w="808" w:type="dxa"/>
            <w:noWrap w:val="0"/>
            <w:vAlign w:val="center"/>
          </w:tcPr>
          <w:p w14:paraId="230BBE33">
            <w:pPr>
              <w:rPr>
                <w:rFonts w:ascii="宋体" w:hAnsi="宋体" w:cs="宋体"/>
                <w:color w:val="auto"/>
                <w:sz w:val="18"/>
                <w:szCs w:val="18"/>
                <w:highlight w:val="none"/>
              </w:rPr>
            </w:pPr>
          </w:p>
        </w:tc>
      </w:tr>
      <w:tr w14:paraId="3CDE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1260" w:type="dxa"/>
            <w:gridSpan w:val="2"/>
            <w:vMerge w:val="continue"/>
            <w:noWrap w:val="0"/>
            <w:vAlign w:val="center"/>
          </w:tcPr>
          <w:p w14:paraId="781F605D">
            <w:pPr>
              <w:rPr>
                <w:rFonts w:ascii="宋体" w:hAnsi="宋体" w:cs="宋体"/>
                <w:color w:val="auto"/>
                <w:sz w:val="18"/>
                <w:szCs w:val="18"/>
                <w:highlight w:val="none"/>
              </w:rPr>
            </w:pPr>
          </w:p>
        </w:tc>
        <w:tc>
          <w:tcPr>
            <w:tcW w:w="3960" w:type="dxa"/>
            <w:noWrap w:val="0"/>
            <w:vAlign w:val="center"/>
          </w:tcPr>
          <w:p w14:paraId="72311616">
            <w:pPr>
              <w:rPr>
                <w:rFonts w:hint="eastAsia" w:ascii="宋体" w:hAnsi="宋体" w:cs="宋体"/>
                <w:color w:val="auto"/>
                <w:sz w:val="18"/>
                <w:szCs w:val="18"/>
                <w:highlight w:val="none"/>
              </w:rPr>
            </w:pPr>
            <w:r>
              <w:rPr>
                <w:rFonts w:hint="eastAsia" w:ascii="宋体" w:hAnsi="宋体" w:cs="宋体"/>
                <w:color w:val="auto"/>
                <w:sz w:val="18"/>
                <w:szCs w:val="18"/>
                <w:highlight w:val="none"/>
              </w:rPr>
              <w:t>消防、配电房、泵房每日巡查，并有值班记录。</w:t>
            </w:r>
          </w:p>
        </w:tc>
        <w:tc>
          <w:tcPr>
            <w:tcW w:w="3114" w:type="dxa"/>
            <w:noWrap w:val="0"/>
            <w:vAlign w:val="center"/>
          </w:tcPr>
          <w:p w14:paraId="7B8F09BB">
            <w:pPr>
              <w:rPr>
                <w:rFonts w:ascii="宋体" w:hAnsi="宋体" w:cs="宋体"/>
                <w:color w:val="auto"/>
                <w:sz w:val="18"/>
                <w:szCs w:val="18"/>
                <w:highlight w:val="none"/>
              </w:rPr>
            </w:pPr>
            <w:r>
              <w:rPr>
                <w:rFonts w:hint="eastAsia" w:ascii="宋体" w:hAnsi="宋体" w:cs="宋体"/>
                <w:color w:val="auto"/>
                <w:sz w:val="18"/>
                <w:szCs w:val="18"/>
                <w:highlight w:val="none"/>
              </w:rPr>
              <w:t>发现不符合扣1分。</w:t>
            </w:r>
          </w:p>
        </w:tc>
        <w:tc>
          <w:tcPr>
            <w:tcW w:w="808" w:type="dxa"/>
            <w:noWrap w:val="0"/>
            <w:vAlign w:val="center"/>
          </w:tcPr>
          <w:p w14:paraId="420312FA">
            <w:pPr>
              <w:rPr>
                <w:rFonts w:ascii="宋体" w:hAnsi="宋体" w:cs="宋体"/>
                <w:color w:val="auto"/>
                <w:sz w:val="18"/>
                <w:szCs w:val="18"/>
                <w:highlight w:val="none"/>
              </w:rPr>
            </w:pPr>
          </w:p>
        </w:tc>
      </w:tr>
      <w:tr w14:paraId="7F63C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260" w:type="dxa"/>
            <w:gridSpan w:val="2"/>
            <w:vMerge w:val="continue"/>
            <w:noWrap w:val="0"/>
            <w:vAlign w:val="center"/>
          </w:tcPr>
          <w:p w14:paraId="6F816BD4">
            <w:pPr>
              <w:rPr>
                <w:rFonts w:ascii="宋体" w:hAnsi="宋体" w:cs="宋体"/>
                <w:color w:val="auto"/>
                <w:sz w:val="18"/>
                <w:szCs w:val="18"/>
                <w:highlight w:val="none"/>
              </w:rPr>
            </w:pPr>
          </w:p>
        </w:tc>
        <w:tc>
          <w:tcPr>
            <w:tcW w:w="3960" w:type="dxa"/>
            <w:noWrap w:val="0"/>
            <w:vAlign w:val="center"/>
          </w:tcPr>
          <w:p w14:paraId="639BA9C0">
            <w:pPr>
              <w:rPr>
                <w:rFonts w:ascii="宋体" w:hAnsi="宋体" w:cs="宋体"/>
                <w:color w:val="auto"/>
                <w:sz w:val="18"/>
                <w:szCs w:val="18"/>
                <w:highlight w:val="none"/>
              </w:rPr>
            </w:pPr>
            <w:r>
              <w:rPr>
                <w:rFonts w:hint="eastAsia" w:ascii="宋体" w:hAnsi="宋体" w:cs="宋体"/>
                <w:color w:val="auto"/>
                <w:sz w:val="18"/>
                <w:szCs w:val="18"/>
                <w:highlight w:val="none"/>
              </w:rPr>
              <w:t>保安实行24小时值班及巡逻制度，并有值班和巡逻记录。</w:t>
            </w:r>
          </w:p>
        </w:tc>
        <w:tc>
          <w:tcPr>
            <w:tcW w:w="3114" w:type="dxa"/>
            <w:noWrap w:val="0"/>
            <w:vAlign w:val="center"/>
          </w:tcPr>
          <w:p w14:paraId="2C2E2001">
            <w:pPr>
              <w:rPr>
                <w:rFonts w:ascii="宋体" w:hAnsi="宋体" w:cs="宋体"/>
                <w:color w:val="auto"/>
                <w:sz w:val="18"/>
                <w:szCs w:val="18"/>
                <w:highlight w:val="none"/>
              </w:rPr>
            </w:pPr>
            <w:r>
              <w:rPr>
                <w:rFonts w:hint="eastAsia" w:ascii="宋体" w:hAnsi="宋体" w:cs="宋体"/>
                <w:color w:val="auto"/>
                <w:sz w:val="18"/>
                <w:szCs w:val="18"/>
                <w:highlight w:val="none"/>
              </w:rPr>
              <w:t>发现不符合扣1分。</w:t>
            </w:r>
          </w:p>
        </w:tc>
        <w:tc>
          <w:tcPr>
            <w:tcW w:w="808" w:type="dxa"/>
            <w:noWrap w:val="0"/>
            <w:vAlign w:val="center"/>
          </w:tcPr>
          <w:p w14:paraId="56834B34">
            <w:pPr>
              <w:rPr>
                <w:rFonts w:ascii="宋体" w:hAnsi="宋体" w:cs="宋体"/>
                <w:color w:val="auto"/>
                <w:sz w:val="18"/>
                <w:szCs w:val="18"/>
                <w:highlight w:val="none"/>
              </w:rPr>
            </w:pPr>
          </w:p>
        </w:tc>
      </w:tr>
      <w:tr w14:paraId="77093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60" w:type="dxa"/>
            <w:gridSpan w:val="2"/>
            <w:vMerge w:val="restart"/>
            <w:noWrap w:val="0"/>
            <w:vAlign w:val="center"/>
          </w:tcPr>
          <w:p w14:paraId="28CF7CBD">
            <w:pPr>
              <w:rPr>
                <w:rFonts w:ascii="宋体" w:hAnsi="宋体" w:cs="宋体"/>
                <w:color w:val="auto"/>
                <w:sz w:val="18"/>
                <w:szCs w:val="18"/>
                <w:highlight w:val="none"/>
              </w:rPr>
            </w:pPr>
            <w:r>
              <w:rPr>
                <w:rFonts w:hint="eastAsia" w:ascii="宋体" w:hAnsi="宋体" w:cs="宋体"/>
                <w:color w:val="auto"/>
                <w:sz w:val="18"/>
                <w:szCs w:val="18"/>
                <w:highlight w:val="none"/>
              </w:rPr>
              <w:t xml:space="preserve"> 客户服务质量</w:t>
            </w:r>
          </w:p>
        </w:tc>
        <w:tc>
          <w:tcPr>
            <w:tcW w:w="3960" w:type="dxa"/>
            <w:noWrap w:val="0"/>
            <w:vAlign w:val="center"/>
          </w:tcPr>
          <w:p w14:paraId="07AA7CBE">
            <w:pPr>
              <w:rPr>
                <w:rFonts w:hint="eastAsia" w:ascii="宋体" w:hAnsi="宋体" w:cs="宋体"/>
                <w:color w:val="auto"/>
                <w:sz w:val="18"/>
                <w:szCs w:val="18"/>
                <w:highlight w:val="none"/>
              </w:rPr>
            </w:pPr>
            <w:r>
              <w:rPr>
                <w:rFonts w:hint="eastAsia" w:ascii="宋体" w:hAnsi="宋体" w:cs="宋体"/>
                <w:color w:val="auto"/>
                <w:sz w:val="18"/>
                <w:szCs w:val="18"/>
                <w:highlight w:val="none"/>
              </w:rPr>
              <w:t>服务中的礼节、礼仪态度要热情、诚恳</w:t>
            </w:r>
          </w:p>
        </w:tc>
        <w:tc>
          <w:tcPr>
            <w:tcW w:w="3114" w:type="dxa"/>
            <w:noWrap w:val="0"/>
            <w:vAlign w:val="center"/>
          </w:tcPr>
          <w:p w14:paraId="03FA6275">
            <w:pPr>
              <w:rPr>
                <w:rFonts w:ascii="宋体" w:hAnsi="宋体" w:cs="宋体"/>
                <w:color w:val="auto"/>
                <w:sz w:val="18"/>
                <w:szCs w:val="18"/>
                <w:highlight w:val="none"/>
              </w:rPr>
            </w:pPr>
            <w:r>
              <w:rPr>
                <w:rFonts w:hint="eastAsia" w:ascii="宋体" w:hAnsi="宋体" w:cs="宋体"/>
                <w:color w:val="auto"/>
                <w:sz w:val="18"/>
                <w:szCs w:val="18"/>
                <w:highlight w:val="none"/>
              </w:rPr>
              <w:t>不合格扣1分</w:t>
            </w:r>
          </w:p>
        </w:tc>
        <w:tc>
          <w:tcPr>
            <w:tcW w:w="808" w:type="dxa"/>
            <w:noWrap w:val="0"/>
            <w:vAlign w:val="center"/>
          </w:tcPr>
          <w:p w14:paraId="5B9AC872">
            <w:pPr>
              <w:rPr>
                <w:rFonts w:ascii="宋体" w:hAnsi="宋体" w:cs="宋体"/>
                <w:color w:val="auto"/>
                <w:sz w:val="18"/>
                <w:szCs w:val="18"/>
                <w:highlight w:val="none"/>
              </w:rPr>
            </w:pPr>
          </w:p>
        </w:tc>
      </w:tr>
      <w:tr w14:paraId="73824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1260" w:type="dxa"/>
            <w:gridSpan w:val="2"/>
            <w:vMerge w:val="continue"/>
            <w:noWrap w:val="0"/>
            <w:vAlign w:val="center"/>
          </w:tcPr>
          <w:p w14:paraId="4DE92E2F">
            <w:pPr>
              <w:rPr>
                <w:rFonts w:ascii="宋体" w:hAnsi="宋体" w:cs="宋体"/>
                <w:color w:val="auto"/>
                <w:sz w:val="18"/>
                <w:szCs w:val="18"/>
                <w:highlight w:val="none"/>
              </w:rPr>
            </w:pPr>
          </w:p>
        </w:tc>
        <w:tc>
          <w:tcPr>
            <w:tcW w:w="3960" w:type="dxa"/>
            <w:noWrap w:val="0"/>
            <w:vAlign w:val="center"/>
          </w:tcPr>
          <w:p w14:paraId="310A2780">
            <w:pPr>
              <w:rPr>
                <w:rFonts w:ascii="宋体" w:hAnsi="宋体" w:cs="宋体"/>
                <w:color w:val="auto"/>
                <w:sz w:val="18"/>
                <w:szCs w:val="18"/>
                <w:highlight w:val="none"/>
              </w:rPr>
            </w:pPr>
            <w:r>
              <w:rPr>
                <w:rFonts w:hint="eastAsia" w:ascii="宋体" w:hAnsi="宋体" w:cs="宋体"/>
                <w:color w:val="auto"/>
                <w:sz w:val="18"/>
                <w:szCs w:val="18"/>
                <w:highlight w:val="none"/>
              </w:rPr>
              <w:t>桌面整洁、邮包收发管理有序</w:t>
            </w:r>
          </w:p>
        </w:tc>
        <w:tc>
          <w:tcPr>
            <w:tcW w:w="3114" w:type="dxa"/>
            <w:noWrap w:val="0"/>
            <w:vAlign w:val="center"/>
          </w:tcPr>
          <w:p w14:paraId="592A9582">
            <w:pPr>
              <w:rPr>
                <w:rFonts w:ascii="宋体" w:hAnsi="宋体" w:cs="宋体"/>
                <w:color w:val="auto"/>
                <w:sz w:val="18"/>
                <w:szCs w:val="18"/>
                <w:highlight w:val="none"/>
              </w:rPr>
            </w:pPr>
            <w:r>
              <w:rPr>
                <w:rFonts w:hint="eastAsia" w:ascii="宋体" w:hAnsi="宋体" w:cs="宋体"/>
                <w:color w:val="auto"/>
                <w:sz w:val="18"/>
                <w:szCs w:val="18"/>
                <w:highlight w:val="none"/>
              </w:rPr>
              <w:t>不合格扣1分</w:t>
            </w:r>
          </w:p>
        </w:tc>
        <w:tc>
          <w:tcPr>
            <w:tcW w:w="808" w:type="dxa"/>
            <w:noWrap w:val="0"/>
            <w:vAlign w:val="center"/>
          </w:tcPr>
          <w:p w14:paraId="6C68B933">
            <w:pPr>
              <w:rPr>
                <w:rFonts w:ascii="宋体" w:hAnsi="宋体" w:cs="宋体"/>
                <w:color w:val="auto"/>
                <w:sz w:val="18"/>
                <w:szCs w:val="18"/>
                <w:highlight w:val="none"/>
              </w:rPr>
            </w:pPr>
          </w:p>
        </w:tc>
      </w:tr>
      <w:tr w14:paraId="27CEC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60" w:type="dxa"/>
            <w:gridSpan w:val="2"/>
            <w:vMerge w:val="continue"/>
            <w:noWrap w:val="0"/>
            <w:vAlign w:val="center"/>
          </w:tcPr>
          <w:p w14:paraId="55E6449F">
            <w:pPr>
              <w:rPr>
                <w:rFonts w:ascii="宋体" w:hAnsi="宋体" w:cs="宋体"/>
                <w:color w:val="auto"/>
                <w:sz w:val="18"/>
                <w:szCs w:val="18"/>
                <w:highlight w:val="none"/>
              </w:rPr>
            </w:pPr>
          </w:p>
        </w:tc>
        <w:tc>
          <w:tcPr>
            <w:tcW w:w="3960" w:type="dxa"/>
            <w:noWrap w:val="0"/>
            <w:vAlign w:val="center"/>
          </w:tcPr>
          <w:p w14:paraId="6DC942C2">
            <w:pPr>
              <w:rPr>
                <w:rFonts w:ascii="宋体" w:hAnsi="宋体" w:cs="宋体"/>
                <w:color w:val="auto"/>
                <w:sz w:val="18"/>
                <w:szCs w:val="18"/>
                <w:highlight w:val="none"/>
              </w:rPr>
            </w:pPr>
            <w:r>
              <w:rPr>
                <w:rFonts w:hint="eastAsia" w:ascii="宋体" w:hAnsi="宋体" w:cs="宋体"/>
                <w:color w:val="auto"/>
                <w:sz w:val="18"/>
                <w:szCs w:val="18"/>
                <w:highlight w:val="none"/>
              </w:rPr>
              <w:t>有关通知、信息及时、准确公告</w:t>
            </w:r>
          </w:p>
        </w:tc>
        <w:tc>
          <w:tcPr>
            <w:tcW w:w="3114" w:type="dxa"/>
            <w:noWrap w:val="0"/>
            <w:vAlign w:val="center"/>
          </w:tcPr>
          <w:p w14:paraId="75774E16">
            <w:pPr>
              <w:rPr>
                <w:rFonts w:ascii="宋体" w:hAnsi="宋体" w:cs="宋体"/>
                <w:color w:val="auto"/>
                <w:sz w:val="18"/>
                <w:szCs w:val="18"/>
                <w:highlight w:val="none"/>
              </w:rPr>
            </w:pPr>
            <w:r>
              <w:rPr>
                <w:rFonts w:hint="eastAsia" w:ascii="宋体" w:hAnsi="宋体" w:cs="宋体"/>
                <w:color w:val="auto"/>
                <w:sz w:val="18"/>
                <w:szCs w:val="18"/>
                <w:highlight w:val="none"/>
              </w:rPr>
              <w:t>不合格扣1分</w:t>
            </w:r>
          </w:p>
        </w:tc>
        <w:tc>
          <w:tcPr>
            <w:tcW w:w="808" w:type="dxa"/>
            <w:noWrap w:val="0"/>
            <w:vAlign w:val="center"/>
          </w:tcPr>
          <w:p w14:paraId="20BA7ED4">
            <w:pPr>
              <w:rPr>
                <w:rFonts w:ascii="宋体" w:hAnsi="宋体" w:cs="宋体"/>
                <w:color w:val="auto"/>
                <w:sz w:val="18"/>
                <w:szCs w:val="18"/>
                <w:highlight w:val="none"/>
              </w:rPr>
            </w:pPr>
          </w:p>
        </w:tc>
      </w:tr>
      <w:tr w14:paraId="619A8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539" w:type="dxa"/>
            <w:vMerge w:val="restart"/>
            <w:noWrap w:val="0"/>
            <w:vAlign w:val="center"/>
          </w:tcPr>
          <w:p w14:paraId="640B76D5">
            <w:pPr>
              <w:rPr>
                <w:rFonts w:ascii="宋体" w:hAnsi="宋体" w:cs="宋体"/>
                <w:color w:val="auto"/>
                <w:sz w:val="18"/>
                <w:szCs w:val="18"/>
                <w:highlight w:val="none"/>
              </w:rPr>
            </w:pPr>
            <w:r>
              <w:rPr>
                <w:rFonts w:hint="eastAsia" w:ascii="宋体" w:hAnsi="宋体" w:cs="宋体"/>
                <w:color w:val="auto"/>
                <w:sz w:val="18"/>
                <w:szCs w:val="18"/>
                <w:highlight w:val="none"/>
              </w:rPr>
              <w:t>安保服务质量</w:t>
            </w:r>
          </w:p>
        </w:tc>
        <w:tc>
          <w:tcPr>
            <w:tcW w:w="721" w:type="dxa"/>
            <w:vMerge w:val="restart"/>
            <w:noWrap w:val="0"/>
            <w:vAlign w:val="center"/>
          </w:tcPr>
          <w:p w14:paraId="06112F27">
            <w:pPr>
              <w:rPr>
                <w:rFonts w:ascii="宋体" w:hAnsi="宋体" w:cs="宋体"/>
                <w:color w:val="auto"/>
                <w:sz w:val="18"/>
                <w:szCs w:val="18"/>
                <w:highlight w:val="none"/>
              </w:rPr>
            </w:pPr>
            <w:r>
              <w:rPr>
                <w:rFonts w:hint="eastAsia" w:ascii="宋体" w:hAnsi="宋体" w:cs="宋体"/>
                <w:color w:val="auto"/>
                <w:sz w:val="18"/>
                <w:szCs w:val="18"/>
                <w:highlight w:val="none"/>
              </w:rPr>
              <w:t>仪容仪表</w:t>
            </w:r>
          </w:p>
        </w:tc>
        <w:tc>
          <w:tcPr>
            <w:tcW w:w="3960" w:type="dxa"/>
            <w:noWrap w:val="0"/>
            <w:vAlign w:val="center"/>
          </w:tcPr>
          <w:p w14:paraId="495D3260">
            <w:pP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举止文明：大方、端庄，保持良好的仪表 </w:t>
            </w:r>
          </w:p>
        </w:tc>
        <w:tc>
          <w:tcPr>
            <w:tcW w:w="3114" w:type="dxa"/>
            <w:noWrap w:val="0"/>
            <w:vAlign w:val="center"/>
          </w:tcPr>
          <w:p w14:paraId="451EFC66">
            <w:pPr>
              <w:rPr>
                <w:rFonts w:ascii="宋体" w:hAnsi="宋体" w:cs="宋体"/>
                <w:color w:val="auto"/>
                <w:sz w:val="18"/>
                <w:szCs w:val="18"/>
                <w:highlight w:val="none"/>
              </w:rPr>
            </w:pPr>
            <w:r>
              <w:rPr>
                <w:rFonts w:hint="eastAsia" w:ascii="宋体" w:hAnsi="宋体" w:cs="宋体"/>
                <w:color w:val="auto"/>
                <w:sz w:val="18"/>
                <w:szCs w:val="18"/>
                <w:highlight w:val="none"/>
              </w:rPr>
              <w:t>不合格扣1分</w:t>
            </w:r>
          </w:p>
        </w:tc>
        <w:tc>
          <w:tcPr>
            <w:tcW w:w="808" w:type="dxa"/>
            <w:noWrap w:val="0"/>
            <w:vAlign w:val="center"/>
          </w:tcPr>
          <w:p w14:paraId="0880550D">
            <w:pPr>
              <w:rPr>
                <w:rFonts w:ascii="宋体" w:hAnsi="宋体" w:cs="宋体"/>
                <w:color w:val="auto"/>
                <w:sz w:val="18"/>
                <w:szCs w:val="18"/>
                <w:highlight w:val="none"/>
              </w:rPr>
            </w:pPr>
          </w:p>
        </w:tc>
      </w:tr>
      <w:tr w14:paraId="7E35F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539" w:type="dxa"/>
            <w:vMerge w:val="continue"/>
            <w:noWrap w:val="0"/>
            <w:vAlign w:val="center"/>
          </w:tcPr>
          <w:p w14:paraId="5BE1BC6F">
            <w:pPr>
              <w:rPr>
                <w:rFonts w:ascii="宋体" w:hAnsi="宋体" w:cs="宋体"/>
                <w:color w:val="auto"/>
                <w:sz w:val="18"/>
                <w:szCs w:val="18"/>
                <w:highlight w:val="none"/>
              </w:rPr>
            </w:pPr>
          </w:p>
        </w:tc>
        <w:tc>
          <w:tcPr>
            <w:tcW w:w="721" w:type="dxa"/>
            <w:vMerge w:val="restart"/>
            <w:noWrap w:val="0"/>
            <w:vAlign w:val="center"/>
          </w:tcPr>
          <w:p w14:paraId="79626FF3">
            <w:pPr>
              <w:rPr>
                <w:rFonts w:ascii="宋体" w:hAnsi="宋体" w:cs="宋体"/>
                <w:color w:val="auto"/>
                <w:sz w:val="18"/>
                <w:szCs w:val="18"/>
                <w:highlight w:val="none"/>
              </w:rPr>
            </w:pPr>
            <w:r>
              <w:rPr>
                <w:rFonts w:hint="eastAsia" w:ascii="宋体" w:hAnsi="宋体" w:cs="宋体"/>
                <w:color w:val="auto"/>
                <w:sz w:val="18"/>
                <w:szCs w:val="18"/>
                <w:highlight w:val="none"/>
              </w:rPr>
              <w:t>服务态度</w:t>
            </w:r>
          </w:p>
        </w:tc>
        <w:tc>
          <w:tcPr>
            <w:tcW w:w="3960" w:type="dxa"/>
            <w:noWrap w:val="0"/>
            <w:vAlign w:val="center"/>
          </w:tcPr>
          <w:p w14:paraId="45557CC7">
            <w:pPr>
              <w:rPr>
                <w:rFonts w:ascii="宋体" w:hAnsi="宋体" w:cs="宋体"/>
                <w:color w:val="auto"/>
                <w:sz w:val="18"/>
                <w:szCs w:val="18"/>
                <w:highlight w:val="none"/>
              </w:rPr>
            </w:pPr>
            <w:r>
              <w:rPr>
                <w:rFonts w:hint="eastAsia" w:ascii="宋体" w:hAnsi="宋体" w:cs="宋体"/>
                <w:color w:val="auto"/>
                <w:sz w:val="18"/>
                <w:szCs w:val="18"/>
                <w:highlight w:val="none"/>
              </w:rPr>
              <w:t xml:space="preserve"> 文明执勤，使用礼貌用语，言语交谈多用敬语问候语；</w:t>
            </w:r>
          </w:p>
        </w:tc>
        <w:tc>
          <w:tcPr>
            <w:tcW w:w="3114" w:type="dxa"/>
            <w:noWrap w:val="0"/>
            <w:vAlign w:val="center"/>
          </w:tcPr>
          <w:p w14:paraId="64377A8C">
            <w:pPr>
              <w:rPr>
                <w:rFonts w:ascii="宋体" w:hAnsi="宋体" w:cs="宋体"/>
                <w:color w:val="auto"/>
                <w:sz w:val="18"/>
                <w:szCs w:val="18"/>
                <w:highlight w:val="none"/>
              </w:rPr>
            </w:pPr>
            <w:r>
              <w:rPr>
                <w:rFonts w:hint="eastAsia" w:ascii="宋体" w:hAnsi="宋体" w:cs="宋体"/>
                <w:color w:val="auto"/>
                <w:sz w:val="18"/>
                <w:szCs w:val="18"/>
                <w:highlight w:val="none"/>
              </w:rPr>
              <w:t>不合格扣1分</w:t>
            </w:r>
          </w:p>
        </w:tc>
        <w:tc>
          <w:tcPr>
            <w:tcW w:w="808" w:type="dxa"/>
            <w:noWrap w:val="0"/>
            <w:vAlign w:val="center"/>
          </w:tcPr>
          <w:p w14:paraId="5BE78B63">
            <w:pPr>
              <w:rPr>
                <w:rFonts w:ascii="宋体" w:hAnsi="宋体" w:cs="宋体"/>
                <w:color w:val="auto"/>
                <w:sz w:val="18"/>
                <w:szCs w:val="18"/>
                <w:highlight w:val="none"/>
              </w:rPr>
            </w:pPr>
          </w:p>
        </w:tc>
      </w:tr>
      <w:tr w14:paraId="2384F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39" w:type="dxa"/>
            <w:vMerge w:val="continue"/>
            <w:noWrap w:val="0"/>
            <w:vAlign w:val="center"/>
          </w:tcPr>
          <w:p w14:paraId="3079711B">
            <w:pPr>
              <w:rPr>
                <w:rFonts w:ascii="宋体" w:hAnsi="宋体" w:cs="宋体"/>
                <w:color w:val="auto"/>
                <w:sz w:val="18"/>
                <w:szCs w:val="18"/>
                <w:highlight w:val="none"/>
              </w:rPr>
            </w:pPr>
          </w:p>
        </w:tc>
        <w:tc>
          <w:tcPr>
            <w:tcW w:w="721" w:type="dxa"/>
            <w:vMerge w:val="restart"/>
            <w:noWrap w:val="0"/>
            <w:vAlign w:val="center"/>
          </w:tcPr>
          <w:p w14:paraId="07F7B23F">
            <w:pPr>
              <w:rPr>
                <w:rFonts w:ascii="宋体" w:hAnsi="宋体" w:cs="宋体"/>
                <w:color w:val="auto"/>
                <w:sz w:val="18"/>
                <w:szCs w:val="18"/>
                <w:highlight w:val="none"/>
              </w:rPr>
            </w:pPr>
            <w:r>
              <w:rPr>
                <w:rFonts w:hint="eastAsia" w:ascii="宋体" w:hAnsi="宋体" w:cs="宋体"/>
                <w:color w:val="auto"/>
                <w:sz w:val="18"/>
                <w:szCs w:val="18"/>
                <w:highlight w:val="none"/>
              </w:rPr>
              <w:t>工作纪律</w:t>
            </w:r>
          </w:p>
        </w:tc>
        <w:tc>
          <w:tcPr>
            <w:tcW w:w="3960" w:type="dxa"/>
            <w:noWrap w:val="0"/>
            <w:vAlign w:val="center"/>
          </w:tcPr>
          <w:p w14:paraId="6BA6D68D">
            <w:pPr>
              <w:rPr>
                <w:rFonts w:ascii="宋体" w:hAnsi="宋体" w:cs="宋体"/>
                <w:color w:val="auto"/>
                <w:sz w:val="18"/>
                <w:szCs w:val="18"/>
                <w:highlight w:val="none"/>
              </w:rPr>
            </w:pPr>
            <w:r>
              <w:rPr>
                <w:rFonts w:hint="eastAsia" w:ascii="宋体" w:hAnsi="宋体" w:cs="宋体"/>
                <w:color w:val="auto"/>
                <w:sz w:val="18"/>
                <w:szCs w:val="18"/>
                <w:highlight w:val="none"/>
              </w:rPr>
              <w:t>值班时间不准做值班职责无关的事；</w:t>
            </w:r>
          </w:p>
        </w:tc>
        <w:tc>
          <w:tcPr>
            <w:tcW w:w="3114" w:type="dxa"/>
            <w:noWrap w:val="0"/>
            <w:vAlign w:val="center"/>
          </w:tcPr>
          <w:p w14:paraId="12C81FB1">
            <w:pPr>
              <w:rPr>
                <w:rFonts w:ascii="宋体" w:hAnsi="宋体" w:cs="宋体"/>
                <w:color w:val="auto"/>
                <w:sz w:val="18"/>
                <w:szCs w:val="18"/>
                <w:highlight w:val="none"/>
              </w:rPr>
            </w:pPr>
            <w:r>
              <w:rPr>
                <w:rFonts w:hint="eastAsia" w:ascii="宋体" w:hAnsi="宋体" w:cs="宋体"/>
                <w:color w:val="auto"/>
                <w:sz w:val="18"/>
                <w:szCs w:val="18"/>
                <w:highlight w:val="none"/>
              </w:rPr>
              <w:t>不合格扣2分</w:t>
            </w:r>
          </w:p>
        </w:tc>
        <w:tc>
          <w:tcPr>
            <w:tcW w:w="808" w:type="dxa"/>
            <w:noWrap w:val="0"/>
            <w:vAlign w:val="center"/>
          </w:tcPr>
          <w:p w14:paraId="7847B9E5">
            <w:pPr>
              <w:rPr>
                <w:rFonts w:ascii="宋体" w:hAnsi="宋体" w:cs="宋体"/>
                <w:color w:val="auto"/>
                <w:sz w:val="18"/>
                <w:szCs w:val="18"/>
                <w:highlight w:val="none"/>
              </w:rPr>
            </w:pPr>
          </w:p>
        </w:tc>
      </w:tr>
      <w:tr w14:paraId="39D3D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539" w:type="dxa"/>
            <w:vMerge w:val="continue"/>
            <w:noWrap w:val="0"/>
            <w:vAlign w:val="center"/>
          </w:tcPr>
          <w:p w14:paraId="2E5197AF">
            <w:pPr>
              <w:rPr>
                <w:rFonts w:ascii="宋体" w:hAnsi="宋体" w:cs="宋体"/>
                <w:color w:val="auto"/>
                <w:sz w:val="18"/>
                <w:szCs w:val="18"/>
                <w:highlight w:val="none"/>
              </w:rPr>
            </w:pPr>
          </w:p>
        </w:tc>
        <w:tc>
          <w:tcPr>
            <w:tcW w:w="721" w:type="dxa"/>
            <w:vMerge w:val="restart"/>
            <w:noWrap w:val="0"/>
            <w:vAlign w:val="center"/>
          </w:tcPr>
          <w:p w14:paraId="486328E6">
            <w:pPr>
              <w:rPr>
                <w:rFonts w:ascii="宋体" w:hAnsi="宋体" w:cs="宋体"/>
                <w:color w:val="auto"/>
                <w:sz w:val="18"/>
                <w:szCs w:val="18"/>
                <w:highlight w:val="none"/>
              </w:rPr>
            </w:pPr>
            <w:r>
              <w:rPr>
                <w:rFonts w:hint="eastAsia" w:ascii="宋体" w:hAnsi="宋体" w:cs="宋体"/>
                <w:color w:val="auto"/>
                <w:sz w:val="18"/>
                <w:szCs w:val="18"/>
                <w:highlight w:val="none"/>
              </w:rPr>
              <w:t>安全防范</w:t>
            </w:r>
          </w:p>
        </w:tc>
        <w:tc>
          <w:tcPr>
            <w:tcW w:w="3960" w:type="dxa"/>
            <w:noWrap w:val="0"/>
            <w:vAlign w:val="center"/>
          </w:tcPr>
          <w:p w14:paraId="5675DB5F">
            <w:pPr>
              <w:rPr>
                <w:rFonts w:ascii="宋体" w:hAnsi="宋体" w:cs="宋体"/>
                <w:color w:val="auto"/>
                <w:sz w:val="18"/>
                <w:szCs w:val="18"/>
                <w:highlight w:val="none"/>
              </w:rPr>
            </w:pPr>
            <w:r>
              <w:rPr>
                <w:rFonts w:hint="eastAsia" w:ascii="宋体" w:hAnsi="宋体" w:cs="宋体"/>
                <w:color w:val="auto"/>
                <w:sz w:val="18"/>
                <w:szCs w:val="18"/>
                <w:highlight w:val="none"/>
              </w:rPr>
              <w:t>安全防范设施（如红外线、摄像镜头等）完好功能正常，24小时监控，发现异常及时处置并报告</w:t>
            </w:r>
          </w:p>
        </w:tc>
        <w:tc>
          <w:tcPr>
            <w:tcW w:w="3114" w:type="dxa"/>
            <w:noWrap w:val="0"/>
            <w:vAlign w:val="center"/>
          </w:tcPr>
          <w:p w14:paraId="1DBB7E09">
            <w:pPr>
              <w:rPr>
                <w:rFonts w:ascii="宋体" w:hAnsi="宋体" w:cs="宋体"/>
                <w:color w:val="auto"/>
                <w:sz w:val="18"/>
                <w:szCs w:val="18"/>
                <w:highlight w:val="none"/>
              </w:rPr>
            </w:pPr>
            <w:r>
              <w:rPr>
                <w:rFonts w:hint="eastAsia" w:ascii="宋体" w:hAnsi="宋体" w:cs="宋体"/>
                <w:color w:val="auto"/>
                <w:sz w:val="18"/>
                <w:szCs w:val="18"/>
                <w:highlight w:val="none"/>
              </w:rPr>
              <w:t>不合格扣2分</w:t>
            </w:r>
          </w:p>
        </w:tc>
        <w:tc>
          <w:tcPr>
            <w:tcW w:w="808" w:type="dxa"/>
            <w:noWrap w:val="0"/>
            <w:vAlign w:val="center"/>
          </w:tcPr>
          <w:p w14:paraId="7CC9D6B9">
            <w:pPr>
              <w:rPr>
                <w:rFonts w:ascii="宋体" w:hAnsi="宋体" w:cs="宋体"/>
                <w:color w:val="auto"/>
                <w:sz w:val="18"/>
                <w:szCs w:val="18"/>
                <w:highlight w:val="none"/>
              </w:rPr>
            </w:pPr>
          </w:p>
        </w:tc>
      </w:tr>
      <w:tr w14:paraId="77F9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539" w:type="dxa"/>
            <w:vMerge w:val="continue"/>
            <w:noWrap w:val="0"/>
            <w:vAlign w:val="center"/>
          </w:tcPr>
          <w:p w14:paraId="6B5B205B">
            <w:pPr>
              <w:rPr>
                <w:rFonts w:ascii="宋体" w:hAnsi="宋体" w:cs="宋体"/>
                <w:color w:val="auto"/>
                <w:sz w:val="18"/>
                <w:szCs w:val="18"/>
                <w:highlight w:val="none"/>
              </w:rPr>
            </w:pPr>
          </w:p>
        </w:tc>
        <w:tc>
          <w:tcPr>
            <w:tcW w:w="721" w:type="dxa"/>
            <w:vMerge w:val="continue"/>
            <w:noWrap w:val="0"/>
            <w:vAlign w:val="center"/>
          </w:tcPr>
          <w:p w14:paraId="31D922EC">
            <w:pPr>
              <w:rPr>
                <w:rFonts w:ascii="宋体" w:hAnsi="宋体" w:cs="宋体"/>
                <w:color w:val="auto"/>
                <w:sz w:val="18"/>
                <w:szCs w:val="18"/>
                <w:highlight w:val="none"/>
              </w:rPr>
            </w:pPr>
          </w:p>
        </w:tc>
        <w:tc>
          <w:tcPr>
            <w:tcW w:w="3960" w:type="dxa"/>
            <w:noWrap w:val="0"/>
            <w:vAlign w:val="center"/>
          </w:tcPr>
          <w:p w14:paraId="79E21B6A">
            <w:pPr>
              <w:rPr>
                <w:rFonts w:ascii="宋体" w:hAnsi="宋体" w:cs="宋体"/>
                <w:color w:val="auto"/>
                <w:sz w:val="18"/>
                <w:szCs w:val="18"/>
                <w:highlight w:val="none"/>
              </w:rPr>
            </w:pPr>
            <w:r>
              <w:rPr>
                <w:rFonts w:hint="eastAsia" w:ascii="宋体" w:hAnsi="宋体" w:cs="宋体"/>
                <w:color w:val="auto"/>
                <w:sz w:val="18"/>
                <w:szCs w:val="18"/>
                <w:highlight w:val="none"/>
              </w:rPr>
              <w:t>严格管理，来访人员经登记、经确认方可入内；</w:t>
            </w:r>
          </w:p>
        </w:tc>
        <w:tc>
          <w:tcPr>
            <w:tcW w:w="3114" w:type="dxa"/>
            <w:noWrap w:val="0"/>
            <w:vAlign w:val="center"/>
          </w:tcPr>
          <w:p w14:paraId="3322A2F7">
            <w:pPr>
              <w:rPr>
                <w:rFonts w:ascii="宋体" w:hAnsi="宋体" w:cs="宋体"/>
                <w:color w:val="auto"/>
                <w:sz w:val="18"/>
                <w:szCs w:val="18"/>
                <w:highlight w:val="none"/>
              </w:rPr>
            </w:pPr>
            <w:r>
              <w:rPr>
                <w:rFonts w:hint="eastAsia" w:ascii="宋体" w:hAnsi="宋体" w:cs="宋体"/>
                <w:color w:val="auto"/>
                <w:sz w:val="18"/>
                <w:szCs w:val="18"/>
                <w:highlight w:val="none"/>
              </w:rPr>
              <w:t>不合格扣2分</w:t>
            </w:r>
          </w:p>
        </w:tc>
        <w:tc>
          <w:tcPr>
            <w:tcW w:w="808" w:type="dxa"/>
            <w:noWrap w:val="0"/>
            <w:vAlign w:val="center"/>
          </w:tcPr>
          <w:p w14:paraId="282ECF85">
            <w:pPr>
              <w:rPr>
                <w:rFonts w:ascii="宋体" w:hAnsi="宋体" w:cs="宋体"/>
                <w:color w:val="auto"/>
                <w:sz w:val="18"/>
                <w:szCs w:val="18"/>
                <w:highlight w:val="none"/>
              </w:rPr>
            </w:pPr>
          </w:p>
        </w:tc>
      </w:tr>
      <w:tr w14:paraId="68DE1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539" w:type="dxa"/>
            <w:vMerge w:val="continue"/>
            <w:noWrap w:val="0"/>
            <w:vAlign w:val="center"/>
          </w:tcPr>
          <w:p w14:paraId="3CAA575B">
            <w:pPr>
              <w:rPr>
                <w:rFonts w:ascii="宋体" w:hAnsi="宋体" w:cs="宋体"/>
                <w:color w:val="auto"/>
                <w:sz w:val="18"/>
                <w:szCs w:val="18"/>
                <w:highlight w:val="none"/>
              </w:rPr>
            </w:pPr>
          </w:p>
        </w:tc>
        <w:tc>
          <w:tcPr>
            <w:tcW w:w="721" w:type="dxa"/>
            <w:vMerge w:val="restart"/>
            <w:noWrap w:val="0"/>
            <w:vAlign w:val="center"/>
          </w:tcPr>
          <w:p w14:paraId="3D361A68">
            <w:pPr>
              <w:rPr>
                <w:rFonts w:ascii="宋体" w:hAnsi="宋体" w:cs="宋体"/>
                <w:color w:val="auto"/>
                <w:sz w:val="18"/>
                <w:szCs w:val="18"/>
                <w:highlight w:val="none"/>
              </w:rPr>
            </w:pPr>
            <w:r>
              <w:rPr>
                <w:rFonts w:hint="eastAsia" w:ascii="宋体" w:hAnsi="宋体" w:cs="宋体"/>
                <w:color w:val="auto"/>
                <w:sz w:val="18"/>
                <w:szCs w:val="18"/>
                <w:highlight w:val="none"/>
              </w:rPr>
              <w:t>车辆管理</w:t>
            </w:r>
          </w:p>
        </w:tc>
        <w:tc>
          <w:tcPr>
            <w:tcW w:w="3960" w:type="dxa"/>
            <w:noWrap w:val="0"/>
            <w:vAlign w:val="center"/>
          </w:tcPr>
          <w:p w14:paraId="11E392ED">
            <w:pPr>
              <w:rPr>
                <w:rFonts w:ascii="宋体" w:hAnsi="宋体" w:cs="宋体"/>
                <w:color w:val="auto"/>
                <w:sz w:val="18"/>
                <w:szCs w:val="18"/>
                <w:highlight w:val="none"/>
              </w:rPr>
            </w:pPr>
            <w:r>
              <w:rPr>
                <w:rFonts w:hint="eastAsia" w:ascii="宋体" w:hAnsi="宋体" w:cs="宋体"/>
                <w:color w:val="auto"/>
                <w:sz w:val="18"/>
                <w:szCs w:val="18"/>
                <w:highlight w:val="none"/>
              </w:rPr>
              <w:t>车场有专人疏导，管理有序，按位停放，排放整齐；</w:t>
            </w:r>
          </w:p>
        </w:tc>
        <w:tc>
          <w:tcPr>
            <w:tcW w:w="3114" w:type="dxa"/>
            <w:noWrap w:val="0"/>
            <w:vAlign w:val="center"/>
          </w:tcPr>
          <w:p w14:paraId="6BE4BC3D">
            <w:pPr>
              <w:rPr>
                <w:rFonts w:ascii="宋体" w:hAnsi="宋体" w:cs="宋体"/>
                <w:color w:val="auto"/>
                <w:sz w:val="18"/>
                <w:szCs w:val="18"/>
                <w:highlight w:val="none"/>
              </w:rPr>
            </w:pPr>
            <w:r>
              <w:rPr>
                <w:rFonts w:hint="eastAsia" w:ascii="宋体" w:hAnsi="宋体" w:cs="宋体"/>
                <w:color w:val="auto"/>
                <w:sz w:val="18"/>
                <w:szCs w:val="18"/>
                <w:highlight w:val="none"/>
              </w:rPr>
              <w:t>不合格扣1分</w:t>
            </w:r>
          </w:p>
        </w:tc>
        <w:tc>
          <w:tcPr>
            <w:tcW w:w="808" w:type="dxa"/>
            <w:noWrap w:val="0"/>
            <w:vAlign w:val="center"/>
          </w:tcPr>
          <w:p w14:paraId="70F20179">
            <w:pPr>
              <w:rPr>
                <w:rFonts w:ascii="宋体" w:hAnsi="宋体" w:cs="宋体"/>
                <w:color w:val="auto"/>
                <w:sz w:val="18"/>
                <w:szCs w:val="18"/>
                <w:highlight w:val="none"/>
              </w:rPr>
            </w:pPr>
          </w:p>
        </w:tc>
      </w:tr>
      <w:tr w14:paraId="33D54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539" w:type="dxa"/>
            <w:vMerge w:val="continue"/>
            <w:noWrap w:val="0"/>
            <w:vAlign w:val="center"/>
          </w:tcPr>
          <w:p w14:paraId="1C5CC5CD">
            <w:pPr>
              <w:rPr>
                <w:rFonts w:ascii="宋体" w:hAnsi="宋体" w:cs="宋体"/>
                <w:color w:val="auto"/>
                <w:sz w:val="18"/>
                <w:szCs w:val="18"/>
                <w:highlight w:val="none"/>
              </w:rPr>
            </w:pPr>
          </w:p>
        </w:tc>
        <w:tc>
          <w:tcPr>
            <w:tcW w:w="721" w:type="dxa"/>
            <w:vMerge w:val="continue"/>
            <w:noWrap w:val="0"/>
            <w:vAlign w:val="center"/>
          </w:tcPr>
          <w:p w14:paraId="30B00FEC">
            <w:pPr>
              <w:rPr>
                <w:rFonts w:ascii="宋体" w:hAnsi="宋体" w:cs="宋体"/>
                <w:color w:val="auto"/>
                <w:sz w:val="18"/>
                <w:szCs w:val="18"/>
                <w:highlight w:val="none"/>
              </w:rPr>
            </w:pPr>
          </w:p>
        </w:tc>
        <w:tc>
          <w:tcPr>
            <w:tcW w:w="3960" w:type="dxa"/>
            <w:noWrap w:val="0"/>
            <w:vAlign w:val="center"/>
          </w:tcPr>
          <w:p w14:paraId="539B630E">
            <w:pPr>
              <w:rPr>
                <w:rFonts w:ascii="宋体" w:hAnsi="宋体" w:cs="宋体"/>
                <w:color w:val="auto"/>
                <w:sz w:val="18"/>
                <w:szCs w:val="18"/>
                <w:highlight w:val="none"/>
              </w:rPr>
            </w:pPr>
            <w:r>
              <w:rPr>
                <w:rFonts w:hint="eastAsia" w:ascii="宋体" w:hAnsi="宋体" w:cs="宋体"/>
                <w:color w:val="auto"/>
                <w:sz w:val="18"/>
                <w:szCs w:val="18"/>
                <w:highlight w:val="none"/>
              </w:rPr>
              <w:t>警用通道、消防通道、非停车位禁止停车；</w:t>
            </w:r>
          </w:p>
        </w:tc>
        <w:tc>
          <w:tcPr>
            <w:tcW w:w="3114" w:type="dxa"/>
            <w:noWrap w:val="0"/>
            <w:vAlign w:val="center"/>
          </w:tcPr>
          <w:p w14:paraId="6DB5DB9D">
            <w:pPr>
              <w:rPr>
                <w:rFonts w:ascii="宋体" w:hAnsi="宋体" w:cs="宋体"/>
                <w:color w:val="auto"/>
                <w:sz w:val="18"/>
                <w:szCs w:val="18"/>
                <w:highlight w:val="none"/>
              </w:rPr>
            </w:pPr>
            <w:r>
              <w:rPr>
                <w:rFonts w:hint="eastAsia" w:ascii="宋体" w:hAnsi="宋体" w:cs="宋体"/>
                <w:color w:val="auto"/>
                <w:sz w:val="18"/>
                <w:szCs w:val="18"/>
                <w:highlight w:val="none"/>
              </w:rPr>
              <w:t>不合格扣1分</w:t>
            </w:r>
          </w:p>
        </w:tc>
        <w:tc>
          <w:tcPr>
            <w:tcW w:w="808" w:type="dxa"/>
            <w:noWrap w:val="0"/>
            <w:vAlign w:val="center"/>
          </w:tcPr>
          <w:p w14:paraId="083C00E0">
            <w:pPr>
              <w:rPr>
                <w:rFonts w:ascii="宋体" w:hAnsi="宋体" w:cs="宋体"/>
                <w:color w:val="auto"/>
                <w:sz w:val="18"/>
                <w:szCs w:val="18"/>
                <w:highlight w:val="none"/>
              </w:rPr>
            </w:pPr>
          </w:p>
        </w:tc>
      </w:tr>
      <w:tr w14:paraId="0099A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9" w:type="dxa"/>
            <w:vMerge w:val="continue"/>
            <w:noWrap w:val="0"/>
            <w:vAlign w:val="center"/>
          </w:tcPr>
          <w:p w14:paraId="6E214EEB">
            <w:pPr>
              <w:rPr>
                <w:rFonts w:ascii="宋体" w:hAnsi="宋体" w:cs="宋体"/>
                <w:color w:val="auto"/>
                <w:sz w:val="18"/>
                <w:szCs w:val="18"/>
                <w:highlight w:val="none"/>
              </w:rPr>
            </w:pPr>
          </w:p>
        </w:tc>
        <w:tc>
          <w:tcPr>
            <w:tcW w:w="721" w:type="dxa"/>
            <w:vMerge w:val="restart"/>
            <w:noWrap w:val="0"/>
            <w:vAlign w:val="center"/>
          </w:tcPr>
          <w:p w14:paraId="4727F3DD">
            <w:pPr>
              <w:rPr>
                <w:rFonts w:ascii="宋体" w:hAnsi="宋体" w:cs="宋体"/>
                <w:color w:val="auto"/>
                <w:sz w:val="18"/>
                <w:szCs w:val="18"/>
                <w:highlight w:val="none"/>
              </w:rPr>
            </w:pPr>
            <w:r>
              <w:rPr>
                <w:rFonts w:hint="eastAsia" w:ascii="宋体" w:hAnsi="宋体" w:cs="宋体"/>
                <w:color w:val="auto"/>
                <w:sz w:val="18"/>
                <w:szCs w:val="18"/>
                <w:highlight w:val="none"/>
              </w:rPr>
              <w:t xml:space="preserve"> 内务卫生</w:t>
            </w:r>
          </w:p>
        </w:tc>
        <w:tc>
          <w:tcPr>
            <w:tcW w:w="3960" w:type="dxa"/>
            <w:noWrap w:val="0"/>
            <w:vAlign w:val="center"/>
          </w:tcPr>
          <w:p w14:paraId="77112681">
            <w:pPr>
              <w:rPr>
                <w:rFonts w:ascii="宋体" w:hAnsi="宋体" w:cs="宋体"/>
                <w:color w:val="auto"/>
                <w:sz w:val="18"/>
                <w:szCs w:val="18"/>
                <w:highlight w:val="none"/>
              </w:rPr>
            </w:pPr>
            <w:r>
              <w:rPr>
                <w:rFonts w:hint="eastAsia" w:ascii="宋体" w:hAnsi="宋体" w:cs="宋体"/>
                <w:color w:val="auto"/>
                <w:sz w:val="18"/>
                <w:szCs w:val="18"/>
                <w:highlight w:val="none"/>
              </w:rPr>
              <w:t>工作岗位范围内清洁卫生，无杂物；桌面、抽屉物品摆放有序；</w:t>
            </w:r>
          </w:p>
        </w:tc>
        <w:tc>
          <w:tcPr>
            <w:tcW w:w="3114" w:type="dxa"/>
            <w:noWrap w:val="0"/>
            <w:vAlign w:val="center"/>
          </w:tcPr>
          <w:p w14:paraId="20B38B04">
            <w:pPr>
              <w:rPr>
                <w:rFonts w:ascii="宋体" w:hAnsi="宋体" w:cs="宋体"/>
                <w:color w:val="auto"/>
                <w:sz w:val="18"/>
                <w:szCs w:val="18"/>
                <w:highlight w:val="none"/>
              </w:rPr>
            </w:pPr>
            <w:r>
              <w:rPr>
                <w:rFonts w:hint="eastAsia" w:ascii="宋体" w:hAnsi="宋体" w:cs="宋体"/>
                <w:color w:val="auto"/>
                <w:sz w:val="18"/>
                <w:szCs w:val="18"/>
                <w:highlight w:val="none"/>
              </w:rPr>
              <w:t>不合格扣1分</w:t>
            </w:r>
          </w:p>
        </w:tc>
        <w:tc>
          <w:tcPr>
            <w:tcW w:w="808" w:type="dxa"/>
            <w:noWrap w:val="0"/>
            <w:vAlign w:val="center"/>
          </w:tcPr>
          <w:p w14:paraId="5DED072B">
            <w:pPr>
              <w:rPr>
                <w:rFonts w:ascii="宋体" w:hAnsi="宋体" w:cs="宋体"/>
                <w:color w:val="auto"/>
                <w:sz w:val="18"/>
                <w:szCs w:val="18"/>
                <w:highlight w:val="none"/>
              </w:rPr>
            </w:pPr>
          </w:p>
        </w:tc>
      </w:tr>
      <w:tr w14:paraId="4FF14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39" w:type="dxa"/>
            <w:vMerge w:val="continue"/>
            <w:noWrap w:val="0"/>
            <w:vAlign w:val="center"/>
          </w:tcPr>
          <w:p w14:paraId="29C6B1BC">
            <w:pPr>
              <w:rPr>
                <w:rFonts w:ascii="宋体" w:hAnsi="宋体" w:cs="宋体"/>
                <w:color w:val="auto"/>
                <w:sz w:val="18"/>
                <w:szCs w:val="18"/>
                <w:highlight w:val="none"/>
              </w:rPr>
            </w:pPr>
          </w:p>
        </w:tc>
        <w:tc>
          <w:tcPr>
            <w:tcW w:w="721" w:type="dxa"/>
            <w:vMerge w:val="continue"/>
            <w:noWrap w:val="0"/>
            <w:vAlign w:val="center"/>
          </w:tcPr>
          <w:p w14:paraId="12A59EB9">
            <w:pPr>
              <w:rPr>
                <w:rFonts w:ascii="宋体" w:hAnsi="宋体" w:cs="宋体"/>
                <w:color w:val="auto"/>
                <w:sz w:val="18"/>
                <w:szCs w:val="18"/>
                <w:highlight w:val="none"/>
              </w:rPr>
            </w:pPr>
          </w:p>
        </w:tc>
        <w:tc>
          <w:tcPr>
            <w:tcW w:w="3960" w:type="dxa"/>
            <w:noWrap w:val="0"/>
            <w:vAlign w:val="center"/>
          </w:tcPr>
          <w:p w14:paraId="15DC9289">
            <w:pP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休息区域内务规范、整洁：地面、墙面洁净，摆放有序 </w:t>
            </w:r>
          </w:p>
        </w:tc>
        <w:tc>
          <w:tcPr>
            <w:tcW w:w="3114" w:type="dxa"/>
            <w:noWrap w:val="0"/>
            <w:vAlign w:val="center"/>
          </w:tcPr>
          <w:p w14:paraId="3F6525F2">
            <w:pPr>
              <w:rPr>
                <w:rFonts w:ascii="宋体" w:hAnsi="宋体" w:cs="宋体"/>
                <w:color w:val="auto"/>
                <w:sz w:val="18"/>
                <w:szCs w:val="18"/>
                <w:highlight w:val="none"/>
              </w:rPr>
            </w:pPr>
            <w:r>
              <w:rPr>
                <w:rFonts w:hint="eastAsia" w:ascii="宋体" w:hAnsi="宋体" w:cs="宋体"/>
                <w:color w:val="auto"/>
                <w:sz w:val="18"/>
                <w:szCs w:val="18"/>
                <w:highlight w:val="none"/>
              </w:rPr>
              <w:t>不合格扣2分</w:t>
            </w:r>
          </w:p>
        </w:tc>
        <w:tc>
          <w:tcPr>
            <w:tcW w:w="808" w:type="dxa"/>
            <w:noWrap w:val="0"/>
            <w:vAlign w:val="center"/>
          </w:tcPr>
          <w:p w14:paraId="23EC4898">
            <w:pPr>
              <w:rPr>
                <w:rFonts w:ascii="宋体" w:hAnsi="宋体" w:cs="宋体"/>
                <w:color w:val="auto"/>
                <w:sz w:val="18"/>
                <w:szCs w:val="18"/>
                <w:highlight w:val="none"/>
              </w:rPr>
            </w:pPr>
          </w:p>
        </w:tc>
      </w:tr>
      <w:tr w14:paraId="7C0ED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539" w:type="dxa"/>
            <w:vMerge w:val="restart"/>
            <w:noWrap w:val="0"/>
            <w:vAlign w:val="center"/>
          </w:tcPr>
          <w:p w14:paraId="279AD6F9">
            <w:pPr>
              <w:rPr>
                <w:rFonts w:ascii="宋体" w:hAnsi="宋体" w:cs="宋体"/>
                <w:color w:val="auto"/>
                <w:sz w:val="18"/>
                <w:szCs w:val="18"/>
                <w:highlight w:val="none"/>
              </w:rPr>
            </w:pPr>
            <w:r>
              <w:rPr>
                <w:rFonts w:hint="eastAsia" w:ascii="宋体" w:hAnsi="宋体" w:cs="宋体"/>
                <w:color w:val="auto"/>
                <w:sz w:val="18"/>
                <w:szCs w:val="18"/>
                <w:highlight w:val="none"/>
              </w:rPr>
              <w:t>设施</w:t>
            </w:r>
          </w:p>
          <w:p w14:paraId="03EDAF8C">
            <w:pPr>
              <w:rPr>
                <w:rFonts w:ascii="宋体" w:hAnsi="宋体" w:cs="宋体"/>
                <w:color w:val="auto"/>
                <w:sz w:val="18"/>
                <w:szCs w:val="18"/>
                <w:highlight w:val="none"/>
              </w:rPr>
            </w:pPr>
            <w:r>
              <w:rPr>
                <w:rFonts w:hint="eastAsia" w:ascii="宋体" w:hAnsi="宋体" w:cs="宋体"/>
                <w:color w:val="auto"/>
                <w:sz w:val="18"/>
                <w:szCs w:val="18"/>
                <w:highlight w:val="none"/>
              </w:rPr>
              <w:t>设备维护维修服务质量</w:t>
            </w:r>
          </w:p>
        </w:tc>
        <w:tc>
          <w:tcPr>
            <w:tcW w:w="721" w:type="dxa"/>
            <w:vMerge w:val="restart"/>
            <w:noWrap w:val="0"/>
            <w:vAlign w:val="center"/>
          </w:tcPr>
          <w:p w14:paraId="4B6A50D4">
            <w:pPr>
              <w:rPr>
                <w:rFonts w:ascii="宋体" w:hAnsi="宋体" w:cs="宋体"/>
                <w:color w:val="auto"/>
                <w:sz w:val="18"/>
                <w:szCs w:val="18"/>
                <w:highlight w:val="none"/>
              </w:rPr>
            </w:pPr>
            <w:r>
              <w:rPr>
                <w:rFonts w:hint="eastAsia" w:ascii="宋体" w:hAnsi="宋体" w:cs="宋体"/>
                <w:color w:val="auto"/>
                <w:sz w:val="18"/>
                <w:szCs w:val="18"/>
                <w:highlight w:val="none"/>
              </w:rPr>
              <w:t>综合要求</w:t>
            </w:r>
          </w:p>
        </w:tc>
        <w:tc>
          <w:tcPr>
            <w:tcW w:w="3960" w:type="dxa"/>
            <w:noWrap w:val="0"/>
            <w:vAlign w:val="center"/>
          </w:tcPr>
          <w:p w14:paraId="1B84F271">
            <w:pPr>
              <w:rPr>
                <w:rFonts w:ascii="宋体" w:hAnsi="宋体" w:cs="宋体"/>
                <w:color w:val="auto"/>
                <w:sz w:val="18"/>
                <w:szCs w:val="18"/>
                <w:highlight w:val="none"/>
              </w:rPr>
            </w:pPr>
            <w:r>
              <w:rPr>
                <w:rFonts w:hint="eastAsia" w:ascii="宋体" w:hAnsi="宋体" w:cs="宋体"/>
                <w:color w:val="auto"/>
                <w:sz w:val="18"/>
                <w:szCs w:val="18"/>
                <w:highlight w:val="none"/>
              </w:rPr>
              <w:t>统一着装，设备管理制度健全、上墙并严格执行；</w:t>
            </w:r>
          </w:p>
        </w:tc>
        <w:tc>
          <w:tcPr>
            <w:tcW w:w="3114" w:type="dxa"/>
            <w:noWrap w:val="0"/>
            <w:vAlign w:val="center"/>
          </w:tcPr>
          <w:p w14:paraId="27ACC9F9">
            <w:pPr>
              <w:rPr>
                <w:rFonts w:ascii="宋体" w:hAnsi="宋体" w:cs="宋体"/>
                <w:color w:val="auto"/>
                <w:sz w:val="18"/>
                <w:szCs w:val="18"/>
                <w:highlight w:val="none"/>
              </w:rPr>
            </w:pPr>
            <w:r>
              <w:rPr>
                <w:rFonts w:hint="eastAsia" w:ascii="宋体" w:hAnsi="宋体" w:cs="宋体"/>
                <w:color w:val="auto"/>
                <w:sz w:val="18"/>
                <w:szCs w:val="18"/>
                <w:highlight w:val="none"/>
              </w:rPr>
              <w:t>不合格扣1分</w:t>
            </w:r>
          </w:p>
        </w:tc>
        <w:tc>
          <w:tcPr>
            <w:tcW w:w="808" w:type="dxa"/>
            <w:noWrap w:val="0"/>
            <w:vAlign w:val="center"/>
          </w:tcPr>
          <w:p w14:paraId="293CB977">
            <w:pPr>
              <w:rPr>
                <w:rFonts w:ascii="宋体" w:hAnsi="宋体" w:cs="宋体"/>
                <w:color w:val="auto"/>
                <w:sz w:val="18"/>
                <w:szCs w:val="18"/>
                <w:highlight w:val="none"/>
              </w:rPr>
            </w:pPr>
          </w:p>
        </w:tc>
      </w:tr>
      <w:tr w14:paraId="41DA8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539" w:type="dxa"/>
            <w:vMerge w:val="continue"/>
            <w:noWrap w:val="0"/>
            <w:vAlign w:val="center"/>
          </w:tcPr>
          <w:p w14:paraId="0047B1D6">
            <w:pPr>
              <w:rPr>
                <w:rFonts w:ascii="宋体" w:hAnsi="宋体" w:cs="宋体"/>
                <w:color w:val="auto"/>
                <w:sz w:val="18"/>
                <w:szCs w:val="18"/>
                <w:highlight w:val="none"/>
              </w:rPr>
            </w:pPr>
          </w:p>
        </w:tc>
        <w:tc>
          <w:tcPr>
            <w:tcW w:w="721" w:type="dxa"/>
            <w:vMerge w:val="continue"/>
            <w:noWrap w:val="0"/>
            <w:vAlign w:val="center"/>
          </w:tcPr>
          <w:p w14:paraId="7C217FA8">
            <w:pPr>
              <w:rPr>
                <w:rFonts w:ascii="宋体" w:hAnsi="宋体" w:cs="宋体"/>
                <w:color w:val="auto"/>
                <w:sz w:val="18"/>
                <w:szCs w:val="18"/>
                <w:highlight w:val="none"/>
              </w:rPr>
            </w:pPr>
          </w:p>
        </w:tc>
        <w:tc>
          <w:tcPr>
            <w:tcW w:w="3960" w:type="dxa"/>
            <w:noWrap w:val="0"/>
            <w:vAlign w:val="center"/>
          </w:tcPr>
          <w:p w14:paraId="32B026B5">
            <w:pPr>
              <w:rPr>
                <w:rFonts w:ascii="宋体" w:hAnsi="宋体" w:cs="宋体"/>
                <w:color w:val="auto"/>
                <w:sz w:val="18"/>
                <w:szCs w:val="18"/>
                <w:highlight w:val="none"/>
              </w:rPr>
            </w:pPr>
            <w:r>
              <w:rPr>
                <w:rFonts w:hint="eastAsia" w:ascii="宋体" w:hAnsi="宋体" w:cs="宋体"/>
                <w:color w:val="auto"/>
                <w:sz w:val="18"/>
                <w:szCs w:val="18"/>
                <w:highlight w:val="none"/>
              </w:rPr>
              <w:t>设备房环境整洁，环境符合设备要求；各设备机房及时上锁，外人禁入</w:t>
            </w:r>
          </w:p>
        </w:tc>
        <w:tc>
          <w:tcPr>
            <w:tcW w:w="3114" w:type="dxa"/>
            <w:noWrap w:val="0"/>
            <w:vAlign w:val="center"/>
          </w:tcPr>
          <w:p w14:paraId="347D6E6B">
            <w:pPr>
              <w:rPr>
                <w:rFonts w:ascii="宋体" w:hAnsi="宋体" w:cs="宋体"/>
                <w:color w:val="auto"/>
                <w:sz w:val="18"/>
                <w:szCs w:val="18"/>
                <w:highlight w:val="none"/>
              </w:rPr>
            </w:pPr>
            <w:r>
              <w:rPr>
                <w:rFonts w:hint="eastAsia" w:ascii="宋体" w:hAnsi="宋体" w:cs="宋体"/>
                <w:color w:val="auto"/>
                <w:sz w:val="18"/>
                <w:szCs w:val="18"/>
                <w:highlight w:val="none"/>
              </w:rPr>
              <w:t>不合格扣1分</w:t>
            </w:r>
          </w:p>
        </w:tc>
        <w:tc>
          <w:tcPr>
            <w:tcW w:w="808" w:type="dxa"/>
            <w:noWrap w:val="0"/>
            <w:vAlign w:val="center"/>
          </w:tcPr>
          <w:p w14:paraId="2FD4E752">
            <w:pPr>
              <w:rPr>
                <w:rFonts w:ascii="宋体" w:hAnsi="宋体" w:cs="宋体"/>
                <w:color w:val="auto"/>
                <w:sz w:val="18"/>
                <w:szCs w:val="18"/>
                <w:highlight w:val="none"/>
              </w:rPr>
            </w:pPr>
          </w:p>
        </w:tc>
      </w:tr>
      <w:tr w14:paraId="7A8D3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539" w:type="dxa"/>
            <w:vMerge w:val="continue"/>
            <w:noWrap w:val="0"/>
            <w:vAlign w:val="center"/>
          </w:tcPr>
          <w:p w14:paraId="386D6BC4">
            <w:pPr>
              <w:rPr>
                <w:rFonts w:hint="eastAsia" w:ascii="宋体" w:hAnsi="宋体" w:cs="宋体"/>
                <w:color w:val="auto"/>
                <w:sz w:val="18"/>
                <w:szCs w:val="18"/>
                <w:highlight w:val="none"/>
              </w:rPr>
            </w:pPr>
          </w:p>
        </w:tc>
        <w:tc>
          <w:tcPr>
            <w:tcW w:w="721" w:type="dxa"/>
            <w:vMerge w:val="continue"/>
            <w:noWrap w:val="0"/>
            <w:vAlign w:val="center"/>
          </w:tcPr>
          <w:p w14:paraId="050B9D36">
            <w:pPr>
              <w:rPr>
                <w:rFonts w:hint="eastAsia" w:ascii="宋体" w:hAnsi="宋体" w:cs="宋体"/>
                <w:color w:val="auto"/>
                <w:sz w:val="18"/>
                <w:szCs w:val="18"/>
                <w:highlight w:val="none"/>
              </w:rPr>
            </w:pPr>
          </w:p>
        </w:tc>
        <w:tc>
          <w:tcPr>
            <w:tcW w:w="3960" w:type="dxa"/>
            <w:noWrap w:val="0"/>
            <w:vAlign w:val="center"/>
          </w:tcPr>
          <w:p w14:paraId="72445A86">
            <w:pPr>
              <w:rPr>
                <w:rFonts w:hint="eastAsia" w:ascii="宋体" w:hAnsi="宋体" w:cs="宋体"/>
                <w:color w:val="auto"/>
                <w:sz w:val="18"/>
                <w:szCs w:val="18"/>
                <w:highlight w:val="none"/>
              </w:rPr>
            </w:pPr>
            <w:r>
              <w:rPr>
                <w:rFonts w:hint="eastAsia" w:ascii="宋体" w:hAnsi="宋体" w:cs="宋体"/>
                <w:color w:val="auto"/>
                <w:sz w:val="18"/>
                <w:szCs w:val="18"/>
                <w:highlight w:val="none"/>
              </w:rPr>
              <w:t>服从招标单位工作安排和人员调整。</w:t>
            </w:r>
          </w:p>
        </w:tc>
        <w:tc>
          <w:tcPr>
            <w:tcW w:w="3114" w:type="dxa"/>
            <w:noWrap w:val="0"/>
            <w:vAlign w:val="center"/>
          </w:tcPr>
          <w:p w14:paraId="5722BD7B">
            <w:pPr>
              <w:rPr>
                <w:rFonts w:hint="eastAsia" w:ascii="宋体" w:hAnsi="宋体" w:cs="宋体"/>
                <w:color w:val="auto"/>
                <w:sz w:val="18"/>
                <w:szCs w:val="18"/>
                <w:highlight w:val="none"/>
              </w:rPr>
            </w:pPr>
            <w:r>
              <w:rPr>
                <w:rFonts w:hint="eastAsia" w:ascii="宋体" w:hAnsi="宋体" w:cs="宋体"/>
                <w:color w:val="auto"/>
                <w:sz w:val="18"/>
                <w:szCs w:val="18"/>
                <w:highlight w:val="none"/>
              </w:rPr>
              <w:t>不服从安排和调整的扣8分</w:t>
            </w:r>
          </w:p>
        </w:tc>
        <w:tc>
          <w:tcPr>
            <w:tcW w:w="808" w:type="dxa"/>
            <w:noWrap w:val="0"/>
            <w:vAlign w:val="center"/>
          </w:tcPr>
          <w:p w14:paraId="07622513">
            <w:pPr>
              <w:rPr>
                <w:rFonts w:hint="eastAsia" w:ascii="宋体" w:hAnsi="宋体" w:cs="宋体"/>
                <w:color w:val="auto"/>
                <w:sz w:val="18"/>
                <w:szCs w:val="18"/>
                <w:highlight w:val="none"/>
              </w:rPr>
            </w:pPr>
          </w:p>
        </w:tc>
      </w:tr>
      <w:tr w14:paraId="7EBE8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539" w:type="dxa"/>
            <w:vMerge w:val="continue"/>
            <w:noWrap w:val="0"/>
            <w:vAlign w:val="center"/>
          </w:tcPr>
          <w:p w14:paraId="078888A1">
            <w:pPr>
              <w:rPr>
                <w:rFonts w:ascii="宋体" w:hAnsi="宋体" w:cs="宋体"/>
                <w:color w:val="auto"/>
                <w:sz w:val="18"/>
                <w:szCs w:val="18"/>
                <w:highlight w:val="none"/>
              </w:rPr>
            </w:pPr>
          </w:p>
        </w:tc>
        <w:tc>
          <w:tcPr>
            <w:tcW w:w="721" w:type="dxa"/>
            <w:vMerge w:val="restart"/>
            <w:noWrap w:val="0"/>
            <w:vAlign w:val="center"/>
          </w:tcPr>
          <w:p w14:paraId="32CA7954">
            <w:pPr>
              <w:rPr>
                <w:rFonts w:ascii="宋体" w:hAnsi="宋体" w:cs="宋体"/>
                <w:color w:val="auto"/>
                <w:sz w:val="18"/>
                <w:szCs w:val="18"/>
                <w:highlight w:val="none"/>
              </w:rPr>
            </w:pPr>
            <w:r>
              <w:rPr>
                <w:rFonts w:hint="eastAsia" w:ascii="宋体" w:hAnsi="宋体" w:cs="宋体"/>
                <w:color w:val="auto"/>
                <w:sz w:val="18"/>
                <w:szCs w:val="18"/>
                <w:highlight w:val="none"/>
              </w:rPr>
              <w:t>给排水系统</w:t>
            </w:r>
          </w:p>
        </w:tc>
        <w:tc>
          <w:tcPr>
            <w:tcW w:w="3960" w:type="dxa"/>
            <w:noWrap w:val="0"/>
            <w:vAlign w:val="center"/>
          </w:tcPr>
          <w:p w14:paraId="0B7369B1">
            <w:pPr>
              <w:rPr>
                <w:rFonts w:ascii="宋体" w:hAnsi="宋体" w:cs="宋体"/>
                <w:color w:val="auto"/>
                <w:sz w:val="18"/>
                <w:szCs w:val="18"/>
                <w:highlight w:val="none"/>
              </w:rPr>
            </w:pPr>
            <w:r>
              <w:rPr>
                <w:rFonts w:hint="eastAsia" w:ascii="宋体" w:hAnsi="宋体" w:cs="宋体"/>
                <w:color w:val="auto"/>
                <w:sz w:val="18"/>
                <w:szCs w:val="18"/>
                <w:highlight w:val="none"/>
              </w:rPr>
              <w:t xml:space="preserve"> 做到综合节水、节电</w:t>
            </w:r>
          </w:p>
        </w:tc>
        <w:tc>
          <w:tcPr>
            <w:tcW w:w="3114" w:type="dxa"/>
            <w:noWrap w:val="0"/>
            <w:vAlign w:val="center"/>
          </w:tcPr>
          <w:p w14:paraId="7C00F936">
            <w:pPr>
              <w:rPr>
                <w:rFonts w:ascii="宋体" w:hAnsi="宋体" w:cs="宋体"/>
                <w:color w:val="auto"/>
                <w:sz w:val="18"/>
                <w:szCs w:val="18"/>
                <w:highlight w:val="none"/>
              </w:rPr>
            </w:pPr>
            <w:r>
              <w:rPr>
                <w:rFonts w:hint="eastAsia" w:ascii="宋体" w:hAnsi="宋体" w:cs="宋体"/>
                <w:color w:val="auto"/>
                <w:sz w:val="18"/>
                <w:szCs w:val="18"/>
                <w:highlight w:val="none"/>
              </w:rPr>
              <w:t>不合格扣2分</w:t>
            </w:r>
          </w:p>
        </w:tc>
        <w:tc>
          <w:tcPr>
            <w:tcW w:w="808" w:type="dxa"/>
            <w:noWrap w:val="0"/>
            <w:vAlign w:val="center"/>
          </w:tcPr>
          <w:p w14:paraId="1117D90E">
            <w:pPr>
              <w:rPr>
                <w:rFonts w:ascii="宋体" w:hAnsi="宋体" w:cs="宋体"/>
                <w:color w:val="auto"/>
                <w:sz w:val="18"/>
                <w:szCs w:val="18"/>
                <w:highlight w:val="none"/>
              </w:rPr>
            </w:pPr>
          </w:p>
        </w:tc>
      </w:tr>
      <w:tr w14:paraId="4EA4C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539" w:type="dxa"/>
            <w:vMerge w:val="continue"/>
            <w:noWrap w:val="0"/>
            <w:vAlign w:val="center"/>
          </w:tcPr>
          <w:p w14:paraId="5F116EB7">
            <w:pPr>
              <w:rPr>
                <w:rFonts w:ascii="宋体" w:hAnsi="宋体" w:cs="宋体"/>
                <w:color w:val="auto"/>
                <w:sz w:val="18"/>
                <w:szCs w:val="18"/>
                <w:highlight w:val="none"/>
              </w:rPr>
            </w:pPr>
          </w:p>
        </w:tc>
        <w:tc>
          <w:tcPr>
            <w:tcW w:w="721" w:type="dxa"/>
            <w:vMerge w:val="continue"/>
            <w:noWrap w:val="0"/>
            <w:vAlign w:val="center"/>
          </w:tcPr>
          <w:p w14:paraId="37701447">
            <w:pPr>
              <w:rPr>
                <w:rFonts w:ascii="宋体" w:hAnsi="宋体" w:cs="宋体"/>
                <w:color w:val="auto"/>
                <w:sz w:val="18"/>
                <w:szCs w:val="18"/>
                <w:highlight w:val="none"/>
              </w:rPr>
            </w:pPr>
          </w:p>
        </w:tc>
        <w:tc>
          <w:tcPr>
            <w:tcW w:w="3960" w:type="dxa"/>
            <w:noWrap w:val="0"/>
            <w:vAlign w:val="center"/>
          </w:tcPr>
          <w:p w14:paraId="25A4945A">
            <w:pPr>
              <w:rPr>
                <w:rFonts w:ascii="宋体" w:hAnsi="宋体" w:cs="宋体"/>
                <w:color w:val="auto"/>
                <w:sz w:val="18"/>
                <w:szCs w:val="18"/>
                <w:highlight w:val="none"/>
              </w:rPr>
            </w:pPr>
            <w:r>
              <w:rPr>
                <w:rFonts w:hint="eastAsia" w:ascii="宋体" w:hAnsi="宋体" w:cs="宋体"/>
                <w:color w:val="auto"/>
                <w:sz w:val="18"/>
                <w:szCs w:val="18"/>
                <w:highlight w:val="none"/>
              </w:rPr>
              <w:t>污水系统通畅（抽查2~4个井），雨水井、污水池无大量沉积物，做到定期清淤，汛期道路、车库、设备房无积水；</w:t>
            </w:r>
          </w:p>
        </w:tc>
        <w:tc>
          <w:tcPr>
            <w:tcW w:w="3114" w:type="dxa"/>
            <w:noWrap w:val="0"/>
            <w:vAlign w:val="center"/>
          </w:tcPr>
          <w:p w14:paraId="6D0163CB">
            <w:pPr>
              <w:rPr>
                <w:rFonts w:ascii="宋体" w:hAnsi="宋体" w:cs="宋体"/>
                <w:color w:val="auto"/>
                <w:sz w:val="18"/>
                <w:szCs w:val="18"/>
                <w:highlight w:val="none"/>
              </w:rPr>
            </w:pPr>
            <w:r>
              <w:rPr>
                <w:rFonts w:hint="eastAsia" w:ascii="宋体" w:hAnsi="宋体" w:cs="宋体"/>
                <w:color w:val="auto"/>
                <w:sz w:val="18"/>
                <w:szCs w:val="18"/>
                <w:highlight w:val="none"/>
              </w:rPr>
              <w:t>不合格扣2分</w:t>
            </w:r>
          </w:p>
        </w:tc>
        <w:tc>
          <w:tcPr>
            <w:tcW w:w="808" w:type="dxa"/>
            <w:noWrap w:val="0"/>
            <w:vAlign w:val="center"/>
          </w:tcPr>
          <w:p w14:paraId="59AD4DF6">
            <w:pPr>
              <w:rPr>
                <w:rFonts w:ascii="宋体" w:hAnsi="宋体" w:cs="宋体"/>
                <w:color w:val="auto"/>
                <w:sz w:val="18"/>
                <w:szCs w:val="18"/>
                <w:highlight w:val="none"/>
              </w:rPr>
            </w:pPr>
          </w:p>
        </w:tc>
      </w:tr>
      <w:tr w14:paraId="56CDE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39" w:type="dxa"/>
            <w:vMerge w:val="continue"/>
            <w:noWrap w:val="0"/>
            <w:vAlign w:val="center"/>
          </w:tcPr>
          <w:p w14:paraId="093B0154">
            <w:pPr>
              <w:rPr>
                <w:rFonts w:ascii="宋体" w:hAnsi="宋体" w:cs="宋体"/>
                <w:color w:val="auto"/>
                <w:sz w:val="18"/>
                <w:szCs w:val="18"/>
                <w:highlight w:val="none"/>
              </w:rPr>
            </w:pPr>
          </w:p>
        </w:tc>
        <w:tc>
          <w:tcPr>
            <w:tcW w:w="721" w:type="dxa"/>
            <w:vMerge w:val="restart"/>
            <w:noWrap w:val="0"/>
            <w:vAlign w:val="center"/>
          </w:tcPr>
          <w:p w14:paraId="126479DF">
            <w:pPr>
              <w:rPr>
                <w:rFonts w:ascii="宋体" w:hAnsi="宋体" w:cs="宋体"/>
                <w:color w:val="auto"/>
                <w:sz w:val="18"/>
                <w:szCs w:val="18"/>
                <w:highlight w:val="none"/>
              </w:rPr>
            </w:pPr>
            <w:r>
              <w:rPr>
                <w:rFonts w:hint="eastAsia" w:ascii="宋体" w:hAnsi="宋体" w:cs="宋体"/>
                <w:color w:val="auto"/>
                <w:sz w:val="18"/>
                <w:szCs w:val="18"/>
                <w:highlight w:val="none"/>
              </w:rPr>
              <w:t>供电系统</w:t>
            </w:r>
          </w:p>
        </w:tc>
        <w:tc>
          <w:tcPr>
            <w:tcW w:w="3960" w:type="dxa"/>
            <w:noWrap w:val="0"/>
            <w:vAlign w:val="center"/>
          </w:tcPr>
          <w:p w14:paraId="09FFBF4A">
            <w:pPr>
              <w:rPr>
                <w:rFonts w:ascii="宋体" w:hAnsi="宋体" w:cs="宋体"/>
                <w:color w:val="auto"/>
                <w:sz w:val="18"/>
                <w:szCs w:val="18"/>
                <w:highlight w:val="none"/>
              </w:rPr>
            </w:pPr>
            <w:r>
              <w:rPr>
                <w:rFonts w:hint="eastAsia" w:ascii="宋体" w:hAnsi="宋体" w:cs="宋体"/>
                <w:color w:val="auto"/>
                <w:sz w:val="18"/>
                <w:szCs w:val="18"/>
                <w:highlight w:val="none"/>
              </w:rPr>
              <w:t>供电系统工作正常，无安全隐患 ；</w:t>
            </w:r>
          </w:p>
        </w:tc>
        <w:tc>
          <w:tcPr>
            <w:tcW w:w="3114" w:type="dxa"/>
            <w:noWrap w:val="0"/>
            <w:vAlign w:val="center"/>
          </w:tcPr>
          <w:p w14:paraId="1A0B5437">
            <w:pPr>
              <w:rPr>
                <w:rFonts w:ascii="宋体" w:hAnsi="宋体" w:cs="宋体"/>
                <w:color w:val="auto"/>
                <w:sz w:val="18"/>
                <w:szCs w:val="18"/>
                <w:highlight w:val="none"/>
              </w:rPr>
            </w:pPr>
            <w:r>
              <w:rPr>
                <w:rFonts w:hint="eastAsia" w:ascii="宋体" w:hAnsi="宋体" w:cs="宋体"/>
                <w:color w:val="auto"/>
                <w:sz w:val="18"/>
                <w:szCs w:val="18"/>
                <w:highlight w:val="none"/>
              </w:rPr>
              <w:t>不合格扣3分</w:t>
            </w:r>
          </w:p>
        </w:tc>
        <w:tc>
          <w:tcPr>
            <w:tcW w:w="808" w:type="dxa"/>
            <w:noWrap w:val="0"/>
            <w:vAlign w:val="center"/>
          </w:tcPr>
          <w:p w14:paraId="32CEF6E6">
            <w:pPr>
              <w:rPr>
                <w:rFonts w:ascii="宋体" w:hAnsi="宋体" w:cs="宋体"/>
                <w:color w:val="auto"/>
                <w:sz w:val="18"/>
                <w:szCs w:val="18"/>
                <w:highlight w:val="none"/>
              </w:rPr>
            </w:pPr>
          </w:p>
        </w:tc>
      </w:tr>
      <w:tr w14:paraId="53BFD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539" w:type="dxa"/>
            <w:vMerge w:val="continue"/>
            <w:noWrap w:val="0"/>
            <w:vAlign w:val="center"/>
          </w:tcPr>
          <w:p w14:paraId="35978827">
            <w:pPr>
              <w:rPr>
                <w:rFonts w:ascii="宋体" w:hAnsi="宋体" w:cs="宋体"/>
                <w:color w:val="auto"/>
                <w:sz w:val="18"/>
                <w:szCs w:val="18"/>
                <w:highlight w:val="none"/>
              </w:rPr>
            </w:pPr>
          </w:p>
        </w:tc>
        <w:tc>
          <w:tcPr>
            <w:tcW w:w="721" w:type="dxa"/>
            <w:vMerge w:val="continue"/>
            <w:noWrap w:val="0"/>
            <w:vAlign w:val="center"/>
          </w:tcPr>
          <w:p w14:paraId="70C96E56">
            <w:pPr>
              <w:rPr>
                <w:rFonts w:ascii="宋体" w:hAnsi="宋体" w:cs="宋体"/>
                <w:color w:val="auto"/>
                <w:sz w:val="18"/>
                <w:szCs w:val="18"/>
                <w:highlight w:val="none"/>
              </w:rPr>
            </w:pPr>
          </w:p>
        </w:tc>
        <w:tc>
          <w:tcPr>
            <w:tcW w:w="3960" w:type="dxa"/>
            <w:noWrap w:val="0"/>
            <w:vAlign w:val="center"/>
          </w:tcPr>
          <w:p w14:paraId="57D8EB70">
            <w:pPr>
              <w:rPr>
                <w:rFonts w:ascii="宋体" w:hAnsi="宋体" w:cs="宋体"/>
                <w:color w:val="auto"/>
                <w:sz w:val="18"/>
                <w:szCs w:val="18"/>
                <w:highlight w:val="none"/>
              </w:rPr>
            </w:pPr>
            <w:r>
              <w:rPr>
                <w:rFonts w:hint="eastAsia" w:ascii="宋体" w:hAnsi="宋体" w:cs="宋体"/>
                <w:color w:val="auto"/>
                <w:sz w:val="18"/>
                <w:szCs w:val="18"/>
                <w:highlight w:val="none"/>
              </w:rPr>
              <w:t>应施工需要停电必须提前通知</w:t>
            </w:r>
          </w:p>
        </w:tc>
        <w:tc>
          <w:tcPr>
            <w:tcW w:w="3114" w:type="dxa"/>
            <w:noWrap w:val="0"/>
            <w:vAlign w:val="center"/>
          </w:tcPr>
          <w:p w14:paraId="6AAC9CCA">
            <w:pPr>
              <w:rPr>
                <w:rFonts w:ascii="宋体" w:hAnsi="宋体" w:cs="宋体"/>
                <w:color w:val="auto"/>
                <w:sz w:val="18"/>
                <w:szCs w:val="18"/>
                <w:highlight w:val="none"/>
              </w:rPr>
            </w:pPr>
            <w:r>
              <w:rPr>
                <w:rFonts w:hint="eastAsia" w:ascii="宋体" w:hAnsi="宋体" w:cs="宋体"/>
                <w:color w:val="auto"/>
                <w:sz w:val="18"/>
                <w:szCs w:val="18"/>
                <w:highlight w:val="none"/>
              </w:rPr>
              <w:t>不合格扣2分</w:t>
            </w:r>
          </w:p>
        </w:tc>
        <w:tc>
          <w:tcPr>
            <w:tcW w:w="808" w:type="dxa"/>
            <w:noWrap w:val="0"/>
            <w:vAlign w:val="center"/>
          </w:tcPr>
          <w:p w14:paraId="55340840">
            <w:pPr>
              <w:rPr>
                <w:rFonts w:ascii="宋体" w:hAnsi="宋体" w:cs="宋体"/>
                <w:color w:val="auto"/>
                <w:sz w:val="18"/>
                <w:szCs w:val="18"/>
                <w:highlight w:val="none"/>
              </w:rPr>
            </w:pPr>
          </w:p>
        </w:tc>
      </w:tr>
      <w:tr w14:paraId="0DCC9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39" w:type="dxa"/>
            <w:vMerge w:val="continue"/>
            <w:noWrap w:val="0"/>
            <w:vAlign w:val="center"/>
          </w:tcPr>
          <w:p w14:paraId="74D5E68A">
            <w:pPr>
              <w:rPr>
                <w:rFonts w:ascii="宋体" w:hAnsi="宋体" w:cs="宋体"/>
                <w:color w:val="auto"/>
                <w:sz w:val="18"/>
                <w:szCs w:val="18"/>
                <w:highlight w:val="none"/>
              </w:rPr>
            </w:pPr>
          </w:p>
        </w:tc>
        <w:tc>
          <w:tcPr>
            <w:tcW w:w="721" w:type="dxa"/>
            <w:noWrap w:val="0"/>
            <w:vAlign w:val="center"/>
          </w:tcPr>
          <w:p w14:paraId="3E9CFE5C">
            <w:pPr>
              <w:rPr>
                <w:rFonts w:ascii="宋体" w:hAnsi="宋体" w:cs="宋体"/>
                <w:color w:val="auto"/>
                <w:sz w:val="18"/>
                <w:szCs w:val="18"/>
                <w:highlight w:val="none"/>
              </w:rPr>
            </w:pPr>
            <w:r>
              <w:rPr>
                <w:rFonts w:hint="eastAsia" w:ascii="宋体" w:hAnsi="宋体" w:cs="宋体"/>
                <w:color w:val="auto"/>
                <w:sz w:val="18"/>
                <w:szCs w:val="18"/>
                <w:highlight w:val="none"/>
              </w:rPr>
              <w:t>弱电系统</w:t>
            </w:r>
          </w:p>
        </w:tc>
        <w:tc>
          <w:tcPr>
            <w:tcW w:w="3960" w:type="dxa"/>
            <w:noWrap w:val="0"/>
            <w:vAlign w:val="center"/>
          </w:tcPr>
          <w:p w14:paraId="5D360943">
            <w:pPr>
              <w:rPr>
                <w:rFonts w:ascii="宋体" w:hAnsi="宋体" w:cs="宋体"/>
                <w:color w:val="auto"/>
                <w:sz w:val="18"/>
                <w:szCs w:val="18"/>
                <w:highlight w:val="none"/>
              </w:rPr>
            </w:pPr>
            <w:r>
              <w:rPr>
                <w:rFonts w:hint="eastAsia" w:ascii="宋体" w:hAnsi="宋体" w:cs="宋体"/>
                <w:color w:val="auto"/>
                <w:sz w:val="18"/>
                <w:szCs w:val="18"/>
                <w:highlight w:val="none"/>
              </w:rPr>
              <w:t>监控系统完好，标识正确、图像清晰；防盗系统工作正常；</w:t>
            </w:r>
          </w:p>
        </w:tc>
        <w:tc>
          <w:tcPr>
            <w:tcW w:w="3114" w:type="dxa"/>
            <w:noWrap w:val="0"/>
            <w:vAlign w:val="center"/>
          </w:tcPr>
          <w:p w14:paraId="05471E60">
            <w:pPr>
              <w:rPr>
                <w:rFonts w:ascii="宋体" w:hAnsi="宋体" w:cs="宋体"/>
                <w:color w:val="auto"/>
                <w:sz w:val="18"/>
                <w:szCs w:val="18"/>
                <w:highlight w:val="none"/>
              </w:rPr>
            </w:pPr>
            <w:r>
              <w:rPr>
                <w:rFonts w:hint="eastAsia" w:ascii="宋体" w:hAnsi="宋体" w:cs="宋体"/>
                <w:color w:val="auto"/>
                <w:sz w:val="18"/>
                <w:szCs w:val="18"/>
                <w:highlight w:val="none"/>
              </w:rPr>
              <w:t>不合格扣2分</w:t>
            </w:r>
          </w:p>
        </w:tc>
        <w:tc>
          <w:tcPr>
            <w:tcW w:w="808" w:type="dxa"/>
            <w:noWrap w:val="0"/>
            <w:vAlign w:val="center"/>
          </w:tcPr>
          <w:p w14:paraId="6BF81118">
            <w:pPr>
              <w:rPr>
                <w:rFonts w:ascii="宋体" w:hAnsi="宋体" w:cs="宋体"/>
                <w:color w:val="auto"/>
                <w:sz w:val="18"/>
                <w:szCs w:val="18"/>
                <w:highlight w:val="none"/>
              </w:rPr>
            </w:pPr>
          </w:p>
        </w:tc>
      </w:tr>
      <w:tr w14:paraId="1EADF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39" w:type="dxa"/>
            <w:vMerge w:val="continue"/>
            <w:noWrap w:val="0"/>
            <w:vAlign w:val="center"/>
          </w:tcPr>
          <w:p w14:paraId="2A23C584">
            <w:pPr>
              <w:rPr>
                <w:rFonts w:ascii="宋体" w:hAnsi="宋体" w:cs="宋体"/>
                <w:color w:val="auto"/>
                <w:sz w:val="18"/>
                <w:szCs w:val="18"/>
                <w:highlight w:val="none"/>
              </w:rPr>
            </w:pPr>
          </w:p>
        </w:tc>
        <w:tc>
          <w:tcPr>
            <w:tcW w:w="721" w:type="dxa"/>
            <w:vMerge w:val="restart"/>
            <w:noWrap w:val="0"/>
            <w:vAlign w:val="center"/>
          </w:tcPr>
          <w:p w14:paraId="054456BB">
            <w:pPr>
              <w:rPr>
                <w:rFonts w:ascii="宋体" w:hAnsi="宋体" w:cs="宋体"/>
                <w:color w:val="auto"/>
                <w:sz w:val="18"/>
                <w:szCs w:val="18"/>
                <w:highlight w:val="none"/>
              </w:rPr>
            </w:pPr>
            <w:r>
              <w:rPr>
                <w:rFonts w:hint="eastAsia" w:ascii="宋体" w:hAnsi="宋体" w:cs="宋体"/>
                <w:color w:val="auto"/>
                <w:sz w:val="18"/>
                <w:szCs w:val="18"/>
                <w:highlight w:val="none"/>
              </w:rPr>
              <w:t>电梯</w:t>
            </w:r>
          </w:p>
        </w:tc>
        <w:tc>
          <w:tcPr>
            <w:tcW w:w="3960" w:type="dxa"/>
            <w:noWrap w:val="0"/>
            <w:vAlign w:val="center"/>
          </w:tcPr>
          <w:p w14:paraId="7C4FD98B">
            <w:pPr>
              <w:rPr>
                <w:rFonts w:ascii="宋体" w:hAnsi="宋体" w:cs="宋体"/>
                <w:color w:val="auto"/>
                <w:sz w:val="18"/>
                <w:szCs w:val="18"/>
                <w:highlight w:val="none"/>
              </w:rPr>
            </w:pPr>
            <w:r>
              <w:rPr>
                <w:rFonts w:hint="eastAsia" w:ascii="宋体" w:hAnsi="宋体" w:cs="宋体"/>
                <w:color w:val="auto"/>
                <w:sz w:val="18"/>
                <w:szCs w:val="18"/>
                <w:highlight w:val="none"/>
              </w:rPr>
              <w:t>轿厢应保持清洁</w:t>
            </w:r>
          </w:p>
        </w:tc>
        <w:tc>
          <w:tcPr>
            <w:tcW w:w="3114" w:type="dxa"/>
            <w:noWrap w:val="0"/>
            <w:vAlign w:val="center"/>
          </w:tcPr>
          <w:p w14:paraId="47D227A8">
            <w:pPr>
              <w:rPr>
                <w:rFonts w:ascii="宋体" w:hAnsi="宋体" w:cs="宋体"/>
                <w:color w:val="auto"/>
                <w:sz w:val="18"/>
                <w:szCs w:val="18"/>
                <w:highlight w:val="none"/>
              </w:rPr>
            </w:pPr>
            <w:r>
              <w:rPr>
                <w:rFonts w:hint="eastAsia" w:ascii="宋体" w:hAnsi="宋体" w:cs="宋体"/>
                <w:color w:val="auto"/>
                <w:sz w:val="18"/>
                <w:szCs w:val="18"/>
                <w:highlight w:val="none"/>
              </w:rPr>
              <w:t>不合格扣2分</w:t>
            </w:r>
          </w:p>
        </w:tc>
        <w:tc>
          <w:tcPr>
            <w:tcW w:w="808" w:type="dxa"/>
            <w:noWrap w:val="0"/>
            <w:vAlign w:val="center"/>
          </w:tcPr>
          <w:p w14:paraId="6C1C1474">
            <w:pPr>
              <w:rPr>
                <w:rFonts w:ascii="宋体" w:hAnsi="宋体" w:cs="宋体"/>
                <w:color w:val="auto"/>
                <w:sz w:val="18"/>
                <w:szCs w:val="18"/>
                <w:highlight w:val="none"/>
              </w:rPr>
            </w:pPr>
          </w:p>
        </w:tc>
      </w:tr>
      <w:tr w14:paraId="28BCD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539" w:type="dxa"/>
            <w:vMerge w:val="continue"/>
            <w:noWrap w:val="0"/>
            <w:vAlign w:val="center"/>
          </w:tcPr>
          <w:p w14:paraId="5FF2134D">
            <w:pPr>
              <w:rPr>
                <w:rFonts w:ascii="宋体" w:hAnsi="宋体" w:cs="宋体"/>
                <w:color w:val="auto"/>
                <w:sz w:val="18"/>
                <w:szCs w:val="18"/>
                <w:highlight w:val="none"/>
              </w:rPr>
            </w:pPr>
          </w:p>
        </w:tc>
        <w:tc>
          <w:tcPr>
            <w:tcW w:w="721" w:type="dxa"/>
            <w:vMerge w:val="continue"/>
            <w:noWrap w:val="0"/>
            <w:vAlign w:val="center"/>
          </w:tcPr>
          <w:p w14:paraId="4E8FA3E6">
            <w:pPr>
              <w:rPr>
                <w:rFonts w:ascii="宋体" w:hAnsi="宋体" w:cs="宋体"/>
                <w:color w:val="auto"/>
                <w:sz w:val="18"/>
                <w:szCs w:val="18"/>
                <w:highlight w:val="none"/>
              </w:rPr>
            </w:pPr>
          </w:p>
        </w:tc>
        <w:tc>
          <w:tcPr>
            <w:tcW w:w="3960" w:type="dxa"/>
            <w:noWrap w:val="0"/>
            <w:vAlign w:val="center"/>
          </w:tcPr>
          <w:p w14:paraId="08D64C52">
            <w:pP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运行出现故障，应及时通知专业人员在规定时间内到达现场检修 </w:t>
            </w:r>
          </w:p>
        </w:tc>
        <w:tc>
          <w:tcPr>
            <w:tcW w:w="3114" w:type="dxa"/>
            <w:noWrap w:val="0"/>
            <w:vAlign w:val="center"/>
          </w:tcPr>
          <w:p w14:paraId="214163B9">
            <w:pPr>
              <w:rPr>
                <w:rFonts w:ascii="宋体" w:hAnsi="宋体" w:cs="宋体"/>
                <w:color w:val="auto"/>
                <w:sz w:val="18"/>
                <w:szCs w:val="18"/>
                <w:highlight w:val="none"/>
              </w:rPr>
            </w:pPr>
            <w:r>
              <w:rPr>
                <w:rFonts w:hint="eastAsia" w:ascii="宋体" w:hAnsi="宋体" w:cs="宋体"/>
                <w:color w:val="auto"/>
                <w:sz w:val="18"/>
                <w:szCs w:val="18"/>
                <w:highlight w:val="none"/>
              </w:rPr>
              <w:t>不合格扣2分</w:t>
            </w:r>
          </w:p>
        </w:tc>
        <w:tc>
          <w:tcPr>
            <w:tcW w:w="808" w:type="dxa"/>
            <w:noWrap w:val="0"/>
            <w:vAlign w:val="center"/>
          </w:tcPr>
          <w:p w14:paraId="22E2D6E8">
            <w:pPr>
              <w:rPr>
                <w:rFonts w:ascii="宋体" w:hAnsi="宋体" w:cs="宋体"/>
                <w:color w:val="auto"/>
                <w:sz w:val="18"/>
                <w:szCs w:val="18"/>
                <w:highlight w:val="none"/>
              </w:rPr>
            </w:pPr>
          </w:p>
        </w:tc>
      </w:tr>
      <w:tr w14:paraId="729F5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539" w:type="dxa"/>
            <w:vMerge w:val="continue"/>
            <w:noWrap w:val="0"/>
            <w:vAlign w:val="center"/>
          </w:tcPr>
          <w:p w14:paraId="1032D916">
            <w:pPr>
              <w:rPr>
                <w:rFonts w:ascii="宋体" w:hAnsi="宋体" w:cs="宋体"/>
                <w:color w:val="auto"/>
                <w:sz w:val="18"/>
                <w:szCs w:val="18"/>
                <w:highlight w:val="none"/>
              </w:rPr>
            </w:pPr>
          </w:p>
        </w:tc>
        <w:tc>
          <w:tcPr>
            <w:tcW w:w="721" w:type="dxa"/>
            <w:vMerge w:val="continue"/>
            <w:noWrap w:val="0"/>
            <w:vAlign w:val="center"/>
          </w:tcPr>
          <w:p w14:paraId="7C822038">
            <w:pPr>
              <w:rPr>
                <w:rFonts w:ascii="宋体" w:hAnsi="宋体" w:cs="宋体"/>
                <w:color w:val="auto"/>
                <w:sz w:val="18"/>
                <w:szCs w:val="18"/>
                <w:highlight w:val="none"/>
              </w:rPr>
            </w:pPr>
          </w:p>
        </w:tc>
        <w:tc>
          <w:tcPr>
            <w:tcW w:w="3960" w:type="dxa"/>
            <w:noWrap w:val="0"/>
            <w:vAlign w:val="center"/>
          </w:tcPr>
          <w:p w14:paraId="209462F9">
            <w:pPr>
              <w:rPr>
                <w:rFonts w:ascii="宋体" w:hAnsi="宋体" w:cs="宋体"/>
                <w:color w:val="auto"/>
                <w:sz w:val="18"/>
                <w:szCs w:val="18"/>
                <w:highlight w:val="none"/>
              </w:rPr>
            </w:pPr>
            <w:r>
              <w:rPr>
                <w:rFonts w:hint="eastAsia" w:ascii="宋体" w:hAnsi="宋体" w:cs="宋体"/>
                <w:color w:val="auto"/>
                <w:sz w:val="18"/>
                <w:szCs w:val="18"/>
                <w:highlight w:val="none"/>
              </w:rPr>
              <w:t>底坑不得渗水、无积水、 清洁；</w:t>
            </w:r>
          </w:p>
        </w:tc>
        <w:tc>
          <w:tcPr>
            <w:tcW w:w="3114" w:type="dxa"/>
            <w:noWrap w:val="0"/>
            <w:vAlign w:val="center"/>
          </w:tcPr>
          <w:p w14:paraId="36D8845A">
            <w:pPr>
              <w:rPr>
                <w:rFonts w:ascii="宋体" w:hAnsi="宋体" w:cs="宋体"/>
                <w:color w:val="auto"/>
                <w:sz w:val="18"/>
                <w:szCs w:val="18"/>
                <w:highlight w:val="none"/>
              </w:rPr>
            </w:pPr>
            <w:r>
              <w:rPr>
                <w:rFonts w:hint="eastAsia" w:ascii="宋体" w:hAnsi="宋体" w:cs="宋体"/>
                <w:color w:val="auto"/>
                <w:sz w:val="18"/>
                <w:szCs w:val="18"/>
                <w:highlight w:val="none"/>
              </w:rPr>
              <w:t>不合格扣1分</w:t>
            </w:r>
          </w:p>
        </w:tc>
        <w:tc>
          <w:tcPr>
            <w:tcW w:w="808" w:type="dxa"/>
            <w:noWrap w:val="0"/>
            <w:vAlign w:val="center"/>
          </w:tcPr>
          <w:p w14:paraId="5B2DCB58">
            <w:pPr>
              <w:rPr>
                <w:rFonts w:ascii="宋体" w:hAnsi="宋体" w:cs="宋体"/>
                <w:color w:val="auto"/>
                <w:sz w:val="18"/>
                <w:szCs w:val="18"/>
                <w:highlight w:val="none"/>
              </w:rPr>
            </w:pPr>
          </w:p>
        </w:tc>
      </w:tr>
    </w:tbl>
    <w:p w14:paraId="23DB4A3C">
      <w:pPr>
        <w:pStyle w:val="26"/>
        <w:ind w:firstLine="210"/>
        <w:rPr>
          <w:rFonts w:hint="eastAsia"/>
          <w:color w:val="auto"/>
          <w:highlight w:val="none"/>
        </w:rPr>
      </w:pPr>
      <w:r>
        <w:rPr>
          <w:rFonts w:hint="eastAsia"/>
          <w:color w:val="auto"/>
          <w:highlight w:val="none"/>
        </w:rPr>
        <w:t>考核分值为100分。每次考核按照《评分细则》规定进行。本文件未尽考核事项，签订合同前招标人有权增加、补充相关考核评分细则，中标供应商必须无条件服从。</w:t>
      </w:r>
    </w:p>
    <w:p w14:paraId="51D67692">
      <w:pPr>
        <w:pStyle w:val="26"/>
        <w:ind w:firstLine="210"/>
        <w:rPr>
          <w:rFonts w:hint="eastAsia"/>
          <w:color w:val="auto"/>
          <w:highlight w:val="none"/>
        </w:rPr>
      </w:pPr>
      <w:r>
        <w:rPr>
          <w:rFonts w:hint="eastAsia"/>
          <w:color w:val="auto"/>
          <w:highlight w:val="none"/>
        </w:rPr>
        <w:t>(三)考核措施</w:t>
      </w:r>
    </w:p>
    <w:p w14:paraId="4FBC27E2">
      <w:pPr>
        <w:pStyle w:val="26"/>
        <w:ind w:firstLine="210"/>
        <w:rPr>
          <w:rFonts w:hint="eastAsia"/>
          <w:color w:val="auto"/>
          <w:highlight w:val="none"/>
        </w:rPr>
      </w:pPr>
      <w:r>
        <w:rPr>
          <w:rFonts w:hint="eastAsia"/>
          <w:color w:val="auto"/>
          <w:highlight w:val="none"/>
        </w:rPr>
        <w:t>1.每月考核得分在90分(含90分)以上为合格。</w:t>
      </w:r>
    </w:p>
    <w:p w14:paraId="3201E4D3">
      <w:pPr>
        <w:pStyle w:val="26"/>
        <w:ind w:firstLine="210"/>
        <w:rPr>
          <w:rFonts w:hint="eastAsia"/>
          <w:color w:val="auto"/>
          <w:highlight w:val="none"/>
        </w:rPr>
      </w:pPr>
      <w:r>
        <w:rPr>
          <w:rFonts w:hint="eastAsia"/>
          <w:color w:val="auto"/>
          <w:highlight w:val="none"/>
        </w:rPr>
        <w:t>2.被媒体曝光，确属本职工作失误或失职，造成不良影响的，在当月总分中扣4分。</w:t>
      </w:r>
    </w:p>
    <w:p w14:paraId="2B2D2E59">
      <w:pPr>
        <w:pStyle w:val="26"/>
        <w:ind w:firstLine="210"/>
        <w:rPr>
          <w:rFonts w:hint="eastAsia"/>
          <w:color w:val="auto"/>
          <w:highlight w:val="none"/>
        </w:rPr>
      </w:pPr>
      <w:r>
        <w:rPr>
          <w:rFonts w:hint="eastAsia"/>
          <w:color w:val="auto"/>
          <w:highlight w:val="none"/>
          <w:lang w:val="en-US" w:eastAsia="zh-CN"/>
        </w:rPr>
        <w:t>3</w:t>
      </w:r>
      <w:r>
        <w:rPr>
          <w:rFonts w:hint="eastAsia"/>
          <w:color w:val="auto"/>
          <w:highlight w:val="none"/>
        </w:rPr>
        <w:t>.在法定节假日和重大活动期间，因管理不到位，群众反映强烈的，在当月总分中扣</w:t>
      </w:r>
    </w:p>
    <w:p w14:paraId="098E7324">
      <w:pPr>
        <w:pStyle w:val="26"/>
        <w:ind w:firstLine="210"/>
        <w:rPr>
          <w:rFonts w:hint="eastAsia"/>
          <w:color w:val="auto"/>
          <w:highlight w:val="none"/>
        </w:rPr>
      </w:pPr>
      <w:r>
        <w:rPr>
          <w:rFonts w:hint="eastAsia"/>
          <w:color w:val="auto"/>
          <w:highlight w:val="none"/>
        </w:rPr>
        <w:t>3分。</w:t>
      </w:r>
    </w:p>
    <w:p w14:paraId="4676BAD7">
      <w:pPr>
        <w:pStyle w:val="26"/>
        <w:ind w:firstLine="210"/>
        <w:rPr>
          <w:rFonts w:hint="eastAsia"/>
          <w:color w:val="auto"/>
          <w:highlight w:val="none"/>
        </w:rPr>
      </w:pPr>
      <w:r>
        <w:rPr>
          <w:rFonts w:hint="eastAsia"/>
          <w:color w:val="auto"/>
          <w:highlight w:val="none"/>
          <w:lang w:val="en-US" w:eastAsia="zh-CN"/>
        </w:rPr>
        <w:t>4</w:t>
      </w:r>
      <w:r>
        <w:rPr>
          <w:rFonts w:hint="eastAsia"/>
          <w:color w:val="auto"/>
          <w:highlight w:val="none"/>
        </w:rPr>
        <w:t>.连续两个月考核在90分以下的或一年平均考核在90分以下的，采购人有权随时终止合同，造成的影响和损失由承包方承担。</w:t>
      </w:r>
    </w:p>
    <w:bookmarkEnd w:id="38"/>
    <w:bookmarkEnd w:id="40"/>
    <w:p w14:paraId="41262676">
      <w:pPr>
        <w:rPr>
          <w:rFonts w:asciiTheme="minorEastAsia" w:hAnsiTheme="minorEastAsia" w:eastAsiaTheme="minorEastAsia"/>
          <w:b/>
          <w:color w:val="auto"/>
          <w:sz w:val="28"/>
          <w:highlight w:val="none"/>
        </w:rPr>
      </w:pPr>
      <w:bookmarkStart w:id="45" w:name="_Toc3538"/>
      <w:r>
        <w:rPr>
          <w:rFonts w:hint="eastAsia" w:asciiTheme="minorEastAsia" w:hAnsiTheme="minorEastAsia" w:eastAsiaTheme="minorEastAsia"/>
          <w:b/>
          <w:color w:val="auto"/>
          <w:sz w:val="28"/>
          <w:highlight w:val="none"/>
        </w:rPr>
        <w:br w:type="page"/>
      </w:r>
    </w:p>
    <w:bookmarkEnd w:id="45"/>
    <w:p w14:paraId="6628043E">
      <w:pPr>
        <w:spacing w:line="360" w:lineRule="auto"/>
        <w:jc w:val="center"/>
        <w:outlineLvl w:val="0"/>
        <w:rPr>
          <w:rFonts w:asciiTheme="minorEastAsia" w:hAnsiTheme="minorEastAsia" w:eastAsiaTheme="minorEastAsia"/>
          <w:b/>
          <w:color w:val="auto"/>
          <w:sz w:val="28"/>
          <w:highlight w:val="none"/>
        </w:rPr>
      </w:pPr>
      <w:bookmarkStart w:id="46" w:name="_Toc30824"/>
      <w:r>
        <w:rPr>
          <w:rFonts w:hint="eastAsia" w:asciiTheme="minorEastAsia" w:hAnsiTheme="minorEastAsia" w:eastAsiaTheme="minorEastAsia"/>
          <w:b/>
          <w:color w:val="auto"/>
          <w:sz w:val="28"/>
          <w:highlight w:val="none"/>
        </w:rPr>
        <w:t>第四章  评标方法和标准（综合评分法）</w:t>
      </w:r>
      <w:bookmarkEnd w:id="46"/>
    </w:p>
    <w:p w14:paraId="1625F427">
      <w:pPr>
        <w:spacing w:line="360" w:lineRule="auto"/>
        <w:ind w:firstLine="437"/>
        <w:outlineLvl w:val="1"/>
        <w:rPr>
          <w:rFonts w:asciiTheme="minorEastAsia" w:hAnsiTheme="minorEastAsia" w:eastAsiaTheme="minorEastAsia"/>
          <w:b/>
          <w:color w:val="auto"/>
          <w:sz w:val="24"/>
          <w:highlight w:val="none"/>
        </w:rPr>
      </w:pPr>
      <w:bookmarkStart w:id="47" w:name="_Toc11823"/>
      <w:bookmarkStart w:id="48" w:name="_Toc4705"/>
      <w:r>
        <w:rPr>
          <w:rFonts w:hint="eastAsia" w:asciiTheme="minorEastAsia" w:hAnsiTheme="minorEastAsia" w:eastAsiaTheme="minorEastAsia"/>
          <w:b/>
          <w:color w:val="auto"/>
          <w:sz w:val="24"/>
          <w:highlight w:val="none"/>
        </w:rPr>
        <w:t>一、总则</w:t>
      </w:r>
      <w:bookmarkEnd w:id="47"/>
      <w:bookmarkEnd w:id="48"/>
    </w:p>
    <w:p w14:paraId="1F1F8A8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 投标人须知的相关要求</w:t>
      </w:r>
      <w:r>
        <w:rPr>
          <w:rFonts w:asciiTheme="minorEastAsia" w:hAnsiTheme="minorEastAsia" w:eastAsiaTheme="minorEastAsia"/>
          <w:color w:val="auto"/>
          <w:sz w:val="24"/>
          <w:highlight w:val="none"/>
        </w:rPr>
        <w:t>及本章的规定评标。</w:t>
      </w:r>
    </w:p>
    <w:p w14:paraId="726318C0">
      <w:pPr>
        <w:spacing w:line="360" w:lineRule="auto"/>
        <w:ind w:firstLine="437"/>
        <w:outlineLvl w:val="1"/>
        <w:rPr>
          <w:rFonts w:asciiTheme="minorEastAsia" w:hAnsiTheme="minorEastAsia" w:eastAsiaTheme="minorEastAsia"/>
          <w:b/>
          <w:color w:val="auto"/>
          <w:sz w:val="24"/>
          <w:highlight w:val="none"/>
        </w:rPr>
      </w:pPr>
      <w:bookmarkStart w:id="49" w:name="_Toc32410"/>
      <w:bookmarkStart w:id="50" w:name="_Toc31871"/>
      <w:r>
        <w:rPr>
          <w:rFonts w:hint="eastAsia" w:asciiTheme="minorEastAsia" w:hAnsiTheme="minorEastAsia" w:eastAsiaTheme="minorEastAsia"/>
          <w:b/>
          <w:color w:val="auto"/>
          <w:sz w:val="24"/>
          <w:highlight w:val="none"/>
        </w:rPr>
        <w:t>二、评标方法</w:t>
      </w:r>
      <w:bookmarkEnd w:id="49"/>
      <w:bookmarkEnd w:id="50"/>
    </w:p>
    <w:p w14:paraId="4003F5E3">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8"/>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651"/>
        <w:gridCol w:w="4557"/>
        <w:gridCol w:w="1891"/>
      </w:tblGrid>
      <w:tr w14:paraId="55BD0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6FEAEB74">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09323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485C4C6E">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42" w:type="pct"/>
            <w:tcBorders>
              <w:bottom w:val="single" w:color="auto" w:sz="4" w:space="0"/>
            </w:tcBorders>
            <w:vAlign w:val="center"/>
          </w:tcPr>
          <w:p w14:paraId="43964E85">
            <w:pPr>
              <w:pStyle w:val="47"/>
              <w:pBdr>
                <w:bottom w:val="none" w:color="auto" w:sz="0" w:space="0"/>
              </w:pBdr>
              <w:tabs>
                <w:tab w:val="clear" w:pos="4153"/>
                <w:tab w:val="clear" w:pos="8306"/>
              </w:tabs>
              <w:snapToGrid w:val="0"/>
              <w:spacing w:line="360" w:lineRule="auto"/>
              <w:ind w:right="-10"/>
              <w:textAlignment w:val="auto"/>
              <w:rPr>
                <w:rFonts w:ascii="宋体" w:hAnsi="宋体" w:eastAsia="宋体"/>
                <w:color w:val="auto"/>
                <w:kern w:val="2"/>
                <w:szCs w:val="24"/>
                <w:highlight w:val="none"/>
              </w:rPr>
            </w:pPr>
            <w:r>
              <w:rPr>
                <w:rFonts w:hint="eastAsia" w:ascii="宋体" w:hAnsi="宋体" w:eastAsia="宋体"/>
                <w:color w:val="auto"/>
                <w:kern w:val="2"/>
                <w:szCs w:val="24"/>
                <w:highlight w:val="none"/>
              </w:rPr>
              <w:t>审查因素</w:t>
            </w:r>
          </w:p>
        </w:tc>
        <w:tc>
          <w:tcPr>
            <w:tcW w:w="2601" w:type="pct"/>
            <w:tcBorders>
              <w:bottom w:val="single" w:color="auto" w:sz="4" w:space="0"/>
            </w:tcBorders>
            <w:vAlign w:val="center"/>
          </w:tcPr>
          <w:p w14:paraId="0F807AA5">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审查内容</w:t>
            </w:r>
          </w:p>
        </w:tc>
        <w:tc>
          <w:tcPr>
            <w:tcW w:w="1076" w:type="pct"/>
            <w:tcBorders>
              <w:bottom w:val="single" w:color="auto" w:sz="4" w:space="0"/>
            </w:tcBorders>
            <w:vAlign w:val="center"/>
          </w:tcPr>
          <w:p w14:paraId="54FC6ECA">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6D6A1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8" w:type="pct"/>
            <w:tcBorders>
              <w:bottom w:val="single" w:color="auto" w:sz="4" w:space="0"/>
            </w:tcBorders>
            <w:vAlign w:val="center"/>
          </w:tcPr>
          <w:p w14:paraId="63179BED">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942" w:type="pct"/>
            <w:tcBorders>
              <w:bottom w:val="single" w:color="auto" w:sz="4" w:space="0"/>
            </w:tcBorders>
            <w:vAlign w:val="center"/>
          </w:tcPr>
          <w:p w14:paraId="68B1ACC7">
            <w:pPr>
              <w:spacing w:after="50" w:line="360" w:lineRule="auto"/>
              <w:ind w:right="-10"/>
              <w:jc w:val="center"/>
              <w:rPr>
                <w:rFonts w:ascii="宋体" w:hAnsi="宋体" w:eastAsia="宋体"/>
                <w:color w:val="auto"/>
                <w:sz w:val="24"/>
                <w:szCs w:val="28"/>
                <w:highlight w:val="none"/>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601" w:type="pct"/>
            <w:tcBorders>
              <w:bottom w:val="single" w:color="auto" w:sz="4" w:space="0"/>
            </w:tcBorders>
            <w:vAlign w:val="center"/>
          </w:tcPr>
          <w:p w14:paraId="062E056C">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供有效的营业执照；</w:t>
            </w:r>
          </w:p>
          <w:p w14:paraId="2A2B0E3C">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供有效的事业单位法人证书；</w:t>
            </w:r>
          </w:p>
          <w:p w14:paraId="7594B8AB">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登记证书等证明文件；</w:t>
            </w:r>
          </w:p>
          <w:p w14:paraId="55D5B5C6">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供有效的个体工商户营业执照；</w:t>
            </w:r>
          </w:p>
          <w:p w14:paraId="4008AE82">
            <w:pPr>
              <w:spacing w:after="50" w:line="360" w:lineRule="auto"/>
              <w:ind w:right="-10"/>
              <w:jc w:val="left"/>
              <w:rPr>
                <w:rFonts w:ascii="宋体" w:hAnsi="宋体" w:eastAsia="宋体"/>
                <w:color w:val="auto"/>
                <w:sz w:val="24"/>
                <w:szCs w:val="28"/>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供有效的自然人身份证明。</w:t>
            </w:r>
          </w:p>
        </w:tc>
        <w:tc>
          <w:tcPr>
            <w:tcW w:w="1076" w:type="pct"/>
            <w:vAlign w:val="center"/>
          </w:tcPr>
          <w:p w14:paraId="05A6A6BA">
            <w:pPr>
              <w:spacing w:line="360" w:lineRule="auto"/>
              <w:jc w:val="left"/>
              <w:rPr>
                <w:rFonts w:ascii="宋体" w:hAnsi="宋体" w:eastAsia="宋体"/>
                <w:color w:val="auto"/>
                <w:sz w:val="24"/>
                <w:highlight w:val="none"/>
              </w:rPr>
            </w:pPr>
            <w:r>
              <w:rPr>
                <w:rFonts w:hint="eastAsia" w:ascii="宋体" w:hAnsi="宋体" w:eastAsia="宋体" w:cs="宋体"/>
                <w:color w:val="auto"/>
                <w:sz w:val="24"/>
                <w:szCs w:val="24"/>
                <w:highlight w:val="none"/>
              </w:rPr>
              <w:t>提供材料扫描件或电子证照，应完整的体现出材料或电子证照全部内容。联合体投标的联合体各方均须提供。</w:t>
            </w:r>
          </w:p>
        </w:tc>
      </w:tr>
      <w:tr w14:paraId="206AC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8" w:type="pct"/>
            <w:tcBorders>
              <w:bottom w:val="single" w:color="auto" w:sz="4" w:space="0"/>
            </w:tcBorders>
            <w:vAlign w:val="center"/>
          </w:tcPr>
          <w:p w14:paraId="2654A6C7">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942" w:type="pct"/>
            <w:tcBorders>
              <w:bottom w:val="single" w:color="auto" w:sz="4" w:space="0"/>
            </w:tcBorders>
            <w:vAlign w:val="center"/>
          </w:tcPr>
          <w:p w14:paraId="0D7906A8">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18"/>
                <w:highlight w:val="none"/>
              </w:rPr>
              <w:t>投标人资格声明书</w:t>
            </w:r>
          </w:p>
        </w:tc>
        <w:tc>
          <w:tcPr>
            <w:tcW w:w="2601" w:type="pct"/>
            <w:tcBorders>
              <w:bottom w:val="single" w:color="auto" w:sz="4" w:space="0"/>
            </w:tcBorders>
            <w:vAlign w:val="center"/>
          </w:tcPr>
          <w:p w14:paraId="74B69B14">
            <w:pPr>
              <w:spacing w:after="50" w:line="360" w:lineRule="auto"/>
              <w:ind w:right="-10"/>
              <w:jc w:val="left"/>
              <w:rPr>
                <w:rFonts w:ascii="宋体" w:hAnsi="宋体" w:eastAsia="宋体"/>
                <w:color w:val="auto"/>
                <w:sz w:val="24"/>
                <w:szCs w:val="28"/>
                <w:highlight w:val="none"/>
              </w:rPr>
            </w:pP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rPr>
              <w:t>。</w:t>
            </w:r>
          </w:p>
        </w:tc>
        <w:tc>
          <w:tcPr>
            <w:tcW w:w="1076" w:type="pct"/>
            <w:vAlign w:val="center"/>
          </w:tcPr>
          <w:p w14:paraId="15D9EE23">
            <w:pPr>
              <w:spacing w:line="360" w:lineRule="auto"/>
              <w:jc w:val="left"/>
              <w:rPr>
                <w:rFonts w:ascii="宋体" w:hAnsi="宋体" w:eastAsia="宋体" w:cs="宋体"/>
                <w:color w:val="auto"/>
                <w:sz w:val="24"/>
                <w:szCs w:val="24"/>
                <w:highlight w:val="none"/>
              </w:rPr>
            </w:pPr>
            <w:r>
              <w:rPr>
                <w:rFonts w:hint="eastAsia" w:ascii="宋体" w:hAnsi="宋体" w:eastAsia="宋体"/>
                <w:color w:val="auto"/>
                <w:sz w:val="24"/>
                <w:highlight w:val="none"/>
              </w:rPr>
              <w:t>详见第六章投标文件格式。</w:t>
            </w:r>
          </w:p>
        </w:tc>
      </w:tr>
      <w:tr w14:paraId="0E951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4DF91774">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942" w:type="pct"/>
            <w:tcBorders>
              <w:bottom w:val="single" w:color="auto" w:sz="4" w:space="0"/>
            </w:tcBorders>
            <w:vAlign w:val="center"/>
          </w:tcPr>
          <w:p w14:paraId="578F3282">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1" w:type="pct"/>
            <w:tcBorders>
              <w:bottom w:val="single" w:color="auto" w:sz="4" w:space="0"/>
            </w:tcBorders>
            <w:vAlign w:val="center"/>
          </w:tcPr>
          <w:p w14:paraId="61D46AED">
            <w:pPr>
              <w:spacing w:after="50" w:line="360" w:lineRule="auto"/>
              <w:ind w:right="-10"/>
              <w:jc w:val="left"/>
              <w:rPr>
                <w:color w:val="auto"/>
                <w:highlight w:val="none"/>
              </w:rPr>
            </w:pPr>
            <w:r>
              <w:rPr>
                <w:rFonts w:hint="eastAsia" w:ascii="宋体" w:hAnsi="宋体" w:eastAsia="宋体" w:cs="宋体"/>
                <w:color w:val="auto"/>
                <w:sz w:val="24"/>
                <w:szCs w:val="24"/>
                <w:highlight w:val="none"/>
                <w:lang w:val="zh-CN"/>
              </w:rPr>
              <w:t>投标人不得存在投标人须知正文第1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76" w:type="pct"/>
            <w:tcBorders>
              <w:bottom w:val="single" w:color="auto" w:sz="4" w:space="0"/>
            </w:tcBorders>
            <w:vAlign w:val="center"/>
          </w:tcPr>
          <w:p w14:paraId="31471B18">
            <w:pPr>
              <w:spacing w:line="360" w:lineRule="auto"/>
              <w:jc w:val="left"/>
              <w:rPr>
                <w:color w:val="auto"/>
                <w:highlight w:val="none"/>
              </w:rPr>
            </w:pPr>
            <w:r>
              <w:rPr>
                <w:rFonts w:hint="eastAsia" w:ascii="宋体" w:hAnsi="宋体" w:eastAsia="宋体" w:cs="宋体"/>
                <w:color w:val="auto"/>
                <w:sz w:val="24"/>
                <w:szCs w:val="24"/>
                <w:highlight w:val="none"/>
              </w:rPr>
              <w:t>无须投标人提供，由采购人或采购代理机构查询。</w:t>
            </w:r>
          </w:p>
        </w:tc>
      </w:tr>
      <w:tr w14:paraId="7AA8D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5181D26D">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942" w:type="pct"/>
            <w:tcBorders>
              <w:bottom w:val="single" w:color="auto" w:sz="4" w:space="0"/>
            </w:tcBorders>
            <w:vAlign w:val="center"/>
          </w:tcPr>
          <w:p w14:paraId="68B213D7">
            <w:pPr>
              <w:spacing w:after="50" w:line="360" w:lineRule="auto"/>
              <w:ind w:right="-1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中小企业证明文件（</w:t>
            </w:r>
            <w:r>
              <w:rPr>
                <w:rFonts w:hint="eastAsia" w:ascii="宋体" w:hAnsi="宋体" w:eastAsia="宋体" w:cs="宋体"/>
                <w:i/>
                <w:iCs/>
                <w:color w:val="auto"/>
                <w:sz w:val="24"/>
                <w:szCs w:val="24"/>
                <w:highlight w:val="none"/>
              </w:rPr>
              <w:t>适用于专门面向中小企业采购项目或预留中小企业采购份额项目</w:t>
            </w:r>
            <w:r>
              <w:rPr>
                <w:rFonts w:hint="eastAsia" w:ascii="宋体" w:hAnsi="宋体" w:eastAsia="宋体" w:cs="宋体"/>
                <w:color w:val="auto"/>
                <w:sz w:val="24"/>
                <w:szCs w:val="24"/>
                <w:highlight w:val="none"/>
              </w:rPr>
              <w:t>）</w:t>
            </w:r>
          </w:p>
        </w:tc>
        <w:tc>
          <w:tcPr>
            <w:tcW w:w="2601" w:type="pct"/>
            <w:tcBorders>
              <w:bottom w:val="single" w:color="auto" w:sz="4" w:space="0"/>
            </w:tcBorders>
          </w:tcPr>
          <w:p w14:paraId="01A7014C">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olor w:val="auto"/>
                <w:sz w:val="24"/>
                <w:szCs w:val="28"/>
                <w:highlight w:val="none"/>
              </w:rPr>
              <w:t>符合申请人的资格要求中落实政府采购政策需满足的资格要求：</w:t>
            </w:r>
          </w:p>
          <w:p w14:paraId="060F4BCA">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（1）专门面向中小企业采购的，</w:t>
            </w:r>
            <w:r>
              <w:rPr>
                <w:rFonts w:hint="eastAsia" w:ascii="宋体" w:hAnsi="宋体" w:eastAsia="宋体" w:cs="宋体"/>
                <w:color w:val="auto"/>
                <w:sz w:val="24"/>
                <w:szCs w:val="24"/>
                <w:highlight w:val="none"/>
                <w:lang w:val="zh-CN"/>
              </w:rPr>
              <w:t>投标人</w:t>
            </w:r>
            <w:r>
              <w:rPr>
                <w:rFonts w:hint="eastAsia" w:ascii="宋体" w:hAnsi="宋体" w:eastAsia="宋体" w:cs="宋体"/>
                <w:color w:val="auto"/>
                <w:sz w:val="24"/>
                <w:szCs w:val="24"/>
                <w:highlight w:val="none"/>
              </w:rPr>
              <w:t>应提供《中小企业声明函》或《残疾人福利性单位声明函》或由省级以上监狱管理局、戒毒管理局（含新疆 生产建设兵团）出具的属于监狱企业的证明文件。</w:t>
            </w:r>
          </w:p>
          <w:p w14:paraId="5BAAA030">
            <w:pPr>
              <w:spacing w:after="50" w:line="360" w:lineRule="auto"/>
              <w:ind w:right="-10"/>
              <w:jc w:val="left"/>
              <w:rPr>
                <w:rFonts w:ascii="宋体" w:hAnsi="宋体" w:eastAsia="宋体" w:cs="宋体"/>
                <w:color w:val="auto"/>
                <w:sz w:val="24"/>
                <w:szCs w:val="24"/>
                <w:highlight w:val="none"/>
                <w:lang w:eastAsia="en-US"/>
              </w:rPr>
            </w:pPr>
            <w:r>
              <w:rPr>
                <w:rFonts w:hint="eastAsia" w:ascii="宋体" w:hAnsi="宋体" w:eastAsia="宋体" w:cs="宋体"/>
                <w:color w:val="auto"/>
                <w:sz w:val="24"/>
                <w:szCs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076" w:type="pct"/>
            <w:tcBorders>
              <w:bottom w:val="single" w:color="auto" w:sz="4" w:space="0"/>
            </w:tcBorders>
            <w:vAlign w:val="center"/>
          </w:tcPr>
          <w:p w14:paraId="61943669">
            <w:pPr>
              <w:spacing w:after="50" w:line="360" w:lineRule="auto"/>
              <w:ind w:right="-10"/>
              <w:jc w:val="center"/>
              <w:rPr>
                <w:rFonts w:ascii="宋体" w:hAnsi="宋体" w:eastAsia="宋体" w:cs="宋体"/>
                <w:color w:val="auto"/>
                <w:sz w:val="24"/>
                <w:szCs w:val="24"/>
                <w:highlight w:val="none"/>
              </w:rPr>
            </w:pPr>
            <w:r>
              <w:rPr>
                <w:rFonts w:hint="eastAsia" w:ascii="宋体" w:hAnsi="宋体" w:eastAsia="宋体"/>
                <w:color w:val="auto"/>
                <w:sz w:val="24"/>
                <w:highlight w:val="none"/>
              </w:rPr>
              <w:t>详见第六章投标文件格式。</w:t>
            </w:r>
          </w:p>
        </w:tc>
      </w:tr>
      <w:tr w14:paraId="721C7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Align w:val="center"/>
          </w:tcPr>
          <w:p w14:paraId="785E1970">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5</w:t>
            </w:r>
          </w:p>
        </w:tc>
        <w:tc>
          <w:tcPr>
            <w:tcW w:w="942" w:type="pct"/>
          </w:tcPr>
          <w:p w14:paraId="1A209444">
            <w:pPr>
              <w:spacing w:after="50" w:line="360" w:lineRule="auto"/>
              <w:ind w:right="-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拟分包情况说明及分包意向协议（适用于合同分包预留中小企业采购份额项目）</w:t>
            </w:r>
          </w:p>
        </w:tc>
        <w:tc>
          <w:tcPr>
            <w:tcW w:w="2601" w:type="pct"/>
            <w:vAlign w:val="center"/>
          </w:tcPr>
          <w:p w14:paraId="467D348B">
            <w:pPr>
              <w:spacing w:after="50" w:line="360" w:lineRule="auto"/>
              <w:ind w:right="-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通过分包措施预留部分采购份额面向中小企业采购、且投标人因落实政府采购政策拟进行分包的。</w:t>
            </w:r>
          </w:p>
        </w:tc>
        <w:tc>
          <w:tcPr>
            <w:tcW w:w="1076" w:type="pct"/>
            <w:vAlign w:val="center"/>
          </w:tcPr>
          <w:p w14:paraId="7A7E1F06">
            <w:pPr>
              <w:spacing w:after="50" w:line="360" w:lineRule="auto"/>
              <w:ind w:right="-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详见第六章投标文件格式。</w:t>
            </w:r>
          </w:p>
        </w:tc>
      </w:tr>
      <w:tr w14:paraId="7586E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shd w:val="clear" w:color="auto" w:fill="auto"/>
            <w:vAlign w:val="center"/>
          </w:tcPr>
          <w:p w14:paraId="78F93B79">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6</w:t>
            </w:r>
          </w:p>
        </w:tc>
        <w:tc>
          <w:tcPr>
            <w:tcW w:w="942" w:type="pct"/>
            <w:shd w:val="clear" w:color="auto" w:fill="auto"/>
            <w:vAlign w:val="center"/>
          </w:tcPr>
          <w:p w14:paraId="4D180BBB">
            <w:pPr>
              <w:spacing w:after="50" w:line="360" w:lineRule="auto"/>
              <w:ind w:right="-1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其它落实政府采购政策的资格要求</w:t>
            </w:r>
          </w:p>
        </w:tc>
        <w:tc>
          <w:tcPr>
            <w:tcW w:w="2601" w:type="pct"/>
            <w:shd w:val="clear" w:color="auto" w:fill="auto"/>
            <w:vAlign w:val="center"/>
          </w:tcPr>
          <w:p w14:paraId="15E312D3">
            <w:pPr>
              <w:spacing w:after="50" w:line="360" w:lineRule="auto"/>
              <w:ind w:right="-1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如有，见第一章《投标邀请》</w:t>
            </w:r>
          </w:p>
        </w:tc>
        <w:tc>
          <w:tcPr>
            <w:tcW w:w="1076" w:type="pct"/>
            <w:shd w:val="clear" w:color="auto" w:fill="auto"/>
            <w:vAlign w:val="center"/>
          </w:tcPr>
          <w:p w14:paraId="0D47598B">
            <w:pPr>
              <w:spacing w:after="50" w:line="360" w:lineRule="auto"/>
              <w:ind w:right="-1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材料</w:t>
            </w:r>
            <w:r>
              <w:rPr>
                <w:rFonts w:hint="eastAsia" w:ascii="宋体" w:hAnsi="宋体" w:eastAsia="宋体" w:cs="宋体"/>
                <w:color w:val="auto"/>
                <w:sz w:val="24"/>
                <w:szCs w:val="24"/>
                <w:highlight w:val="none"/>
              </w:rPr>
              <w:t>扫描件</w:t>
            </w:r>
            <w:r>
              <w:rPr>
                <w:rFonts w:hint="eastAsia" w:ascii="宋体" w:hAnsi="宋体" w:eastAsia="宋体" w:cs="宋体"/>
                <w:color w:val="auto"/>
                <w:sz w:val="24"/>
                <w:szCs w:val="24"/>
                <w:highlight w:val="none"/>
                <w:lang w:val="en-US" w:eastAsia="zh-CN"/>
              </w:rPr>
              <w:t>或电子证照</w:t>
            </w:r>
            <w:r>
              <w:rPr>
                <w:rFonts w:hint="eastAsia" w:ascii="宋体" w:hAnsi="宋体" w:eastAsia="宋体" w:cs="宋体"/>
                <w:color w:val="auto"/>
                <w:sz w:val="24"/>
                <w:szCs w:val="24"/>
                <w:highlight w:val="none"/>
              </w:rPr>
              <w:t>，应完整的体现出</w:t>
            </w:r>
            <w:r>
              <w:rPr>
                <w:rFonts w:hint="eastAsia" w:ascii="宋体" w:hAnsi="宋体" w:eastAsia="宋体" w:cs="宋体"/>
                <w:color w:val="auto"/>
                <w:sz w:val="24"/>
                <w:szCs w:val="24"/>
                <w:highlight w:val="none"/>
                <w:lang w:val="en-US" w:eastAsia="zh-CN"/>
              </w:rPr>
              <w:t>材料或电子证照</w:t>
            </w:r>
            <w:r>
              <w:rPr>
                <w:rFonts w:hint="eastAsia" w:ascii="宋体" w:hAnsi="宋体" w:eastAsia="宋体" w:cs="宋体"/>
                <w:color w:val="auto"/>
                <w:sz w:val="24"/>
                <w:szCs w:val="24"/>
                <w:highlight w:val="none"/>
              </w:rPr>
              <w:t>全部内容。</w:t>
            </w:r>
            <w:r>
              <w:rPr>
                <w:rFonts w:hint="eastAsia" w:ascii="宋体" w:hAnsi="宋体" w:eastAsia="宋体" w:cs="宋体"/>
                <w:color w:val="auto"/>
                <w:sz w:val="24"/>
                <w:szCs w:val="24"/>
                <w:highlight w:val="none"/>
                <w:lang w:val="en-US" w:eastAsia="zh-CN"/>
              </w:rPr>
              <w:t>（本条可根据项目需要编辑）</w:t>
            </w:r>
          </w:p>
        </w:tc>
      </w:tr>
      <w:tr w14:paraId="1FB56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shd w:val="clear" w:color="auto" w:fill="auto"/>
            <w:vAlign w:val="center"/>
          </w:tcPr>
          <w:p w14:paraId="751AB575">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7</w:t>
            </w:r>
          </w:p>
        </w:tc>
        <w:tc>
          <w:tcPr>
            <w:tcW w:w="942" w:type="pct"/>
            <w:shd w:val="clear" w:color="auto" w:fill="auto"/>
            <w:vAlign w:val="center"/>
          </w:tcPr>
          <w:p w14:paraId="20AAA3FA">
            <w:pPr>
              <w:spacing w:after="50" w:line="360" w:lineRule="auto"/>
              <w:ind w:right="-1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本项目对于联合体的要求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适用于接受联合体投标项目</w:t>
            </w:r>
            <w:r>
              <w:rPr>
                <w:rFonts w:hint="eastAsia" w:ascii="宋体" w:hAnsi="宋体" w:eastAsia="宋体" w:cs="宋体"/>
                <w:color w:val="auto"/>
                <w:sz w:val="24"/>
                <w:szCs w:val="24"/>
                <w:highlight w:val="none"/>
                <w:lang w:eastAsia="zh-CN"/>
              </w:rPr>
              <w:t>）</w:t>
            </w:r>
          </w:p>
        </w:tc>
        <w:tc>
          <w:tcPr>
            <w:tcW w:w="2601" w:type="pct"/>
            <w:shd w:val="clear" w:color="auto" w:fill="auto"/>
            <w:vAlign w:val="center"/>
          </w:tcPr>
          <w:p w14:paraId="05530199">
            <w:pPr>
              <w:spacing w:after="50" w:line="360" w:lineRule="auto"/>
              <w:ind w:right="-1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联合体投标的详见</w:t>
            </w:r>
            <w:r>
              <w:rPr>
                <w:rFonts w:hint="eastAsia" w:ascii="宋体" w:hAnsi="宋体" w:eastAsia="宋体" w:cs="宋体"/>
                <w:color w:val="auto"/>
                <w:sz w:val="24"/>
                <w:szCs w:val="24"/>
                <w:highlight w:val="none"/>
                <w:lang w:val="zh-CN" w:eastAsia="zh-CN"/>
              </w:rPr>
              <w:t>投标人须知正文第</w:t>
            </w:r>
            <w:r>
              <w:rPr>
                <w:rFonts w:hint="eastAsia" w:ascii="宋体" w:hAnsi="宋体" w:eastAsia="宋体" w:cs="宋体"/>
                <w:color w:val="auto"/>
                <w:sz w:val="24"/>
                <w:szCs w:val="24"/>
                <w:highlight w:val="none"/>
                <w:lang w:val="en-US" w:eastAsia="zh-CN"/>
              </w:rPr>
              <w:t>1.5，且提供《联合协议》。</w:t>
            </w:r>
          </w:p>
        </w:tc>
        <w:tc>
          <w:tcPr>
            <w:tcW w:w="1076" w:type="pct"/>
            <w:shd w:val="clear" w:color="auto" w:fill="auto"/>
            <w:vAlign w:val="center"/>
          </w:tcPr>
          <w:p w14:paraId="0B493749">
            <w:pPr>
              <w:spacing w:after="50" w:line="360" w:lineRule="auto"/>
              <w:ind w:right="-1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《联合协议》</w:t>
            </w:r>
            <w:r>
              <w:rPr>
                <w:rFonts w:hint="eastAsia" w:ascii="宋体" w:hAnsi="宋体" w:eastAsia="宋体" w:cs="宋体"/>
                <w:color w:val="auto"/>
                <w:sz w:val="24"/>
                <w:szCs w:val="24"/>
                <w:highlight w:val="none"/>
              </w:rPr>
              <w:t>详见第六章投标文件格式</w:t>
            </w:r>
            <w:r>
              <w:rPr>
                <w:rFonts w:hint="eastAsia" w:ascii="宋体" w:hAnsi="宋体" w:eastAsia="宋体" w:cs="宋体"/>
                <w:color w:val="auto"/>
                <w:sz w:val="24"/>
                <w:szCs w:val="24"/>
                <w:highlight w:val="none"/>
                <w:lang w:eastAsia="zh-CN"/>
              </w:rPr>
              <w:t>。</w:t>
            </w:r>
          </w:p>
        </w:tc>
      </w:tr>
      <w:tr w14:paraId="20D7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shd w:val="clear" w:color="auto" w:fill="auto"/>
            <w:vAlign w:val="center"/>
          </w:tcPr>
          <w:p w14:paraId="01D44ACA">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8</w:t>
            </w:r>
          </w:p>
        </w:tc>
        <w:tc>
          <w:tcPr>
            <w:tcW w:w="942" w:type="pct"/>
            <w:tcBorders>
              <w:bottom w:val="single" w:color="auto" w:sz="4" w:space="0"/>
            </w:tcBorders>
            <w:shd w:val="clear" w:color="auto" w:fill="auto"/>
            <w:vAlign w:val="center"/>
          </w:tcPr>
          <w:p w14:paraId="1A23D641">
            <w:pPr>
              <w:spacing w:after="50" w:line="360" w:lineRule="auto"/>
              <w:ind w:right="-10" w:rightChars="0"/>
              <w:jc w:val="both"/>
              <w:rPr>
                <w:rFonts w:hint="eastAsia" w:ascii="宋体" w:hAnsi="宋体" w:eastAsia="宋体" w:cs="宋体"/>
                <w:color w:val="auto"/>
                <w:spacing w:val="10"/>
                <w:kern w:val="2"/>
                <w:sz w:val="24"/>
                <w:szCs w:val="24"/>
                <w:highlight w:val="none"/>
                <w:lang w:val="en-US" w:eastAsia="zh-CN" w:bidi="ar-SA"/>
              </w:rPr>
            </w:pPr>
            <w:r>
              <w:rPr>
                <w:rFonts w:ascii="宋体" w:hAnsi="宋体" w:eastAsia="宋体" w:cs="宋体"/>
                <w:color w:val="auto"/>
                <w:spacing w:val="10"/>
                <w:sz w:val="24"/>
                <w:szCs w:val="24"/>
                <w:highlight w:val="none"/>
              </w:rPr>
              <w:t>其他特定资格要求</w:t>
            </w:r>
          </w:p>
        </w:tc>
        <w:tc>
          <w:tcPr>
            <w:tcW w:w="2601" w:type="pct"/>
            <w:tcBorders>
              <w:bottom w:val="single" w:color="auto" w:sz="4" w:space="0"/>
            </w:tcBorders>
            <w:shd w:val="clear" w:color="auto" w:fill="auto"/>
            <w:vAlign w:val="center"/>
          </w:tcPr>
          <w:p w14:paraId="57D585FF">
            <w:pPr>
              <w:spacing w:after="50" w:line="360" w:lineRule="auto"/>
              <w:ind w:right="-10" w:rightChars="0"/>
              <w:jc w:val="both"/>
              <w:rPr>
                <w:rFonts w:hint="eastAsia" w:ascii="宋体" w:hAnsi="宋体" w:eastAsia="宋体" w:cs="宋体"/>
                <w:color w:val="auto"/>
                <w:spacing w:val="10"/>
                <w:kern w:val="2"/>
                <w:sz w:val="24"/>
                <w:szCs w:val="24"/>
                <w:highlight w:val="none"/>
                <w:lang w:val="en-US" w:eastAsia="zh-CN" w:bidi="ar-SA"/>
              </w:rPr>
            </w:pPr>
            <w:r>
              <w:rPr>
                <w:rFonts w:ascii="宋体" w:hAnsi="宋体" w:eastAsia="宋体" w:cs="宋体"/>
                <w:color w:val="auto"/>
                <w:spacing w:val="10"/>
                <w:sz w:val="24"/>
                <w:szCs w:val="24"/>
                <w:highlight w:val="none"/>
              </w:rPr>
              <w:t>如有，见第一章《投标邀请》</w:t>
            </w:r>
          </w:p>
        </w:tc>
        <w:tc>
          <w:tcPr>
            <w:tcW w:w="1076" w:type="pct"/>
            <w:tcBorders>
              <w:bottom w:val="single" w:color="auto" w:sz="4" w:space="0"/>
            </w:tcBorders>
            <w:shd w:val="clear" w:color="auto" w:fill="auto"/>
            <w:vAlign w:val="center"/>
          </w:tcPr>
          <w:p w14:paraId="15C84C68">
            <w:pPr>
              <w:spacing w:after="50" w:line="360" w:lineRule="auto"/>
              <w:ind w:right="-10" w:rightChars="0"/>
              <w:jc w:val="both"/>
              <w:rPr>
                <w:rFonts w:hint="eastAsia" w:ascii="宋体" w:hAnsi="宋体" w:eastAsia="宋体" w:cs="宋体"/>
                <w:color w:val="auto"/>
                <w:spacing w:val="10"/>
                <w:kern w:val="2"/>
                <w:sz w:val="24"/>
                <w:szCs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r>
              <w:rPr>
                <w:rFonts w:hint="eastAsia" w:ascii="宋体" w:hAnsi="宋体" w:eastAsia="宋体" w:cs="@仿宋_GB2312"/>
                <w:b w:val="0"/>
                <w:bCs w:val="0"/>
                <w:i/>
                <w:iCs/>
                <w:color w:val="auto"/>
                <w:kern w:val="2"/>
                <w:sz w:val="24"/>
                <w:szCs w:val="18"/>
                <w:highlight w:val="none"/>
                <w:lang w:val="en-US" w:eastAsia="zh-CN" w:bidi="ar-SA"/>
              </w:rPr>
              <w:t>（本条可根据项目需要编辑）</w:t>
            </w:r>
          </w:p>
        </w:tc>
      </w:tr>
    </w:tbl>
    <w:p w14:paraId="3B2CA67E">
      <w:pPr>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3D3FFA50">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70E79F1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115"/>
        <w:gridCol w:w="3128"/>
        <w:gridCol w:w="2514"/>
      </w:tblGrid>
      <w:tr w14:paraId="0068F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17A59CFF">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0D1BB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9" w:type="pct"/>
            <w:tcBorders>
              <w:bottom w:val="single" w:color="auto" w:sz="4" w:space="0"/>
            </w:tcBorders>
            <w:vAlign w:val="center"/>
          </w:tcPr>
          <w:p w14:paraId="28EC6EC5">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241" w:type="pct"/>
            <w:tcBorders>
              <w:bottom w:val="single" w:color="auto" w:sz="4" w:space="0"/>
            </w:tcBorders>
            <w:vAlign w:val="center"/>
          </w:tcPr>
          <w:p w14:paraId="288176EB">
            <w:pPr>
              <w:pStyle w:val="47"/>
              <w:pBdr>
                <w:bottom w:val="none" w:color="auto" w:sz="0" w:space="0"/>
              </w:pBdr>
              <w:tabs>
                <w:tab w:val="clear" w:pos="4153"/>
                <w:tab w:val="clear" w:pos="8306"/>
              </w:tabs>
              <w:snapToGrid w:val="0"/>
              <w:spacing w:line="360" w:lineRule="auto"/>
              <w:ind w:right="-10"/>
              <w:textAlignment w:val="auto"/>
              <w:rPr>
                <w:rFonts w:ascii="宋体" w:hAnsi="宋体" w:eastAsia="宋体"/>
                <w:color w:val="auto"/>
                <w:kern w:val="2"/>
                <w:highlight w:val="none"/>
              </w:rPr>
            </w:pPr>
            <w:r>
              <w:rPr>
                <w:rFonts w:hint="eastAsia" w:ascii="宋体" w:hAnsi="宋体" w:eastAsia="宋体"/>
                <w:color w:val="auto"/>
                <w:kern w:val="2"/>
                <w:highlight w:val="none"/>
              </w:rPr>
              <w:t>审查指标</w:t>
            </w:r>
          </w:p>
        </w:tc>
        <w:tc>
          <w:tcPr>
            <w:tcW w:w="1835" w:type="pct"/>
            <w:tcBorders>
              <w:bottom w:val="single" w:color="auto" w:sz="4" w:space="0"/>
            </w:tcBorders>
            <w:vAlign w:val="center"/>
          </w:tcPr>
          <w:p w14:paraId="400E200A">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审查标准</w:t>
            </w:r>
          </w:p>
        </w:tc>
        <w:tc>
          <w:tcPr>
            <w:tcW w:w="1472" w:type="pct"/>
            <w:tcBorders>
              <w:bottom w:val="single" w:color="auto" w:sz="4" w:space="0"/>
            </w:tcBorders>
            <w:vAlign w:val="center"/>
          </w:tcPr>
          <w:p w14:paraId="6D703257">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360D3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5B96198">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41" w:type="pct"/>
            <w:vAlign w:val="center"/>
          </w:tcPr>
          <w:p w14:paraId="3EBCF773">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35" w:type="pct"/>
            <w:vAlign w:val="center"/>
          </w:tcPr>
          <w:p w14:paraId="74EA0B9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05F871A8">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5EE8F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DD15125">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41" w:type="pct"/>
            <w:vAlign w:val="center"/>
          </w:tcPr>
          <w:p w14:paraId="6E802284">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14:paraId="41727AD5">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13384098">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2E5D9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3A7309D6">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41" w:type="pct"/>
            <w:vAlign w:val="center"/>
          </w:tcPr>
          <w:p w14:paraId="1DFE853E">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73AD2880">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023C6561">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法定代表人参加投标的无需此件，提供身份证明即可。详见第六章投标文件格式。</w:t>
            </w:r>
          </w:p>
        </w:tc>
      </w:tr>
      <w:tr w14:paraId="3C116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14C2631B">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41" w:type="pct"/>
            <w:vAlign w:val="center"/>
          </w:tcPr>
          <w:p w14:paraId="4F2BF014">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14:paraId="1325E3E1">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招标文件投标人须知正文第9条要求</w:t>
            </w:r>
          </w:p>
        </w:tc>
        <w:tc>
          <w:tcPr>
            <w:tcW w:w="1472" w:type="pct"/>
            <w:vAlign w:val="center"/>
          </w:tcPr>
          <w:p w14:paraId="63ACB8FE">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5D84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468423FB">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p>
        </w:tc>
        <w:tc>
          <w:tcPr>
            <w:tcW w:w="1241" w:type="pct"/>
            <w:vAlign w:val="center"/>
          </w:tcPr>
          <w:p w14:paraId="48E845AD">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835" w:type="pct"/>
            <w:vAlign w:val="center"/>
          </w:tcPr>
          <w:p w14:paraId="1F06E044">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符合招标文件采购需求中对付款方式、服务地点、服务期限等实质性要求</w:t>
            </w:r>
          </w:p>
        </w:tc>
        <w:tc>
          <w:tcPr>
            <w:tcW w:w="1472" w:type="pct"/>
            <w:vAlign w:val="center"/>
          </w:tcPr>
          <w:p w14:paraId="6240C122">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623BF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67AEDA96">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p>
        </w:tc>
        <w:tc>
          <w:tcPr>
            <w:tcW w:w="1241" w:type="pct"/>
            <w:vAlign w:val="center"/>
          </w:tcPr>
          <w:p w14:paraId="28C5FCEA">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35" w:type="pct"/>
            <w:vAlign w:val="center"/>
          </w:tcPr>
          <w:p w14:paraId="034D28F8">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符合法律、行政法规规定的其他条件或招标文件列明的其他实质性要求</w:t>
            </w:r>
          </w:p>
        </w:tc>
        <w:tc>
          <w:tcPr>
            <w:tcW w:w="1472" w:type="pct"/>
            <w:vAlign w:val="center"/>
          </w:tcPr>
          <w:p w14:paraId="2490223C">
            <w:pPr>
              <w:adjustRightInd w:val="0"/>
              <w:snapToGrid w:val="0"/>
              <w:spacing w:line="360" w:lineRule="auto"/>
              <w:ind w:right="-10"/>
              <w:jc w:val="center"/>
              <w:rPr>
                <w:rFonts w:asciiTheme="minorEastAsia" w:hAnsiTheme="minorEastAsia" w:eastAsiaTheme="minorEastAsia"/>
                <w:color w:val="auto"/>
                <w:sz w:val="24"/>
                <w:highlight w:val="none"/>
              </w:rPr>
            </w:pPr>
          </w:p>
        </w:tc>
      </w:tr>
    </w:tbl>
    <w:p w14:paraId="4B901C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34F9E55E">
      <w:pPr>
        <w:spacing w:line="360" w:lineRule="auto"/>
        <w:ind w:firstLine="435"/>
        <w:outlineLvl w:val="2"/>
        <w:rPr>
          <w:rFonts w:ascii="宋体" w:hAnsi="宋体" w:cs="@仿宋_GB2312"/>
          <w:color w:val="auto"/>
          <w:sz w:val="24"/>
          <w:szCs w:val="20"/>
          <w:highlight w:val="none"/>
        </w:rPr>
      </w:pPr>
      <w:r>
        <w:rPr>
          <w:rFonts w:hint="eastAsia" w:ascii="宋体" w:hAnsi="宋体" w:cs="@仿宋_GB2312"/>
          <w:color w:val="auto"/>
          <w:sz w:val="24"/>
          <w:szCs w:val="20"/>
          <w:highlight w:val="none"/>
        </w:rPr>
        <w:t>2.3异常低价投标审查</w:t>
      </w:r>
    </w:p>
    <w:tbl>
      <w:tblPr>
        <w:tblStyle w:val="28"/>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450"/>
        <w:gridCol w:w="4438"/>
        <w:gridCol w:w="2260"/>
      </w:tblGrid>
      <w:tr w14:paraId="64C3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noWrap w:val="0"/>
            <w:vAlign w:val="center"/>
          </w:tcPr>
          <w:p w14:paraId="03EB5512">
            <w:pPr>
              <w:adjustRightInd w:val="0"/>
              <w:snapToGrid w:val="0"/>
              <w:spacing w:line="360" w:lineRule="auto"/>
              <w:ind w:right="-10"/>
              <w:jc w:val="center"/>
              <w:rPr>
                <w:rFonts w:ascii="宋体" w:hAnsi="宋体" w:cs="@仿宋_GB2312"/>
                <w:color w:val="auto"/>
                <w:sz w:val="24"/>
                <w:szCs w:val="20"/>
                <w:highlight w:val="none"/>
              </w:rPr>
            </w:pPr>
            <w:r>
              <w:rPr>
                <w:rFonts w:hint="eastAsia" w:ascii="宋体" w:hAnsi="宋体"/>
                <w:b/>
                <w:bCs/>
                <w:color w:val="auto"/>
                <w:sz w:val="24"/>
                <w:szCs w:val="20"/>
                <w:highlight w:val="none"/>
              </w:rPr>
              <w:t>异常低价投标审查表</w:t>
            </w:r>
          </w:p>
        </w:tc>
      </w:tr>
      <w:tr w14:paraId="0AF94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noWrap w:val="0"/>
            <w:vAlign w:val="center"/>
          </w:tcPr>
          <w:p w14:paraId="7347CACA">
            <w:pPr>
              <w:spacing w:line="360" w:lineRule="auto"/>
              <w:jc w:val="center"/>
              <w:rPr>
                <w:rFonts w:ascii="宋体" w:hAnsi="宋体" w:cs="@仿宋_GB2312"/>
                <w:color w:val="auto"/>
                <w:sz w:val="24"/>
                <w:szCs w:val="20"/>
                <w:highlight w:val="none"/>
              </w:rPr>
            </w:pPr>
            <w:r>
              <w:rPr>
                <w:rFonts w:hint="eastAsia" w:ascii="宋体" w:hAnsi="宋体"/>
                <w:color w:val="auto"/>
                <w:sz w:val="24"/>
                <w:szCs w:val="20"/>
                <w:highlight w:val="none"/>
              </w:rPr>
              <w:t>序号</w:t>
            </w:r>
          </w:p>
        </w:tc>
        <w:tc>
          <w:tcPr>
            <w:tcW w:w="1450" w:type="dxa"/>
            <w:tcBorders>
              <w:bottom w:val="single" w:color="auto" w:sz="4" w:space="0"/>
            </w:tcBorders>
            <w:noWrap w:val="0"/>
            <w:vAlign w:val="center"/>
          </w:tcPr>
          <w:p w14:paraId="641A6CC8">
            <w:pPr>
              <w:spacing w:line="360" w:lineRule="auto"/>
              <w:ind w:firstLine="240" w:firstLineChars="100"/>
              <w:jc w:val="center"/>
              <w:rPr>
                <w:rFonts w:ascii="宋体" w:hAnsi="宋体" w:cs="@仿宋_GB2312"/>
                <w:color w:val="auto"/>
                <w:highlight w:val="none"/>
              </w:rPr>
            </w:pPr>
            <w:r>
              <w:rPr>
                <w:rFonts w:hint="eastAsia" w:ascii="宋体" w:hAnsi="宋体"/>
                <w:color w:val="auto"/>
                <w:sz w:val="24"/>
                <w:szCs w:val="20"/>
                <w:highlight w:val="none"/>
              </w:rPr>
              <w:t>评审指标</w:t>
            </w:r>
          </w:p>
        </w:tc>
        <w:tc>
          <w:tcPr>
            <w:tcW w:w="4439" w:type="dxa"/>
            <w:tcBorders>
              <w:bottom w:val="single" w:color="auto" w:sz="4" w:space="0"/>
            </w:tcBorders>
            <w:noWrap w:val="0"/>
            <w:vAlign w:val="center"/>
          </w:tcPr>
          <w:p w14:paraId="61C0AACF">
            <w:pPr>
              <w:spacing w:line="360" w:lineRule="auto"/>
              <w:ind w:firstLine="240" w:firstLineChars="100"/>
              <w:jc w:val="center"/>
              <w:rPr>
                <w:rFonts w:ascii="宋体" w:hAnsi="宋体" w:cs="@仿宋_GB2312"/>
                <w:color w:val="auto"/>
                <w:sz w:val="24"/>
                <w:szCs w:val="20"/>
                <w:highlight w:val="none"/>
              </w:rPr>
            </w:pPr>
            <w:r>
              <w:rPr>
                <w:rFonts w:hint="eastAsia" w:ascii="宋体" w:hAnsi="宋体"/>
                <w:color w:val="auto"/>
                <w:sz w:val="24"/>
                <w:szCs w:val="20"/>
                <w:highlight w:val="none"/>
              </w:rPr>
              <w:t>评审标准</w:t>
            </w:r>
          </w:p>
        </w:tc>
        <w:tc>
          <w:tcPr>
            <w:tcW w:w="2260" w:type="dxa"/>
            <w:tcBorders>
              <w:bottom w:val="single" w:color="auto" w:sz="4" w:space="0"/>
            </w:tcBorders>
            <w:noWrap w:val="0"/>
            <w:vAlign w:val="center"/>
          </w:tcPr>
          <w:p w14:paraId="2BED7521">
            <w:pPr>
              <w:spacing w:line="360" w:lineRule="auto"/>
              <w:jc w:val="center"/>
              <w:rPr>
                <w:rFonts w:ascii="宋体" w:hAnsi="宋体" w:cs="@仿宋_GB2312"/>
                <w:color w:val="auto"/>
                <w:sz w:val="24"/>
                <w:szCs w:val="20"/>
                <w:highlight w:val="none"/>
              </w:rPr>
            </w:pPr>
            <w:r>
              <w:rPr>
                <w:rFonts w:hint="eastAsia" w:ascii="宋体" w:hAnsi="宋体"/>
                <w:color w:val="auto"/>
                <w:sz w:val="24"/>
                <w:szCs w:val="20"/>
                <w:highlight w:val="none"/>
              </w:rPr>
              <w:t>格式及材料要求</w:t>
            </w:r>
          </w:p>
        </w:tc>
      </w:tr>
      <w:tr w14:paraId="4899F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noWrap w:val="0"/>
            <w:vAlign w:val="center"/>
          </w:tcPr>
          <w:p w14:paraId="0E785078">
            <w:pPr>
              <w:spacing w:line="360" w:lineRule="auto"/>
              <w:ind w:firstLine="240" w:firstLineChars="100"/>
              <w:rPr>
                <w:rFonts w:ascii="宋体" w:hAnsi="宋体" w:cs="宋体"/>
                <w:color w:val="auto"/>
                <w:sz w:val="24"/>
                <w:szCs w:val="20"/>
                <w:highlight w:val="none"/>
              </w:rPr>
            </w:pPr>
            <w:r>
              <w:rPr>
                <w:rFonts w:hint="eastAsia" w:ascii="宋体" w:hAnsi="宋体" w:cs="宋体"/>
                <w:color w:val="auto"/>
                <w:sz w:val="24"/>
                <w:szCs w:val="20"/>
                <w:highlight w:val="none"/>
              </w:rPr>
              <w:t>1</w:t>
            </w:r>
          </w:p>
        </w:tc>
        <w:tc>
          <w:tcPr>
            <w:tcW w:w="1450" w:type="dxa"/>
            <w:tcBorders>
              <w:bottom w:val="single" w:color="auto" w:sz="4" w:space="0"/>
            </w:tcBorders>
            <w:noWrap w:val="0"/>
            <w:vAlign w:val="center"/>
          </w:tcPr>
          <w:p w14:paraId="782FEE7F">
            <w:pPr>
              <w:spacing w:line="360" w:lineRule="auto"/>
              <w:rPr>
                <w:rFonts w:ascii="宋体" w:hAnsi="宋体" w:cs="宋体"/>
                <w:color w:val="auto"/>
                <w:sz w:val="24"/>
                <w:szCs w:val="28"/>
                <w:highlight w:val="none"/>
              </w:rPr>
            </w:pPr>
            <w:r>
              <w:rPr>
                <w:rFonts w:hint="eastAsia" w:ascii="宋体" w:hAnsi="宋体" w:cs="宋体"/>
                <w:color w:val="auto"/>
                <w:sz w:val="24"/>
                <w:szCs w:val="20"/>
                <w:highlight w:val="none"/>
              </w:rPr>
              <w:t>异常低价投标审查</w:t>
            </w:r>
          </w:p>
        </w:tc>
        <w:tc>
          <w:tcPr>
            <w:tcW w:w="4439" w:type="dxa"/>
            <w:tcBorders>
              <w:bottom w:val="single" w:color="auto" w:sz="4" w:space="0"/>
            </w:tcBorders>
            <w:noWrap w:val="0"/>
            <w:vAlign w:val="center"/>
          </w:tcPr>
          <w:p w14:paraId="01DBDAE8">
            <w:pPr>
              <w:spacing w:line="360" w:lineRule="auto"/>
              <w:rPr>
                <w:rFonts w:ascii="宋体" w:hAnsi="宋体" w:cs="宋体"/>
                <w:color w:val="auto"/>
                <w:sz w:val="24"/>
                <w:highlight w:val="none"/>
              </w:rPr>
            </w:pPr>
            <w:r>
              <w:rPr>
                <w:rFonts w:hint="eastAsia" w:ascii="宋体" w:hAnsi="宋体" w:cs="宋体"/>
                <w:color w:val="auto"/>
                <w:sz w:val="24"/>
                <w:highlight w:val="none"/>
              </w:rPr>
              <w:t>（1）投标报价＜全部通过符合性审查投标人投标报价平均值×</w:t>
            </w:r>
            <w:r>
              <w:rPr>
                <w:rFonts w:hint="eastAsia" w:ascii="宋体" w:hAnsi="宋体" w:cs="宋体"/>
                <w:color w:val="auto"/>
                <w:sz w:val="24"/>
                <w:highlight w:val="none"/>
                <w:u w:val="single"/>
              </w:rPr>
              <w:t>65%</w:t>
            </w:r>
            <w:r>
              <w:rPr>
                <w:rFonts w:hint="eastAsia" w:ascii="宋体" w:hAnsi="宋体" w:cs="宋体"/>
                <w:color w:val="auto"/>
                <w:sz w:val="24"/>
                <w:highlight w:val="none"/>
              </w:rPr>
              <w:t>；</w:t>
            </w:r>
          </w:p>
          <w:p w14:paraId="67CDFF9A">
            <w:pPr>
              <w:spacing w:line="360" w:lineRule="auto"/>
              <w:rPr>
                <w:rFonts w:ascii="宋体" w:hAnsi="宋体" w:cs="宋体"/>
                <w:color w:val="auto"/>
                <w:sz w:val="24"/>
                <w:highlight w:val="none"/>
              </w:rPr>
            </w:pPr>
            <w:r>
              <w:rPr>
                <w:rFonts w:hint="eastAsia" w:ascii="宋体" w:hAnsi="宋体" w:cs="宋体"/>
                <w:color w:val="auto"/>
                <w:sz w:val="24"/>
                <w:highlight w:val="none"/>
              </w:rPr>
              <w:t>（2）投标报价＜通过符合性审查的次低报价投标人投标报价×</w:t>
            </w:r>
            <w:r>
              <w:rPr>
                <w:rFonts w:hint="eastAsia" w:ascii="宋体" w:hAnsi="宋体" w:cs="宋体"/>
                <w:color w:val="auto"/>
                <w:sz w:val="24"/>
                <w:highlight w:val="none"/>
                <w:u w:val="single"/>
              </w:rPr>
              <w:t>65%</w:t>
            </w:r>
            <w:r>
              <w:rPr>
                <w:rFonts w:hint="eastAsia" w:ascii="宋体" w:hAnsi="宋体" w:cs="宋体"/>
                <w:color w:val="auto"/>
                <w:sz w:val="24"/>
                <w:highlight w:val="none"/>
              </w:rPr>
              <w:t>；</w:t>
            </w:r>
          </w:p>
          <w:p w14:paraId="7A0FF0FB">
            <w:pPr>
              <w:spacing w:line="360" w:lineRule="auto"/>
              <w:rPr>
                <w:rFonts w:ascii="宋体" w:hAnsi="宋体" w:cs="宋体"/>
                <w:color w:val="auto"/>
                <w:sz w:val="24"/>
                <w:highlight w:val="none"/>
              </w:rPr>
            </w:pPr>
            <w:r>
              <w:rPr>
                <w:rFonts w:hint="eastAsia" w:ascii="宋体" w:hAnsi="宋体" w:cs="宋体"/>
                <w:color w:val="auto"/>
                <w:sz w:val="24"/>
                <w:highlight w:val="none"/>
              </w:rPr>
              <w:t>（3）投标报价＜采购项目最高限价（</w:t>
            </w:r>
            <w:r>
              <w:rPr>
                <w:rFonts w:hint="eastAsia" w:ascii="宋体" w:hAnsi="宋体" w:cs="宋体"/>
                <w:color w:val="auto"/>
                <w:sz w:val="24"/>
                <w:szCs w:val="20"/>
                <w:highlight w:val="none"/>
              </w:rPr>
              <w:t>如采购项目未设定最高限价的，以采购项目预算金额作为最高限价</w:t>
            </w:r>
            <w:r>
              <w:rPr>
                <w:rFonts w:hint="eastAsia" w:ascii="宋体" w:hAnsi="宋体" w:cs="宋体"/>
                <w:color w:val="auto"/>
                <w:sz w:val="24"/>
                <w:highlight w:val="none"/>
              </w:rPr>
              <w:t>）×</w:t>
            </w:r>
            <w:r>
              <w:rPr>
                <w:rFonts w:hint="eastAsia" w:ascii="宋体" w:hAnsi="宋体" w:cs="宋体"/>
                <w:color w:val="auto"/>
                <w:sz w:val="24"/>
                <w:highlight w:val="none"/>
                <w:u w:val="single"/>
              </w:rPr>
              <w:t>65%</w:t>
            </w:r>
            <w:r>
              <w:rPr>
                <w:rFonts w:hint="eastAsia" w:ascii="宋体" w:hAnsi="宋体" w:cs="宋体"/>
                <w:color w:val="auto"/>
                <w:sz w:val="24"/>
                <w:highlight w:val="none"/>
              </w:rPr>
              <w:t>；</w:t>
            </w:r>
          </w:p>
          <w:p w14:paraId="1ADD1070">
            <w:pPr>
              <w:spacing w:line="360" w:lineRule="auto"/>
              <w:jc w:val="left"/>
              <w:rPr>
                <w:rFonts w:ascii="宋体" w:hAnsi="宋体" w:cs="宋体"/>
                <w:color w:val="auto"/>
                <w:sz w:val="24"/>
                <w:szCs w:val="20"/>
                <w:highlight w:val="none"/>
              </w:rPr>
            </w:pPr>
            <w:r>
              <w:rPr>
                <w:rFonts w:hint="eastAsia" w:ascii="宋体" w:hAnsi="宋体" w:cs="宋体"/>
                <w:color w:val="auto"/>
                <w:sz w:val="24"/>
                <w:szCs w:val="20"/>
                <w:highlight w:val="none"/>
              </w:rPr>
              <w:t>（4）评标委员会基于专业判断，认为投标人报价过低，有可能影响产品质量或者不能诚信履约的其他情形。</w:t>
            </w:r>
          </w:p>
          <w:p w14:paraId="5453B209">
            <w:pPr>
              <w:spacing w:line="360" w:lineRule="auto"/>
              <w:jc w:val="left"/>
              <w:rPr>
                <w:rFonts w:ascii="宋体" w:hAnsi="宋体" w:cs="宋体"/>
                <w:b/>
                <w:bCs/>
                <w:color w:val="auto"/>
                <w:sz w:val="24"/>
                <w:szCs w:val="20"/>
                <w:highlight w:val="none"/>
              </w:rPr>
            </w:pPr>
            <w:r>
              <w:rPr>
                <w:rFonts w:hint="eastAsia" w:ascii="宋体" w:hAnsi="宋体" w:cs="宋体"/>
                <w:b/>
                <w:bCs/>
                <w:color w:val="auto"/>
                <w:sz w:val="24"/>
                <w:szCs w:val="20"/>
                <w:highlight w:val="none"/>
              </w:rPr>
              <w:t>提醒：</w:t>
            </w:r>
          </w:p>
          <w:p w14:paraId="2BB1A522">
            <w:pPr>
              <w:spacing w:line="360" w:lineRule="auto"/>
              <w:ind w:firstLine="240" w:firstLineChars="100"/>
              <w:rPr>
                <w:rFonts w:ascii="宋体" w:hAnsi="宋体" w:cs="宋体"/>
                <w:color w:val="auto"/>
                <w:sz w:val="24"/>
                <w:szCs w:val="20"/>
                <w:highlight w:val="none"/>
              </w:rPr>
            </w:pPr>
            <w:r>
              <w:rPr>
                <w:rFonts w:hint="eastAsia" w:ascii="宋体" w:hAnsi="宋体" w:cs="宋体"/>
                <w:color w:val="auto"/>
                <w:sz w:val="24"/>
                <w:szCs w:val="20"/>
                <w:highlight w:val="none"/>
              </w:rPr>
              <w:t>上述</w:t>
            </w:r>
            <w:r>
              <w:rPr>
                <w:rFonts w:hint="eastAsia" w:ascii="宋体" w:hAnsi="宋体" w:cs="Arial"/>
                <w:color w:val="auto"/>
                <w:sz w:val="24"/>
                <w:szCs w:val="20"/>
                <w:highlight w:val="none"/>
              </w:rPr>
              <w:t>第（1）项数值计算：涉及总价、单价的</w:t>
            </w:r>
            <w:r>
              <w:rPr>
                <w:rFonts w:hint="eastAsia" w:ascii="宋体" w:hAnsi="宋体" w:cs="@仿宋_GB2312"/>
                <w:color w:val="auto"/>
                <w:sz w:val="24"/>
                <w:szCs w:val="20"/>
                <w:highlight w:val="none"/>
              </w:rPr>
              <w:t>精确到“分”并四舍五入，涉及费率的精确到小数点后两位，第三位四舍五入（例：如平均值为123.456元，即为123.46元；如平均值为80.126%，即为80.13%）。</w:t>
            </w:r>
          </w:p>
        </w:tc>
        <w:tc>
          <w:tcPr>
            <w:tcW w:w="2260" w:type="dxa"/>
            <w:noWrap w:val="0"/>
            <w:vAlign w:val="center"/>
          </w:tcPr>
          <w:p w14:paraId="65D9768C">
            <w:pPr>
              <w:spacing w:line="360" w:lineRule="auto"/>
              <w:ind w:firstLine="240" w:firstLineChars="100"/>
              <w:rPr>
                <w:rFonts w:ascii="宋体" w:hAnsi="宋体" w:cs="宋体"/>
                <w:color w:val="auto"/>
                <w:sz w:val="24"/>
                <w:szCs w:val="20"/>
                <w:highlight w:val="none"/>
              </w:rPr>
            </w:pPr>
            <w:r>
              <w:rPr>
                <w:rFonts w:hint="eastAsia" w:ascii="宋体" w:hAnsi="宋体" w:cs="宋体"/>
                <w:color w:val="auto"/>
                <w:sz w:val="24"/>
                <w:szCs w:val="20"/>
                <w:highlight w:val="none"/>
              </w:rPr>
              <w:t>投标人在评审现场合理的时间内对投标价格作出解释，提供项目具体成本测算等与报价合理性相关的书面说明及必要的证明材料，包括但不限于原材料成本、人工成本、制造费用等。</w:t>
            </w:r>
          </w:p>
        </w:tc>
      </w:tr>
    </w:tbl>
    <w:p w14:paraId="6AD62BEE">
      <w:pPr>
        <w:spacing w:line="360" w:lineRule="auto"/>
        <w:rPr>
          <w:rFonts w:ascii="宋体" w:hAnsi="宋体" w:cs="Arial"/>
          <w:color w:val="auto"/>
          <w:sz w:val="24"/>
          <w:szCs w:val="20"/>
          <w:highlight w:val="none"/>
        </w:rPr>
      </w:pPr>
      <w:r>
        <w:rPr>
          <w:rFonts w:hint="eastAsia" w:ascii="宋体" w:hAnsi="宋体"/>
          <w:color w:val="auto"/>
          <w:sz w:val="24"/>
          <w:szCs w:val="20"/>
          <w:highlight w:val="none"/>
        </w:rPr>
        <w:t>注：</w:t>
      </w:r>
    </w:p>
    <w:p w14:paraId="5D8AAFBF">
      <w:pPr>
        <w:spacing w:line="360" w:lineRule="auto"/>
        <w:ind w:firstLine="480" w:firstLineChars="200"/>
        <w:rPr>
          <w:rFonts w:ascii="宋体" w:hAnsi="宋体" w:cs="@仿宋_GB2312"/>
          <w:color w:val="auto"/>
          <w:sz w:val="24"/>
          <w:szCs w:val="20"/>
          <w:highlight w:val="none"/>
        </w:rPr>
      </w:pPr>
      <w:r>
        <w:rPr>
          <w:rFonts w:hint="eastAsia" w:ascii="宋体" w:hAnsi="宋体" w:cs="@仿宋_GB2312"/>
          <w:color w:val="auto"/>
          <w:sz w:val="24"/>
          <w:szCs w:val="20"/>
          <w:highlight w:val="none"/>
        </w:rPr>
        <w:t>根据《关于推进解决政府采购异常低价问题的通知》（财库〔</w:t>
      </w:r>
      <w:r>
        <w:rPr>
          <w:rFonts w:ascii="宋体" w:hAnsi="宋体" w:cs="@仿宋_GB2312"/>
          <w:color w:val="auto"/>
          <w:sz w:val="24"/>
          <w:szCs w:val="20"/>
          <w:highlight w:val="none"/>
        </w:rPr>
        <w:t>202</w:t>
      </w:r>
      <w:r>
        <w:rPr>
          <w:rFonts w:hint="eastAsia" w:ascii="宋体" w:hAnsi="宋体" w:cs="@仿宋_GB2312"/>
          <w:color w:val="auto"/>
          <w:sz w:val="24"/>
          <w:szCs w:val="20"/>
          <w:highlight w:val="none"/>
        </w:rPr>
        <w:t>6</w:t>
      </w:r>
      <w:r>
        <w:rPr>
          <w:rFonts w:ascii="宋体" w:hAnsi="宋体" w:cs="@仿宋_GB2312"/>
          <w:color w:val="auto"/>
          <w:sz w:val="24"/>
          <w:szCs w:val="20"/>
          <w:highlight w:val="none"/>
        </w:rPr>
        <w:t>〕</w:t>
      </w:r>
      <w:r>
        <w:rPr>
          <w:rFonts w:hint="eastAsia" w:ascii="宋体" w:hAnsi="宋体" w:cs="@仿宋_GB2312"/>
          <w:color w:val="auto"/>
          <w:sz w:val="24"/>
          <w:szCs w:val="20"/>
          <w:highlight w:val="none"/>
        </w:rPr>
        <w:t>2</w:t>
      </w:r>
      <w:r>
        <w:rPr>
          <w:rFonts w:ascii="宋体" w:hAnsi="宋体" w:cs="@仿宋_GB2312"/>
          <w:color w:val="auto"/>
          <w:sz w:val="24"/>
          <w:szCs w:val="20"/>
          <w:highlight w:val="none"/>
        </w:rPr>
        <w:t>号</w:t>
      </w:r>
      <w:r>
        <w:rPr>
          <w:rFonts w:hint="eastAsia" w:ascii="宋体" w:hAnsi="宋体" w:cs="@仿宋_GB2312"/>
          <w:color w:val="auto"/>
          <w:sz w:val="24"/>
          <w:szCs w:val="20"/>
          <w:highlight w:val="none"/>
        </w:rPr>
        <w:t>），采购人可以结合具体项目实际情况，提高上述</w:t>
      </w:r>
      <w:r>
        <w:rPr>
          <w:rFonts w:hint="eastAsia" w:ascii="宋体" w:hAnsi="宋体"/>
          <w:color w:val="auto"/>
          <w:sz w:val="24"/>
          <w:szCs w:val="20"/>
          <w:highlight w:val="none"/>
        </w:rPr>
        <w:t>评审标准</w:t>
      </w:r>
      <w:r>
        <w:rPr>
          <w:rFonts w:hint="eastAsia" w:ascii="宋体" w:hAnsi="宋体" w:cs="@仿宋_GB2312"/>
          <w:color w:val="auto"/>
          <w:sz w:val="24"/>
          <w:szCs w:val="20"/>
          <w:highlight w:val="none"/>
        </w:rPr>
        <w:t>第（1）项至第（3）项中的数值标准，但是最高不得超过65%。</w:t>
      </w:r>
    </w:p>
    <w:p w14:paraId="6DCEA67A">
      <w:pPr>
        <w:spacing w:line="360" w:lineRule="auto"/>
        <w:ind w:firstLine="480" w:firstLineChars="200"/>
        <w:rPr>
          <w:rFonts w:ascii="宋体" w:hAnsi="宋体" w:cs="Arial"/>
          <w:color w:val="auto"/>
          <w:sz w:val="24"/>
          <w:szCs w:val="20"/>
          <w:highlight w:val="none"/>
        </w:rPr>
      </w:pPr>
      <w:r>
        <w:rPr>
          <w:rFonts w:hint="eastAsia" w:ascii="宋体" w:hAnsi="宋体" w:cs="Arial"/>
          <w:color w:val="auto"/>
          <w:sz w:val="24"/>
          <w:szCs w:val="20"/>
          <w:highlight w:val="none"/>
        </w:rPr>
        <w:t>评标委员会启动异常低价投标审查后，属于评审标准中第（1）项至第（4）项情形的，应当要求相关投标人在评审现场合理的时间内（不少于30分钟）对投标价格作出解释，提供项目具体成本测算等与报价合理性相关的书面说明及必要的证明材料，包括但不限于原材料成本、人工成本、制造费用等。其中，属于第</w:t>
      </w:r>
      <w:r>
        <w:rPr>
          <w:rFonts w:hint="eastAsia" w:ascii="宋体" w:hAnsi="宋体" w:eastAsia="@仿宋_GB2312" w:cs="Arial"/>
          <w:color w:val="auto"/>
          <w:sz w:val="24"/>
          <w:szCs w:val="20"/>
          <w:highlight w:val="none"/>
        </w:rPr>
        <w:t>（3）</w:t>
      </w:r>
      <w:r>
        <w:rPr>
          <w:rFonts w:hint="eastAsia" w:ascii="宋体" w:hAnsi="宋体" w:cs="Arial"/>
          <w:color w:val="auto"/>
          <w:sz w:val="24"/>
          <w:szCs w:val="20"/>
          <w:highlight w:val="none"/>
        </w:rPr>
        <w:t>项情形，投标人已随投标文件一并提交相关书面说明及必要的证明材料的，在评审现场可不再重复提交。</w:t>
      </w:r>
    </w:p>
    <w:p w14:paraId="5E878749">
      <w:pPr>
        <w:spacing w:line="360" w:lineRule="auto"/>
        <w:ind w:firstLine="480" w:firstLineChars="200"/>
        <w:jc w:val="left"/>
        <w:rPr>
          <w:rFonts w:ascii="宋体" w:hAnsi="宋体" w:cs="Arial"/>
          <w:color w:val="auto"/>
          <w:sz w:val="24"/>
          <w:szCs w:val="20"/>
          <w:highlight w:val="none"/>
        </w:rPr>
      </w:pPr>
      <w:r>
        <w:rPr>
          <w:rFonts w:hint="eastAsia" w:ascii="宋体" w:hAnsi="宋体" w:cs="Arial"/>
          <w:color w:val="auto"/>
          <w:sz w:val="24"/>
          <w:szCs w:val="20"/>
          <w:highlight w:val="none"/>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w:t>
      </w:r>
      <w:r>
        <w:rPr>
          <w:rFonts w:hint="eastAsia" w:ascii="宋体" w:hAnsi="宋体" w:cs="Arial"/>
          <w:b/>
          <w:bCs/>
          <w:color w:val="auto"/>
          <w:sz w:val="24"/>
          <w:szCs w:val="20"/>
          <w:highlight w:val="none"/>
        </w:rPr>
        <w:t>无效投标</w:t>
      </w:r>
      <w:r>
        <w:rPr>
          <w:rFonts w:hint="eastAsia" w:ascii="宋体" w:hAnsi="宋体" w:cs="Arial"/>
          <w:color w:val="auto"/>
          <w:sz w:val="24"/>
          <w:szCs w:val="20"/>
          <w:highlight w:val="none"/>
        </w:rPr>
        <w:t>处理。</w:t>
      </w:r>
    </w:p>
    <w:p w14:paraId="62E02D60">
      <w:pPr>
        <w:spacing w:line="360" w:lineRule="auto"/>
        <w:ind w:firstLine="437"/>
        <w:outlineLvl w:val="2"/>
        <w:rPr>
          <w:rFonts w:hint="eastAsia" w:ascii="宋体" w:hAnsi="宋体" w:cs="@仿宋_GB2312"/>
          <w:color w:val="auto"/>
          <w:sz w:val="24"/>
          <w:szCs w:val="20"/>
          <w:highlight w:val="none"/>
        </w:rPr>
      </w:pPr>
      <w:r>
        <w:rPr>
          <w:rFonts w:hint="eastAsia" w:ascii="宋体" w:hAnsi="宋体" w:cs="Arial"/>
          <w:color w:val="auto"/>
          <w:sz w:val="24"/>
          <w:szCs w:val="20"/>
          <w:highlight w:val="none"/>
        </w:rPr>
        <w:t>评标委员会</w:t>
      </w:r>
      <w:r>
        <w:rPr>
          <w:rFonts w:hint="eastAsia" w:ascii="宋体" w:hAnsi="宋体" w:cs="@仿宋_GB2312"/>
          <w:color w:val="auto"/>
          <w:sz w:val="24"/>
          <w:szCs w:val="20"/>
          <w:highlight w:val="none"/>
        </w:rPr>
        <w:t>借助互联网等渠道查询相关信息的，应当严格遵守评审工作纪律，不得实施影响评审公正的行为。异常低价响应审查的启动原因、审查意见和审查结果应当在评审报告中记录，并随投标人提供的相关书面说明及证明材料，以及</w:t>
      </w:r>
      <w:r>
        <w:rPr>
          <w:rFonts w:hint="eastAsia" w:ascii="宋体" w:hAnsi="宋体" w:cs="Arial"/>
          <w:color w:val="auto"/>
          <w:sz w:val="24"/>
          <w:szCs w:val="20"/>
          <w:highlight w:val="none"/>
        </w:rPr>
        <w:t>评标委员会</w:t>
      </w:r>
      <w:r>
        <w:rPr>
          <w:rFonts w:hint="eastAsia" w:ascii="宋体" w:hAnsi="宋体" w:cs="@仿宋_GB2312"/>
          <w:color w:val="auto"/>
          <w:sz w:val="24"/>
          <w:szCs w:val="20"/>
          <w:highlight w:val="none"/>
        </w:rPr>
        <w:t>有关互联网浏览、查询历史一并归档。</w:t>
      </w:r>
    </w:p>
    <w:p w14:paraId="3FAB93B4">
      <w:pPr>
        <w:spacing w:line="360" w:lineRule="auto"/>
        <w:ind w:firstLine="437"/>
        <w:outlineLvl w:val="2"/>
        <w:rPr>
          <w:rFonts w:ascii="宋体" w:hAnsi="宋体" w:cs="@仿宋_GB2312"/>
          <w:color w:val="auto"/>
          <w:sz w:val="24"/>
          <w:szCs w:val="20"/>
          <w:highlight w:val="none"/>
        </w:rPr>
      </w:pPr>
      <w:r>
        <w:rPr>
          <w:rFonts w:hint="eastAsia" w:ascii="宋体" w:hAnsi="宋体" w:cs="@仿宋_GB2312"/>
          <w:color w:val="auto"/>
          <w:sz w:val="24"/>
          <w:szCs w:val="20"/>
          <w:highlight w:val="none"/>
        </w:rPr>
        <w:t>2.4详细审查</w:t>
      </w:r>
    </w:p>
    <w:p w14:paraId="4C7BFDF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评标委员会按照下表对投标文件进行详细审查和评分。</w:t>
      </w:r>
    </w:p>
    <w:p w14:paraId="748A508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hint="eastAsia" w:asciiTheme="minorEastAsia" w:hAnsiTheme="minorEastAsia" w:eastAsiaTheme="minorEastAsia"/>
          <w:color w:val="auto"/>
          <w:sz w:val="24"/>
          <w:highlight w:val="none"/>
          <w:u w:val="single"/>
          <w:lang w:val="en-US" w:eastAsia="zh-CN"/>
        </w:rPr>
        <w:t>90</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rPr>
        <w:t>1</w:t>
      </w:r>
      <w:r>
        <w:rPr>
          <w:rFonts w:hint="eastAsia" w:asciiTheme="minorEastAsia" w:hAnsiTheme="minorEastAsia" w:eastAsiaTheme="minorEastAsia"/>
          <w:color w:val="auto"/>
          <w:sz w:val="24"/>
          <w:highlight w:val="none"/>
          <w:u w:val="single"/>
          <w:lang w:val="en-US" w:eastAsia="zh-CN"/>
        </w:rPr>
        <w:t>0</w:t>
      </w:r>
      <w:r>
        <w:rPr>
          <w:rFonts w:asciiTheme="minorEastAsia" w:hAnsiTheme="minorEastAsia" w:eastAsiaTheme="minorEastAsia"/>
          <w:color w:val="auto"/>
          <w:sz w:val="24"/>
          <w:highlight w:val="none"/>
        </w:rPr>
        <w:t>%。具</w:t>
      </w:r>
      <w:r>
        <w:rPr>
          <w:rFonts w:asciiTheme="minorEastAsia" w:hAnsiTheme="minorEastAsia" w:eastAsiaTheme="minorEastAsia"/>
          <w:color w:val="auto"/>
          <w:sz w:val="24"/>
          <w:highlight w:val="none"/>
        </w:rPr>
        <w:t>体评分细则如下：</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871"/>
        <w:gridCol w:w="871"/>
        <w:gridCol w:w="5290"/>
        <w:gridCol w:w="663"/>
      </w:tblGrid>
      <w:tr w14:paraId="37F0B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485" w:type="pct"/>
            <w:tcBorders>
              <w:top w:val="single" w:color="auto" w:sz="4" w:space="0"/>
              <w:left w:val="single" w:color="auto" w:sz="4" w:space="0"/>
              <w:bottom w:val="single" w:color="auto" w:sz="4" w:space="0"/>
              <w:right w:val="single" w:color="auto" w:sz="4" w:space="0"/>
            </w:tcBorders>
            <w:noWrap w:val="0"/>
            <w:vAlign w:val="center"/>
          </w:tcPr>
          <w:p w14:paraId="404C19D8">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类别</w:t>
            </w:r>
          </w:p>
        </w:tc>
        <w:tc>
          <w:tcPr>
            <w:tcW w:w="1022" w:type="pct"/>
            <w:gridSpan w:val="2"/>
            <w:tcBorders>
              <w:top w:val="single" w:color="auto" w:sz="4" w:space="0"/>
              <w:left w:val="single" w:color="auto" w:sz="4" w:space="0"/>
              <w:bottom w:val="single" w:color="auto" w:sz="4" w:space="0"/>
              <w:right w:val="single" w:color="auto" w:sz="4" w:space="0"/>
            </w:tcBorders>
            <w:noWrap w:val="0"/>
            <w:vAlign w:val="top"/>
          </w:tcPr>
          <w:p w14:paraId="588793B4">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评分内容</w:t>
            </w:r>
          </w:p>
        </w:tc>
        <w:tc>
          <w:tcPr>
            <w:tcW w:w="3103" w:type="pct"/>
            <w:tcBorders>
              <w:top w:val="single" w:color="auto" w:sz="4" w:space="0"/>
              <w:left w:val="single" w:color="auto" w:sz="4" w:space="0"/>
              <w:bottom w:val="single" w:color="auto" w:sz="4" w:space="0"/>
              <w:right w:val="single" w:color="auto" w:sz="4" w:space="0"/>
            </w:tcBorders>
            <w:noWrap w:val="0"/>
            <w:vAlign w:val="center"/>
          </w:tcPr>
          <w:p w14:paraId="47605884">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评分标准</w:t>
            </w:r>
          </w:p>
        </w:tc>
        <w:tc>
          <w:tcPr>
            <w:tcW w:w="388" w:type="pct"/>
            <w:tcBorders>
              <w:top w:val="single" w:color="auto" w:sz="4" w:space="0"/>
              <w:left w:val="single" w:color="auto" w:sz="4" w:space="0"/>
              <w:bottom w:val="single" w:color="auto" w:sz="4" w:space="0"/>
              <w:right w:val="single" w:color="auto" w:sz="4" w:space="0"/>
            </w:tcBorders>
            <w:noWrap w:val="0"/>
            <w:vAlign w:val="center"/>
          </w:tcPr>
          <w:p w14:paraId="4E8982FC">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分值范围</w:t>
            </w:r>
          </w:p>
        </w:tc>
      </w:tr>
      <w:tr w14:paraId="297E4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pct"/>
            <w:vMerge w:val="restart"/>
            <w:tcBorders>
              <w:top w:val="single" w:color="auto" w:sz="4" w:space="0"/>
              <w:left w:val="single" w:color="auto" w:sz="4" w:space="0"/>
              <w:right w:val="single" w:color="auto" w:sz="4" w:space="0"/>
            </w:tcBorders>
            <w:noWrap w:val="0"/>
            <w:vAlign w:val="center"/>
          </w:tcPr>
          <w:p w14:paraId="5E24D04D">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技术资信分</w:t>
            </w:r>
          </w:p>
          <w:p w14:paraId="5C121807">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90</w:t>
            </w:r>
            <w:r>
              <w:rPr>
                <w:rFonts w:hint="eastAsia" w:ascii="宋体" w:hAnsi="宋体" w:eastAsia="宋体" w:cs="宋体"/>
                <w:color w:val="auto"/>
                <w:sz w:val="21"/>
                <w:szCs w:val="21"/>
                <w:highlight w:val="none"/>
              </w:rPr>
              <w:t>分）</w:t>
            </w:r>
          </w:p>
        </w:tc>
        <w:tc>
          <w:tcPr>
            <w:tcW w:w="511" w:type="pct"/>
            <w:vMerge w:val="restart"/>
            <w:tcBorders>
              <w:top w:val="single" w:color="auto" w:sz="4" w:space="0"/>
              <w:left w:val="single" w:color="auto" w:sz="4" w:space="0"/>
              <w:right w:val="single" w:color="auto" w:sz="4" w:space="0"/>
            </w:tcBorders>
            <w:noWrap w:val="0"/>
            <w:vAlign w:val="center"/>
          </w:tcPr>
          <w:p w14:paraId="5C376BC7">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资信部分</w:t>
            </w:r>
          </w:p>
        </w:tc>
        <w:tc>
          <w:tcPr>
            <w:tcW w:w="511" w:type="pct"/>
            <w:tcBorders>
              <w:top w:val="single" w:color="auto" w:sz="4" w:space="0"/>
              <w:left w:val="single" w:color="auto" w:sz="4" w:space="0"/>
              <w:bottom w:val="single" w:color="auto" w:sz="4" w:space="0"/>
              <w:right w:val="single" w:color="auto" w:sz="4" w:space="0"/>
            </w:tcBorders>
            <w:noWrap w:val="0"/>
            <w:vAlign w:val="center"/>
          </w:tcPr>
          <w:p w14:paraId="23E1039E">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业绩</w:t>
            </w:r>
          </w:p>
        </w:tc>
        <w:tc>
          <w:tcPr>
            <w:tcW w:w="3103" w:type="pct"/>
            <w:tcBorders>
              <w:top w:val="single" w:color="auto" w:sz="4" w:space="0"/>
              <w:left w:val="single" w:color="auto" w:sz="4" w:space="0"/>
              <w:bottom w:val="single" w:color="auto" w:sz="4" w:space="0"/>
              <w:right w:val="single" w:color="auto" w:sz="4" w:space="0"/>
            </w:tcBorders>
            <w:noWrap w:val="0"/>
            <w:vAlign w:val="center"/>
          </w:tcPr>
          <w:p w14:paraId="0BB9CC8A">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 2022年1月1日至投标截止时间前，供应商具有（非住宅类）物业服务业绩的（服务内容须至少包含保洁、保安），每提供一个业绩得2分，本项最高得4分。</w:t>
            </w:r>
          </w:p>
          <w:p w14:paraId="681EF9A8">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要求：1、投标文件须提供业绩合同扫描件。</w:t>
            </w:r>
          </w:p>
          <w:p w14:paraId="236A5BF7">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2、合同内容必须能清楚地反映合同签订时间、服务内容和盖章页等，若合同中未清楚地反映，须出具合同甲方提供的相关证明材料</w:t>
            </w:r>
            <w:r>
              <w:rPr>
                <w:rFonts w:hint="eastAsia" w:ascii="宋体" w:hAnsi="宋体" w:eastAsia="宋体" w:cs="宋体"/>
                <w:color w:val="auto"/>
                <w:sz w:val="21"/>
                <w:szCs w:val="21"/>
                <w:highlight w:val="none"/>
                <w:lang w:val="en-US" w:eastAsia="zh-CN"/>
              </w:rPr>
              <w:t>扫描件</w:t>
            </w:r>
            <w:r>
              <w:rPr>
                <w:rFonts w:hint="eastAsia" w:ascii="宋体" w:hAnsi="宋体" w:eastAsia="宋体" w:cs="宋体"/>
                <w:color w:val="auto"/>
                <w:sz w:val="21"/>
                <w:szCs w:val="21"/>
                <w:highlight w:val="none"/>
              </w:rPr>
              <w:t>（相关证明材料的出具单位必须与合同甲方名称一致），格式自拟，否则不予计分。</w:t>
            </w:r>
          </w:p>
          <w:p w14:paraId="5ED0D450">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3.投标人分公司业绩予以认可。</w:t>
            </w:r>
          </w:p>
          <w:p w14:paraId="2969216E">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4.本项目对履约完成的业绩或正在履约的业绩均予以认可。</w:t>
            </w:r>
          </w:p>
          <w:p w14:paraId="0E6CD341">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5.同一业主单位分年度续签的多份合同视为一个业绩，不累计计分。</w:t>
            </w:r>
          </w:p>
          <w:p w14:paraId="7DD6754D">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注：提供的项目业绩只计算评标分值对应的项目数量，按照排列顺序从首个业绩开始评审，超出部分不进行评审。对应数量内业绩不符合招标文件要求不得分的，不再补充评审超出部分业绩。如：提供 1 个业绩即得满分的，按照投标文件排序评审第一项业绩，其余超出部分不再评审</w:t>
            </w:r>
            <w:r>
              <w:rPr>
                <w:rFonts w:hint="eastAsia" w:ascii="宋体" w:hAnsi="宋体" w:eastAsia="宋体" w:cs="宋体"/>
                <w:bCs/>
                <w:color w:val="auto"/>
                <w:sz w:val="21"/>
                <w:szCs w:val="21"/>
                <w:highlight w:val="none"/>
                <w:lang w:val="zh-CN"/>
              </w:rPr>
              <w:t>。</w:t>
            </w:r>
          </w:p>
        </w:tc>
        <w:tc>
          <w:tcPr>
            <w:tcW w:w="388" w:type="pct"/>
            <w:tcBorders>
              <w:top w:val="single" w:color="auto" w:sz="4" w:space="0"/>
              <w:left w:val="single" w:color="auto" w:sz="4" w:space="0"/>
              <w:bottom w:val="single" w:color="auto" w:sz="4" w:space="0"/>
              <w:right w:val="single" w:color="auto" w:sz="4" w:space="0"/>
            </w:tcBorders>
            <w:noWrap w:val="0"/>
            <w:vAlign w:val="center"/>
          </w:tcPr>
          <w:p w14:paraId="6F13B91D">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0-4分</w:t>
            </w:r>
          </w:p>
        </w:tc>
      </w:tr>
      <w:tr w14:paraId="20B5E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pct"/>
            <w:vMerge w:val="continue"/>
            <w:tcBorders>
              <w:left w:val="single" w:color="auto" w:sz="4" w:space="0"/>
              <w:right w:val="single" w:color="auto" w:sz="4" w:space="0"/>
            </w:tcBorders>
            <w:noWrap w:val="0"/>
            <w:vAlign w:val="center"/>
          </w:tcPr>
          <w:p w14:paraId="01D90E78">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p>
        </w:tc>
        <w:tc>
          <w:tcPr>
            <w:tcW w:w="511" w:type="pct"/>
            <w:vMerge w:val="continue"/>
            <w:tcBorders>
              <w:left w:val="single" w:color="auto" w:sz="4" w:space="0"/>
              <w:right w:val="single" w:color="auto" w:sz="4" w:space="0"/>
            </w:tcBorders>
            <w:noWrap w:val="0"/>
            <w:vAlign w:val="center"/>
          </w:tcPr>
          <w:p w14:paraId="471C179D">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p>
        </w:tc>
        <w:tc>
          <w:tcPr>
            <w:tcW w:w="51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396DEB3">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sz w:val="21"/>
                <w:szCs w:val="21"/>
                <w:highlight w:val="none"/>
                <w:lang w:val="zh-CN"/>
              </w:rPr>
              <w:t>业主</w:t>
            </w:r>
            <w:r>
              <w:rPr>
                <w:rFonts w:hint="eastAsia" w:ascii="宋体" w:hAnsi="宋体" w:eastAsia="宋体" w:cs="宋体"/>
                <w:bCs/>
                <w:color w:val="auto"/>
                <w:sz w:val="21"/>
                <w:szCs w:val="21"/>
                <w:highlight w:val="none"/>
              </w:rPr>
              <w:t>推荐</w:t>
            </w:r>
          </w:p>
        </w:tc>
        <w:tc>
          <w:tcPr>
            <w:tcW w:w="310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411E4D7">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i/>
                <w:color w:val="auto"/>
                <w:sz w:val="21"/>
                <w:szCs w:val="21"/>
                <w:highlight w:val="none"/>
              </w:rPr>
            </w:pPr>
            <w:r>
              <w:rPr>
                <w:rFonts w:hint="eastAsia" w:ascii="宋体" w:hAnsi="宋体" w:eastAsia="宋体" w:cs="宋体"/>
                <w:bCs/>
                <w:color w:val="auto"/>
                <w:sz w:val="21"/>
                <w:szCs w:val="21"/>
                <w:highlight w:val="none"/>
                <w:lang w:val="zh-CN"/>
              </w:rPr>
              <w:t xml:space="preserve">  </w:t>
            </w:r>
            <w:r>
              <w:rPr>
                <w:rFonts w:hint="eastAsia" w:ascii="宋体" w:hAnsi="宋体" w:eastAsia="宋体" w:cs="宋体"/>
                <w:bCs/>
                <w:color w:val="auto"/>
                <w:sz w:val="21"/>
                <w:szCs w:val="21"/>
                <w:highlight w:val="none"/>
                <w:lang w:val="zh-CN"/>
              </w:rPr>
              <w:t>投标人符合得分条件的业绩，获得该业绩的业主（合同甲方）书面推荐优秀的，每提供1个推荐函得</w:t>
            </w:r>
            <w:r>
              <w:rPr>
                <w:rFonts w:hint="eastAsia" w:ascii="宋体" w:hAnsi="宋体" w:eastAsia="宋体" w:cs="宋体"/>
                <w:bCs/>
                <w:color w:val="auto"/>
                <w:sz w:val="21"/>
                <w:szCs w:val="21"/>
                <w:highlight w:val="none"/>
                <w:u w:val="single"/>
              </w:rPr>
              <w:t xml:space="preserve"> 2 </w:t>
            </w:r>
            <w:r>
              <w:rPr>
                <w:rFonts w:hint="eastAsia" w:ascii="宋体" w:hAnsi="宋体" w:eastAsia="宋体" w:cs="宋体"/>
                <w:bCs/>
                <w:color w:val="auto"/>
                <w:sz w:val="21"/>
                <w:szCs w:val="21"/>
                <w:highlight w:val="none"/>
                <w:lang w:val="zh-CN"/>
              </w:rPr>
              <w:t>分，最高得</w:t>
            </w:r>
            <w:r>
              <w:rPr>
                <w:rFonts w:hint="eastAsia" w:ascii="宋体" w:hAnsi="宋体" w:eastAsia="宋体" w:cs="宋体"/>
                <w:bCs/>
                <w:color w:val="auto"/>
                <w:sz w:val="21"/>
                <w:szCs w:val="21"/>
                <w:highlight w:val="none"/>
                <w:u w:val="single"/>
              </w:rPr>
              <w:t>4</w:t>
            </w:r>
            <w:r>
              <w:rPr>
                <w:rFonts w:hint="eastAsia" w:ascii="宋体" w:hAnsi="宋体" w:eastAsia="宋体" w:cs="宋体"/>
                <w:bCs/>
                <w:color w:val="auto"/>
                <w:sz w:val="21"/>
                <w:szCs w:val="21"/>
                <w:highlight w:val="none"/>
                <w:lang w:val="zh-CN"/>
              </w:rPr>
              <w:t>分。</w:t>
            </w:r>
          </w:p>
          <w:p w14:paraId="7C3580C4">
            <w:pPr>
              <w:keepNext w:val="0"/>
              <w:keepLines w:val="0"/>
              <w:pageBreakBefore w:val="0"/>
              <w:kinsoku/>
              <w:wordWrap/>
              <w:overflowPunct/>
              <w:topLinePunct w:val="0"/>
              <w:autoSpaceDE/>
              <w:autoSpaceDN/>
              <w:bidi w:val="0"/>
              <w:spacing w:line="28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sz w:val="21"/>
                <w:szCs w:val="21"/>
                <w:highlight w:val="none"/>
                <w:lang w:val="zh-CN"/>
              </w:rPr>
              <w:t>投标文件中提供业主（合同甲方）推荐函的扫描件，推荐函须体现投标人在该业绩物业管理工作中表现优秀。</w:t>
            </w:r>
          </w:p>
        </w:tc>
        <w:tc>
          <w:tcPr>
            <w:tcW w:w="38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73131C5">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i/>
                <w:iCs/>
                <w:color w:val="auto"/>
                <w:sz w:val="21"/>
                <w:szCs w:val="21"/>
                <w:highlight w:val="none"/>
              </w:rPr>
              <w:t>0-4分</w:t>
            </w:r>
          </w:p>
        </w:tc>
      </w:tr>
      <w:tr w14:paraId="17D62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pct"/>
            <w:vMerge w:val="continue"/>
            <w:tcBorders>
              <w:top w:val="single" w:color="auto" w:sz="4" w:space="0"/>
              <w:left w:val="single" w:color="auto" w:sz="4" w:space="0"/>
              <w:right w:val="single" w:color="auto" w:sz="4" w:space="0"/>
            </w:tcBorders>
            <w:noWrap w:val="0"/>
            <w:vAlign w:val="center"/>
          </w:tcPr>
          <w:p w14:paraId="33DE729A">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p>
        </w:tc>
        <w:tc>
          <w:tcPr>
            <w:tcW w:w="511" w:type="pct"/>
            <w:vMerge w:val="continue"/>
            <w:tcBorders>
              <w:left w:val="single" w:color="auto" w:sz="4" w:space="0"/>
              <w:right w:val="single" w:color="auto" w:sz="4" w:space="0"/>
            </w:tcBorders>
            <w:noWrap w:val="0"/>
            <w:vAlign w:val="top"/>
          </w:tcPr>
          <w:p w14:paraId="5E3C0BE1">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p>
        </w:tc>
        <w:tc>
          <w:tcPr>
            <w:tcW w:w="964" w:type="dxa"/>
            <w:tcBorders>
              <w:top w:val="single" w:color="auto" w:sz="4" w:space="0"/>
              <w:left w:val="single" w:color="auto" w:sz="4" w:space="0"/>
              <w:bottom w:val="single" w:color="auto" w:sz="4" w:space="0"/>
              <w:right w:val="single" w:color="auto" w:sz="4" w:space="0"/>
            </w:tcBorders>
            <w:noWrap w:val="0"/>
            <w:vAlign w:val="center"/>
          </w:tcPr>
          <w:p w14:paraId="0DB2F38B">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zh-CN"/>
              </w:rPr>
              <w:t>荣誉</w:t>
            </w:r>
          </w:p>
        </w:tc>
        <w:tc>
          <w:tcPr>
            <w:tcW w:w="5854" w:type="dxa"/>
            <w:tcBorders>
              <w:top w:val="single" w:color="auto" w:sz="4" w:space="0"/>
              <w:left w:val="single" w:color="auto" w:sz="4" w:space="0"/>
              <w:bottom w:val="single" w:color="auto" w:sz="4" w:space="0"/>
              <w:right w:val="single" w:color="auto" w:sz="4" w:space="0"/>
            </w:tcBorders>
            <w:noWrap w:val="0"/>
            <w:vAlign w:val="center"/>
          </w:tcPr>
          <w:p w14:paraId="2FCC383C">
            <w:pPr>
              <w:keepNext w:val="0"/>
              <w:keepLines w:val="0"/>
              <w:pageBreakBefore w:val="0"/>
              <w:kinsoku/>
              <w:wordWrap/>
              <w:overflowPunct/>
              <w:topLinePunct w:val="0"/>
              <w:autoSpaceDE/>
              <w:autoSpaceDN/>
              <w:bidi w:val="0"/>
              <w:adjustRightInd w:val="0"/>
              <w:snapToGrid w:val="0"/>
              <w:spacing w:line="280" w:lineRule="exact"/>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自</w:t>
            </w:r>
            <w:r>
              <w:rPr>
                <w:rFonts w:hint="eastAsia" w:ascii="宋体" w:hAnsi="宋体" w:eastAsia="宋体" w:cs="宋体"/>
                <w:color w:val="auto"/>
                <w:sz w:val="21"/>
                <w:szCs w:val="21"/>
                <w:highlight w:val="none"/>
                <w:u w:val="single"/>
              </w:rPr>
              <w:t>2022</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rPr>
              <w:t>日以来（以证书或者证明文件的颁发时间为准），在物业管理工作中，投标人（或其所管项目）被物业行政主管部门授予荣誉的，每提供1个得</w:t>
            </w:r>
            <w:r>
              <w:rPr>
                <w:rFonts w:hint="eastAsia" w:ascii="宋体" w:hAnsi="宋体" w:eastAsia="宋体" w:cs="宋体"/>
                <w:color w:val="auto"/>
                <w:sz w:val="21"/>
                <w:szCs w:val="21"/>
                <w:highlight w:val="none"/>
                <w:u w:val="single"/>
              </w:rPr>
              <w:t xml:space="preserve"> 2 </w:t>
            </w:r>
            <w:r>
              <w:rPr>
                <w:rFonts w:hint="eastAsia"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u w:val="single"/>
              </w:rPr>
              <w:t xml:space="preserve">4 </w:t>
            </w:r>
            <w:r>
              <w:rPr>
                <w:rFonts w:hint="eastAsia" w:ascii="宋体" w:hAnsi="宋体" w:eastAsia="宋体" w:cs="宋体"/>
                <w:color w:val="auto"/>
                <w:sz w:val="21"/>
                <w:szCs w:val="21"/>
                <w:highlight w:val="none"/>
              </w:rPr>
              <w:t>分。</w:t>
            </w:r>
          </w:p>
          <w:p w14:paraId="69C535E7">
            <w:pPr>
              <w:keepNext w:val="0"/>
              <w:keepLines w:val="0"/>
              <w:pageBreakBefore w:val="0"/>
              <w:kinsoku/>
              <w:wordWrap/>
              <w:overflowPunct/>
              <w:topLinePunct w:val="0"/>
              <w:autoSpaceDE/>
              <w:autoSpaceDN/>
              <w:bidi w:val="0"/>
              <w:adjustRightInd w:val="0"/>
              <w:snapToGrid w:val="0"/>
              <w:spacing w:line="280" w:lineRule="exact"/>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文件中提供证书、批复、颁发单位荣誉文件、公示截图（具有其中之一即可）等证明材料。以上材料提供扫描件，须能体现投标人在物业管理工作中获得的荣誉，如无法体现，须另附颁发单位的相关证明材料，未提供或提供不全的不得分。如为所管项目荣誉，投标文件中同时提供业绩合同扫描件。</w:t>
            </w:r>
          </w:p>
          <w:p w14:paraId="4F8C2ADF">
            <w:pPr>
              <w:keepNext w:val="0"/>
              <w:keepLines w:val="0"/>
              <w:pageBreakBefore w:val="0"/>
              <w:kinsoku/>
              <w:wordWrap/>
              <w:overflowPunct/>
              <w:topLinePunct w:val="0"/>
              <w:autoSpaceDE/>
              <w:autoSpaceDN/>
              <w:bidi w:val="0"/>
              <w:adjustRightInd w:val="0"/>
              <w:snapToGrid w:val="0"/>
              <w:spacing w:line="2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zh-CN"/>
              </w:rPr>
              <w:t>提供的荣誉只计算评标分值对应的项目数量，按照排列顺序从首个荣誉开始评审至对应数量，超出部分不进行评审。对应数量内荣誉不符合招标文件要求不得分的，不再补充评审超出部分荣誉。</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32B51E09">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i/>
                <w:iCs/>
                <w:color w:val="auto"/>
                <w:sz w:val="21"/>
                <w:szCs w:val="21"/>
                <w:highlight w:val="none"/>
              </w:rPr>
              <w:t>0-4分</w:t>
            </w:r>
          </w:p>
        </w:tc>
      </w:tr>
      <w:tr w14:paraId="71FD2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pct"/>
            <w:vMerge w:val="continue"/>
            <w:tcBorders>
              <w:top w:val="single" w:color="auto" w:sz="4" w:space="0"/>
              <w:left w:val="single" w:color="auto" w:sz="4" w:space="0"/>
              <w:right w:val="single" w:color="auto" w:sz="4" w:space="0"/>
            </w:tcBorders>
            <w:noWrap w:val="0"/>
            <w:vAlign w:val="center"/>
          </w:tcPr>
          <w:p w14:paraId="13735A3F">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p>
        </w:tc>
        <w:tc>
          <w:tcPr>
            <w:tcW w:w="511" w:type="pct"/>
            <w:vMerge w:val="continue"/>
            <w:tcBorders>
              <w:left w:val="single" w:color="auto" w:sz="4" w:space="0"/>
              <w:right w:val="single" w:color="auto" w:sz="4" w:space="0"/>
            </w:tcBorders>
            <w:noWrap w:val="0"/>
            <w:vAlign w:val="top"/>
          </w:tcPr>
          <w:p w14:paraId="3BC0D8A2">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p>
        </w:tc>
        <w:tc>
          <w:tcPr>
            <w:tcW w:w="964" w:type="dxa"/>
            <w:tcBorders>
              <w:top w:val="single" w:color="auto" w:sz="4" w:space="0"/>
              <w:left w:val="single" w:color="auto" w:sz="4" w:space="0"/>
              <w:bottom w:val="single" w:color="auto" w:sz="4" w:space="0"/>
              <w:right w:val="single" w:color="auto" w:sz="4" w:space="0"/>
            </w:tcBorders>
            <w:noWrap w:val="0"/>
            <w:vAlign w:val="center"/>
          </w:tcPr>
          <w:p w14:paraId="72F97602">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zh-CN"/>
              </w:rPr>
              <w:t>信用</w:t>
            </w:r>
          </w:p>
        </w:tc>
        <w:tc>
          <w:tcPr>
            <w:tcW w:w="5854" w:type="dxa"/>
            <w:tcBorders>
              <w:top w:val="single" w:color="auto" w:sz="4" w:space="0"/>
              <w:left w:val="single" w:color="auto" w:sz="4" w:space="0"/>
              <w:bottom w:val="single" w:color="auto" w:sz="4" w:space="0"/>
              <w:right w:val="single" w:color="auto" w:sz="4" w:space="0"/>
            </w:tcBorders>
            <w:noWrap w:val="0"/>
            <w:vAlign w:val="center"/>
          </w:tcPr>
          <w:p w14:paraId="623D59C3">
            <w:pPr>
              <w:keepNext w:val="0"/>
              <w:keepLines w:val="0"/>
              <w:pageBreakBefore w:val="0"/>
              <w:kinsoku/>
              <w:wordWrap/>
              <w:overflowPunct/>
              <w:topLinePunct w:val="0"/>
              <w:autoSpaceDE/>
              <w:autoSpaceDN/>
              <w:bidi w:val="0"/>
              <w:spacing w:line="2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w:t>
            </w:r>
            <w:r>
              <w:rPr>
                <w:rFonts w:hint="eastAsia" w:ascii="宋体" w:hAnsi="宋体" w:eastAsia="宋体" w:cs="宋体"/>
                <w:color w:val="auto"/>
                <w:sz w:val="21"/>
                <w:szCs w:val="21"/>
                <w:highlight w:val="none"/>
                <w:u w:val="single"/>
              </w:rPr>
              <w:t>2022</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rPr>
              <w:t>日以来（以证书或者证明文件的颁发时间为准），投标人被物业行政主管部门评为甲级（类）的得</w:t>
            </w:r>
            <w:r>
              <w:rPr>
                <w:rFonts w:hint="eastAsia" w:ascii="宋体" w:hAnsi="宋体" w:eastAsia="宋体" w:cs="宋体"/>
                <w:color w:val="auto"/>
                <w:sz w:val="21"/>
                <w:szCs w:val="21"/>
                <w:highlight w:val="none"/>
                <w:u w:val="single"/>
              </w:rPr>
              <w:t>2</w:t>
            </w:r>
            <w:r>
              <w:rPr>
                <w:rFonts w:hint="eastAsia" w:ascii="宋体" w:hAnsi="宋体" w:eastAsia="宋体" w:cs="宋体"/>
                <w:color w:val="auto"/>
                <w:sz w:val="21"/>
                <w:szCs w:val="21"/>
                <w:highlight w:val="none"/>
              </w:rPr>
              <w:t>分；被评为乙级(类)的得</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2F57671F">
            <w:pPr>
              <w:keepNext w:val="0"/>
              <w:keepLines w:val="0"/>
              <w:pageBreakBefore w:val="0"/>
              <w:kinsoku/>
              <w:wordWrap/>
              <w:overflowPunct/>
              <w:topLinePunct w:val="0"/>
              <w:autoSpaceDE/>
              <w:autoSpaceDN/>
              <w:bidi w:val="0"/>
              <w:spacing w:line="280" w:lineRule="exact"/>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投标文件中提供物业行政主管部门颁发的证明文件等材料扫描件或物业物业行政主管部门官网截图；信用等级命名不同的，还须提供物业行政主管部门划分信用等级的证明材料扫描件。</w:t>
            </w:r>
          </w:p>
          <w:p w14:paraId="4A5B3A0C">
            <w:pPr>
              <w:keepNext w:val="0"/>
              <w:keepLines w:val="0"/>
              <w:pageBreakBefore w:val="0"/>
              <w:kinsoku/>
              <w:wordWrap/>
              <w:overflowPunct/>
              <w:topLinePunct w:val="0"/>
              <w:autoSpaceDE/>
              <w:autoSpaceDN/>
              <w:bidi w:val="0"/>
              <w:spacing w:line="28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注：物业信用命名如有不同，性质类似均予以认可。最高等级的以甲级(类)计算，次高等级的按乙级(类)计算。</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607FD474">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i/>
                <w:iCs/>
                <w:color w:val="auto"/>
                <w:sz w:val="21"/>
                <w:szCs w:val="21"/>
                <w:highlight w:val="none"/>
              </w:rPr>
              <w:t>0-</w:t>
            </w:r>
            <w:r>
              <w:rPr>
                <w:rFonts w:hint="eastAsia" w:ascii="宋体" w:hAnsi="宋体" w:eastAsia="宋体" w:cs="宋体"/>
                <w:i/>
                <w:iCs/>
                <w:color w:val="auto"/>
                <w:sz w:val="21"/>
                <w:szCs w:val="21"/>
                <w:highlight w:val="none"/>
                <w:lang w:val="en-US" w:eastAsia="zh-CN"/>
              </w:rPr>
              <w:t>2</w:t>
            </w:r>
            <w:r>
              <w:rPr>
                <w:rFonts w:hint="eastAsia" w:ascii="宋体" w:hAnsi="宋体" w:eastAsia="宋体" w:cs="宋体"/>
                <w:i/>
                <w:iCs/>
                <w:color w:val="auto"/>
                <w:sz w:val="21"/>
                <w:szCs w:val="21"/>
                <w:highlight w:val="none"/>
              </w:rPr>
              <w:t>分</w:t>
            </w:r>
          </w:p>
        </w:tc>
      </w:tr>
      <w:tr w14:paraId="1F57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485" w:type="pct"/>
            <w:vMerge w:val="continue"/>
            <w:tcBorders>
              <w:left w:val="single" w:color="auto" w:sz="4" w:space="0"/>
              <w:right w:val="single" w:color="auto" w:sz="4" w:space="0"/>
            </w:tcBorders>
            <w:noWrap w:val="0"/>
            <w:vAlign w:val="center"/>
          </w:tcPr>
          <w:p w14:paraId="78046140">
            <w:pPr>
              <w:keepNext w:val="0"/>
              <w:keepLines w:val="0"/>
              <w:pageBreakBefore w:val="0"/>
              <w:kinsoku/>
              <w:wordWrap/>
              <w:overflowPunct/>
              <w:topLinePunct w:val="0"/>
              <w:autoSpaceDE/>
              <w:autoSpaceDN/>
              <w:bidi w:val="0"/>
              <w:spacing w:line="280" w:lineRule="exact"/>
              <w:ind w:firstLine="435"/>
              <w:jc w:val="center"/>
              <w:textAlignment w:val="auto"/>
              <w:rPr>
                <w:rFonts w:hint="eastAsia" w:ascii="宋体" w:hAnsi="宋体" w:eastAsia="宋体" w:cs="宋体"/>
                <w:bCs/>
                <w:color w:val="auto"/>
                <w:sz w:val="21"/>
                <w:szCs w:val="21"/>
                <w:highlight w:val="none"/>
              </w:rPr>
            </w:pPr>
          </w:p>
        </w:tc>
        <w:tc>
          <w:tcPr>
            <w:tcW w:w="511" w:type="pct"/>
            <w:vMerge w:val="continue"/>
            <w:tcBorders>
              <w:left w:val="single" w:color="auto" w:sz="4" w:space="0"/>
              <w:right w:val="single" w:color="auto" w:sz="4" w:space="0"/>
            </w:tcBorders>
            <w:noWrap w:val="0"/>
            <w:vAlign w:val="top"/>
          </w:tcPr>
          <w:p w14:paraId="46E764C4">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p>
        </w:tc>
        <w:tc>
          <w:tcPr>
            <w:tcW w:w="511" w:type="pct"/>
            <w:tcBorders>
              <w:top w:val="single" w:color="auto" w:sz="4" w:space="0"/>
              <w:left w:val="single" w:color="auto" w:sz="4" w:space="0"/>
              <w:right w:val="single" w:color="auto" w:sz="4" w:space="0"/>
            </w:tcBorders>
            <w:noWrap w:val="0"/>
            <w:vAlign w:val="center"/>
          </w:tcPr>
          <w:p w14:paraId="527C09EC">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人员配备</w:t>
            </w:r>
          </w:p>
        </w:tc>
        <w:tc>
          <w:tcPr>
            <w:tcW w:w="3103" w:type="pct"/>
            <w:tcBorders>
              <w:top w:val="single" w:color="auto" w:sz="4" w:space="0"/>
              <w:left w:val="single" w:color="auto" w:sz="4" w:space="0"/>
              <w:right w:val="single" w:color="auto" w:sz="4" w:space="0"/>
            </w:tcBorders>
            <w:noWrap w:val="0"/>
            <w:vAlign w:val="center"/>
          </w:tcPr>
          <w:p w14:paraId="619780F6">
            <w:pPr>
              <w:keepNext w:val="0"/>
              <w:keepLines w:val="0"/>
              <w:pageBreakBefore w:val="0"/>
              <w:numPr>
                <w:ilvl w:val="0"/>
                <w:numId w:val="4"/>
              </w:numPr>
              <w:kinsoku/>
              <w:wordWrap/>
              <w:overflowPunct/>
              <w:topLinePunct w:val="0"/>
              <w:autoSpaceDE/>
              <w:autoSpaceDN/>
              <w:bidi w:val="0"/>
              <w:spacing w:line="280" w:lineRule="exact"/>
              <w:ind w:left="-480" w:leftChars="0" w:firstLine="48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zh-CN"/>
              </w:rPr>
              <w:t>拟为本项目配备的项目经理：</w:t>
            </w:r>
          </w:p>
          <w:p w14:paraId="5C9AAFCF">
            <w:pPr>
              <w:keepNext w:val="0"/>
              <w:keepLines w:val="0"/>
              <w:pageBreakBefore w:val="0"/>
              <w:kinsoku/>
              <w:wordWrap/>
              <w:overflowPunct/>
              <w:topLinePunct w:val="0"/>
              <w:autoSpaceDE/>
              <w:autoSpaceDN/>
              <w:bidi w:val="0"/>
              <w:spacing w:line="2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具有四级及以上物业管理员（师）职业资格（或职业技能等级）证书的得2分；本项满分2分；</w:t>
            </w:r>
            <w:r>
              <w:rPr>
                <w:rFonts w:hint="eastAsia" w:ascii="宋体" w:hAnsi="宋体" w:eastAsia="宋体" w:cs="宋体"/>
                <w:color w:val="auto"/>
                <w:sz w:val="21"/>
                <w:szCs w:val="21"/>
                <w:highlight w:val="none"/>
              </w:rPr>
              <w:t>（提供证书扫描件以及技能人才评价证书全国联网查询系统截图）</w:t>
            </w:r>
          </w:p>
          <w:p w14:paraId="5F7B383D">
            <w:pPr>
              <w:keepNext w:val="0"/>
              <w:keepLines w:val="0"/>
              <w:pageBreakBefore w:val="0"/>
              <w:kinsoku/>
              <w:wordWrap/>
              <w:overflowPunct/>
              <w:topLinePunct w:val="0"/>
              <w:autoSpaceDE/>
              <w:autoSpaceDN/>
              <w:bidi w:val="0"/>
              <w:spacing w:line="280" w:lineRule="exact"/>
              <w:ind w:firstLine="420" w:firstLineChars="200"/>
              <w:jc w:val="left"/>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二、其他人员：</w:t>
            </w:r>
          </w:p>
          <w:p w14:paraId="7787223B">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保安人员具有</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级及以上保安员或保卫管理员职业资格证书的，每人得1分，最高得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分（须提供证书扫描件以及技能人才评价证书全国联网查询系统截图）；</w:t>
            </w:r>
          </w:p>
          <w:p w14:paraId="6B926FF1">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.保安人员具有应急救援员证书的，每人得1分，最高得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分（须提供技能人才评价证书全国联网查询系统截图）；</w:t>
            </w:r>
          </w:p>
          <w:p w14:paraId="670BAEA4">
            <w:pPr>
              <w:keepNext w:val="0"/>
              <w:keepLines w:val="0"/>
              <w:pageBreakBefore w:val="0"/>
              <w:kinsoku/>
              <w:wordWrap/>
              <w:overflowPunct/>
              <w:topLinePunct w:val="0"/>
              <w:autoSpaceDE/>
              <w:autoSpaceDN/>
              <w:bidi w:val="0"/>
              <w:spacing w:line="28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注：上述人员一人一岗，一人不得在本项目中兼任多个岗位。</w:t>
            </w:r>
          </w:p>
          <w:p w14:paraId="7C568ACE">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投标文件中同时提供以下证明材料：</w:t>
            </w:r>
          </w:p>
          <w:p w14:paraId="7198F2C5">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（1）人员名单（格式自拟）；</w:t>
            </w:r>
          </w:p>
          <w:p w14:paraId="43AF7564">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（2）上述人员有效身份证明和证书扫描件；</w:t>
            </w:r>
          </w:p>
          <w:p w14:paraId="114CD932">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（3）上述人员须持有社保部门出具的本单位为其缴纳的投标前近三个月内任意一月的养老保险证明（证明文件两个月内有效），或供应商提供承诺已为上述人员缴纳养老保险证明的承诺书（格式自拟）。</w:t>
            </w:r>
          </w:p>
        </w:tc>
        <w:tc>
          <w:tcPr>
            <w:tcW w:w="388" w:type="pct"/>
            <w:tcBorders>
              <w:top w:val="single" w:color="auto" w:sz="4" w:space="0"/>
              <w:left w:val="single" w:color="auto" w:sz="4" w:space="0"/>
              <w:right w:val="single" w:color="auto" w:sz="4" w:space="0"/>
            </w:tcBorders>
            <w:noWrap w:val="0"/>
            <w:vAlign w:val="center"/>
          </w:tcPr>
          <w:p w14:paraId="7CEBAF14">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0-</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w:t>
            </w:r>
          </w:p>
        </w:tc>
      </w:tr>
      <w:tr w14:paraId="6FF5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9" w:hRule="atLeast"/>
          <w:jc w:val="center"/>
        </w:trPr>
        <w:tc>
          <w:tcPr>
            <w:tcW w:w="485" w:type="pct"/>
            <w:vMerge w:val="continue"/>
            <w:tcBorders>
              <w:left w:val="single" w:color="auto" w:sz="4" w:space="0"/>
              <w:right w:val="single" w:color="auto" w:sz="4" w:space="0"/>
            </w:tcBorders>
            <w:noWrap w:val="0"/>
            <w:vAlign w:val="center"/>
          </w:tcPr>
          <w:p w14:paraId="545F7F16">
            <w:pPr>
              <w:keepNext w:val="0"/>
              <w:keepLines w:val="0"/>
              <w:pageBreakBefore w:val="0"/>
              <w:kinsoku/>
              <w:wordWrap/>
              <w:overflowPunct/>
              <w:topLinePunct w:val="0"/>
              <w:autoSpaceDE/>
              <w:autoSpaceDN/>
              <w:bidi w:val="0"/>
              <w:spacing w:line="280" w:lineRule="exact"/>
              <w:ind w:firstLine="435"/>
              <w:jc w:val="center"/>
              <w:textAlignment w:val="auto"/>
              <w:rPr>
                <w:rFonts w:hint="eastAsia" w:ascii="宋体" w:hAnsi="宋体" w:eastAsia="宋体" w:cs="宋体"/>
                <w:bCs/>
                <w:color w:val="auto"/>
                <w:sz w:val="21"/>
                <w:szCs w:val="21"/>
                <w:highlight w:val="none"/>
              </w:rPr>
            </w:pPr>
          </w:p>
        </w:tc>
        <w:tc>
          <w:tcPr>
            <w:tcW w:w="511" w:type="pct"/>
            <w:vMerge w:val="restart"/>
            <w:tcBorders>
              <w:left w:val="single" w:color="auto" w:sz="4" w:space="0"/>
              <w:right w:val="single" w:color="auto" w:sz="4" w:space="0"/>
            </w:tcBorders>
            <w:noWrap w:val="0"/>
            <w:vAlign w:val="center"/>
          </w:tcPr>
          <w:p w14:paraId="428D886A">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p>
        </w:tc>
        <w:tc>
          <w:tcPr>
            <w:tcW w:w="511" w:type="pct"/>
            <w:tcBorders>
              <w:top w:val="single" w:color="auto" w:sz="4" w:space="0"/>
              <w:left w:val="single" w:color="auto" w:sz="4" w:space="0"/>
              <w:right w:val="single" w:color="auto" w:sz="4" w:space="0"/>
            </w:tcBorders>
            <w:noWrap w:val="0"/>
            <w:vAlign w:val="center"/>
          </w:tcPr>
          <w:p w14:paraId="732FE158">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提高物业管理服务水平的整体服务方案</w:t>
            </w:r>
          </w:p>
        </w:tc>
        <w:tc>
          <w:tcPr>
            <w:tcW w:w="3103" w:type="pct"/>
            <w:tcBorders>
              <w:top w:val="single" w:color="auto" w:sz="4" w:space="0"/>
              <w:left w:val="single" w:color="auto" w:sz="4" w:space="0"/>
              <w:right w:val="single" w:color="auto" w:sz="4" w:space="0"/>
            </w:tcBorders>
            <w:noWrap w:val="0"/>
            <w:vAlign w:val="center"/>
          </w:tcPr>
          <w:p w14:paraId="00BAB615">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有关法规、政策、标准及本项目特点，拟提出整体设想及目标，包括但不限于管理措施，管理深度和广度的做法，超前性、创造性、全方位贴心服务的意识，创造优美舒适、安全文明、洁净环境的设想等内容。评标委员会根据供应商提供的以上内容综合评分：</w:t>
            </w:r>
          </w:p>
          <w:p w14:paraId="4CC18340">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①方案详细具体、重点突出、合理可行、针对性强，内容全面措施完善，完全符合本项目特点的得5分；</w:t>
            </w:r>
          </w:p>
          <w:p w14:paraId="0B93A0F3">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②方案内容详略得当，方案具有实施性和可操作性，内容详细、能够满足项目需求得4分；</w:t>
            </w:r>
          </w:p>
          <w:p w14:paraId="39A360B2">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③方案内容简单，但基本满足项目需求，内容有待完善提高的得3分</w:t>
            </w:r>
          </w:p>
          <w:p w14:paraId="19895C0F">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④方案内容空洞、不全面，方案有明显逻辑错误，关键点内容缺失，得2分；</w:t>
            </w:r>
          </w:p>
          <w:p w14:paraId="34D77AE9">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⑤未提供的，不得分。</w:t>
            </w:r>
          </w:p>
        </w:tc>
        <w:tc>
          <w:tcPr>
            <w:tcW w:w="388" w:type="pct"/>
            <w:tcBorders>
              <w:top w:val="single" w:color="auto" w:sz="4" w:space="0"/>
              <w:left w:val="single" w:color="auto" w:sz="4" w:space="0"/>
              <w:right w:val="single" w:color="auto" w:sz="4" w:space="0"/>
            </w:tcBorders>
            <w:noWrap w:val="0"/>
            <w:vAlign w:val="center"/>
          </w:tcPr>
          <w:p w14:paraId="6E8537F3">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0-5分</w:t>
            </w:r>
          </w:p>
        </w:tc>
      </w:tr>
      <w:tr w14:paraId="75CC2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pct"/>
            <w:vMerge w:val="continue"/>
            <w:tcBorders>
              <w:left w:val="single" w:color="auto" w:sz="4" w:space="0"/>
              <w:right w:val="single" w:color="auto" w:sz="4" w:space="0"/>
            </w:tcBorders>
            <w:noWrap w:val="0"/>
            <w:vAlign w:val="center"/>
          </w:tcPr>
          <w:p w14:paraId="21C0E1BD">
            <w:pPr>
              <w:keepNext w:val="0"/>
              <w:keepLines w:val="0"/>
              <w:pageBreakBefore w:val="0"/>
              <w:kinsoku/>
              <w:wordWrap/>
              <w:overflowPunct/>
              <w:topLinePunct w:val="0"/>
              <w:autoSpaceDE/>
              <w:autoSpaceDN/>
              <w:bidi w:val="0"/>
              <w:spacing w:line="280" w:lineRule="exact"/>
              <w:ind w:firstLine="435"/>
              <w:jc w:val="center"/>
              <w:textAlignment w:val="auto"/>
              <w:rPr>
                <w:rFonts w:hint="eastAsia" w:ascii="宋体" w:hAnsi="宋体" w:eastAsia="宋体" w:cs="宋体"/>
                <w:bCs/>
                <w:color w:val="auto"/>
                <w:sz w:val="21"/>
                <w:szCs w:val="21"/>
                <w:highlight w:val="none"/>
              </w:rPr>
            </w:pPr>
          </w:p>
        </w:tc>
        <w:tc>
          <w:tcPr>
            <w:tcW w:w="511" w:type="pct"/>
            <w:vMerge w:val="continue"/>
            <w:tcBorders>
              <w:left w:val="single" w:color="auto" w:sz="4" w:space="0"/>
              <w:right w:val="single" w:color="auto" w:sz="4" w:space="0"/>
            </w:tcBorders>
            <w:noWrap w:val="0"/>
            <w:vAlign w:val="top"/>
          </w:tcPr>
          <w:p w14:paraId="372E972E">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p>
        </w:tc>
        <w:tc>
          <w:tcPr>
            <w:tcW w:w="511" w:type="pct"/>
            <w:tcBorders>
              <w:top w:val="single" w:color="auto" w:sz="4" w:space="0"/>
              <w:left w:val="single" w:color="auto" w:sz="4" w:space="0"/>
              <w:bottom w:val="single" w:color="auto" w:sz="4" w:space="0"/>
              <w:right w:val="single" w:color="auto" w:sz="4" w:space="0"/>
            </w:tcBorders>
            <w:noWrap w:val="0"/>
            <w:vAlign w:val="center"/>
          </w:tcPr>
          <w:p w14:paraId="0E403F09">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人员配备、培训及管理</w:t>
            </w:r>
          </w:p>
        </w:tc>
        <w:tc>
          <w:tcPr>
            <w:tcW w:w="3103" w:type="pct"/>
            <w:tcBorders>
              <w:top w:val="single" w:color="auto" w:sz="4" w:space="0"/>
              <w:left w:val="single" w:color="auto" w:sz="4" w:space="0"/>
              <w:bottom w:val="single" w:color="auto" w:sz="4" w:space="0"/>
              <w:right w:val="single" w:color="auto" w:sz="4" w:space="0"/>
            </w:tcBorders>
            <w:noWrap w:val="0"/>
            <w:vAlign w:val="center"/>
          </w:tcPr>
          <w:p w14:paraId="38817031">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本项目采购人单位性质、多服务区域等特点提供整体的人员配备、培训方案，包括：人员培训：对各类人员的培训计划、方式、目标及行为规范的培训等；人员的管理：录用与考核、淘汰机制、奖罚、协调关系、服务意识、量化管理及标准运作等；由评标委员会根据投标文件以上内容进行综合评审：</w:t>
            </w:r>
          </w:p>
          <w:p w14:paraId="782B0477">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①方案切合实际情况，各部分有深入的表述，解决方案合理、有具体切实可行的保障措施的得 5 分；</w:t>
            </w:r>
          </w:p>
          <w:p w14:paraId="7EADBC70">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②方案符合实际情况，内容完整、表述清晰，有保障措施，措施实施内容具体可行的得 4 分；</w:t>
            </w:r>
          </w:p>
          <w:p w14:paraId="4971D95A">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③方案满足项目要求，内容完整，考虑了保障措施，保障措施及解决方案出现非专门针对本项目内容的得 3分；</w:t>
            </w:r>
          </w:p>
          <w:p w14:paraId="0A54ED74">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④方案满足项目要求但有矛盾点、可行性受影响，对各个环节的保障措施、解决方案等缺项或关键点缺失的得 2分；</w:t>
            </w:r>
          </w:p>
          <w:p w14:paraId="2EC0166A">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w:t>
            </w:r>
            <w:r>
              <w:rPr>
                <w:rFonts w:hint="eastAsia" w:ascii="宋体" w:hAnsi="宋体" w:eastAsia="宋体" w:cs="宋体"/>
                <w:color w:val="auto"/>
                <w:sz w:val="21"/>
                <w:szCs w:val="21"/>
                <w:highlight w:val="none"/>
              </w:rPr>
              <w:t>未提供的，不得分。</w:t>
            </w:r>
          </w:p>
        </w:tc>
        <w:tc>
          <w:tcPr>
            <w:tcW w:w="388" w:type="pct"/>
            <w:tcBorders>
              <w:top w:val="single" w:color="auto" w:sz="4" w:space="0"/>
              <w:left w:val="single" w:color="auto" w:sz="4" w:space="0"/>
              <w:bottom w:val="single" w:color="auto" w:sz="4" w:space="0"/>
              <w:right w:val="single" w:color="auto" w:sz="4" w:space="0"/>
            </w:tcBorders>
            <w:noWrap w:val="0"/>
            <w:vAlign w:val="center"/>
          </w:tcPr>
          <w:p w14:paraId="5B28DED2">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0-5分</w:t>
            </w:r>
          </w:p>
        </w:tc>
      </w:tr>
      <w:tr w14:paraId="31709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7" w:hRule="atLeast"/>
          <w:jc w:val="center"/>
        </w:trPr>
        <w:tc>
          <w:tcPr>
            <w:tcW w:w="485" w:type="pct"/>
            <w:vMerge w:val="continue"/>
            <w:tcBorders>
              <w:left w:val="single" w:color="auto" w:sz="4" w:space="0"/>
              <w:right w:val="single" w:color="auto" w:sz="4" w:space="0"/>
            </w:tcBorders>
            <w:noWrap w:val="0"/>
            <w:vAlign w:val="center"/>
          </w:tcPr>
          <w:p w14:paraId="6767B92B">
            <w:pPr>
              <w:keepNext w:val="0"/>
              <w:keepLines w:val="0"/>
              <w:pageBreakBefore w:val="0"/>
              <w:kinsoku/>
              <w:wordWrap/>
              <w:overflowPunct/>
              <w:topLinePunct w:val="0"/>
              <w:autoSpaceDE/>
              <w:autoSpaceDN/>
              <w:bidi w:val="0"/>
              <w:spacing w:line="280" w:lineRule="exact"/>
              <w:ind w:firstLine="435"/>
              <w:jc w:val="center"/>
              <w:textAlignment w:val="auto"/>
              <w:rPr>
                <w:rFonts w:hint="eastAsia" w:ascii="宋体" w:hAnsi="宋体" w:eastAsia="宋体" w:cs="宋体"/>
                <w:bCs/>
                <w:color w:val="auto"/>
                <w:sz w:val="21"/>
                <w:szCs w:val="21"/>
                <w:highlight w:val="none"/>
              </w:rPr>
            </w:pPr>
          </w:p>
        </w:tc>
        <w:tc>
          <w:tcPr>
            <w:tcW w:w="511" w:type="pct"/>
            <w:vMerge w:val="continue"/>
            <w:tcBorders>
              <w:left w:val="single" w:color="auto" w:sz="4" w:space="0"/>
              <w:right w:val="single" w:color="auto" w:sz="4" w:space="0"/>
            </w:tcBorders>
            <w:noWrap w:val="0"/>
            <w:vAlign w:val="top"/>
          </w:tcPr>
          <w:p w14:paraId="4ABC78AE">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p>
        </w:tc>
        <w:tc>
          <w:tcPr>
            <w:tcW w:w="511" w:type="pct"/>
            <w:tcBorders>
              <w:top w:val="single" w:color="auto" w:sz="4" w:space="0"/>
              <w:left w:val="single" w:color="auto" w:sz="4" w:space="0"/>
              <w:right w:val="single" w:color="auto" w:sz="4" w:space="0"/>
            </w:tcBorders>
            <w:noWrap w:val="0"/>
            <w:vAlign w:val="center"/>
          </w:tcPr>
          <w:p w14:paraId="4AED4AD6">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内部管理制度</w:t>
            </w:r>
          </w:p>
        </w:tc>
        <w:tc>
          <w:tcPr>
            <w:tcW w:w="3103" w:type="pct"/>
            <w:tcBorders>
              <w:top w:val="single" w:color="auto" w:sz="4" w:space="0"/>
              <w:left w:val="single" w:color="auto" w:sz="4" w:space="0"/>
              <w:right w:val="single" w:color="auto" w:sz="4" w:space="0"/>
            </w:tcBorders>
            <w:noWrap w:val="0"/>
            <w:vAlign w:val="center"/>
          </w:tcPr>
          <w:p w14:paraId="77492F67">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根据投标人提供的企业内部管理制度（包括公众制度、企业内部岗位责任制、管理维护运作制度及标准、物业服务质量的检查与考核办法、档案的建立与管理制度等）进行综合评分：</w:t>
            </w:r>
          </w:p>
          <w:p w14:paraId="0F921708">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①内容健全，完整详细，突出重点，实施措施完善，针对各类内容的内部管理制度明确，操作内容完整，操作流程符合实际需求，得 5 分；</w:t>
            </w:r>
          </w:p>
          <w:p w14:paraId="39C30799">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②内容完整，有实施措施，内容满足采购需求，针对各类内容的管理制度完整，得4分；</w:t>
            </w:r>
          </w:p>
          <w:p w14:paraId="2FDDD38B">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③内容简单，缺少对本项目的具体分析，管理制度有待改善，内容有出现与项目不匹配的内容或前后矛盾内容，得3分；</w:t>
            </w:r>
          </w:p>
          <w:p w14:paraId="276EF717">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④内容粗糙，条理不清晰，存在前后不一致或与本项目无关的内容，得2分；</w:t>
            </w:r>
          </w:p>
          <w:p w14:paraId="698AD5E3">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⑤未提供不得分。</w:t>
            </w:r>
          </w:p>
        </w:tc>
        <w:tc>
          <w:tcPr>
            <w:tcW w:w="388" w:type="pct"/>
            <w:tcBorders>
              <w:top w:val="single" w:color="auto" w:sz="4" w:space="0"/>
              <w:left w:val="single" w:color="auto" w:sz="4" w:space="0"/>
              <w:right w:val="single" w:color="auto" w:sz="4" w:space="0"/>
            </w:tcBorders>
            <w:noWrap w:val="0"/>
            <w:vAlign w:val="center"/>
          </w:tcPr>
          <w:p w14:paraId="2C465678">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0-5分</w:t>
            </w:r>
          </w:p>
        </w:tc>
      </w:tr>
      <w:tr w14:paraId="7A703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pct"/>
            <w:vMerge w:val="continue"/>
            <w:tcBorders>
              <w:left w:val="single" w:color="auto" w:sz="4" w:space="0"/>
              <w:right w:val="single" w:color="auto" w:sz="4" w:space="0"/>
            </w:tcBorders>
            <w:noWrap w:val="0"/>
            <w:vAlign w:val="center"/>
          </w:tcPr>
          <w:p w14:paraId="0E111259">
            <w:pPr>
              <w:keepNext w:val="0"/>
              <w:keepLines w:val="0"/>
              <w:pageBreakBefore w:val="0"/>
              <w:kinsoku/>
              <w:wordWrap/>
              <w:overflowPunct/>
              <w:topLinePunct w:val="0"/>
              <w:autoSpaceDE/>
              <w:autoSpaceDN/>
              <w:bidi w:val="0"/>
              <w:spacing w:line="280" w:lineRule="exact"/>
              <w:ind w:firstLine="435"/>
              <w:jc w:val="center"/>
              <w:textAlignment w:val="auto"/>
              <w:rPr>
                <w:rFonts w:hint="eastAsia" w:ascii="宋体" w:hAnsi="宋体" w:eastAsia="宋体" w:cs="宋体"/>
                <w:bCs/>
                <w:color w:val="auto"/>
                <w:sz w:val="21"/>
                <w:szCs w:val="21"/>
                <w:highlight w:val="none"/>
              </w:rPr>
            </w:pPr>
          </w:p>
        </w:tc>
        <w:tc>
          <w:tcPr>
            <w:tcW w:w="511" w:type="pct"/>
            <w:vMerge w:val="continue"/>
            <w:tcBorders>
              <w:left w:val="single" w:color="auto" w:sz="4" w:space="0"/>
              <w:right w:val="single" w:color="auto" w:sz="4" w:space="0"/>
            </w:tcBorders>
            <w:noWrap w:val="0"/>
            <w:vAlign w:val="top"/>
          </w:tcPr>
          <w:p w14:paraId="3C84B14D">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p>
        </w:tc>
        <w:tc>
          <w:tcPr>
            <w:tcW w:w="511" w:type="pct"/>
            <w:tcBorders>
              <w:top w:val="single" w:color="auto" w:sz="4" w:space="0"/>
              <w:left w:val="single" w:color="auto" w:sz="4" w:space="0"/>
              <w:bottom w:val="single" w:color="auto" w:sz="4" w:space="0"/>
              <w:right w:val="single" w:color="auto" w:sz="4" w:space="0"/>
            </w:tcBorders>
            <w:noWrap w:val="0"/>
            <w:vAlign w:val="center"/>
          </w:tcPr>
          <w:p w14:paraId="3FA518B0">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工具、劳动用品保障方案</w:t>
            </w:r>
          </w:p>
        </w:tc>
        <w:tc>
          <w:tcPr>
            <w:tcW w:w="3103" w:type="pct"/>
            <w:tcBorders>
              <w:top w:val="single" w:color="auto" w:sz="4" w:space="0"/>
              <w:left w:val="single" w:color="auto" w:sz="4" w:space="0"/>
              <w:bottom w:val="single" w:color="auto" w:sz="4" w:space="0"/>
              <w:right w:val="single" w:color="auto" w:sz="4" w:space="0"/>
            </w:tcBorders>
            <w:noWrap w:val="0"/>
            <w:vAlign w:val="center"/>
          </w:tcPr>
          <w:p w14:paraId="14023E0E">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评标委员会根据采购文件要求及投标人提供的工具、劳动用品保障方案（包括保安装备工具、水电维修工具、清洁工具和耗材、绿化维护工具、消防维护工具等）情况，进行综合评分：</w:t>
            </w:r>
          </w:p>
          <w:p w14:paraId="04FAE8D9">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t>对本项目特点和难点理解准确，工具、劳动用品保障方案优于本项目采购需求，保障</w:t>
            </w:r>
            <w:r>
              <w:rPr>
                <w:rFonts w:hint="eastAsia" w:ascii="宋体" w:hAnsi="宋体" w:eastAsia="宋体" w:cs="宋体"/>
                <w:color w:val="auto"/>
                <w:sz w:val="21"/>
                <w:szCs w:val="21"/>
                <w:highlight w:val="none"/>
              </w:rPr>
              <w:t>全面完善，完全符合本项目特点的得5分；</w:t>
            </w:r>
          </w:p>
          <w:p w14:paraId="13C1143D">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t>对本项目特点和难点理解基本准确，工具、劳动用品保障方案适合本项目采购需求</w:t>
            </w:r>
            <w:r>
              <w:rPr>
                <w:rFonts w:hint="eastAsia" w:ascii="宋体" w:hAnsi="宋体" w:eastAsia="宋体" w:cs="宋体"/>
                <w:color w:val="auto"/>
                <w:sz w:val="21"/>
                <w:szCs w:val="21"/>
                <w:highlight w:val="none"/>
              </w:rPr>
              <w:t>，内容详细、能够满足项目需求得4分；</w:t>
            </w:r>
          </w:p>
          <w:p w14:paraId="2D710B64">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rPr>
              <w:t>对本项目特点和难点理解有待提升，工具、劳动用品保障方案基本适合本项目采购需求</w:t>
            </w:r>
            <w:r>
              <w:rPr>
                <w:rFonts w:hint="eastAsia" w:ascii="宋体" w:hAnsi="宋体" w:eastAsia="宋体" w:cs="宋体"/>
                <w:color w:val="auto"/>
                <w:sz w:val="21"/>
                <w:szCs w:val="21"/>
                <w:highlight w:val="none"/>
              </w:rPr>
              <w:t>，内容有待完善提高的得3分</w:t>
            </w:r>
          </w:p>
          <w:p w14:paraId="25EF44EA">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④方案内容空洞、不全面，方案有明显逻辑错误，存在前后不一致或与本项目无关的内容，得2分；</w:t>
            </w:r>
          </w:p>
          <w:p w14:paraId="0E7B35BC">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⑤未提供的，不得分。</w:t>
            </w:r>
          </w:p>
        </w:tc>
        <w:tc>
          <w:tcPr>
            <w:tcW w:w="388" w:type="pct"/>
            <w:tcBorders>
              <w:top w:val="single" w:color="auto" w:sz="4" w:space="0"/>
              <w:left w:val="single" w:color="auto" w:sz="4" w:space="0"/>
              <w:bottom w:val="single" w:color="auto" w:sz="4" w:space="0"/>
              <w:right w:val="single" w:color="auto" w:sz="4" w:space="0"/>
            </w:tcBorders>
            <w:noWrap w:val="0"/>
            <w:vAlign w:val="center"/>
          </w:tcPr>
          <w:p w14:paraId="74C6A153">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0-5分</w:t>
            </w:r>
          </w:p>
        </w:tc>
      </w:tr>
      <w:tr w14:paraId="3BA9A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pct"/>
            <w:vMerge w:val="continue"/>
            <w:tcBorders>
              <w:left w:val="single" w:color="auto" w:sz="4" w:space="0"/>
              <w:right w:val="single" w:color="auto" w:sz="4" w:space="0"/>
            </w:tcBorders>
            <w:noWrap w:val="0"/>
            <w:vAlign w:val="center"/>
          </w:tcPr>
          <w:p w14:paraId="35CF3A6A">
            <w:pPr>
              <w:keepNext w:val="0"/>
              <w:keepLines w:val="0"/>
              <w:pageBreakBefore w:val="0"/>
              <w:kinsoku/>
              <w:wordWrap/>
              <w:overflowPunct/>
              <w:topLinePunct w:val="0"/>
              <w:autoSpaceDE/>
              <w:autoSpaceDN/>
              <w:bidi w:val="0"/>
              <w:spacing w:line="280" w:lineRule="exact"/>
              <w:ind w:firstLine="435"/>
              <w:jc w:val="center"/>
              <w:textAlignment w:val="auto"/>
              <w:rPr>
                <w:rFonts w:hint="eastAsia" w:ascii="宋体" w:hAnsi="宋体" w:eastAsia="宋体" w:cs="宋体"/>
                <w:bCs/>
                <w:color w:val="auto"/>
                <w:sz w:val="21"/>
                <w:szCs w:val="21"/>
                <w:highlight w:val="none"/>
              </w:rPr>
            </w:pPr>
          </w:p>
        </w:tc>
        <w:tc>
          <w:tcPr>
            <w:tcW w:w="511" w:type="pct"/>
            <w:vMerge w:val="continue"/>
            <w:tcBorders>
              <w:left w:val="single" w:color="auto" w:sz="4" w:space="0"/>
              <w:right w:val="single" w:color="auto" w:sz="4" w:space="0"/>
            </w:tcBorders>
            <w:noWrap w:val="0"/>
            <w:vAlign w:val="top"/>
          </w:tcPr>
          <w:p w14:paraId="2BB22A73">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p>
        </w:tc>
        <w:tc>
          <w:tcPr>
            <w:tcW w:w="511" w:type="pct"/>
            <w:tcBorders>
              <w:top w:val="single" w:color="auto" w:sz="4" w:space="0"/>
              <w:left w:val="single" w:color="auto" w:sz="4" w:space="0"/>
              <w:bottom w:val="single" w:color="auto" w:sz="4" w:space="0"/>
              <w:right w:val="single" w:color="auto" w:sz="4" w:space="0"/>
            </w:tcBorders>
            <w:noWrap w:val="0"/>
            <w:vAlign w:val="center"/>
          </w:tcPr>
          <w:p w14:paraId="1AEADCF1">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应急处理预案</w:t>
            </w:r>
          </w:p>
        </w:tc>
        <w:tc>
          <w:tcPr>
            <w:tcW w:w="3103" w:type="pct"/>
            <w:tcBorders>
              <w:top w:val="single" w:color="auto" w:sz="4" w:space="0"/>
              <w:left w:val="single" w:color="auto" w:sz="4" w:space="0"/>
              <w:bottom w:val="single" w:color="auto" w:sz="4" w:space="0"/>
              <w:right w:val="single" w:color="auto" w:sz="4" w:space="0"/>
            </w:tcBorders>
            <w:noWrap w:val="0"/>
            <w:vAlign w:val="center"/>
          </w:tcPr>
          <w:p w14:paraId="4A95C9D1">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针对本项目的实际情况制定的应急预案方案，对突发事件有详细的应急预案，评标委员会根据供应商提供的以上内容综合评分：</w:t>
            </w:r>
          </w:p>
          <w:p w14:paraId="3C4CAE0C">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①方案完善，应急响应时间安排合理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应急设备及应急服务人员配备充足，突发情况应急处理控制措施完整可行，得 5 分；</w:t>
            </w:r>
          </w:p>
          <w:p w14:paraId="064D6C7E">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②方案合理，应急响应时间安排合理，应急设备及应急服务人员配备可行，可以完成突发情况应急处理，得 4 分；</w:t>
            </w:r>
          </w:p>
          <w:p w14:paraId="0B3D1EE4">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③方案简单，应急响应时间、应急设备及应急服务人员配备勉强满足项目需求且出现非专门针对本项目特性内容，方案有待改善，得 3 分；</w:t>
            </w:r>
          </w:p>
          <w:p w14:paraId="5526E4A4">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④方案、应急响应时间安排不合理，应急设备及应急服务人员实施有矛盾，有逻辑漏洞、常识性错误的情形，得 2 分；</w:t>
            </w:r>
          </w:p>
          <w:p w14:paraId="603A09E4">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⑤未提供不得分</w:t>
            </w:r>
          </w:p>
        </w:tc>
        <w:tc>
          <w:tcPr>
            <w:tcW w:w="388" w:type="pct"/>
            <w:tcBorders>
              <w:top w:val="single" w:color="auto" w:sz="4" w:space="0"/>
              <w:left w:val="single" w:color="auto" w:sz="4" w:space="0"/>
              <w:bottom w:val="single" w:color="auto" w:sz="4" w:space="0"/>
              <w:right w:val="single" w:color="auto" w:sz="4" w:space="0"/>
            </w:tcBorders>
            <w:noWrap w:val="0"/>
            <w:vAlign w:val="center"/>
          </w:tcPr>
          <w:p w14:paraId="75756FB5">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0-5分</w:t>
            </w:r>
          </w:p>
        </w:tc>
      </w:tr>
      <w:tr w14:paraId="3450F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85" w:type="pct"/>
            <w:vMerge w:val="continue"/>
            <w:tcBorders>
              <w:left w:val="single" w:color="auto" w:sz="4" w:space="0"/>
              <w:right w:val="single" w:color="auto" w:sz="4" w:space="0"/>
            </w:tcBorders>
            <w:noWrap w:val="0"/>
            <w:vAlign w:val="center"/>
          </w:tcPr>
          <w:p w14:paraId="308A8D92">
            <w:pPr>
              <w:keepNext w:val="0"/>
              <w:keepLines w:val="0"/>
              <w:pageBreakBefore w:val="0"/>
              <w:kinsoku/>
              <w:wordWrap/>
              <w:overflowPunct/>
              <w:topLinePunct w:val="0"/>
              <w:autoSpaceDE/>
              <w:autoSpaceDN/>
              <w:bidi w:val="0"/>
              <w:spacing w:line="280" w:lineRule="exact"/>
              <w:ind w:firstLine="435"/>
              <w:jc w:val="center"/>
              <w:textAlignment w:val="auto"/>
              <w:rPr>
                <w:rFonts w:hint="eastAsia" w:ascii="宋体" w:hAnsi="宋体" w:eastAsia="宋体" w:cs="宋体"/>
                <w:bCs/>
                <w:color w:val="auto"/>
                <w:sz w:val="21"/>
                <w:szCs w:val="21"/>
                <w:highlight w:val="none"/>
              </w:rPr>
            </w:pPr>
          </w:p>
        </w:tc>
        <w:tc>
          <w:tcPr>
            <w:tcW w:w="511" w:type="pct"/>
            <w:vMerge w:val="continue"/>
            <w:tcBorders>
              <w:left w:val="single" w:color="auto" w:sz="4" w:space="0"/>
              <w:right w:val="single" w:color="auto" w:sz="4" w:space="0"/>
            </w:tcBorders>
            <w:noWrap w:val="0"/>
            <w:vAlign w:val="top"/>
          </w:tcPr>
          <w:p w14:paraId="59263F09">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p>
        </w:tc>
        <w:tc>
          <w:tcPr>
            <w:tcW w:w="511" w:type="pct"/>
            <w:tcBorders>
              <w:top w:val="single" w:color="auto" w:sz="4" w:space="0"/>
              <w:left w:val="single" w:color="auto" w:sz="4" w:space="0"/>
              <w:bottom w:val="single" w:color="auto" w:sz="4" w:space="0"/>
              <w:right w:val="single" w:color="auto" w:sz="4" w:space="0"/>
            </w:tcBorders>
            <w:noWrap w:val="0"/>
            <w:vAlign w:val="center"/>
          </w:tcPr>
          <w:p w14:paraId="0876FF63">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安保方案</w:t>
            </w:r>
          </w:p>
        </w:tc>
        <w:tc>
          <w:tcPr>
            <w:tcW w:w="3103" w:type="pct"/>
            <w:tcBorders>
              <w:top w:val="single" w:color="auto" w:sz="4" w:space="0"/>
              <w:left w:val="single" w:color="auto" w:sz="4" w:space="0"/>
              <w:bottom w:val="single" w:color="auto" w:sz="4" w:space="0"/>
              <w:right w:val="single" w:color="auto" w:sz="4" w:space="0"/>
            </w:tcBorders>
            <w:noWrap w:val="0"/>
            <w:vAlign w:val="center"/>
          </w:tcPr>
          <w:p w14:paraId="536B24C7">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针对本项目的工作特点提供整体安保方案内容。由评标委员会根据投标文件以上内容进行综合评审：</w:t>
            </w:r>
          </w:p>
          <w:p w14:paraId="74F846B3">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①服务方案全面、完整、详尽、各项服务措施完善，充分考虑各岗位日常人员配合、工作安排实施方案等因素，可实施性突出，充分满足项目实施要求，得 5 分；</w:t>
            </w:r>
          </w:p>
          <w:p w14:paraId="533E8E6C">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②服务方案有各项服务措施，各岗位日常人员配合、工作安排具有实施性，满足项目实施要求，得 4 分；</w:t>
            </w:r>
          </w:p>
          <w:p w14:paraId="7523F7FA">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③服务方案简单，服务措施片面，日常人员配合、工作安排合理，得 3 分；</w:t>
            </w:r>
          </w:p>
          <w:p w14:paraId="326ED123">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④服务方案粗糙，服务措施及服务安排存在不足，不满足实际的每天日常工作的得 2 分；</w:t>
            </w:r>
          </w:p>
          <w:p w14:paraId="6AD0466E">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⑤未提供的不得分。</w:t>
            </w:r>
          </w:p>
        </w:tc>
        <w:tc>
          <w:tcPr>
            <w:tcW w:w="388" w:type="pct"/>
            <w:tcBorders>
              <w:top w:val="single" w:color="auto" w:sz="4" w:space="0"/>
              <w:left w:val="single" w:color="auto" w:sz="4" w:space="0"/>
              <w:bottom w:val="single" w:color="auto" w:sz="4" w:space="0"/>
              <w:right w:val="single" w:color="auto" w:sz="4" w:space="0"/>
            </w:tcBorders>
            <w:noWrap w:val="0"/>
            <w:vAlign w:val="center"/>
          </w:tcPr>
          <w:p w14:paraId="41BFC154">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0-5分</w:t>
            </w:r>
          </w:p>
        </w:tc>
      </w:tr>
      <w:tr w14:paraId="06F26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485" w:type="pct"/>
            <w:vMerge w:val="continue"/>
            <w:tcBorders>
              <w:left w:val="single" w:color="auto" w:sz="4" w:space="0"/>
              <w:right w:val="single" w:color="auto" w:sz="4" w:space="0"/>
            </w:tcBorders>
            <w:noWrap w:val="0"/>
            <w:vAlign w:val="center"/>
          </w:tcPr>
          <w:p w14:paraId="0B6B2F88">
            <w:pPr>
              <w:keepNext w:val="0"/>
              <w:keepLines w:val="0"/>
              <w:pageBreakBefore w:val="0"/>
              <w:kinsoku/>
              <w:wordWrap/>
              <w:overflowPunct/>
              <w:topLinePunct w:val="0"/>
              <w:autoSpaceDE/>
              <w:autoSpaceDN/>
              <w:bidi w:val="0"/>
              <w:spacing w:line="280" w:lineRule="exact"/>
              <w:ind w:firstLine="435"/>
              <w:jc w:val="center"/>
              <w:textAlignment w:val="auto"/>
              <w:rPr>
                <w:rFonts w:hint="eastAsia" w:ascii="宋体" w:hAnsi="宋体" w:eastAsia="宋体" w:cs="宋体"/>
                <w:bCs/>
                <w:color w:val="auto"/>
                <w:sz w:val="21"/>
                <w:szCs w:val="21"/>
                <w:highlight w:val="none"/>
              </w:rPr>
            </w:pPr>
          </w:p>
        </w:tc>
        <w:tc>
          <w:tcPr>
            <w:tcW w:w="511" w:type="pct"/>
            <w:vMerge w:val="continue"/>
            <w:tcBorders>
              <w:left w:val="single" w:color="auto" w:sz="4" w:space="0"/>
              <w:right w:val="single" w:color="auto" w:sz="4" w:space="0"/>
            </w:tcBorders>
            <w:noWrap w:val="0"/>
            <w:vAlign w:val="top"/>
          </w:tcPr>
          <w:p w14:paraId="72E8FA9E">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p>
        </w:tc>
        <w:tc>
          <w:tcPr>
            <w:tcW w:w="511" w:type="pct"/>
            <w:tcBorders>
              <w:top w:val="single" w:color="auto" w:sz="4" w:space="0"/>
              <w:left w:val="single" w:color="auto" w:sz="4" w:space="0"/>
              <w:bottom w:val="single" w:color="auto" w:sz="4" w:space="0"/>
              <w:right w:val="single" w:color="auto" w:sz="4" w:space="0"/>
            </w:tcBorders>
            <w:noWrap w:val="0"/>
            <w:vAlign w:val="center"/>
          </w:tcPr>
          <w:p w14:paraId="19BDEF04">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保洁服务方案</w:t>
            </w:r>
          </w:p>
        </w:tc>
        <w:tc>
          <w:tcPr>
            <w:tcW w:w="3103" w:type="pct"/>
            <w:tcBorders>
              <w:top w:val="single" w:color="auto" w:sz="4" w:space="0"/>
              <w:left w:val="single" w:color="auto" w:sz="4" w:space="0"/>
              <w:bottom w:val="single" w:color="auto" w:sz="4" w:space="0"/>
              <w:right w:val="single" w:color="auto" w:sz="4" w:space="0"/>
            </w:tcBorders>
            <w:noWrap w:val="0"/>
            <w:vAlign w:val="center"/>
          </w:tcPr>
          <w:p w14:paraId="3FD5831A">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针对本项目的工作特点提供日常保洁服务方案内容。</w:t>
            </w:r>
          </w:p>
          <w:p w14:paraId="0C16B596">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①服务方案全面、完整、详尽、各项服务措施完善，充分考虑各岗位日常人员配合、工作安排实施方案等因素，可实施性突出，充分满足项目实施要求，得 5 分；</w:t>
            </w:r>
          </w:p>
          <w:p w14:paraId="28896977">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②服务方案有各项服务措施，各岗位日常人员配合、工作安排具有实施性，满足项目实施要求，得 4 分；</w:t>
            </w:r>
          </w:p>
          <w:p w14:paraId="52FD9F6E">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③服务方案简单，服务措施片面，日常人员配合、工作安排合理，得 3 分；</w:t>
            </w:r>
          </w:p>
          <w:p w14:paraId="576E50E7">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④服务方案粗糙，服务措施及服务安排存在不足，不满足实际的每天日常工作的得 2 分；</w:t>
            </w:r>
          </w:p>
          <w:p w14:paraId="10876038">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⑤未提供的不得分。</w:t>
            </w:r>
          </w:p>
        </w:tc>
        <w:tc>
          <w:tcPr>
            <w:tcW w:w="388" w:type="pct"/>
            <w:tcBorders>
              <w:top w:val="single" w:color="auto" w:sz="4" w:space="0"/>
              <w:left w:val="single" w:color="auto" w:sz="4" w:space="0"/>
              <w:bottom w:val="single" w:color="auto" w:sz="4" w:space="0"/>
              <w:right w:val="single" w:color="auto" w:sz="4" w:space="0"/>
            </w:tcBorders>
            <w:noWrap w:val="0"/>
            <w:vAlign w:val="center"/>
          </w:tcPr>
          <w:p w14:paraId="088675CF">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0-5分</w:t>
            </w:r>
          </w:p>
        </w:tc>
      </w:tr>
      <w:tr w14:paraId="7BC75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485" w:type="pct"/>
            <w:vMerge w:val="continue"/>
            <w:tcBorders>
              <w:left w:val="single" w:color="auto" w:sz="4" w:space="0"/>
              <w:right w:val="single" w:color="auto" w:sz="4" w:space="0"/>
            </w:tcBorders>
            <w:noWrap w:val="0"/>
            <w:vAlign w:val="center"/>
          </w:tcPr>
          <w:p w14:paraId="649BFFD2">
            <w:pPr>
              <w:keepNext w:val="0"/>
              <w:keepLines w:val="0"/>
              <w:pageBreakBefore w:val="0"/>
              <w:kinsoku/>
              <w:wordWrap/>
              <w:overflowPunct/>
              <w:topLinePunct w:val="0"/>
              <w:autoSpaceDE/>
              <w:autoSpaceDN/>
              <w:bidi w:val="0"/>
              <w:spacing w:line="280" w:lineRule="exact"/>
              <w:ind w:firstLine="435"/>
              <w:jc w:val="center"/>
              <w:textAlignment w:val="auto"/>
              <w:rPr>
                <w:rFonts w:hint="eastAsia" w:ascii="宋体" w:hAnsi="宋体" w:eastAsia="宋体" w:cs="宋体"/>
                <w:bCs/>
                <w:color w:val="auto"/>
                <w:sz w:val="21"/>
                <w:szCs w:val="21"/>
                <w:highlight w:val="none"/>
              </w:rPr>
            </w:pPr>
          </w:p>
        </w:tc>
        <w:tc>
          <w:tcPr>
            <w:tcW w:w="511" w:type="pct"/>
            <w:vMerge w:val="continue"/>
            <w:tcBorders>
              <w:left w:val="single" w:color="auto" w:sz="4" w:space="0"/>
              <w:right w:val="single" w:color="auto" w:sz="4" w:space="0"/>
            </w:tcBorders>
            <w:noWrap w:val="0"/>
            <w:vAlign w:val="top"/>
          </w:tcPr>
          <w:p w14:paraId="44948B68">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p>
        </w:tc>
        <w:tc>
          <w:tcPr>
            <w:tcW w:w="511" w:type="pct"/>
            <w:tcBorders>
              <w:top w:val="single" w:color="auto" w:sz="4" w:space="0"/>
              <w:left w:val="single" w:color="auto" w:sz="4" w:space="0"/>
              <w:bottom w:val="single" w:color="auto" w:sz="4" w:space="0"/>
              <w:right w:val="single" w:color="auto" w:sz="4" w:space="0"/>
            </w:tcBorders>
            <w:noWrap w:val="0"/>
            <w:vAlign w:val="center"/>
          </w:tcPr>
          <w:p w14:paraId="761EB58C">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绿化养护服务方案</w:t>
            </w:r>
          </w:p>
        </w:tc>
        <w:tc>
          <w:tcPr>
            <w:tcW w:w="3103" w:type="pct"/>
            <w:tcBorders>
              <w:top w:val="single" w:color="auto" w:sz="4" w:space="0"/>
              <w:left w:val="single" w:color="auto" w:sz="4" w:space="0"/>
              <w:bottom w:val="single" w:color="auto" w:sz="4" w:space="0"/>
              <w:right w:val="single" w:color="auto" w:sz="4" w:space="0"/>
            </w:tcBorders>
            <w:noWrap w:val="0"/>
            <w:vAlign w:val="center"/>
          </w:tcPr>
          <w:p w14:paraId="5EF1154E">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针对本项目的工作特点提供日常绿化养护服务方案。由评标委员会根据投标文件以上内容进行综合评审：</w:t>
            </w:r>
          </w:p>
          <w:p w14:paraId="0E0A0093">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①服务方案全面、完整、详尽、各项服务措施完善，充分考虑各岗位日常人员配合、工作安排实施方案等因素，可实施性突出，充分满足项目实施要求，得 5 分；</w:t>
            </w:r>
          </w:p>
          <w:p w14:paraId="5E28CF32">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②服务方案有各项服务措施，各岗位日常人员配合、工作安排具有实施性，满足项目实施要求，得 4 分；</w:t>
            </w:r>
          </w:p>
          <w:p w14:paraId="2E716B2D">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③服务方案简单，服务措施片面，日常人员配合、工作安排合理，得 3 分；</w:t>
            </w:r>
          </w:p>
          <w:p w14:paraId="15CE5E9C">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④服务方案粗糙，服务措施及服务安排存在不足，不满足实际的每天日常工作的得 2 分；</w:t>
            </w:r>
          </w:p>
          <w:p w14:paraId="5EFAF8B2">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⑤未提供的不得分。</w:t>
            </w:r>
          </w:p>
        </w:tc>
        <w:tc>
          <w:tcPr>
            <w:tcW w:w="388" w:type="pct"/>
            <w:tcBorders>
              <w:top w:val="single" w:color="auto" w:sz="4" w:space="0"/>
              <w:left w:val="single" w:color="auto" w:sz="4" w:space="0"/>
              <w:bottom w:val="single" w:color="auto" w:sz="4" w:space="0"/>
              <w:right w:val="single" w:color="auto" w:sz="4" w:space="0"/>
            </w:tcBorders>
            <w:noWrap w:val="0"/>
            <w:vAlign w:val="center"/>
          </w:tcPr>
          <w:p w14:paraId="48C4DDC9">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0-5分</w:t>
            </w:r>
          </w:p>
        </w:tc>
      </w:tr>
      <w:tr w14:paraId="0405D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85" w:type="pct"/>
            <w:vMerge w:val="continue"/>
            <w:tcBorders>
              <w:left w:val="single" w:color="auto" w:sz="4" w:space="0"/>
              <w:right w:val="single" w:color="auto" w:sz="4" w:space="0"/>
            </w:tcBorders>
            <w:noWrap w:val="0"/>
            <w:vAlign w:val="center"/>
          </w:tcPr>
          <w:p w14:paraId="3FAC6BD6">
            <w:pPr>
              <w:keepNext w:val="0"/>
              <w:keepLines w:val="0"/>
              <w:pageBreakBefore w:val="0"/>
              <w:kinsoku/>
              <w:wordWrap/>
              <w:overflowPunct/>
              <w:topLinePunct w:val="0"/>
              <w:autoSpaceDE/>
              <w:autoSpaceDN/>
              <w:bidi w:val="0"/>
              <w:spacing w:line="280" w:lineRule="exact"/>
              <w:ind w:firstLine="435"/>
              <w:jc w:val="center"/>
              <w:textAlignment w:val="auto"/>
              <w:rPr>
                <w:rFonts w:hint="eastAsia" w:ascii="宋体" w:hAnsi="宋体" w:eastAsia="宋体" w:cs="宋体"/>
                <w:bCs/>
                <w:color w:val="auto"/>
                <w:sz w:val="21"/>
                <w:szCs w:val="21"/>
                <w:highlight w:val="none"/>
              </w:rPr>
            </w:pPr>
          </w:p>
        </w:tc>
        <w:tc>
          <w:tcPr>
            <w:tcW w:w="511" w:type="pct"/>
            <w:vMerge w:val="continue"/>
            <w:tcBorders>
              <w:left w:val="single" w:color="auto" w:sz="4" w:space="0"/>
              <w:right w:val="single" w:color="auto" w:sz="4" w:space="0"/>
            </w:tcBorders>
            <w:noWrap w:val="0"/>
            <w:vAlign w:val="top"/>
          </w:tcPr>
          <w:p w14:paraId="31D7D1B8">
            <w:pPr>
              <w:pStyle w:val="81"/>
              <w:keepNext w:val="0"/>
              <w:keepLines w:val="0"/>
              <w:pageBreakBefore w:val="0"/>
              <w:kinsoku/>
              <w:wordWrap/>
              <w:overflowPunct/>
              <w:topLinePunct w:val="0"/>
              <w:autoSpaceDE/>
              <w:autoSpaceDN/>
              <w:bidi w:val="0"/>
              <w:spacing w:line="280" w:lineRule="exact"/>
              <w:ind w:firstLine="0"/>
              <w:jc w:val="left"/>
              <w:textAlignment w:val="auto"/>
              <w:rPr>
                <w:rFonts w:hint="eastAsia" w:ascii="宋体" w:hAnsi="宋体" w:eastAsia="宋体" w:cs="宋体"/>
                <w:color w:val="auto"/>
                <w:sz w:val="21"/>
                <w:szCs w:val="21"/>
                <w:highlight w:val="none"/>
              </w:rPr>
            </w:pPr>
          </w:p>
        </w:tc>
        <w:tc>
          <w:tcPr>
            <w:tcW w:w="511" w:type="pct"/>
            <w:tcBorders>
              <w:top w:val="single" w:color="auto" w:sz="4" w:space="0"/>
              <w:left w:val="single" w:color="auto" w:sz="4" w:space="0"/>
              <w:right w:val="single" w:color="auto" w:sz="4" w:space="0"/>
            </w:tcBorders>
            <w:noWrap w:val="0"/>
            <w:vAlign w:val="center"/>
          </w:tcPr>
          <w:p w14:paraId="5AB2ECD5">
            <w:pPr>
              <w:pStyle w:val="81"/>
              <w:keepNext w:val="0"/>
              <w:keepLines w:val="0"/>
              <w:pageBreakBefore w:val="0"/>
              <w:kinsoku/>
              <w:wordWrap/>
              <w:overflowPunct/>
              <w:topLinePunct w:val="0"/>
              <w:autoSpaceDE/>
              <w:autoSpaceDN/>
              <w:bidi w:val="0"/>
              <w:spacing w:line="280" w:lineRule="exact"/>
              <w:ind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水电维修维护方案</w:t>
            </w:r>
          </w:p>
        </w:tc>
        <w:tc>
          <w:tcPr>
            <w:tcW w:w="3103" w:type="pct"/>
            <w:tcBorders>
              <w:top w:val="single" w:color="auto" w:sz="4" w:space="0"/>
              <w:left w:val="single" w:color="auto" w:sz="4" w:space="0"/>
              <w:right w:val="single" w:color="auto" w:sz="4" w:space="0"/>
            </w:tcBorders>
            <w:noWrap w:val="0"/>
            <w:vAlign w:val="center"/>
          </w:tcPr>
          <w:p w14:paraId="112C4510">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针对本项目的工作特点提供日常水电维修维护方案。由评标委员会根据投标文件以上内容进行综合评审：</w:t>
            </w:r>
          </w:p>
          <w:p w14:paraId="10BCB8BE">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①服务方案全面、完整、详尽、各项服务措施完善，充分考虑各岗位日常人员配合、工作安排实施方案等因素，可实施性突出，充分满足项目实施要求，得 5 分；</w:t>
            </w:r>
          </w:p>
          <w:p w14:paraId="60F3448E">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②服务方案有各项服务措施，各岗位日常人员配合、工作安排具有实施性，满足项目实施要求，得 4 分；</w:t>
            </w:r>
          </w:p>
          <w:p w14:paraId="694BC1C9">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③服务方案简单，服务措施片面，日常人员配合、工作安排合理，得 3 分；</w:t>
            </w:r>
          </w:p>
          <w:p w14:paraId="02401DF8">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④服务方案粗糙，服务措施及服务安排存在不足，不满足实际的每天日常工作的得 2 分；</w:t>
            </w:r>
          </w:p>
          <w:p w14:paraId="17C0221D">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⑤未提供的不得分。</w:t>
            </w:r>
          </w:p>
        </w:tc>
        <w:tc>
          <w:tcPr>
            <w:tcW w:w="388" w:type="pct"/>
            <w:tcBorders>
              <w:top w:val="single" w:color="auto" w:sz="4" w:space="0"/>
              <w:left w:val="single" w:color="auto" w:sz="4" w:space="0"/>
              <w:right w:val="single" w:color="auto" w:sz="4" w:space="0"/>
            </w:tcBorders>
            <w:noWrap w:val="0"/>
            <w:vAlign w:val="center"/>
          </w:tcPr>
          <w:p w14:paraId="46DA8203">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0-5分</w:t>
            </w:r>
          </w:p>
        </w:tc>
      </w:tr>
      <w:tr w14:paraId="591DB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85" w:type="pct"/>
            <w:vMerge w:val="continue"/>
            <w:tcBorders>
              <w:left w:val="single" w:color="auto" w:sz="4" w:space="0"/>
              <w:right w:val="single" w:color="auto" w:sz="4" w:space="0"/>
            </w:tcBorders>
            <w:noWrap w:val="0"/>
            <w:vAlign w:val="center"/>
          </w:tcPr>
          <w:p w14:paraId="74FC25AF">
            <w:pPr>
              <w:keepNext w:val="0"/>
              <w:keepLines w:val="0"/>
              <w:pageBreakBefore w:val="0"/>
              <w:kinsoku/>
              <w:wordWrap/>
              <w:overflowPunct/>
              <w:topLinePunct w:val="0"/>
              <w:autoSpaceDE/>
              <w:autoSpaceDN/>
              <w:bidi w:val="0"/>
              <w:spacing w:line="280" w:lineRule="exact"/>
              <w:ind w:firstLine="435"/>
              <w:jc w:val="center"/>
              <w:textAlignment w:val="auto"/>
              <w:rPr>
                <w:rFonts w:hint="eastAsia" w:ascii="宋体" w:hAnsi="宋体" w:eastAsia="宋体" w:cs="宋体"/>
                <w:bCs/>
                <w:color w:val="auto"/>
                <w:sz w:val="21"/>
                <w:szCs w:val="21"/>
                <w:highlight w:val="none"/>
              </w:rPr>
            </w:pPr>
          </w:p>
        </w:tc>
        <w:tc>
          <w:tcPr>
            <w:tcW w:w="511" w:type="pct"/>
            <w:vMerge w:val="continue"/>
            <w:tcBorders>
              <w:left w:val="single" w:color="auto" w:sz="4" w:space="0"/>
              <w:right w:val="single" w:color="auto" w:sz="4" w:space="0"/>
            </w:tcBorders>
            <w:noWrap w:val="0"/>
            <w:vAlign w:val="top"/>
          </w:tcPr>
          <w:p w14:paraId="0BD2CECC">
            <w:pPr>
              <w:pStyle w:val="81"/>
              <w:keepNext w:val="0"/>
              <w:keepLines w:val="0"/>
              <w:pageBreakBefore w:val="0"/>
              <w:kinsoku/>
              <w:wordWrap/>
              <w:overflowPunct/>
              <w:topLinePunct w:val="0"/>
              <w:autoSpaceDE/>
              <w:autoSpaceDN/>
              <w:bidi w:val="0"/>
              <w:spacing w:line="280" w:lineRule="exact"/>
              <w:ind w:firstLine="0"/>
              <w:jc w:val="left"/>
              <w:textAlignment w:val="auto"/>
              <w:rPr>
                <w:rFonts w:hint="eastAsia" w:ascii="宋体" w:hAnsi="宋体" w:eastAsia="宋体" w:cs="宋体"/>
                <w:color w:val="auto"/>
                <w:sz w:val="21"/>
                <w:szCs w:val="21"/>
                <w:highlight w:val="none"/>
              </w:rPr>
            </w:pPr>
          </w:p>
        </w:tc>
        <w:tc>
          <w:tcPr>
            <w:tcW w:w="511" w:type="pct"/>
            <w:tcBorders>
              <w:top w:val="single" w:color="auto" w:sz="4" w:space="0"/>
              <w:left w:val="single" w:color="auto" w:sz="4" w:space="0"/>
              <w:right w:val="single" w:color="auto" w:sz="4" w:space="0"/>
            </w:tcBorders>
            <w:noWrap w:val="0"/>
            <w:vAlign w:val="center"/>
          </w:tcPr>
          <w:p w14:paraId="60438758">
            <w:pPr>
              <w:pStyle w:val="81"/>
              <w:keepNext w:val="0"/>
              <w:keepLines w:val="0"/>
              <w:pageBreakBefore w:val="0"/>
              <w:kinsoku/>
              <w:wordWrap/>
              <w:overflowPunct/>
              <w:topLinePunct w:val="0"/>
              <w:autoSpaceDE/>
              <w:autoSpaceDN/>
              <w:bidi w:val="0"/>
              <w:spacing w:line="280" w:lineRule="exact"/>
              <w:ind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消防维护方案</w:t>
            </w:r>
          </w:p>
        </w:tc>
        <w:tc>
          <w:tcPr>
            <w:tcW w:w="3103" w:type="pct"/>
            <w:tcBorders>
              <w:top w:val="single" w:color="auto" w:sz="4" w:space="0"/>
              <w:left w:val="single" w:color="auto" w:sz="4" w:space="0"/>
              <w:right w:val="single" w:color="auto" w:sz="4" w:space="0"/>
            </w:tcBorders>
            <w:noWrap w:val="0"/>
            <w:vAlign w:val="center"/>
          </w:tcPr>
          <w:p w14:paraId="22D67DAB">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针对本项目的工作特点提供消防维护及日常维护方案。由评标委员会根据投标文件以上内容进行综合评审：</w:t>
            </w:r>
          </w:p>
          <w:p w14:paraId="7728A599">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①服务方案全面、完整、详尽、各项服务措施完善，充分考虑各岗位日常人员配合、工作安排实施方案等因素，可实施性突出，充分满足项目实施要求，得 5 分；</w:t>
            </w:r>
          </w:p>
          <w:p w14:paraId="0D849FC9">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②服务方案有各项服务措施，各岗位日常人员配合、工作安排具有实施性，满足项目实施要求，得 4 分；</w:t>
            </w:r>
          </w:p>
          <w:p w14:paraId="3799189B">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③服务方案简单，服务措施片面，日常人员配合、工作安排合理，得 3 分；</w:t>
            </w:r>
          </w:p>
          <w:p w14:paraId="19F44576">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④服务方案粗糙，服务措施及服务安排存在不足，不满足实际的每天日常工作的得 2 分；</w:t>
            </w:r>
          </w:p>
          <w:p w14:paraId="128AAACC">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⑤未提供的不得分</w:t>
            </w:r>
          </w:p>
        </w:tc>
        <w:tc>
          <w:tcPr>
            <w:tcW w:w="388" w:type="pct"/>
            <w:tcBorders>
              <w:top w:val="single" w:color="auto" w:sz="4" w:space="0"/>
              <w:left w:val="single" w:color="auto" w:sz="4" w:space="0"/>
              <w:right w:val="single" w:color="auto" w:sz="4" w:space="0"/>
            </w:tcBorders>
            <w:noWrap w:val="0"/>
            <w:vAlign w:val="center"/>
          </w:tcPr>
          <w:p w14:paraId="6C890160">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0-5分</w:t>
            </w:r>
          </w:p>
        </w:tc>
      </w:tr>
      <w:tr w14:paraId="30FA4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85" w:type="pct"/>
            <w:vMerge w:val="continue"/>
            <w:tcBorders>
              <w:left w:val="single" w:color="auto" w:sz="4" w:space="0"/>
              <w:right w:val="single" w:color="auto" w:sz="4" w:space="0"/>
            </w:tcBorders>
            <w:noWrap w:val="0"/>
            <w:vAlign w:val="center"/>
          </w:tcPr>
          <w:p w14:paraId="169DC1BA">
            <w:pPr>
              <w:keepNext w:val="0"/>
              <w:keepLines w:val="0"/>
              <w:pageBreakBefore w:val="0"/>
              <w:kinsoku/>
              <w:wordWrap/>
              <w:overflowPunct/>
              <w:topLinePunct w:val="0"/>
              <w:autoSpaceDE/>
              <w:autoSpaceDN/>
              <w:bidi w:val="0"/>
              <w:spacing w:line="280" w:lineRule="exact"/>
              <w:ind w:firstLine="435"/>
              <w:jc w:val="center"/>
              <w:textAlignment w:val="auto"/>
              <w:rPr>
                <w:rFonts w:hint="eastAsia" w:ascii="宋体" w:hAnsi="宋体" w:eastAsia="宋体" w:cs="宋体"/>
                <w:bCs/>
                <w:color w:val="auto"/>
                <w:sz w:val="21"/>
                <w:szCs w:val="21"/>
                <w:highlight w:val="none"/>
              </w:rPr>
            </w:pPr>
          </w:p>
        </w:tc>
        <w:tc>
          <w:tcPr>
            <w:tcW w:w="511" w:type="pct"/>
            <w:vMerge w:val="continue"/>
            <w:tcBorders>
              <w:left w:val="single" w:color="auto" w:sz="4" w:space="0"/>
              <w:right w:val="single" w:color="auto" w:sz="4" w:space="0"/>
            </w:tcBorders>
            <w:noWrap w:val="0"/>
            <w:vAlign w:val="top"/>
          </w:tcPr>
          <w:p w14:paraId="6B88E0DF">
            <w:pPr>
              <w:pStyle w:val="81"/>
              <w:keepNext w:val="0"/>
              <w:keepLines w:val="0"/>
              <w:pageBreakBefore w:val="0"/>
              <w:kinsoku/>
              <w:wordWrap/>
              <w:overflowPunct/>
              <w:topLinePunct w:val="0"/>
              <w:autoSpaceDE/>
              <w:autoSpaceDN/>
              <w:bidi w:val="0"/>
              <w:spacing w:line="280" w:lineRule="exact"/>
              <w:ind w:firstLine="0"/>
              <w:jc w:val="left"/>
              <w:textAlignment w:val="auto"/>
              <w:rPr>
                <w:rFonts w:hint="eastAsia" w:ascii="宋体" w:hAnsi="宋体" w:eastAsia="宋体" w:cs="宋体"/>
                <w:color w:val="auto"/>
                <w:sz w:val="21"/>
                <w:szCs w:val="21"/>
                <w:highlight w:val="none"/>
              </w:rPr>
            </w:pPr>
          </w:p>
        </w:tc>
        <w:tc>
          <w:tcPr>
            <w:tcW w:w="511" w:type="pct"/>
            <w:tcBorders>
              <w:top w:val="single" w:color="auto" w:sz="4" w:space="0"/>
              <w:left w:val="single" w:color="auto" w:sz="4" w:space="0"/>
              <w:right w:val="single" w:color="auto" w:sz="4" w:space="0"/>
            </w:tcBorders>
            <w:noWrap w:val="0"/>
            <w:vAlign w:val="center"/>
          </w:tcPr>
          <w:p w14:paraId="106C80A2">
            <w:pPr>
              <w:pStyle w:val="81"/>
              <w:keepNext w:val="0"/>
              <w:keepLines w:val="0"/>
              <w:pageBreakBefore w:val="0"/>
              <w:kinsoku/>
              <w:wordWrap/>
              <w:overflowPunct/>
              <w:topLinePunct w:val="0"/>
              <w:autoSpaceDE/>
              <w:autoSpaceDN/>
              <w:bidi w:val="0"/>
              <w:spacing w:line="280" w:lineRule="exact"/>
              <w:ind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设施设备报修维修</w:t>
            </w:r>
          </w:p>
        </w:tc>
        <w:tc>
          <w:tcPr>
            <w:tcW w:w="3103" w:type="pct"/>
            <w:tcBorders>
              <w:top w:val="single" w:color="auto" w:sz="4" w:space="0"/>
              <w:left w:val="single" w:color="auto" w:sz="4" w:space="0"/>
              <w:right w:val="single" w:color="auto" w:sz="4" w:space="0"/>
            </w:tcBorders>
            <w:noWrap w:val="0"/>
            <w:vAlign w:val="center"/>
          </w:tcPr>
          <w:p w14:paraId="0DABD53B">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根据投标人提供的设施设备报修维修方案，包括保修完成时限、维修质量、主动巡查主动维修、突发停水停电处置，由评标委员会进行综合评审：</w:t>
            </w:r>
          </w:p>
          <w:p w14:paraId="1643A9FB">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①设施设备报修、维修方案符合项目需求，有利于项目顺利实施的得 5 分；</w:t>
            </w:r>
          </w:p>
          <w:p w14:paraId="7E7232FE">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②设施设备报修、维修方案比较符合项目需求，对项目实施有一定积极作用的得4分；</w:t>
            </w:r>
          </w:p>
          <w:p w14:paraId="5EF30BFC">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③设施设备报修、维修方案，需进一步提升完善的得3分；</w:t>
            </w:r>
          </w:p>
          <w:p w14:paraId="3CB4C1D0">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④方案编制内容缺失、实施流程混乱、存在前后不一致或与本项目无关的内容的得2分；</w:t>
            </w:r>
          </w:p>
          <w:p w14:paraId="0A91CAFF">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⑤未提供的不得分。</w:t>
            </w:r>
          </w:p>
        </w:tc>
        <w:tc>
          <w:tcPr>
            <w:tcW w:w="388" w:type="pct"/>
            <w:tcBorders>
              <w:top w:val="single" w:color="auto" w:sz="4" w:space="0"/>
              <w:left w:val="single" w:color="auto" w:sz="4" w:space="0"/>
              <w:right w:val="single" w:color="auto" w:sz="4" w:space="0"/>
            </w:tcBorders>
            <w:noWrap w:val="0"/>
            <w:vAlign w:val="center"/>
          </w:tcPr>
          <w:p w14:paraId="27FCFC46">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0-5分</w:t>
            </w:r>
          </w:p>
        </w:tc>
      </w:tr>
      <w:tr w14:paraId="4B987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85" w:type="pct"/>
            <w:vMerge w:val="continue"/>
            <w:tcBorders>
              <w:left w:val="single" w:color="auto" w:sz="4" w:space="0"/>
              <w:right w:val="single" w:color="auto" w:sz="4" w:space="0"/>
            </w:tcBorders>
            <w:noWrap w:val="0"/>
            <w:vAlign w:val="center"/>
          </w:tcPr>
          <w:p w14:paraId="3E940E67">
            <w:pPr>
              <w:keepNext w:val="0"/>
              <w:keepLines w:val="0"/>
              <w:pageBreakBefore w:val="0"/>
              <w:kinsoku/>
              <w:wordWrap/>
              <w:overflowPunct/>
              <w:topLinePunct w:val="0"/>
              <w:autoSpaceDE/>
              <w:autoSpaceDN/>
              <w:bidi w:val="0"/>
              <w:spacing w:line="280" w:lineRule="exact"/>
              <w:ind w:firstLine="435"/>
              <w:jc w:val="center"/>
              <w:textAlignment w:val="auto"/>
              <w:rPr>
                <w:rFonts w:hint="eastAsia" w:ascii="宋体" w:hAnsi="宋体" w:eastAsia="宋体" w:cs="宋体"/>
                <w:bCs/>
                <w:color w:val="auto"/>
                <w:sz w:val="21"/>
                <w:szCs w:val="21"/>
                <w:highlight w:val="none"/>
              </w:rPr>
            </w:pPr>
          </w:p>
        </w:tc>
        <w:tc>
          <w:tcPr>
            <w:tcW w:w="511" w:type="pct"/>
            <w:vMerge w:val="continue"/>
            <w:tcBorders>
              <w:left w:val="single" w:color="auto" w:sz="4" w:space="0"/>
              <w:right w:val="single" w:color="auto" w:sz="4" w:space="0"/>
            </w:tcBorders>
            <w:noWrap w:val="0"/>
            <w:vAlign w:val="top"/>
          </w:tcPr>
          <w:p w14:paraId="2CA78286">
            <w:pPr>
              <w:pStyle w:val="81"/>
              <w:keepNext w:val="0"/>
              <w:keepLines w:val="0"/>
              <w:pageBreakBefore w:val="0"/>
              <w:kinsoku/>
              <w:wordWrap/>
              <w:overflowPunct/>
              <w:topLinePunct w:val="0"/>
              <w:autoSpaceDE/>
              <w:autoSpaceDN/>
              <w:bidi w:val="0"/>
              <w:spacing w:line="280" w:lineRule="exact"/>
              <w:ind w:firstLine="0"/>
              <w:jc w:val="left"/>
              <w:textAlignment w:val="auto"/>
              <w:rPr>
                <w:rFonts w:hint="eastAsia" w:ascii="宋体" w:hAnsi="宋体" w:eastAsia="宋体" w:cs="宋体"/>
                <w:color w:val="auto"/>
                <w:sz w:val="21"/>
                <w:szCs w:val="21"/>
                <w:highlight w:val="none"/>
              </w:rPr>
            </w:pPr>
          </w:p>
        </w:tc>
        <w:tc>
          <w:tcPr>
            <w:tcW w:w="511" w:type="pct"/>
            <w:tcBorders>
              <w:top w:val="single" w:color="auto" w:sz="4" w:space="0"/>
              <w:left w:val="single" w:color="auto" w:sz="4" w:space="0"/>
              <w:right w:val="single" w:color="auto" w:sz="4" w:space="0"/>
            </w:tcBorders>
            <w:noWrap w:val="0"/>
            <w:vAlign w:val="center"/>
          </w:tcPr>
          <w:p w14:paraId="17A88DF3">
            <w:pPr>
              <w:pStyle w:val="81"/>
              <w:keepNext w:val="0"/>
              <w:keepLines w:val="0"/>
              <w:pageBreakBefore w:val="0"/>
              <w:kinsoku/>
              <w:wordWrap/>
              <w:overflowPunct/>
              <w:topLinePunct w:val="0"/>
              <w:autoSpaceDE/>
              <w:autoSpaceDN/>
              <w:bidi w:val="0"/>
              <w:spacing w:line="280" w:lineRule="exact"/>
              <w:ind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能耗管理方案</w:t>
            </w:r>
          </w:p>
        </w:tc>
        <w:tc>
          <w:tcPr>
            <w:tcW w:w="3103" w:type="pct"/>
            <w:tcBorders>
              <w:top w:val="single" w:color="auto" w:sz="4" w:space="0"/>
              <w:left w:val="single" w:color="auto" w:sz="4" w:space="0"/>
              <w:right w:val="single" w:color="auto" w:sz="4" w:space="0"/>
            </w:tcBorders>
            <w:noWrap w:val="0"/>
            <w:vAlign w:val="center"/>
          </w:tcPr>
          <w:p w14:paraId="48547597">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供应商根据项目实际情况提供的能耗管理方案，评标委员会对供应商所提供的能耗管理方案完整性、合理性、可行性情况进行评分。</w:t>
            </w:r>
          </w:p>
          <w:p w14:paraId="5C010D05">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①方案编制全面，对项目理解准确、符合程度高、分析透彻、完整、科学合理、思路清晰明了、充分满足项目实施要求的得 5 分；</w:t>
            </w:r>
          </w:p>
          <w:p w14:paraId="0D48739F">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②方案编制内容完整、思路清晰、满足项目采购需求、满足项目实施要求的得4分；</w:t>
            </w:r>
          </w:p>
          <w:p w14:paraId="6B30877E">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③方案编制内容简单、思路无明显逻辑错误、尚可实施但存在与项目要求不贴合或矛盾的地方的得 3分；</w:t>
            </w:r>
          </w:p>
          <w:p w14:paraId="178FDFB1">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④方案编制内容缺失、实施流程混乱、存在前后不一致或与本项目无关的内容的得2分；</w:t>
            </w:r>
          </w:p>
          <w:p w14:paraId="163F08C4">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⑤未提供的不得分。</w:t>
            </w:r>
          </w:p>
        </w:tc>
        <w:tc>
          <w:tcPr>
            <w:tcW w:w="388" w:type="pct"/>
            <w:tcBorders>
              <w:top w:val="single" w:color="auto" w:sz="4" w:space="0"/>
              <w:left w:val="single" w:color="auto" w:sz="4" w:space="0"/>
              <w:right w:val="single" w:color="auto" w:sz="4" w:space="0"/>
            </w:tcBorders>
            <w:noWrap w:val="0"/>
            <w:vAlign w:val="center"/>
          </w:tcPr>
          <w:p w14:paraId="0AE68FC2">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0-5分</w:t>
            </w:r>
          </w:p>
        </w:tc>
      </w:tr>
      <w:tr w14:paraId="4F2DD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85" w:type="pct"/>
            <w:vMerge w:val="continue"/>
            <w:tcBorders>
              <w:left w:val="single" w:color="auto" w:sz="4" w:space="0"/>
              <w:right w:val="single" w:color="auto" w:sz="4" w:space="0"/>
            </w:tcBorders>
            <w:noWrap w:val="0"/>
            <w:vAlign w:val="center"/>
          </w:tcPr>
          <w:p w14:paraId="0A0D993C">
            <w:pPr>
              <w:keepNext w:val="0"/>
              <w:keepLines w:val="0"/>
              <w:pageBreakBefore w:val="0"/>
              <w:kinsoku/>
              <w:wordWrap/>
              <w:overflowPunct/>
              <w:topLinePunct w:val="0"/>
              <w:autoSpaceDE/>
              <w:autoSpaceDN/>
              <w:bidi w:val="0"/>
              <w:spacing w:line="280" w:lineRule="exact"/>
              <w:ind w:firstLine="435"/>
              <w:jc w:val="center"/>
              <w:textAlignment w:val="auto"/>
              <w:rPr>
                <w:rFonts w:hint="eastAsia" w:ascii="宋体" w:hAnsi="宋体" w:eastAsia="宋体" w:cs="宋体"/>
                <w:bCs/>
                <w:color w:val="auto"/>
                <w:sz w:val="21"/>
                <w:szCs w:val="21"/>
                <w:highlight w:val="none"/>
              </w:rPr>
            </w:pPr>
          </w:p>
        </w:tc>
        <w:tc>
          <w:tcPr>
            <w:tcW w:w="511" w:type="pct"/>
            <w:vMerge w:val="continue"/>
            <w:tcBorders>
              <w:left w:val="single" w:color="auto" w:sz="4" w:space="0"/>
              <w:right w:val="single" w:color="auto" w:sz="4" w:space="0"/>
            </w:tcBorders>
            <w:noWrap w:val="0"/>
            <w:vAlign w:val="top"/>
          </w:tcPr>
          <w:p w14:paraId="53A6829D">
            <w:pPr>
              <w:pStyle w:val="81"/>
              <w:keepNext w:val="0"/>
              <w:keepLines w:val="0"/>
              <w:pageBreakBefore w:val="0"/>
              <w:kinsoku/>
              <w:wordWrap/>
              <w:overflowPunct/>
              <w:topLinePunct w:val="0"/>
              <w:autoSpaceDE/>
              <w:autoSpaceDN/>
              <w:bidi w:val="0"/>
              <w:spacing w:line="280" w:lineRule="exact"/>
              <w:ind w:firstLine="0"/>
              <w:jc w:val="left"/>
              <w:textAlignment w:val="auto"/>
              <w:rPr>
                <w:rFonts w:hint="eastAsia" w:ascii="宋体" w:hAnsi="宋体" w:eastAsia="宋体" w:cs="宋体"/>
                <w:color w:val="auto"/>
                <w:sz w:val="21"/>
                <w:szCs w:val="21"/>
                <w:highlight w:val="none"/>
              </w:rPr>
            </w:pPr>
          </w:p>
        </w:tc>
        <w:tc>
          <w:tcPr>
            <w:tcW w:w="511" w:type="pct"/>
            <w:tcBorders>
              <w:top w:val="single" w:color="auto" w:sz="4" w:space="0"/>
              <w:left w:val="single" w:color="auto" w:sz="4" w:space="0"/>
              <w:right w:val="single" w:color="auto" w:sz="4" w:space="0"/>
            </w:tcBorders>
            <w:noWrap w:val="0"/>
            <w:vAlign w:val="center"/>
          </w:tcPr>
          <w:p w14:paraId="2D8174F7">
            <w:pPr>
              <w:pStyle w:val="81"/>
              <w:keepNext w:val="0"/>
              <w:keepLines w:val="0"/>
              <w:pageBreakBefore w:val="0"/>
              <w:kinsoku/>
              <w:wordWrap/>
              <w:overflowPunct/>
              <w:topLinePunct w:val="0"/>
              <w:autoSpaceDE/>
              <w:autoSpaceDN/>
              <w:bidi w:val="0"/>
              <w:spacing w:line="280" w:lineRule="exact"/>
              <w:ind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进退场交接方案</w:t>
            </w:r>
          </w:p>
        </w:tc>
        <w:tc>
          <w:tcPr>
            <w:tcW w:w="3103" w:type="pct"/>
            <w:tcBorders>
              <w:top w:val="single" w:color="auto" w:sz="4" w:space="0"/>
              <w:left w:val="single" w:color="auto" w:sz="4" w:space="0"/>
              <w:right w:val="single" w:color="auto" w:sz="4" w:space="0"/>
            </w:tcBorders>
            <w:noWrap w:val="0"/>
            <w:vAlign w:val="center"/>
          </w:tcPr>
          <w:p w14:paraId="1C4CCEC1">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根据投标人提供的项目接管（进场时与原物业服务单位交接以及服务期满后与下一服务单位的交接）、物业承接验收(对公共区域和共用设施设备的验收接管)，由评标委员会进行综合评审：</w:t>
            </w:r>
          </w:p>
          <w:p w14:paraId="5027411B">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①服务方案全面、完整、详尽、各项服务措施完善，充分考虑项目特征，接管重点，对接具体实施方案等因素，充分满足项目实施要求，得 5 分；</w:t>
            </w:r>
          </w:p>
          <w:p w14:paraId="41D030A1">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②服务方案有各项服务措施，针对物业前期接管有基本的工作安排且可实施，满足项目实施要求，得4分；</w:t>
            </w:r>
          </w:p>
          <w:p w14:paraId="70D75335">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③服务方案简单，对接措施片面，项目服务安排考虑完整但内容空洞，得3分；</w:t>
            </w:r>
          </w:p>
          <w:p w14:paraId="582215FB">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④方案满足项目要求但有矛盾点、可行性受影响，对各个环节的保障措施、解决方案等缺项或关键点缺失的得 2分；</w:t>
            </w:r>
          </w:p>
          <w:p w14:paraId="2C7D9A06">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w:t>
            </w:r>
            <w:r>
              <w:rPr>
                <w:rFonts w:hint="eastAsia" w:ascii="宋体" w:hAnsi="宋体" w:eastAsia="宋体" w:cs="宋体"/>
                <w:color w:val="auto"/>
                <w:sz w:val="21"/>
                <w:szCs w:val="21"/>
                <w:highlight w:val="none"/>
              </w:rPr>
              <w:t>未提供的，不得分。</w:t>
            </w:r>
          </w:p>
        </w:tc>
        <w:tc>
          <w:tcPr>
            <w:tcW w:w="388" w:type="pct"/>
            <w:tcBorders>
              <w:top w:val="single" w:color="auto" w:sz="4" w:space="0"/>
              <w:left w:val="single" w:color="auto" w:sz="4" w:space="0"/>
              <w:right w:val="single" w:color="auto" w:sz="4" w:space="0"/>
            </w:tcBorders>
            <w:noWrap w:val="0"/>
            <w:vAlign w:val="center"/>
          </w:tcPr>
          <w:p w14:paraId="15C97986">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0-5分</w:t>
            </w:r>
          </w:p>
        </w:tc>
      </w:tr>
      <w:tr w14:paraId="19C21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485" w:type="pct"/>
            <w:vMerge w:val="continue"/>
            <w:tcBorders>
              <w:left w:val="single" w:color="auto" w:sz="4" w:space="0"/>
              <w:right w:val="single" w:color="auto" w:sz="4" w:space="0"/>
            </w:tcBorders>
            <w:noWrap w:val="0"/>
            <w:vAlign w:val="center"/>
          </w:tcPr>
          <w:p w14:paraId="07280732">
            <w:pPr>
              <w:keepNext w:val="0"/>
              <w:keepLines w:val="0"/>
              <w:pageBreakBefore w:val="0"/>
              <w:kinsoku/>
              <w:wordWrap/>
              <w:overflowPunct/>
              <w:topLinePunct w:val="0"/>
              <w:autoSpaceDE/>
              <w:autoSpaceDN/>
              <w:bidi w:val="0"/>
              <w:spacing w:line="280" w:lineRule="exact"/>
              <w:ind w:firstLine="435"/>
              <w:jc w:val="center"/>
              <w:textAlignment w:val="auto"/>
              <w:rPr>
                <w:rFonts w:hint="eastAsia" w:ascii="宋体" w:hAnsi="宋体" w:eastAsia="宋体" w:cs="宋体"/>
                <w:bCs/>
                <w:color w:val="auto"/>
                <w:sz w:val="21"/>
                <w:szCs w:val="21"/>
                <w:highlight w:val="none"/>
              </w:rPr>
            </w:pPr>
          </w:p>
        </w:tc>
        <w:tc>
          <w:tcPr>
            <w:tcW w:w="511" w:type="pct"/>
            <w:vMerge w:val="continue"/>
            <w:tcBorders>
              <w:left w:val="single" w:color="auto" w:sz="4" w:space="0"/>
              <w:right w:val="single" w:color="auto" w:sz="4" w:space="0"/>
            </w:tcBorders>
            <w:noWrap w:val="0"/>
            <w:vAlign w:val="top"/>
          </w:tcPr>
          <w:p w14:paraId="76A9891B">
            <w:pPr>
              <w:pStyle w:val="81"/>
              <w:keepNext w:val="0"/>
              <w:keepLines w:val="0"/>
              <w:pageBreakBefore w:val="0"/>
              <w:kinsoku/>
              <w:wordWrap/>
              <w:overflowPunct/>
              <w:topLinePunct w:val="0"/>
              <w:autoSpaceDE/>
              <w:autoSpaceDN/>
              <w:bidi w:val="0"/>
              <w:spacing w:line="280" w:lineRule="exact"/>
              <w:ind w:firstLine="0"/>
              <w:jc w:val="left"/>
              <w:textAlignment w:val="auto"/>
              <w:rPr>
                <w:rFonts w:hint="eastAsia" w:ascii="宋体" w:hAnsi="宋体" w:eastAsia="宋体" w:cs="宋体"/>
                <w:color w:val="auto"/>
                <w:sz w:val="21"/>
                <w:szCs w:val="21"/>
                <w:highlight w:val="none"/>
              </w:rPr>
            </w:pPr>
          </w:p>
        </w:tc>
        <w:tc>
          <w:tcPr>
            <w:tcW w:w="511" w:type="pct"/>
            <w:tcBorders>
              <w:top w:val="single" w:color="auto" w:sz="4" w:space="0"/>
              <w:left w:val="single" w:color="auto" w:sz="4" w:space="0"/>
              <w:right w:val="single" w:color="auto" w:sz="4" w:space="0"/>
            </w:tcBorders>
            <w:noWrap w:val="0"/>
            <w:vAlign w:val="center"/>
          </w:tcPr>
          <w:p w14:paraId="499660D9">
            <w:pPr>
              <w:pStyle w:val="81"/>
              <w:keepNext w:val="0"/>
              <w:keepLines w:val="0"/>
              <w:pageBreakBefore w:val="0"/>
              <w:kinsoku/>
              <w:wordWrap/>
              <w:overflowPunct/>
              <w:topLinePunct w:val="0"/>
              <w:autoSpaceDE/>
              <w:autoSpaceDN/>
              <w:bidi w:val="0"/>
              <w:spacing w:line="280" w:lineRule="exact"/>
              <w:ind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安全相关服务承诺</w:t>
            </w:r>
          </w:p>
        </w:tc>
        <w:tc>
          <w:tcPr>
            <w:tcW w:w="3103" w:type="pct"/>
            <w:tcBorders>
              <w:top w:val="single" w:color="auto" w:sz="4" w:space="0"/>
              <w:left w:val="single" w:color="auto" w:sz="4" w:space="0"/>
              <w:right w:val="single" w:color="auto" w:sz="4" w:space="0"/>
            </w:tcBorders>
            <w:noWrap w:val="0"/>
            <w:vAlign w:val="center"/>
          </w:tcPr>
          <w:p w14:paraId="26E22617">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治安案件发生率、消防设施设备完好率、火灾发生率、有效投诉率与处理率、物业服务满意率。由评标委员会根据投标文件提供的以上内容的服务承诺进行综合评审：</w:t>
            </w:r>
          </w:p>
          <w:p w14:paraId="575C2E55">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①方案编制全面，对项目理解准确、符合程度高、分析透彻、完整、科学合理、思路清晰明了、充分满足项目实施要求的得 5 分；</w:t>
            </w:r>
          </w:p>
          <w:p w14:paraId="2E6989F2">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②方案编制内容完整、思路清晰、满足项目采购需求、满足项目实施要求的得4分；</w:t>
            </w:r>
          </w:p>
          <w:p w14:paraId="70871E2C">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③方案编制内容简单、思路无明显逻辑错误、尚可实施但存在与项目要求不贴合或矛盾的地方的得 3分；</w:t>
            </w:r>
          </w:p>
          <w:p w14:paraId="11E71003">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④方案编制内容缺失、实施流程混乱、存在前后不一致或与本项目无关的内容的得2分；</w:t>
            </w:r>
          </w:p>
          <w:p w14:paraId="4B263578">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⑤未提供的不得分。</w:t>
            </w:r>
          </w:p>
        </w:tc>
        <w:tc>
          <w:tcPr>
            <w:tcW w:w="388" w:type="pct"/>
            <w:tcBorders>
              <w:top w:val="single" w:color="auto" w:sz="4" w:space="0"/>
              <w:left w:val="single" w:color="auto" w:sz="4" w:space="0"/>
              <w:right w:val="single" w:color="auto" w:sz="4" w:space="0"/>
            </w:tcBorders>
            <w:noWrap w:val="0"/>
            <w:vAlign w:val="center"/>
          </w:tcPr>
          <w:p w14:paraId="675DF434">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0-5分</w:t>
            </w:r>
          </w:p>
        </w:tc>
      </w:tr>
      <w:tr w14:paraId="383D5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pct"/>
            <w:gridSpan w:val="2"/>
            <w:tcBorders>
              <w:left w:val="single" w:color="auto" w:sz="4" w:space="0"/>
              <w:right w:val="single" w:color="auto" w:sz="4" w:space="0"/>
            </w:tcBorders>
            <w:noWrap w:val="0"/>
            <w:vAlign w:val="center"/>
          </w:tcPr>
          <w:p w14:paraId="46BBD5F4">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w:t>
            </w:r>
          </w:p>
          <w:p w14:paraId="64EAA9F1">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10</w:t>
            </w:r>
            <w:r>
              <w:rPr>
                <w:rFonts w:hint="eastAsia" w:ascii="宋体" w:hAnsi="宋体" w:eastAsia="宋体" w:cs="宋体"/>
                <w:color w:val="auto"/>
                <w:sz w:val="21"/>
                <w:szCs w:val="21"/>
                <w:highlight w:val="none"/>
              </w:rPr>
              <w:t>分）</w:t>
            </w:r>
          </w:p>
        </w:tc>
        <w:tc>
          <w:tcPr>
            <w:tcW w:w="4003" w:type="pct"/>
            <w:gridSpan w:val="3"/>
            <w:tcBorders>
              <w:top w:val="single" w:color="auto" w:sz="4" w:space="0"/>
              <w:left w:val="single" w:color="auto" w:sz="4" w:space="0"/>
              <w:bottom w:val="single" w:color="auto" w:sz="4" w:space="0"/>
              <w:right w:val="single" w:color="auto" w:sz="4" w:space="0"/>
            </w:tcBorders>
            <w:noWrap w:val="0"/>
            <w:vAlign w:val="center"/>
          </w:tcPr>
          <w:p w14:paraId="0CF64DDD">
            <w:pPr>
              <w:keepNext w:val="0"/>
              <w:keepLines w:val="0"/>
              <w:pageBreakBefore w:val="0"/>
              <w:kinsoku/>
              <w:wordWrap/>
              <w:overflowPunct/>
              <w:topLinePunct w:val="0"/>
              <w:autoSpaceDE/>
              <w:autoSpaceDN/>
              <w:bidi w:val="0"/>
              <w:spacing w:line="2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价格分统一采用低价优先法，即满足招标文件要求且投标价格最低的投标报价为评标基准价，其价格分为满分</w:t>
            </w:r>
            <w:r>
              <w:rPr>
                <w:rFonts w:hint="eastAsia" w:ascii="宋体" w:hAnsi="宋体" w:eastAsia="宋体" w:cs="宋体"/>
                <w:color w:val="auto"/>
                <w:sz w:val="21"/>
                <w:szCs w:val="21"/>
                <w:highlight w:val="none"/>
                <w:u w:val="single"/>
              </w:rPr>
              <w:t>10</w:t>
            </w:r>
            <w:r>
              <w:rPr>
                <w:rFonts w:hint="eastAsia" w:ascii="宋体" w:hAnsi="宋体" w:eastAsia="宋体" w:cs="宋体"/>
                <w:color w:val="auto"/>
                <w:sz w:val="21"/>
                <w:szCs w:val="21"/>
                <w:highlight w:val="none"/>
              </w:rPr>
              <w:t>分。其他投标人的价格分统一按照下列公式计算：</w:t>
            </w:r>
          </w:p>
          <w:p w14:paraId="318A5DBD">
            <w:pPr>
              <w:keepNext w:val="0"/>
              <w:keepLines w:val="0"/>
              <w:pageBreakBefore w:val="0"/>
              <w:kinsoku/>
              <w:wordWrap/>
              <w:overflowPunct/>
              <w:topLinePunct w:val="0"/>
              <w:autoSpaceDE/>
              <w:autoSpaceDN/>
              <w:bidi w:val="0"/>
              <w:spacing w:line="2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投标报价得分＝（评标基准价/投标报价）×</w:t>
            </w:r>
            <w:r>
              <w:rPr>
                <w:rFonts w:hint="eastAsia" w:ascii="宋体" w:hAnsi="宋体" w:eastAsia="宋体" w:cs="宋体"/>
                <w:color w:val="auto"/>
                <w:sz w:val="21"/>
                <w:szCs w:val="21"/>
                <w:highlight w:val="none"/>
                <w:u w:val="single"/>
              </w:rPr>
              <w:t>10</w:t>
            </w:r>
            <w:r>
              <w:rPr>
                <w:rFonts w:hint="eastAsia" w:ascii="宋体" w:hAnsi="宋体" w:eastAsia="宋体" w:cs="宋体"/>
                <w:color w:val="auto"/>
                <w:sz w:val="21"/>
                <w:szCs w:val="21"/>
                <w:highlight w:val="none"/>
              </w:rPr>
              <w:t>％×100</w:t>
            </w:r>
          </w:p>
        </w:tc>
      </w:tr>
    </w:tbl>
    <w:p w14:paraId="5CFF3D8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.3.3</w:t>
      </w:r>
      <w:r>
        <w:rPr>
          <w:rFonts w:hint="eastAsia" w:asciiTheme="minorEastAsia" w:hAnsiTheme="minorEastAsia" w:eastAsiaTheme="minorEastAsia"/>
          <w:color w:val="auto"/>
          <w:sz w:val="24"/>
          <w:highlight w:val="none"/>
        </w:rPr>
        <w:t>分值汇总</w:t>
      </w:r>
    </w:p>
    <w:p w14:paraId="273A358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评标委员会各成员应当独立对每个</w:t>
      </w:r>
      <w:r>
        <w:rPr>
          <w:rFonts w:hint="eastAsia" w:asciiTheme="minorEastAsia" w:hAnsiTheme="minorEastAsia" w:eastAsiaTheme="minorEastAsia"/>
          <w:color w:val="auto"/>
          <w:sz w:val="24"/>
          <w:highlight w:val="none"/>
        </w:rPr>
        <w:t>有效</w:t>
      </w:r>
      <w:r>
        <w:rPr>
          <w:rFonts w:asciiTheme="minorEastAsia" w:hAnsiTheme="minorEastAsia" w:eastAsiaTheme="minorEastAsia"/>
          <w:color w:val="auto"/>
          <w:sz w:val="24"/>
          <w:highlight w:val="none"/>
        </w:rPr>
        <w:t>投标人的投标文件进行评</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rPr>
        <w:t>，并汇总每个投</w:t>
      </w:r>
      <w:r>
        <w:rPr>
          <w:rFonts w:hint="eastAsia" w:asciiTheme="minorEastAsia" w:hAnsiTheme="minorEastAsia" w:eastAsiaTheme="minorEastAsia"/>
          <w:color w:val="auto"/>
          <w:sz w:val="24"/>
          <w:highlight w:val="none"/>
        </w:rPr>
        <w:t>标人的得分。取各位评委评分之平均值，四舍五入保留至小数点后两位数，</w:t>
      </w:r>
      <w:r>
        <w:rPr>
          <w:rFonts w:asciiTheme="minorEastAsia" w:hAnsiTheme="minorEastAsia" w:eastAsiaTheme="minorEastAsia"/>
          <w:color w:val="auto"/>
          <w:sz w:val="24"/>
          <w:highlight w:val="none"/>
        </w:rPr>
        <w:t>得到该投标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w:t>
      </w:r>
      <w:r>
        <w:rPr>
          <w:rFonts w:hint="eastAsia" w:asciiTheme="minorEastAsia" w:hAnsiTheme="minorEastAsia" w:eastAsiaTheme="minorEastAsia"/>
          <w:color w:val="auto"/>
          <w:sz w:val="24"/>
          <w:highlight w:val="none"/>
        </w:rPr>
        <w:t>。</w:t>
      </w:r>
    </w:p>
    <w:p w14:paraId="7A7C9D0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将投标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的技术资信分加上根据上述标准计算出的价格分，即为该投标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的综合总得分。</w:t>
      </w:r>
      <w:r>
        <w:rPr>
          <w:rFonts w:asciiTheme="minorEastAsia" w:hAnsiTheme="minorEastAsia" w:eastAsiaTheme="minorEastAsia"/>
          <w:color w:val="auto"/>
          <w:sz w:val="24"/>
          <w:highlight w:val="none"/>
        </w:rPr>
        <w:br w:type="page"/>
      </w:r>
    </w:p>
    <w:p w14:paraId="259F9FD2">
      <w:pPr>
        <w:spacing w:line="360" w:lineRule="auto"/>
        <w:jc w:val="center"/>
        <w:outlineLvl w:val="0"/>
        <w:rPr>
          <w:rFonts w:asciiTheme="minorEastAsia" w:hAnsiTheme="minorEastAsia" w:eastAsiaTheme="minorEastAsia"/>
          <w:b/>
          <w:color w:val="auto"/>
          <w:sz w:val="28"/>
          <w:highlight w:val="none"/>
        </w:rPr>
      </w:pPr>
      <w:bookmarkStart w:id="51" w:name="_Toc20405"/>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51"/>
    </w:p>
    <w:p w14:paraId="46B130FD">
      <w:pPr>
        <w:spacing w:line="480" w:lineRule="auto"/>
        <w:jc w:val="center"/>
        <w:rPr>
          <w:rFonts w:cs="Times New Roman" w:asciiTheme="minorEastAsia" w:hAnsiTheme="minorEastAsia" w:eastAsiaTheme="minorEastAsia"/>
          <w:b/>
          <w:color w:val="auto"/>
          <w:sz w:val="28"/>
          <w:szCs w:val="28"/>
          <w:highlight w:val="none"/>
        </w:rPr>
      </w:pPr>
      <w:bookmarkStart w:id="52" w:name="_Toc331685784"/>
    </w:p>
    <w:p w14:paraId="2A2D352F">
      <w:pPr>
        <w:spacing w:line="480" w:lineRule="auto"/>
        <w:jc w:val="center"/>
        <w:rPr>
          <w:rFonts w:cs="Times New Roman" w:asciiTheme="minorEastAsia" w:hAnsiTheme="minorEastAsia" w:eastAsiaTheme="minorEastAsia"/>
          <w:b/>
          <w:color w:val="auto"/>
          <w:sz w:val="28"/>
          <w:szCs w:val="28"/>
          <w:highlight w:val="none"/>
        </w:rPr>
      </w:pPr>
    </w:p>
    <w:p w14:paraId="4D8BD914">
      <w:pPr>
        <w:pStyle w:val="5"/>
        <w:rPr>
          <w:color w:val="auto"/>
          <w:highlight w:val="none"/>
        </w:rPr>
      </w:pPr>
    </w:p>
    <w:p w14:paraId="2D85F1CA">
      <w:pPr>
        <w:spacing w:line="480" w:lineRule="auto"/>
        <w:jc w:val="center"/>
        <w:outlineLvl w:val="1"/>
        <w:rPr>
          <w:rFonts w:cs="Times New Roman" w:asciiTheme="minorEastAsia" w:hAnsiTheme="minorEastAsia" w:eastAsiaTheme="minorEastAsia"/>
          <w:b/>
          <w:color w:val="auto"/>
          <w:sz w:val="28"/>
          <w:szCs w:val="28"/>
          <w:highlight w:val="none"/>
        </w:rPr>
      </w:pPr>
      <w:bookmarkStart w:id="53" w:name="_Toc3714"/>
      <w:r>
        <w:rPr>
          <w:rFonts w:cs="Times New Roman" w:asciiTheme="minorEastAsia" w:hAnsiTheme="minorEastAsia" w:eastAsiaTheme="minorEastAsia"/>
          <w:b/>
          <w:color w:val="auto"/>
          <w:sz w:val="28"/>
          <w:szCs w:val="28"/>
          <w:highlight w:val="none"/>
        </w:rPr>
        <w:t>政府采购合同</w:t>
      </w:r>
      <w:r>
        <w:rPr>
          <w:rFonts w:hint="eastAsia" w:cs="Times New Roman" w:asciiTheme="minorEastAsia" w:hAnsiTheme="minorEastAsia" w:eastAsiaTheme="minorEastAsia"/>
          <w:b/>
          <w:color w:val="auto"/>
          <w:sz w:val="28"/>
          <w:szCs w:val="28"/>
          <w:highlight w:val="none"/>
        </w:rPr>
        <w:t>参考范本</w:t>
      </w:r>
      <w:bookmarkEnd w:id="53"/>
    </w:p>
    <w:p w14:paraId="63FA39CE">
      <w:pPr>
        <w:spacing w:line="480" w:lineRule="auto"/>
        <w:jc w:val="center"/>
        <w:outlineLvl w:val="1"/>
        <w:rPr>
          <w:rFonts w:cs="Times New Roman" w:asciiTheme="minorEastAsia" w:hAnsiTheme="minorEastAsia" w:eastAsiaTheme="minorEastAsia"/>
          <w:b/>
          <w:color w:val="auto"/>
          <w:sz w:val="28"/>
          <w:szCs w:val="28"/>
          <w:highlight w:val="none"/>
        </w:rPr>
      </w:pPr>
      <w:bookmarkStart w:id="54" w:name="_Toc8560"/>
      <w:r>
        <w:rPr>
          <w:rFonts w:hint="eastAsia" w:cs="Times New Roman" w:asciiTheme="minorEastAsia" w:hAnsiTheme="minorEastAsia" w:eastAsiaTheme="minorEastAsia"/>
          <w:b/>
          <w:color w:val="auto"/>
          <w:sz w:val="28"/>
          <w:szCs w:val="28"/>
          <w:highlight w:val="none"/>
        </w:rPr>
        <w:t>（服务类）</w:t>
      </w:r>
      <w:bookmarkEnd w:id="54"/>
    </w:p>
    <w:p w14:paraId="5D5F3BFE">
      <w:pPr>
        <w:spacing w:line="480" w:lineRule="auto"/>
        <w:jc w:val="center"/>
        <w:rPr>
          <w:rFonts w:cs="Times New Roman" w:asciiTheme="minorEastAsia" w:hAnsiTheme="minorEastAsia" w:eastAsiaTheme="minorEastAsia"/>
          <w:b/>
          <w:color w:val="auto"/>
          <w:sz w:val="24"/>
          <w:szCs w:val="24"/>
          <w:highlight w:val="none"/>
        </w:rPr>
      </w:pPr>
    </w:p>
    <w:p w14:paraId="7D83DA54">
      <w:pPr>
        <w:spacing w:line="480" w:lineRule="auto"/>
        <w:jc w:val="center"/>
        <w:rPr>
          <w:rFonts w:cs="Times New Roman" w:asciiTheme="minorEastAsia" w:hAnsiTheme="minorEastAsia" w:eastAsiaTheme="minorEastAsia"/>
          <w:b/>
          <w:color w:val="auto"/>
          <w:sz w:val="24"/>
          <w:szCs w:val="24"/>
          <w:highlight w:val="none"/>
        </w:rPr>
      </w:pPr>
    </w:p>
    <w:p w14:paraId="0D6B2977">
      <w:pPr>
        <w:spacing w:line="480" w:lineRule="auto"/>
        <w:jc w:val="center"/>
        <w:rPr>
          <w:rFonts w:cs="Times New Roman" w:asciiTheme="minorEastAsia" w:hAnsiTheme="minorEastAsia" w:eastAsiaTheme="minorEastAsia"/>
          <w:b/>
          <w:color w:val="auto"/>
          <w:sz w:val="24"/>
          <w:szCs w:val="24"/>
          <w:highlight w:val="none"/>
        </w:rPr>
      </w:pPr>
    </w:p>
    <w:p w14:paraId="7FB79B25">
      <w:pPr>
        <w:spacing w:line="360" w:lineRule="auto"/>
        <w:jc w:val="center"/>
        <w:outlineLvl w:val="1"/>
        <w:rPr>
          <w:rFonts w:asciiTheme="minorEastAsia" w:hAnsiTheme="minorEastAsia" w:eastAsiaTheme="minorEastAsia"/>
          <w:b/>
          <w:color w:val="auto"/>
          <w:sz w:val="24"/>
          <w:highlight w:val="none"/>
        </w:rPr>
      </w:pPr>
      <w:bookmarkStart w:id="55" w:name="_Toc2449"/>
      <w:r>
        <w:rPr>
          <w:rFonts w:hint="eastAsia" w:asciiTheme="minorEastAsia" w:hAnsiTheme="minorEastAsia" w:eastAsiaTheme="minorEastAsia"/>
          <w:b/>
          <w:color w:val="auto"/>
          <w:sz w:val="24"/>
          <w:highlight w:val="none"/>
        </w:rPr>
        <w:t>第一部分 合同书</w:t>
      </w:r>
      <w:bookmarkEnd w:id="55"/>
    </w:p>
    <w:p w14:paraId="6D6A4022">
      <w:pPr>
        <w:spacing w:line="480" w:lineRule="auto"/>
        <w:jc w:val="center"/>
        <w:rPr>
          <w:rFonts w:cs="Times New Roman" w:asciiTheme="minorEastAsia" w:hAnsiTheme="minorEastAsia" w:eastAsiaTheme="minorEastAsia"/>
          <w:b/>
          <w:color w:val="auto"/>
          <w:sz w:val="24"/>
          <w:szCs w:val="24"/>
          <w:highlight w:val="none"/>
        </w:rPr>
      </w:pPr>
    </w:p>
    <w:p w14:paraId="0BBE27F2">
      <w:pPr>
        <w:spacing w:line="480" w:lineRule="auto"/>
        <w:jc w:val="center"/>
        <w:rPr>
          <w:rFonts w:cs="Times New Roman" w:asciiTheme="minorEastAsia" w:hAnsiTheme="minorEastAsia" w:eastAsiaTheme="minorEastAsia"/>
          <w:b/>
          <w:color w:val="auto"/>
          <w:sz w:val="24"/>
          <w:szCs w:val="24"/>
          <w:highlight w:val="none"/>
        </w:rPr>
      </w:pPr>
    </w:p>
    <w:p w14:paraId="3D7524C5">
      <w:pPr>
        <w:pStyle w:val="5"/>
        <w:rPr>
          <w:color w:val="auto"/>
          <w:highlight w:val="none"/>
        </w:rPr>
      </w:pPr>
    </w:p>
    <w:p w14:paraId="1262261F">
      <w:pPr>
        <w:pStyle w:val="5"/>
        <w:rPr>
          <w:color w:val="auto"/>
          <w:highlight w:val="none"/>
        </w:rPr>
      </w:pPr>
    </w:p>
    <w:p w14:paraId="2F3E6828">
      <w:pPr>
        <w:spacing w:before="120" w:line="480" w:lineRule="auto"/>
        <w:ind w:left="960"/>
        <w:rPr>
          <w:rFonts w:hint="eastAsia" w:cs="Times New Roman" w:asciiTheme="minorEastAsia" w:hAnsiTheme="minorEastAsia" w:eastAsiaTheme="minorEastAsia"/>
          <w:color w:val="auto"/>
          <w:sz w:val="24"/>
          <w:szCs w:val="24"/>
          <w:highlight w:val="none"/>
          <w:u w:val="single"/>
          <w:lang w:eastAsia="zh-CN"/>
        </w:rPr>
      </w:pPr>
      <w:r>
        <w:rPr>
          <w:rFonts w:hint="eastAsia" w:cs="Times New Roman" w:asciiTheme="minorEastAsia" w:hAnsiTheme="minorEastAsia" w:eastAsiaTheme="minorEastAsia"/>
          <w:color w:val="auto"/>
          <w:sz w:val="24"/>
          <w:szCs w:val="24"/>
          <w:highlight w:val="none"/>
        </w:rPr>
        <w:t>项目名称：</w:t>
      </w:r>
      <w:r>
        <w:rPr>
          <w:rFonts w:hint="eastAsia" w:cs="Times New Roman" w:asciiTheme="minorEastAsia" w:hAnsiTheme="minorEastAsia" w:eastAsiaTheme="minorEastAsia"/>
          <w:color w:val="auto"/>
          <w:sz w:val="24"/>
          <w:szCs w:val="24"/>
          <w:highlight w:val="none"/>
          <w:u w:val="single"/>
          <w:lang w:eastAsia="zh-CN"/>
        </w:rPr>
        <w:t>天长市人民法院及基层法庭物业服务项目</w:t>
      </w:r>
    </w:p>
    <w:p w14:paraId="7F505867">
      <w:pPr>
        <w:spacing w:before="120" w:line="480" w:lineRule="auto"/>
        <w:ind w:left="960"/>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项目编号：</w:t>
      </w:r>
    </w:p>
    <w:p w14:paraId="1EC76FFE">
      <w:pPr>
        <w:spacing w:before="120" w:line="480" w:lineRule="auto"/>
        <w:ind w:left="960"/>
        <w:rPr>
          <w:rFonts w:hint="eastAsia" w:cs="Times New Roman" w:asciiTheme="minorEastAsia" w:hAnsiTheme="minorEastAsia" w:eastAsiaTheme="minorEastAsia"/>
          <w:color w:val="auto"/>
          <w:sz w:val="24"/>
          <w:szCs w:val="24"/>
          <w:highlight w:val="none"/>
          <w:u w:val="single"/>
          <w:lang w:eastAsia="zh-CN"/>
        </w:rPr>
      </w:pPr>
      <w:r>
        <w:rPr>
          <w:rFonts w:hint="eastAsia" w:cs="Times New Roman" w:asciiTheme="minorEastAsia" w:hAnsiTheme="minorEastAsia" w:eastAsiaTheme="minorEastAsia"/>
          <w:color w:val="auto"/>
          <w:sz w:val="24"/>
          <w:szCs w:val="24"/>
          <w:highlight w:val="none"/>
        </w:rPr>
        <w:t>甲方（采购人）：</w:t>
      </w:r>
      <w:r>
        <w:rPr>
          <w:rFonts w:hint="eastAsia" w:cs="Times New Roman" w:asciiTheme="minorEastAsia" w:hAnsiTheme="minorEastAsia" w:eastAsiaTheme="minorEastAsia"/>
          <w:color w:val="auto"/>
          <w:sz w:val="24"/>
          <w:szCs w:val="24"/>
          <w:highlight w:val="none"/>
          <w:u w:val="single"/>
          <w:lang w:eastAsia="zh-CN"/>
        </w:rPr>
        <w:t xml:space="preserve"> 天长市人民法院</w:t>
      </w:r>
    </w:p>
    <w:p w14:paraId="08597775">
      <w:pPr>
        <w:spacing w:before="120" w:line="480" w:lineRule="auto"/>
        <w:ind w:left="960"/>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乙方（中标人）：</w:t>
      </w:r>
    </w:p>
    <w:p w14:paraId="4F588C64">
      <w:pPr>
        <w:spacing w:before="120" w:line="480" w:lineRule="auto"/>
        <w:ind w:firstLine="960" w:firstLineChars="400"/>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签订地：</w:t>
      </w:r>
    </w:p>
    <w:p w14:paraId="2D97CA44">
      <w:pPr>
        <w:spacing w:before="120" w:line="480" w:lineRule="auto"/>
        <w:ind w:firstLine="960" w:firstLineChars="400"/>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签订日期：年月日</w:t>
      </w:r>
    </w:p>
    <w:p w14:paraId="2CBFF036">
      <w:pPr>
        <w:widowControl/>
        <w:jc w:val="left"/>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br w:type="page"/>
      </w:r>
    </w:p>
    <w:p w14:paraId="7407244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u w:val="single"/>
          <w:lang w:eastAsia="zh-CN"/>
        </w:rPr>
        <w:t xml:space="preserve"> 天长市人民法院</w:t>
      </w:r>
      <w:r>
        <w:rPr>
          <w:rFonts w:hint="eastAsia" w:asciiTheme="minorEastAsia" w:hAnsiTheme="minorEastAsia" w:eastAsiaTheme="minorEastAsia"/>
          <w:color w:val="auto"/>
          <w:sz w:val="24"/>
          <w:highlight w:val="none"/>
        </w:rPr>
        <w:t>（</w:t>
      </w:r>
      <w:r>
        <w:rPr>
          <w:rFonts w:hint="eastAsia" w:cs="Times New Roman" w:asciiTheme="minorEastAsia" w:hAnsiTheme="minorEastAsia" w:eastAsiaTheme="minorEastAsia"/>
          <w:color w:val="auto"/>
          <w:sz w:val="24"/>
          <w:szCs w:val="24"/>
          <w:highlight w:val="none"/>
          <w:lang w:val="zh-CN"/>
        </w:rPr>
        <w:t>以下简称：甲方</w:t>
      </w:r>
      <w:r>
        <w:rPr>
          <w:rFonts w:hint="eastAsia" w:asciiTheme="minorEastAsia" w:hAnsiTheme="minorEastAsia" w:eastAsiaTheme="minorEastAsia"/>
          <w:color w:val="auto"/>
          <w:sz w:val="24"/>
          <w:highlight w:val="none"/>
        </w:rPr>
        <w:t>）通过</w:t>
      </w:r>
      <w:r>
        <w:rPr>
          <w:rFonts w:hint="eastAsia" w:asciiTheme="minorEastAsia" w:hAnsiTheme="minorEastAsia" w:eastAsiaTheme="minorEastAsia"/>
          <w:color w:val="auto"/>
          <w:sz w:val="24"/>
          <w:highlight w:val="none"/>
          <w:u w:val="single"/>
        </w:rPr>
        <w:t xml:space="preserve"> 滁州市政府采购中心 </w:t>
      </w:r>
      <w:r>
        <w:rPr>
          <w:rFonts w:hint="eastAsia" w:asciiTheme="minorEastAsia" w:hAnsiTheme="minorEastAsia" w:eastAsiaTheme="minorEastAsia"/>
          <w:color w:val="auto"/>
          <w:sz w:val="24"/>
          <w:highlight w:val="none"/>
        </w:rPr>
        <w:t>组织的</w:t>
      </w:r>
      <w:r>
        <w:rPr>
          <w:rFonts w:hint="eastAsia" w:asciiTheme="minorEastAsia" w:hAnsiTheme="minorEastAsia" w:eastAsiaTheme="minorEastAsia"/>
          <w:color w:val="auto"/>
          <w:sz w:val="24"/>
          <w:highlight w:val="none"/>
          <w:u w:val="single"/>
        </w:rPr>
        <w:t>公开招标</w:t>
      </w:r>
      <w:r>
        <w:rPr>
          <w:rFonts w:hint="eastAsia" w:asciiTheme="minorEastAsia" w:hAnsiTheme="minorEastAsia" w:eastAsiaTheme="minorEastAsia"/>
          <w:color w:val="auto"/>
          <w:sz w:val="24"/>
          <w:highlight w:val="none"/>
        </w:rPr>
        <w:t>方式采购活动，经</w:t>
      </w:r>
      <w:r>
        <w:rPr>
          <w:rFonts w:hint="eastAsia" w:asciiTheme="minorEastAsia" w:hAnsiTheme="minorEastAsia" w:eastAsiaTheme="minorEastAsia"/>
          <w:color w:val="auto"/>
          <w:sz w:val="24"/>
          <w:highlight w:val="none"/>
          <w:u w:val="single"/>
        </w:rPr>
        <w:t>评标委员会</w:t>
      </w:r>
      <w:r>
        <w:rPr>
          <w:rFonts w:hint="eastAsia" w:asciiTheme="minorEastAsia" w:hAnsiTheme="minorEastAsia" w:eastAsiaTheme="minorEastAsia"/>
          <w:color w:val="auto"/>
          <w:sz w:val="24"/>
          <w:highlight w:val="none"/>
        </w:rPr>
        <w:t>评定，（</w:t>
      </w:r>
      <w:r>
        <w:rPr>
          <w:rFonts w:hint="eastAsia" w:cs="Times New Roman" w:asciiTheme="minorEastAsia" w:hAnsiTheme="minorEastAsia" w:eastAsiaTheme="minorEastAsia"/>
          <w:color w:val="auto"/>
          <w:sz w:val="24"/>
          <w:szCs w:val="24"/>
          <w:highlight w:val="none"/>
          <w:lang w:val="zh-CN"/>
        </w:rPr>
        <w:t>以下简称：乙方</w:t>
      </w:r>
      <w:r>
        <w:rPr>
          <w:rFonts w:hint="eastAsia" w:asciiTheme="minorEastAsia" w:hAnsiTheme="minorEastAsia" w:eastAsiaTheme="minorEastAsia"/>
          <w:color w:val="auto"/>
          <w:sz w:val="24"/>
          <w:highlight w:val="none"/>
        </w:rPr>
        <w:t>）为本项目中标人，现</w:t>
      </w:r>
      <w:r>
        <w:rPr>
          <w:rFonts w:hint="eastAsia" w:cs="Times New Roman" w:asciiTheme="minorEastAsia" w:hAnsiTheme="minorEastAsia" w:eastAsiaTheme="minorEastAsia"/>
          <w:color w:val="auto"/>
          <w:sz w:val="24"/>
          <w:szCs w:val="24"/>
          <w:highlight w:val="none"/>
        </w:rPr>
        <w:t>按照采购文件确定的事项签订本合同。</w:t>
      </w:r>
    </w:p>
    <w:p w14:paraId="54FC3E58">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asciiTheme="minorEastAsia" w:hAnsiTheme="minorEastAsia" w:eastAsiaTheme="minorEastAsia"/>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7EE408D8">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56" w:name="_Toc3029"/>
      <w:bookmarkStart w:id="57" w:name="_Toc2232"/>
      <w:bookmarkStart w:id="58" w:name="_Toc24059"/>
      <w:r>
        <w:rPr>
          <w:rFonts w:hint="eastAsia" w:cs="Times New Roman" w:asciiTheme="minorEastAsia" w:hAnsiTheme="minorEastAsia" w:eastAsiaTheme="minorEastAsia"/>
          <w:b/>
          <w:bCs/>
          <w:color w:val="auto"/>
          <w:sz w:val="24"/>
          <w:szCs w:val="24"/>
          <w:highlight w:val="none"/>
          <w:lang w:val="zh-CN"/>
        </w:rPr>
        <w:t>1.1合同组成部分</w:t>
      </w:r>
      <w:bookmarkEnd w:id="56"/>
      <w:bookmarkEnd w:id="57"/>
      <w:bookmarkEnd w:id="58"/>
    </w:p>
    <w:p w14:paraId="6266DD42">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4B23B0A3">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1.1.1本合同及其补充合同、变更协议；</w:t>
      </w:r>
    </w:p>
    <w:p w14:paraId="4B3D061C">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1.1.2中标通知书；</w:t>
      </w:r>
    </w:p>
    <w:p w14:paraId="6C64BC52">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1.1.3投标文件（含澄清或者说明文件）；</w:t>
      </w:r>
    </w:p>
    <w:p w14:paraId="3496B59F">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1.1.4招标文件（含澄清或者修改文件）；</w:t>
      </w:r>
    </w:p>
    <w:p w14:paraId="150F582D">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1.1.5其他相关采购文件。</w:t>
      </w:r>
    </w:p>
    <w:p w14:paraId="002B7DF3">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59" w:name="_Toc6773"/>
      <w:bookmarkStart w:id="60" w:name="_Toc2918"/>
      <w:bookmarkStart w:id="61" w:name="_Toc18585"/>
      <w:bookmarkStart w:id="62" w:name="_Toc22185"/>
      <w:bookmarkStart w:id="63" w:name="_Toc6311"/>
      <w:r>
        <w:rPr>
          <w:rFonts w:hint="eastAsia" w:cs="Times New Roman" w:asciiTheme="minorEastAsia" w:hAnsiTheme="minorEastAsia" w:eastAsiaTheme="minorEastAsia"/>
          <w:b/>
          <w:bCs/>
          <w:color w:val="auto"/>
          <w:sz w:val="24"/>
          <w:szCs w:val="24"/>
          <w:highlight w:val="none"/>
          <w:lang w:val="zh-CN"/>
        </w:rPr>
        <w:t xml:space="preserve">1.2 </w:t>
      </w:r>
      <w:bookmarkEnd w:id="59"/>
      <w:bookmarkEnd w:id="60"/>
      <w:bookmarkEnd w:id="61"/>
      <w:bookmarkEnd w:id="62"/>
      <w:bookmarkEnd w:id="63"/>
      <w:r>
        <w:rPr>
          <w:rFonts w:hint="eastAsia" w:cs="Times New Roman" w:asciiTheme="minorEastAsia" w:hAnsiTheme="minorEastAsia" w:eastAsiaTheme="minorEastAsia"/>
          <w:b/>
          <w:bCs/>
          <w:color w:val="auto"/>
          <w:sz w:val="24"/>
          <w:szCs w:val="24"/>
          <w:highlight w:val="none"/>
          <w:lang w:val="zh-CN"/>
        </w:rPr>
        <w:t>服务</w:t>
      </w:r>
    </w:p>
    <w:p w14:paraId="3A9819FC">
      <w:pPr>
        <w:spacing w:before="120" w:line="480" w:lineRule="auto"/>
        <w:ind w:firstLine="480" w:firstLineChars="200"/>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1.2.1服务</w:t>
      </w:r>
      <w:r>
        <w:rPr>
          <w:rFonts w:cs="Times New Roman" w:asciiTheme="minorEastAsia" w:hAnsiTheme="minorEastAsia" w:eastAsiaTheme="minorEastAsia"/>
          <w:color w:val="auto"/>
          <w:sz w:val="24"/>
          <w:szCs w:val="24"/>
          <w:highlight w:val="none"/>
        </w:rPr>
        <w:t>名称：</w:t>
      </w:r>
      <w:r>
        <w:rPr>
          <w:rFonts w:hint="eastAsia" w:cs="Times New Roman" w:asciiTheme="minorEastAsia" w:hAnsiTheme="minorEastAsia" w:eastAsiaTheme="minorEastAsia"/>
          <w:color w:val="auto"/>
          <w:sz w:val="24"/>
          <w:szCs w:val="24"/>
          <w:highlight w:val="none"/>
          <w:u w:val="single"/>
          <w:lang w:eastAsia="zh-CN"/>
        </w:rPr>
        <w:t>天长市人民法院及基层法庭物业服务项目</w:t>
      </w:r>
      <w:r>
        <w:rPr>
          <w:rFonts w:hint="eastAsia" w:cs="Times New Roman" w:asciiTheme="minorEastAsia" w:hAnsiTheme="minorEastAsia" w:eastAsiaTheme="minorEastAsia"/>
          <w:color w:val="auto"/>
          <w:sz w:val="24"/>
          <w:szCs w:val="24"/>
          <w:highlight w:val="none"/>
        </w:rPr>
        <w:t>；</w:t>
      </w:r>
    </w:p>
    <w:p w14:paraId="4E63E71C">
      <w:pPr>
        <w:spacing w:line="360" w:lineRule="auto"/>
        <w:ind w:firstLine="435"/>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1.2.2服务内容</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w:t>
      </w:r>
    </w:p>
    <w:p w14:paraId="0589E1C9">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1.2.3服务质量：。</w:t>
      </w:r>
    </w:p>
    <w:p w14:paraId="5A55ED11">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64" w:name="_Toc21631"/>
      <w:bookmarkStart w:id="65" w:name="_Toc21551"/>
      <w:bookmarkStart w:id="66" w:name="_Toc23292"/>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 xml:space="preserve">3 </w:t>
      </w:r>
      <w:r>
        <w:rPr>
          <w:rFonts w:hint="eastAsia" w:cs="Times New Roman" w:asciiTheme="minorEastAsia" w:hAnsiTheme="minorEastAsia" w:eastAsiaTheme="minorEastAsia"/>
          <w:b/>
          <w:bCs/>
          <w:color w:val="auto"/>
          <w:sz w:val="24"/>
          <w:szCs w:val="24"/>
          <w:highlight w:val="none"/>
          <w:lang w:val="zh-CN"/>
        </w:rPr>
        <w:t>价款</w:t>
      </w:r>
      <w:bookmarkEnd w:id="64"/>
      <w:bookmarkEnd w:id="65"/>
      <w:bookmarkEnd w:id="66"/>
    </w:p>
    <w:p w14:paraId="7D9691A1">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本合同总价为</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元</w:t>
      </w:r>
      <w:r>
        <w:rPr>
          <w:rFonts w:hint="eastAsia" w:cs="Times New Roman" w:asciiTheme="minorEastAsia" w:hAnsiTheme="minorEastAsia" w:eastAsiaTheme="minorEastAsia"/>
          <w:color w:val="auto"/>
          <w:sz w:val="24"/>
          <w:szCs w:val="24"/>
          <w:highlight w:val="none"/>
        </w:rPr>
        <w:t>（大写：人民币元）</w:t>
      </w:r>
      <w:r>
        <w:rPr>
          <w:rFonts w:cs="Times New Roman" w:asciiTheme="minorEastAsia" w:hAnsiTheme="minorEastAsia" w:eastAsiaTheme="minorEastAsia"/>
          <w:color w:val="auto"/>
          <w:sz w:val="24"/>
          <w:szCs w:val="24"/>
          <w:highlight w:val="none"/>
        </w:rPr>
        <w:t>。</w:t>
      </w:r>
    </w:p>
    <w:p w14:paraId="34F3CAFF">
      <w:pPr>
        <w:spacing w:line="360" w:lineRule="auto"/>
        <w:ind w:firstLine="435"/>
        <w:rPr>
          <w:rFonts w:cs="Times New Roman" w:asciiTheme="minorEastAsia" w:hAnsiTheme="minorEastAsia" w:eastAsiaTheme="minorEastAsia"/>
          <w:color w:val="auto"/>
          <w:sz w:val="24"/>
          <w:szCs w:val="24"/>
          <w:highlight w:val="none"/>
          <w:u w:val="single"/>
        </w:rPr>
      </w:pPr>
      <w:r>
        <w:rPr>
          <w:rFonts w:cs="Times New Roman" w:asciiTheme="minorEastAsia" w:hAnsiTheme="minorEastAsia" w:eastAsiaTheme="minorEastAsia"/>
          <w:color w:val="auto"/>
          <w:sz w:val="24"/>
          <w:szCs w:val="24"/>
          <w:highlight w:val="none"/>
        </w:rPr>
        <w:t>分项价格：</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494B0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1CAB57F8">
            <w:pPr>
              <w:jc w:val="center"/>
              <w:rPr>
                <w:rFonts w:cs="Times New Roman" w:asciiTheme="minorEastAsia" w:hAnsiTheme="minorEastAsia" w:eastAsiaTheme="minorEastAsia"/>
                <w:color w:val="auto"/>
                <w:sz w:val="24"/>
                <w:szCs w:val="24"/>
                <w:highlight w:val="none"/>
                <w:lang w:val="zh-CN"/>
              </w:rPr>
            </w:pPr>
            <w:r>
              <w:rPr>
                <w:rFonts w:cs="Times New Roman" w:asciiTheme="minorEastAsia" w:hAnsiTheme="minorEastAsia" w:eastAsiaTheme="minorEastAsia"/>
                <w:color w:val="auto"/>
                <w:sz w:val="24"/>
                <w:szCs w:val="24"/>
                <w:highlight w:val="none"/>
                <w:lang w:val="zh-CN"/>
              </w:rPr>
              <w:t>序号</w:t>
            </w:r>
          </w:p>
        </w:tc>
        <w:tc>
          <w:tcPr>
            <w:tcW w:w="4316" w:type="dxa"/>
            <w:vAlign w:val="center"/>
          </w:tcPr>
          <w:p w14:paraId="72F943AC">
            <w:pPr>
              <w:ind w:firstLine="200"/>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分项名称</w:t>
            </w:r>
          </w:p>
        </w:tc>
        <w:tc>
          <w:tcPr>
            <w:tcW w:w="3237" w:type="dxa"/>
            <w:gridSpan w:val="2"/>
            <w:vAlign w:val="center"/>
          </w:tcPr>
          <w:p w14:paraId="4B4784D8">
            <w:pPr>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分项价格</w:t>
            </w:r>
          </w:p>
        </w:tc>
      </w:tr>
      <w:tr w14:paraId="51FA5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B76312B">
            <w:pPr>
              <w:jc w:val="center"/>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w:t>
            </w:r>
          </w:p>
        </w:tc>
        <w:tc>
          <w:tcPr>
            <w:tcW w:w="4316" w:type="dxa"/>
            <w:vAlign w:val="center"/>
          </w:tcPr>
          <w:p w14:paraId="38A6734C">
            <w:pPr>
              <w:ind w:firstLine="200"/>
              <w:jc w:val="center"/>
              <w:rPr>
                <w:rFonts w:cs="Times New Roman" w:asciiTheme="minorEastAsia" w:hAnsiTheme="minorEastAsia" w:eastAsiaTheme="minorEastAsia"/>
                <w:color w:val="auto"/>
                <w:sz w:val="24"/>
                <w:szCs w:val="24"/>
                <w:highlight w:val="none"/>
              </w:rPr>
            </w:pPr>
          </w:p>
        </w:tc>
        <w:tc>
          <w:tcPr>
            <w:tcW w:w="3237" w:type="dxa"/>
            <w:gridSpan w:val="2"/>
            <w:vAlign w:val="center"/>
          </w:tcPr>
          <w:p w14:paraId="3D8A48E3">
            <w:pPr>
              <w:ind w:firstLine="200"/>
              <w:jc w:val="center"/>
              <w:rPr>
                <w:rFonts w:cs="Times New Roman" w:asciiTheme="minorEastAsia" w:hAnsiTheme="minorEastAsia" w:eastAsiaTheme="minorEastAsia"/>
                <w:color w:val="auto"/>
                <w:sz w:val="24"/>
                <w:szCs w:val="24"/>
                <w:highlight w:val="none"/>
              </w:rPr>
            </w:pPr>
          </w:p>
        </w:tc>
      </w:tr>
      <w:tr w14:paraId="71BCD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332D9B01">
            <w:pPr>
              <w:jc w:val="center"/>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2</w:t>
            </w:r>
          </w:p>
        </w:tc>
        <w:tc>
          <w:tcPr>
            <w:tcW w:w="4316" w:type="dxa"/>
            <w:vAlign w:val="center"/>
          </w:tcPr>
          <w:p w14:paraId="3086AA05">
            <w:pPr>
              <w:ind w:firstLine="200"/>
              <w:jc w:val="center"/>
              <w:rPr>
                <w:rFonts w:cs="Times New Roman" w:asciiTheme="minorEastAsia" w:hAnsiTheme="minorEastAsia" w:eastAsiaTheme="minorEastAsia"/>
                <w:color w:val="auto"/>
                <w:sz w:val="24"/>
                <w:szCs w:val="24"/>
                <w:highlight w:val="none"/>
              </w:rPr>
            </w:pPr>
          </w:p>
        </w:tc>
        <w:tc>
          <w:tcPr>
            <w:tcW w:w="3237" w:type="dxa"/>
            <w:gridSpan w:val="2"/>
            <w:vAlign w:val="center"/>
          </w:tcPr>
          <w:p w14:paraId="38E6B658">
            <w:pPr>
              <w:ind w:firstLine="200"/>
              <w:jc w:val="center"/>
              <w:rPr>
                <w:rFonts w:cs="Times New Roman" w:asciiTheme="minorEastAsia" w:hAnsiTheme="minorEastAsia" w:eastAsiaTheme="minorEastAsia"/>
                <w:color w:val="auto"/>
                <w:sz w:val="24"/>
                <w:szCs w:val="24"/>
                <w:highlight w:val="none"/>
              </w:rPr>
            </w:pPr>
          </w:p>
        </w:tc>
      </w:tr>
      <w:tr w14:paraId="346F5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4CEA6D9">
            <w:pPr>
              <w:jc w:val="center"/>
              <w:rPr>
                <w:rFonts w:cs="Times New Roman" w:asciiTheme="minorEastAsia" w:hAnsiTheme="minorEastAsia" w:eastAsiaTheme="minorEastAsia"/>
                <w:color w:val="auto"/>
                <w:sz w:val="24"/>
                <w:szCs w:val="24"/>
                <w:highlight w:val="none"/>
                <w:lang w:val="zh-CN"/>
              </w:rPr>
            </w:pPr>
            <w:r>
              <w:rPr>
                <w:rFonts w:cs="Times New Roman" w:asciiTheme="minorEastAsia" w:hAnsiTheme="minorEastAsia" w:eastAsiaTheme="minorEastAsia"/>
                <w:color w:val="auto"/>
                <w:sz w:val="24"/>
                <w:szCs w:val="24"/>
                <w:highlight w:val="none"/>
                <w:lang w:val="zh-CN"/>
              </w:rPr>
              <w:t>3</w:t>
            </w:r>
          </w:p>
        </w:tc>
        <w:tc>
          <w:tcPr>
            <w:tcW w:w="4316" w:type="dxa"/>
            <w:vAlign w:val="center"/>
          </w:tcPr>
          <w:p w14:paraId="5EC2D324">
            <w:pPr>
              <w:ind w:firstLine="200"/>
              <w:jc w:val="center"/>
              <w:rPr>
                <w:rFonts w:cs="Times New Roman" w:asciiTheme="minorEastAsia" w:hAnsiTheme="minorEastAsia" w:eastAsiaTheme="minorEastAsia"/>
                <w:color w:val="auto"/>
                <w:sz w:val="24"/>
                <w:szCs w:val="24"/>
                <w:highlight w:val="none"/>
              </w:rPr>
            </w:pPr>
          </w:p>
        </w:tc>
        <w:tc>
          <w:tcPr>
            <w:tcW w:w="3237" w:type="dxa"/>
            <w:gridSpan w:val="2"/>
            <w:vAlign w:val="center"/>
          </w:tcPr>
          <w:p w14:paraId="4AA2C7FE">
            <w:pPr>
              <w:ind w:firstLine="200"/>
              <w:jc w:val="center"/>
              <w:rPr>
                <w:rFonts w:cs="Times New Roman" w:asciiTheme="minorEastAsia" w:hAnsiTheme="minorEastAsia" w:eastAsiaTheme="minorEastAsia"/>
                <w:color w:val="auto"/>
                <w:sz w:val="24"/>
                <w:szCs w:val="24"/>
                <w:highlight w:val="none"/>
              </w:rPr>
            </w:pPr>
          </w:p>
        </w:tc>
      </w:tr>
      <w:tr w14:paraId="1129A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242CD2D8">
            <w:pPr>
              <w:jc w:val="center"/>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w:t>
            </w:r>
          </w:p>
        </w:tc>
        <w:tc>
          <w:tcPr>
            <w:tcW w:w="4316" w:type="dxa"/>
            <w:vAlign w:val="center"/>
          </w:tcPr>
          <w:p w14:paraId="04C9D58F">
            <w:pPr>
              <w:ind w:firstLine="200"/>
              <w:jc w:val="center"/>
              <w:rPr>
                <w:rFonts w:cs="Times New Roman" w:asciiTheme="minorEastAsia" w:hAnsiTheme="minorEastAsia" w:eastAsiaTheme="minorEastAsia"/>
                <w:color w:val="auto"/>
                <w:sz w:val="24"/>
                <w:szCs w:val="24"/>
                <w:highlight w:val="none"/>
              </w:rPr>
            </w:pPr>
          </w:p>
        </w:tc>
        <w:tc>
          <w:tcPr>
            <w:tcW w:w="3237" w:type="dxa"/>
            <w:gridSpan w:val="2"/>
            <w:vAlign w:val="center"/>
          </w:tcPr>
          <w:p w14:paraId="06F729BC">
            <w:pPr>
              <w:ind w:firstLine="200"/>
              <w:jc w:val="center"/>
              <w:rPr>
                <w:rFonts w:cs="Times New Roman" w:asciiTheme="minorEastAsia" w:hAnsiTheme="minorEastAsia" w:eastAsiaTheme="minorEastAsia"/>
                <w:color w:val="auto"/>
                <w:sz w:val="24"/>
                <w:szCs w:val="24"/>
                <w:highlight w:val="none"/>
              </w:rPr>
            </w:pPr>
          </w:p>
        </w:tc>
      </w:tr>
      <w:tr w14:paraId="62CF0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7C7BF8B8">
            <w:pPr>
              <w:ind w:firstLine="200"/>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总价</w:t>
            </w:r>
          </w:p>
        </w:tc>
        <w:tc>
          <w:tcPr>
            <w:tcW w:w="3237" w:type="dxa"/>
            <w:gridSpan w:val="2"/>
            <w:vAlign w:val="center"/>
          </w:tcPr>
          <w:p w14:paraId="3A9EC7C3">
            <w:pPr>
              <w:ind w:firstLine="200"/>
              <w:jc w:val="center"/>
              <w:rPr>
                <w:rFonts w:cs="Times New Roman" w:asciiTheme="minorEastAsia" w:hAnsiTheme="minorEastAsia" w:eastAsiaTheme="minorEastAsia"/>
                <w:color w:val="auto"/>
                <w:sz w:val="24"/>
                <w:szCs w:val="24"/>
                <w:highlight w:val="none"/>
              </w:rPr>
            </w:pPr>
          </w:p>
        </w:tc>
      </w:tr>
    </w:tbl>
    <w:p w14:paraId="6A41254D">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67" w:name="_Toc10340"/>
      <w:bookmarkStart w:id="68" w:name="_Toc22618"/>
      <w:bookmarkStart w:id="69" w:name="_Toc1814"/>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4 付款方式和发票开具方式</w:t>
      </w:r>
      <w:bookmarkEnd w:id="67"/>
      <w:bookmarkEnd w:id="68"/>
      <w:bookmarkEnd w:id="69"/>
    </w:p>
    <w:p w14:paraId="00509E64">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1.4.1</w:t>
      </w:r>
      <w:r>
        <w:rPr>
          <w:rFonts w:cs="Times New Roman" w:asciiTheme="minorEastAsia" w:hAnsiTheme="minorEastAsia" w:eastAsiaTheme="minorEastAsia"/>
          <w:color w:val="auto"/>
          <w:sz w:val="24"/>
          <w:szCs w:val="24"/>
          <w:highlight w:val="none"/>
        </w:rPr>
        <w:t>付款方式：</w:t>
      </w:r>
      <w:r>
        <w:rPr>
          <w:rFonts w:hint="eastAsia" w:cs="Times New Roman" w:asciiTheme="minorEastAsia" w:hAnsiTheme="minorEastAsia" w:eastAsiaTheme="minorEastAsia"/>
          <w:color w:val="auto"/>
          <w:sz w:val="24"/>
          <w:szCs w:val="24"/>
          <w:highlight w:val="none"/>
        </w:rPr>
        <w:t>；</w:t>
      </w:r>
    </w:p>
    <w:p w14:paraId="58C8F3CC">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1.4.2发票开具方式：。</w:t>
      </w:r>
    </w:p>
    <w:p w14:paraId="4D45F255">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70" w:name="_Toc19304"/>
      <w:bookmarkStart w:id="71" w:name="_Toc32071"/>
      <w:bookmarkStart w:id="72" w:name="_Toc2846"/>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 xml:space="preserve">5 </w:t>
      </w:r>
      <w:r>
        <w:rPr>
          <w:rFonts w:hint="eastAsia" w:cs="Times New Roman" w:asciiTheme="minorEastAsia" w:hAnsiTheme="minorEastAsia" w:eastAsiaTheme="minorEastAsia"/>
          <w:b/>
          <w:bCs/>
          <w:color w:val="auto"/>
          <w:sz w:val="24"/>
          <w:szCs w:val="24"/>
          <w:highlight w:val="none"/>
          <w:lang w:val="zh-CN"/>
        </w:rPr>
        <w:t>服务</w:t>
      </w:r>
      <w:r>
        <w:rPr>
          <w:rFonts w:cs="Times New Roman" w:asciiTheme="minorEastAsia" w:hAnsiTheme="minorEastAsia" w:eastAsiaTheme="minorEastAsia"/>
          <w:b/>
          <w:bCs/>
          <w:color w:val="auto"/>
          <w:sz w:val="24"/>
          <w:szCs w:val="24"/>
          <w:highlight w:val="none"/>
          <w:lang w:val="zh-CN"/>
        </w:rPr>
        <w:t>期限</w:t>
      </w:r>
      <w:r>
        <w:rPr>
          <w:rFonts w:hint="eastAsia" w:cs="Times New Roman" w:asciiTheme="minorEastAsia" w:hAnsiTheme="minorEastAsia" w:eastAsiaTheme="minorEastAsia"/>
          <w:b/>
          <w:bCs/>
          <w:color w:val="auto"/>
          <w:sz w:val="24"/>
          <w:szCs w:val="24"/>
          <w:highlight w:val="none"/>
          <w:lang w:val="zh-CN"/>
        </w:rPr>
        <w:t>、地点和方式</w:t>
      </w:r>
      <w:bookmarkEnd w:id="70"/>
      <w:bookmarkEnd w:id="71"/>
      <w:bookmarkEnd w:id="72"/>
    </w:p>
    <w:p w14:paraId="2A5BACCB">
      <w:pPr>
        <w:spacing w:line="360" w:lineRule="auto"/>
        <w:ind w:firstLine="435"/>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1.5.1服务期限</w:t>
      </w:r>
      <w:r>
        <w:rPr>
          <w:rFonts w:cs="Times New Roman" w:asciiTheme="minorEastAsia" w:hAnsiTheme="minorEastAsia" w:eastAsiaTheme="minorEastAsia"/>
          <w:color w:val="auto"/>
          <w:sz w:val="24"/>
          <w:szCs w:val="24"/>
          <w:highlight w:val="none"/>
        </w:rPr>
        <w:t>：</w:t>
      </w:r>
      <w:r>
        <w:rPr>
          <w:rFonts w:hint="eastAsia" w:ascii="宋体" w:hAnsi="宋体" w:eastAsia="宋体" w:cs="宋体"/>
          <w:color w:val="auto"/>
          <w:sz w:val="24"/>
          <w:szCs w:val="24"/>
          <w:highlight w:val="none"/>
          <w:u w:val="single"/>
        </w:rPr>
        <w:t>三年，合同一年一签</w:t>
      </w:r>
      <w:r>
        <w:rPr>
          <w:rFonts w:hint="eastAsia" w:cs="Times New Roman" w:asciiTheme="minorEastAsia" w:hAnsiTheme="minorEastAsia" w:eastAsiaTheme="minorEastAsia"/>
          <w:color w:val="auto"/>
          <w:sz w:val="24"/>
          <w:szCs w:val="24"/>
          <w:highlight w:val="none"/>
        </w:rPr>
        <w:t>；</w:t>
      </w:r>
    </w:p>
    <w:p w14:paraId="4A31303D">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1.5.2服务地点</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u w:val="single"/>
          <w:lang w:val="en-US" w:eastAsia="zh-CN"/>
        </w:rPr>
        <w:t xml:space="preserve">                       </w:t>
      </w:r>
      <w:r>
        <w:rPr>
          <w:rFonts w:hint="eastAsia" w:cs="Times New Roman" w:asciiTheme="minorEastAsia" w:hAnsiTheme="minorEastAsia" w:eastAsiaTheme="minorEastAsia"/>
          <w:color w:val="auto"/>
          <w:sz w:val="24"/>
          <w:szCs w:val="24"/>
          <w:highlight w:val="none"/>
        </w:rPr>
        <w:t>；</w:t>
      </w:r>
    </w:p>
    <w:p w14:paraId="44505DB5">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1.5.3服务方式：</w:t>
      </w:r>
      <w:r>
        <w:rPr>
          <w:rFonts w:hint="eastAsia" w:ascii="宋体" w:hAnsi="宋体" w:eastAsia="宋体" w:cs="宋体"/>
          <w:color w:val="auto"/>
          <w:sz w:val="24"/>
          <w:szCs w:val="24"/>
          <w:highlight w:val="none"/>
          <w:u w:val="single"/>
        </w:rPr>
        <w:t>现场服务</w:t>
      </w:r>
      <w:r>
        <w:rPr>
          <w:rFonts w:hint="eastAsia" w:cs="Times New Roman" w:asciiTheme="minorEastAsia" w:hAnsiTheme="minorEastAsia" w:eastAsiaTheme="minorEastAsia"/>
          <w:color w:val="auto"/>
          <w:sz w:val="24"/>
          <w:szCs w:val="24"/>
          <w:highlight w:val="none"/>
        </w:rPr>
        <w:t>。</w:t>
      </w:r>
    </w:p>
    <w:p w14:paraId="77F4DF99">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73" w:name="_Toc27250"/>
      <w:bookmarkStart w:id="74" w:name="_Toc21423"/>
      <w:bookmarkStart w:id="75" w:name="_Toc19554"/>
      <w:r>
        <w:rPr>
          <w:rFonts w:hint="eastAsia" w:cs="Times New Roman" w:asciiTheme="minorEastAsia" w:hAnsiTheme="minorEastAsia" w:eastAsiaTheme="minorEastAsia"/>
          <w:b/>
          <w:bCs/>
          <w:color w:val="auto"/>
          <w:sz w:val="24"/>
          <w:szCs w:val="24"/>
          <w:highlight w:val="none"/>
          <w:lang w:val="zh-CN"/>
        </w:rPr>
        <w:t>1.6 违约责任</w:t>
      </w:r>
      <w:bookmarkEnd w:id="73"/>
      <w:bookmarkEnd w:id="74"/>
      <w:bookmarkEnd w:id="75"/>
    </w:p>
    <w:p w14:paraId="274395E1">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1.6.1</w:t>
      </w:r>
      <w:r>
        <w:rPr>
          <w:rFonts w:cs="Times New Roman" w:asciiTheme="minorEastAsia" w:hAnsiTheme="minorEastAsia" w:eastAsiaTheme="minorEastAsia"/>
          <w:color w:val="auto"/>
          <w:sz w:val="24"/>
          <w:szCs w:val="24"/>
          <w:highlight w:val="none"/>
        </w:rPr>
        <w:t>除不可抗力外，如果乙方没有按照本合同约定的期限</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地点和方式</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，那么甲方可要求乙方支付违约金</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违约金按每迟延</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一日的应提供而未</w:t>
      </w:r>
      <w:r>
        <w:rPr>
          <w:rFonts w:hint="eastAsia" w:cs="Times New Roman" w:asciiTheme="minorEastAsia" w:hAnsiTheme="minorEastAsia" w:eastAsiaTheme="minorEastAsia"/>
          <w:color w:val="auto"/>
          <w:sz w:val="24"/>
          <w:szCs w:val="24"/>
          <w:highlight w:val="none"/>
        </w:rPr>
        <w:t>提供</w:t>
      </w:r>
      <w:r>
        <w:rPr>
          <w:rFonts w:cs="Times New Roman" w:asciiTheme="minorEastAsia" w:hAnsiTheme="minorEastAsia" w:eastAsiaTheme="minorEastAsia"/>
          <w:color w:val="auto"/>
          <w:sz w:val="24"/>
          <w:szCs w:val="24"/>
          <w:highlight w:val="none"/>
        </w:rPr>
        <w:t>服务价格的</w:t>
      </w:r>
      <w:r>
        <w:rPr>
          <w:rFonts w:hint="eastAsia" w:cs="Times New Roman" w:asciiTheme="minorEastAsia" w:hAnsiTheme="minorEastAsia" w:eastAsiaTheme="minorEastAsia"/>
          <w:color w:val="auto"/>
          <w:sz w:val="24"/>
          <w:szCs w:val="24"/>
          <w:highlight w:val="none"/>
          <w:u w:val="single"/>
        </w:rPr>
        <w:t>0.05</w:t>
      </w:r>
      <w:r>
        <w:rPr>
          <w:rFonts w:cs="Times New Roman" w:asciiTheme="minorEastAsia" w:hAnsiTheme="minorEastAsia" w:eastAsiaTheme="minorEastAsia"/>
          <w:color w:val="auto"/>
          <w:sz w:val="24"/>
          <w:szCs w:val="24"/>
          <w:highlight w:val="none"/>
        </w:rPr>
        <w:t>%计算</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最高限额为</w:t>
      </w:r>
      <w:r>
        <w:rPr>
          <w:rFonts w:hint="eastAsia" w:cs="Times New Roman" w:asciiTheme="minorEastAsia" w:hAnsiTheme="minorEastAsia" w:eastAsiaTheme="minorEastAsia"/>
          <w:color w:val="auto"/>
          <w:sz w:val="24"/>
          <w:szCs w:val="24"/>
          <w:highlight w:val="none"/>
        </w:rPr>
        <w:t>本</w:t>
      </w:r>
      <w:r>
        <w:rPr>
          <w:rFonts w:cs="Times New Roman" w:asciiTheme="minorEastAsia" w:hAnsiTheme="minorEastAsia" w:eastAsiaTheme="minorEastAsia"/>
          <w:color w:val="auto"/>
          <w:sz w:val="24"/>
          <w:szCs w:val="24"/>
          <w:highlight w:val="none"/>
        </w:rPr>
        <w:t>合同总价的</w:t>
      </w:r>
      <w:r>
        <w:rPr>
          <w:rFonts w:hint="eastAsia" w:cs="Times New Roman" w:asciiTheme="minorEastAsia" w:hAnsiTheme="minorEastAsia" w:eastAsiaTheme="minorEastAsia"/>
          <w:color w:val="auto"/>
          <w:sz w:val="24"/>
          <w:szCs w:val="24"/>
          <w:highlight w:val="none"/>
          <w:u w:val="single"/>
        </w:rPr>
        <w:t>5</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迟延</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的违约金计算数额达到前述最高限额之日起</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甲方有权在要求乙方支付违约金的同时</w:t>
      </w:r>
      <w:r>
        <w:rPr>
          <w:rFonts w:hint="eastAsia" w:cs="Times New Roman" w:asciiTheme="minorEastAsia" w:hAnsiTheme="minorEastAsia" w:eastAsiaTheme="minorEastAsia"/>
          <w:color w:val="auto"/>
          <w:sz w:val="24"/>
          <w:szCs w:val="24"/>
          <w:highlight w:val="none"/>
        </w:rPr>
        <w:t>，书面通知乙方</w:t>
      </w:r>
      <w:r>
        <w:rPr>
          <w:rFonts w:cs="Times New Roman" w:asciiTheme="minorEastAsia" w:hAnsiTheme="minorEastAsia" w:eastAsiaTheme="minorEastAsia"/>
          <w:color w:val="auto"/>
          <w:sz w:val="24"/>
          <w:szCs w:val="24"/>
          <w:highlight w:val="none"/>
        </w:rPr>
        <w:t>解除本合同</w:t>
      </w:r>
      <w:r>
        <w:rPr>
          <w:rFonts w:hint="eastAsia" w:cs="Times New Roman" w:asciiTheme="minorEastAsia" w:hAnsiTheme="minorEastAsia" w:eastAsiaTheme="minorEastAsia"/>
          <w:color w:val="auto"/>
          <w:sz w:val="24"/>
          <w:szCs w:val="24"/>
          <w:highlight w:val="none"/>
        </w:rPr>
        <w:t>；</w:t>
      </w:r>
    </w:p>
    <w:p w14:paraId="4BF7620C">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1.6.2</w:t>
      </w:r>
      <w:r>
        <w:rPr>
          <w:rFonts w:cs="Times New Roman" w:asciiTheme="minorEastAsia" w:hAnsiTheme="minorEastAsia" w:eastAsiaTheme="minorEastAsia"/>
          <w:color w:val="auto"/>
          <w:sz w:val="24"/>
          <w:szCs w:val="24"/>
          <w:highlight w:val="none"/>
        </w:rPr>
        <w:t>除不可抗力外，如果甲方没有按照本合同约定的付款方式付款，那么乙方可要求甲方支付违约金</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违约金按每迟延</w:t>
      </w:r>
      <w:r>
        <w:rPr>
          <w:rFonts w:hint="eastAsia" w:cs="Times New Roman" w:asciiTheme="minorEastAsia" w:hAnsiTheme="minorEastAsia" w:eastAsiaTheme="minorEastAsia"/>
          <w:color w:val="auto"/>
          <w:sz w:val="24"/>
          <w:szCs w:val="24"/>
          <w:highlight w:val="none"/>
        </w:rPr>
        <w:t>付款</w:t>
      </w:r>
      <w:r>
        <w:rPr>
          <w:rFonts w:cs="Times New Roman" w:asciiTheme="minorEastAsia" w:hAnsiTheme="minorEastAsia" w:eastAsiaTheme="minorEastAsia"/>
          <w:color w:val="auto"/>
          <w:sz w:val="24"/>
          <w:szCs w:val="24"/>
          <w:highlight w:val="none"/>
        </w:rPr>
        <w:t>一日的应付而未付款的</w:t>
      </w:r>
      <w:r>
        <w:rPr>
          <w:rFonts w:hint="eastAsia" w:cs="Times New Roman" w:asciiTheme="minorEastAsia" w:hAnsiTheme="minorEastAsia" w:eastAsiaTheme="minorEastAsia"/>
          <w:color w:val="auto"/>
          <w:sz w:val="24"/>
          <w:szCs w:val="24"/>
          <w:highlight w:val="none"/>
          <w:u w:val="single"/>
        </w:rPr>
        <w:t>0.05</w:t>
      </w:r>
      <w:r>
        <w:rPr>
          <w:rFonts w:cs="Times New Roman" w:asciiTheme="minorEastAsia" w:hAnsiTheme="minorEastAsia" w:eastAsiaTheme="minorEastAsia"/>
          <w:color w:val="auto"/>
          <w:sz w:val="24"/>
          <w:szCs w:val="24"/>
          <w:highlight w:val="none"/>
        </w:rPr>
        <w:t>%计算</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最高限额为</w:t>
      </w:r>
      <w:r>
        <w:rPr>
          <w:rFonts w:hint="eastAsia" w:cs="Times New Roman" w:asciiTheme="minorEastAsia" w:hAnsiTheme="minorEastAsia" w:eastAsiaTheme="minorEastAsia"/>
          <w:color w:val="auto"/>
          <w:sz w:val="24"/>
          <w:szCs w:val="24"/>
          <w:highlight w:val="none"/>
        </w:rPr>
        <w:t>本</w:t>
      </w:r>
      <w:r>
        <w:rPr>
          <w:rFonts w:cs="Times New Roman" w:asciiTheme="minorEastAsia" w:hAnsiTheme="minorEastAsia" w:eastAsiaTheme="minorEastAsia"/>
          <w:color w:val="auto"/>
          <w:sz w:val="24"/>
          <w:szCs w:val="24"/>
          <w:highlight w:val="none"/>
        </w:rPr>
        <w:t>合同总价的</w:t>
      </w:r>
      <w:r>
        <w:rPr>
          <w:rFonts w:hint="eastAsia" w:cs="Times New Roman" w:asciiTheme="minorEastAsia" w:hAnsiTheme="minorEastAsia" w:eastAsiaTheme="minorEastAsia"/>
          <w:color w:val="auto"/>
          <w:sz w:val="24"/>
          <w:szCs w:val="24"/>
          <w:highlight w:val="none"/>
          <w:u w:val="single"/>
        </w:rPr>
        <w:t>5</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迟延</w:t>
      </w:r>
      <w:r>
        <w:rPr>
          <w:rFonts w:hint="eastAsia" w:cs="Times New Roman" w:asciiTheme="minorEastAsia" w:hAnsiTheme="minorEastAsia" w:eastAsiaTheme="minorEastAsia"/>
          <w:color w:val="auto"/>
          <w:sz w:val="24"/>
          <w:szCs w:val="24"/>
          <w:highlight w:val="none"/>
        </w:rPr>
        <w:t>付款</w:t>
      </w:r>
      <w:r>
        <w:rPr>
          <w:rFonts w:cs="Times New Roman" w:asciiTheme="minorEastAsia" w:hAnsiTheme="minorEastAsia" w:eastAsiaTheme="minorEastAsia"/>
          <w:color w:val="auto"/>
          <w:sz w:val="24"/>
          <w:szCs w:val="24"/>
          <w:highlight w:val="none"/>
        </w:rPr>
        <w:t>的违约金计算数额达到前述最高限额之日起</w:t>
      </w:r>
      <w:r>
        <w:rPr>
          <w:rFonts w:hint="eastAsia" w:cs="Times New Roman" w:asciiTheme="minorEastAsia" w:hAnsiTheme="minorEastAsia" w:eastAsiaTheme="minorEastAsia"/>
          <w:color w:val="auto"/>
          <w:sz w:val="24"/>
          <w:szCs w:val="24"/>
          <w:highlight w:val="none"/>
        </w:rPr>
        <w:t>，乙</w:t>
      </w:r>
      <w:r>
        <w:rPr>
          <w:rFonts w:cs="Times New Roman" w:asciiTheme="minorEastAsia" w:hAnsiTheme="minorEastAsia" w:eastAsiaTheme="minorEastAsia"/>
          <w:color w:val="auto"/>
          <w:sz w:val="24"/>
          <w:szCs w:val="24"/>
          <w:highlight w:val="none"/>
        </w:rPr>
        <w:t>方有权在要求甲方支付违约金的同时</w:t>
      </w:r>
      <w:r>
        <w:rPr>
          <w:rFonts w:hint="eastAsia" w:cs="Times New Roman" w:asciiTheme="minorEastAsia" w:hAnsiTheme="minorEastAsia" w:eastAsiaTheme="minorEastAsia"/>
          <w:color w:val="auto"/>
          <w:sz w:val="24"/>
          <w:szCs w:val="24"/>
          <w:highlight w:val="none"/>
        </w:rPr>
        <w:t>，书面通知甲方</w:t>
      </w:r>
      <w:r>
        <w:rPr>
          <w:rFonts w:cs="Times New Roman" w:asciiTheme="minorEastAsia" w:hAnsiTheme="minorEastAsia" w:eastAsiaTheme="minorEastAsia"/>
          <w:color w:val="auto"/>
          <w:sz w:val="24"/>
          <w:szCs w:val="24"/>
          <w:highlight w:val="none"/>
        </w:rPr>
        <w:t>解除本合同</w:t>
      </w:r>
      <w:r>
        <w:rPr>
          <w:rFonts w:hint="eastAsia" w:cs="Times New Roman" w:asciiTheme="minorEastAsia" w:hAnsiTheme="minorEastAsia" w:eastAsiaTheme="minorEastAsia"/>
          <w:color w:val="auto"/>
          <w:sz w:val="24"/>
          <w:szCs w:val="24"/>
          <w:highlight w:val="none"/>
        </w:rPr>
        <w:t>；</w:t>
      </w:r>
    </w:p>
    <w:p w14:paraId="60D59C25">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D3DCB9E">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21D1E53">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85E45CD">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0D8818BF">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1.6.7因甲方未按合同约定支付价款、未按合同约定受领标的物、擅自解除合同</w:t>
      </w:r>
      <w:r>
        <w:rPr>
          <w:rFonts w:hint="eastAsia" w:cs="Times New Roman" w:asciiTheme="minorEastAsia" w:hAnsiTheme="minorEastAsia" w:eastAsiaTheme="minorEastAsia"/>
          <w:color w:val="auto"/>
          <w:sz w:val="24"/>
          <w:szCs w:val="24"/>
          <w:highlight w:val="none"/>
        </w:rPr>
        <w:t>、逾期退还履约保证金</w:t>
      </w:r>
      <w:r>
        <w:rPr>
          <w:rFonts w:cs="Times New Roman" w:asciiTheme="minorEastAsia" w:hAnsiTheme="minorEastAsia" w:eastAsiaTheme="minorEastAsia"/>
          <w:color w:val="auto"/>
          <w:sz w:val="24"/>
          <w:szCs w:val="24"/>
          <w:highlight w:val="none"/>
        </w:rPr>
        <w:t>导致乙方遭受的直接损失，乙方可向甲方申请赔偿，赔偿金额由双方协商一致；</w:t>
      </w:r>
      <w:r>
        <w:rPr>
          <w:rFonts w:hint="eastAsia" w:cs="Times New Roman" w:asciiTheme="minorEastAsia" w:hAnsiTheme="minorEastAsia" w:eastAsiaTheme="minorEastAsia"/>
          <w:color w:val="auto"/>
          <w:sz w:val="24"/>
          <w:szCs w:val="24"/>
          <w:highlight w:val="none"/>
        </w:rPr>
        <w:t>针对因政策变化等原因不能签订合同或解除合同时，造成乙方合法利益受损的情形，可以给予乙方合理补偿，补偿金额不得超过乙方的直接损失。</w:t>
      </w:r>
    </w:p>
    <w:p w14:paraId="7BCD7BAA">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76" w:name="_Toc16021"/>
      <w:bookmarkStart w:id="77" w:name="_Toc15583"/>
      <w:bookmarkStart w:id="78" w:name="_Toc28375"/>
      <w:r>
        <w:rPr>
          <w:rFonts w:hint="eastAsia" w:cs="Times New Roman" w:asciiTheme="minorEastAsia" w:hAnsiTheme="minorEastAsia" w:eastAsiaTheme="minorEastAsia"/>
          <w:b/>
          <w:bCs/>
          <w:color w:val="auto"/>
          <w:sz w:val="24"/>
          <w:szCs w:val="24"/>
          <w:highlight w:val="none"/>
          <w:lang w:val="zh-CN"/>
        </w:rPr>
        <w:t>1.7合同</w:t>
      </w:r>
      <w:r>
        <w:rPr>
          <w:rFonts w:cs="Times New Roman" w:asciiTheme="minorEastAsia" w:hAnsiTheme="minorEastAsia" w:eastAsiaTheme="minorEastAsia"/>
          <w:b/>
          <w:bCs/>
          <w:color w:val="auto"/>
          <w:sz w:val="24"/>
          <w:szCs w:val="24"/>
          <w:highlight w:val="none"/>
          <w:lang w:val="zh-CN"/>
        </w:rPr>
        <w:t>争议的解决</w:t>
      </w:r>
      <w:bookmarkEnd w:id="76"/>
      <w:bookmarkEnd w:id="77"/>
      <w:bookmarkEnd w:id="78"/>
    </w:p>
    <w:p w14:paraId="7379490B">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本合</w:t>
      </w:r>
      <w:r>
        <w:rPr>
          <w:rFonts w:cs="Times New Roman" w:asciiTheme="minorEastAsia" w:hAnsiTheme="minorEastAsia" w:eastAsiaTheme="minorEastAsia"/>
          <w:color w:val="auto"/>
          <w:sz w:val="24"/>
          <w:szCs w:val="24"/>
          <w:highlight w:val="none"/>
        </w:rPr>
        <w:t>同履行过程中发生的任何争议，双方当事人均可</w:t>
      </w:r>
      <w:r>
        <w:rPr>
          <w:rFonts w:hint="eastAsia" w:cs="Times New Roman" w:asciiTheme="minorEastAsia" w:hAnsiTheme="minorEastAsia" w:eastAsiaTheme="minorEastAsia"/>
          <w:color w:val="auto"/>
          <w:sz w:val="24"/>
          <w:szCs w:val="24"/>
          <w:highlight w:val="none"/>
        </w:rPr>
        <w:t>通过和解或者调解解决；不愿和解、调解或者和解、调解不成的，可以选择下列第</w:t>
      </w:r>
      <w:r>
        <w:rPr>
          <w:rFonts w:hint="eastAsia" w:cs="Times New Roman" w:asciiTheme="minorEastAsia" w:hAnsiTheme="minorEastAsia" w:eastAsiaTheme="minorEastAsia"/>
          <w:color w:val="auto"/>
          <w:sz w:val="24"/>
          <w:szCs w:val="24"/>
          <w:highlight w:val="none"/>
          <w:u w:val="single"/>
        </w:rPr>
        <w:t>1.7.1</w:t>
      </w:r>
      <w:r>
        <w:rPr>
          <w:rFonts w:hint="eastAsia" w:cs="Times New Roman" w:asciiTheme="minorEastAsia" w:hAnsiTheme="minorEastAsia" w:eastAsiaTheme="minorEastAsia"/>
          <w:color w:val="auto"/>
          <w:sz w:val="24"/>
          <w:szCs w:val="24"/>
          <w:highlight w:val="none"/>
        </w:rPr>
        <w:t>种方式解决：</w:t>
      </w:r>
    </w:p>
    <w:p w14:paraId="67BDBC5C">
      <w:pPr>
        <w:spacing w:line="360" w:lineRule="auto"/>
        <w:ind w:firstLine="435"/>
        <w:rPr>
          <w:rFonts w:ascii="宋体" w:hAnsi="宋体"/>
          <w:color w:val="auto"/>
          <w:sz w:val="24"/>
          <w:highlight w:val="none"/>
        </w:rPr>
      </w:pPr>
      <w:r>
        <w:rPr>
          <w:rFonts w:hint="eastAsia" w:ascii="宋体" w:hAnsi="宋体"/>
          <w:color w:val="auto"/>
          <w:sz w:val="24"/>
          <w:highlight w:val="none"/>
        </w:rPr>
        <w:t>1.7.1将争议提交</w:t>
      </w:r>
      <w:r>
        <w:rPr>
          <w:rFonts w:hint="eastAsia" w:ascii="宋体" w:hAnsi="宋体"/>
          <w:color w:val="auto"/>
          <w:sz w:val="24"/>
          <w:highlight w:val="none"/>
          <w:u w:val="single"/>
        </w:rPr>
        <w:t xml:space="preserve"> 滁州市  </w:t>
      </w:r>
      <w:r>
        <w:rPr>
          <w:rFonts w:hint="eastAsia" w:ascii="宋体" w:hAnsi="宋体"/>
          <w:color w:val="auto"/>
          <w:sz w:val="24"/>
          <w:highlight w:val="none"/>
        </w:rPr>
        <w:t>仲裁委员会依申请仲裁时其现行有效的仲裁规则裁决；</w:t>
      </w:r>
    </w:p>
    <w:p w14:paraId="492E8759">
      <w:pPr>
        <w:spacing w:line="360" w:lineRule="auto"/>
        <w:ind w:firstLine="435"/>
        <w:rPr>
          <w:rFonts w:cs="Times New Roman" w:asciiTheme="minorEastAsia" w:hAnsiTheme="minorEastAsia" w:eastAsiaTheme="minorEastAsia"/>
          <w:color w:val="auto"/>
          <w:sz w:val="24"/>
          <w:szCs w:val="24"/>
          <w:highlight w:val="none"/>
        </w:rPr>
      </w:pPr>
      <w:r>
        <w:rPr>
          <w:rFonts w:hint="eastAsia" w:ascii="宋体" w:hAnsi="宋体"/>
          <w:color w:val="auto"/>
          <w:sz w:val="24"/>
          <w:highlight w:val="none"/>
        </w:rPr>
        <w:t>1.7.2向</w:t>
      </w:r>
      <w:r>
        <w:rPr>
          <w:rFonts w:hint="eastAsia" w:ascii="宋体" w:hAnsi="宋体"/>
          <w:color w:val="auto"/>
          <w:sz w:val="24"/>
          <w:highlight w:val="none"/>
          <w:u w:val="single"/>
        </w:rPr>
        <w:t xml:space="preserve"> 天长市 </w:t>
      </w:r>
      <w:r>
        <w:rPr>
          <w:rFonts w:hint="eastAsia" w:ascii="宋体" w:hAnsi="宋体"/>
          <w:color w:val="auto"/>
          <w:sz w:val="24"/>
          <w:highlight w:val="none"/>
        </w:rPr>
        <w:t>人民法院起诉</w:t>
      </w:r>
      <w:r>
        <w:rPr>
          <w:rFonts w:hint="eastAsia" w:cs="Times New Roman" w:asciiTheme="minorEastAsia" w:hAnsiTheme="minorEastAsia" w:eastAsiaTheme="minorEastAsia"/>
          <w:color w:val="auto"/>
          <w:sz w:val="24"/>
          <w:szCs w:val="24"/>
          <w:highlight w:val="none"/>
        </w:rPr>
        <w:t>。</w:t>
      </w:r>
    </w:p>
    <w:p w14:paraId="0B23F451">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79" w:name="_Toc7245"/>
      <w:bookmarkStart w:id="80" w:name="_Toc15322"/>
      <w:bookmarkStart w:id="81" w:name="_Toc11173"/>
      <w:r>
        <w:rPr>
          <w:rFonts w:hint="eastAsia" w:cs="Times New Roman" w:asciiTheme="minorEastAsia" w:hAnsiTheme="minorEastAsia" w:eastAsiaTheme="minorEastAsia"/>
          <w:b/>
          <w:bCs/>
          <w:color w:val="auto"/>
          <w:sz w:val="24"/>
          <w:szCs w:val="24"/>
          <w:highlight w:val="none"/>
          <w:lang w:val="zh-CN"/>
        </w:rPr>
        <w:t>1.8</w:t>
      </w:r>
      <w:r>
        <w:rPr>
          <w:rFonts w:cs="Times New Roman" w:asciiTheme="minorEastAsia" w:hAnsiTheme="minorEastAsia" w:eastAsiaTheme="minorEastAsia"/>
          <w:b/>
          <w:bCs/>
          <w:color w:val="auto"/>
          <w:sz w:val="24"/>
          <w:szCs w:val="24"/>
          <w:highlight w:val="none"/>
          <w:lang w:val="zh-CN"/>
        </w:rPr>
        <w:t xml:space="preserve"> 合同生效</w:t>
      </w:r>
      <w:bookmarkEnd w:id="79"/>
      <w:bookmarkEnd w:id="80"/>
      <w:bookmarkEnd w:id="81"/>
    </w:p>
    <w:p w14:paraId="4AE334DD">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本合同自</w:t>
      </w:r>
      <w:r>
        <w:rPr>
          <w:rFonts w:hint="eastAsia" w:cs="Times New Roman" w:asciiTheme="minorEastAsia" w:hAnsiTheme="minorEastAsia" w:eastAsiaTheme="minorEastAsia"/>
          <w:color w:val="auto"/>
          <w:sz w:val="24"/>
          <w:szCs w:val="24"/>
          <w:highlight w:val="none"/>
        </w:rPr>
        <w:t>双方当事人盖章时</w:t>
      </w:r>
      <w:r>
        <w:rPr>
          <w:rFonts w:cs="Times New Roman" w:asciiTheme="minorEastAsia" w:hAnsiTheme="minorEastAsia" w:eastAsiaTheme="minorEastAsia"/>
          <w:color w:val="auto"/>
          <w:sz w:val="24"/>
          <w:szCs w:val="24"/>
          <w:highlight w:val="none"/>
        </w:rPr>
        <w:t>生效。</w:t>
      </w:r>
    </w:p>
    <w:p w14:paraId="78FEE9A9">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p>
    <w:p w14:paraId="08AE0B8A">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p>
    <w:p w14:paraId="3E30C367">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p>
    <w:p w14:paraId="3FF225D8">
      <w:pPr>
        <w:autoSpaceDE w:val="0"/>
        <w:autoSpaceDN w:val="0"/>
        <w:adjustRightInd w:val="0"/>
        <w:spacing w:line="560" w:lineRule="exact"/>
        <w:rPr>
          <w:rFonts w:ascii="宋体" w:hAnsi="宋体"/>
          <w:bCs/>
          <w:color w:val="auto"/>
          <w:sz w:val="24"/>
          <w:highlight w:val="none"/>
          <w:lang w:val="zh-CN"/>
        </w:rPr>
      </w:pPr>
      <w:r>
        <w:rPr>
          <w:rFonts w:hint="eastAsia" w:ascii="宋体" w:hAnsi="宋体"/>
          <w:bCs/>
          <w:color w:val="auto"/>
          <w:sz w:val="24"/>
          <w:highlight w:val="none"/>
          <w:lang w:val="zh-CN"/>
        </w:rPr>
        <w:t xml:space="preserve">甲 </w:t>
      </w:r>
      <w:r>
        <w:rPr>
          <w:rFonts w:ascii="宋体" w:hAnsi="宋体"/>
          <w:bCs/>
          <w:color w:val="auto"/>
          <w:sz w:val="24"/>
          <w:highlight w:val="none"/>
          <w:lang w:val="zh-CN"/>
        </w:rPr>
        <w:t xml:space="preserve">   </w:t>
      </w:r>
      <w:r>
        <w:rPr>
          <w:rFonts w:hint="eastAsia" w:ascii="宋体" w:hAnsi="宋体"/>
          <w:bCs/>
          <w:color w:val="auto"/>
          <w:sz w:val="24"/>
          <w:highlight w:val="none"/>
          <w:lang w:val="zh-CN"/>
        </w:rPr>
        <w:t>方：</w:t>
      </w:r>
      <w:r>
        <w:rPr>
          <w:rFonts w:hint="eastAsia" w:ascii="宋体" w:hAnsi="宋体"/>
          <w:bCs/>
          <w:color w:val="auto"/>
          <w:sz w:val="24"/>
          <w:highlight w:val="none"/>
          <w:u w:val="single"/>
          <w:lang w:val="zh-CN"/>
        </w:rPr>
        <w:t xml:space="preserve">    （单位盖章）     </w:t>
      </w:r>
      <w:r>
        <w:rPr>
          <w:rFonts w:hint="eastAsia" w:ascii="宋体" w:hAnsi="宋体"/>
          <w:bCs/>
          <w:color w:val="auto"/>
          <w:sz w:val="24"/>
          <w:highlight w:val="none"/>
          <w:lang w:val="zh-CN"/>
        </w:rPr>
        <w:t xml:space="preserve">          乙方：</w:t>
      </w:r>
      <w:r>
        <w:rPr>
          <w:rFonts w:hint="eastAsia" w:ascii="宋体" w:hAnsi="宋体"/>
          <w:bCs/>
          <w:color w:val="auto"/>
          <w:sz w:val="24"/>
          <w:highlight w:val="none"/>
          <w:u w:val="single"/>
          <w:lang w:val="zh-CN"/>
        </w:rPr>
        <w:t xml:space="preserve">    （单位盖章）     </w:t>
      </w:r>
    </w:p>
    <w:p w14:paraId="17AC446F">
      <w:pPr>
        <w:autoSpaceDE w:val="0"/>
        <w:autoSpaceDN w:val="0"/>
        <w:adjustRightInd w:val="0"/>
        <w:spacing w:line="560" w:lineRule="exact"/>
        <w:rPr>
          <w:rFonts w:ascii="宋体" w:hAnsi="宋体"/>
          <w:color w:val="auto"/>
          <w:sz w:val="24"/>
          <w:highlight w:val="none"/>
          <w:lang w:val="zh-CN"/>
        </w:rPr>
      </w:pPr>
      <w:r>
        <w:rPr>
          <w:rFonts w:hint="eastAsia" w:ascii="宋体" w:hAnsi="宋体"/>
          <w:color w:val="auto"/>
          <w:sz w:val="24"/>
          <w:highlight w:val="none"/>
          <w:lang w:val="zh-CN"/>
        </w:rPr>
        <w:t xml:space="preserve">法定代表人                             </w:t>
      </w:r>
      <w:r>
        <w:rPr>
          <w:rFonts w:ascii="宋体" w:hAnsi="宋体"/>
          <w:color w:val="auto"/>
          <w:sz w:val="24"/>
          <w:highlight w:val="none"/>
          <w:lang w:val="zh-CN"/>
        </w:rPr>
        <w:t xml:space="preserve">  </w:t>
      </w:r>
      <w:r>
        <w:rPr>
          <w:rFonts w:hint="eastAsia" w:ascii="宋体" w:hAnsi="宋体"/>
          <w:color w:val="auto"/>
          <w:sz w:val="24"/>
          <w:highlight w:val="none"/>
          <w:lang w:val="zh-CN"/>
        </w:rPr>
        <w:t>法定代表人</w:t>
      </w:r>
    </w:p>
    <w:p w14:paraId="2F9F9ECC">
      <w:pPr>
        <w:autoSpaceDE w:val="0"/>
        <w:autoSpaceDN w:val="0"/>
        <w:adjustRightInd w:val="0"/>
        <w:spacing w:line="560" w:lineRule="exact"/>
        <w:rPr>
          <w:rFonts w:ascii="宋体" w:hAnsi="宋体"/>
          <w:color w:val="auto"/>
          <w:sz w:val="24"/>
          <w:highlight w:val="none"/>
          <w:lang w:val="zh-CN"/>
        </w:rPr>
      </w:pPr>
      <w:r>
        <w:rPr>
          <w:rFonts w:hint="eastAsia" w:ascii="宋体" w:hAnsi="宋体"/>
          <w:color w:val="auto"/>
          <w:sz w:val="24"/>
          <w:highlight w:val="none"/>
          <w:lang w:val="zh-CN"/>
        </w:rPr>
        <w:t>或授权代表（签字）：                      或授权代表（签字）：</w:t>
      </w:r>
    </w:p>
    <w:p w14:paraId="1DA52D2E">
      <w:pPr>
        <w:widowControl/>
        <w:spacing w:line="560" w:lineRule="exact"/>
        <w:jc w:val="left"/>
        <w:rPr>
          <w:rFonts w:ascii="宋体" w:hAnsi="宋体"/>
          <w:bCs/>
          <w:color w:val="auto"/>
          <w:sz w:val="24"/>
          <w:highlight w:val="none"/>
        </w:rPr>
      </w:pPr>
      <w:r>
        <w:rPr>
          <w:rFonts w:hint="eastAsia" w:ascii="宋体" w:hAnsi="宋体"/>
          <w:bCs/>
          <w:color w:val="auto"/>
          <w:sz w:val="24"/>
          <w:highlight w:val="none"/>
        </w:rPr>
        <w:t>时间：</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年</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月</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日               时间：</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年</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月</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日</w:t>
      </w:r>
    </w:p>
    <w:p w14:paraId="304C3D07">
      <w:pPr>
        <w:spacing w:line="360" w:lineRule="auto"/>
        <w:jc w:val="center"/>
        <w:outlineLvl w:val="1"/>
        <w:rPr>
          <w:rFonts w:hint="eastAsia" w:asciiTheme="minorEastAsia" w:hAnsiTheme="minorEastAsia" w:eastAsiaTheme="minorEastAsia"/>
          <w:b/>
          <w:color w:val="auto"/>
          <w:sz w:val="24"/>
          <w:highlight w:val="none"/>
        </w:rPr>
      </w:pPr>
      <w:bookmarkStart w:id="82" w:name="_Toc415"/>
      <w:bookmarkStart w:id="83" w:name="_Toc331685783"/>
    </w:p>
    <w:p w14:paraId="1E791B95">
      <w:pPr>
        <w:spacing w:line="360" w:lineRule="auto"/>
        <w:jc w:val="center"/>
        <w:outlineLvl w:val="1"/>
        <w:rPr>
          <w:rFonts w:hint="eastAsia" w:asciiTheme="minorEastAsia" w:hAnsiTheme="minorEastAsia" w:eastAsiaTheme="minorEastAsia"/>
          <w:b/>
          <w:color w:val="auto"/>
          <w:sz w:val="24"/>
          <w:highlight w:val="none"/>
        </w:rPr>
      </w:pPr>
    </w:p>
    <w:p w14:paraId="6887D982">
      <w:pPr>
        <w:spacing w:line="360" w:lineRule="auto"/>
        <w:jc w:val="center"/>
        <w:outlineLvl w:val="1"/>
        <w:rPr>
          <w:rFonts w:hint="eastAsia" w:asciiTheme="minorEastAsia" w:hAnsiTheme="minorEastAsia" w:eastAsiaTheme="minorEastAsia"/>
          <w:b/>
          <w:color w:val="auto"/>
          <w:sz w:val="24"/>
          <w:highlight w:val="none"/>
        </w:rPr>
      </w:pPr>
    </w:p>
    <w:p w14:paraId="4C6A3E79">
      <w:pPr>
        <w:spacing w:line="360" w:lineRule="auto"/>
        <w:jc w:val="center"/>
        <w:outlineLvl w:val="1"/>
        <w:rPr>
          <w:rFonts w:hint="eastAsia" w:asciiTheme="minorEastAsia" w:hAnsiTheme="minorEastAsia" w:eastAsiaTheme="minorEastAsia"/>
          <w:b/>
          <w:color w:val="auto"/>
          <w:sz w:val="24"/>
          <w:highlight w:val="none"/>
        </w:rPr>
      </w:pPr>
    </w:p>
    <w:p w14:paraId="31E57538">
      <w:pPr>
        <w:spacing w:line="360" w:lineRule="auto"/>
        <w:jc w:val="center"/>
        <w:outlineLvl w:val="1"/>
        <w:rPr>
          <w:rFonts w:hint="eastAsia" w:asciiTheme="minorEastAsia" w:hAnsiTheme="minorEastAsia" w:eastAsiaTheme="minorEastAsia"/>
          <w:b/>
          <w:color w:val="auto"/>
          <w:sz w:val="24"/>
          <w:highlight w:val="none"/>
        </w:rPr>
      </w:pPr>
    </w:p>
    <w:p w14:paraId="39AD3AF9">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第二部分合同一般条款</w:t>
      </w:r>
      <w:bookmarkEnd w:id="82"/>
      <w:bookmarkEnd w:id="83"/>
    </w:p>
    <w:p w14:paraId="7A249938">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84" w:name="_Ref467379225"/>
      <w:bookmarkStart w:id="85" w:name="_Toc28763"/>
      <w:bookmarkStart w:id="86" w:name="_Toc279701240"/>
      <w:bookmarkStart w:id="87" w:name="_Ref467378499"/>
      <w:bookmarkStart w:id="88" w:name="_Toc487900349"/>
      <w:bookmarkStart w:id="89" w:name="_Ref467379214"/>
      <w:bookmarkStart w:id="90" w:name="_Ref467379109"/>
      <w:bookmarkStart w:id="91" w:name="_Ref467379094"/>
      <w:bookmarkStart w:id="92" w:name="_Ref467379205"/>
      <w:bookmarkStart w:id="93" w:name="_Toc16917"/>
      <w:bookmarkStart w:id="94" w:name="_Ref467378404"/>
      <w:bookmarkStart w:id="95" w:name="_Toc259093669"/>
      <w:bookmarkStart w:id="96" w:name="_Ref467379101"/>
      <w:bookmarkStart w:id="97" w:name="_Ref467379195"/>
      <w:bookmarkStart w:id="98" w:name="_Toc19614"/>
      <w:bookmarkStart w:id="99" w:name="_Ref467378463"/>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 xml:space="preserve"> 定义</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1848060F">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本合同中的下列</w:t>
      </w:r>
      <w:r>
        <w:rPr>
          <w:rFonts w:hint="eastAsia" w:cs="Times New Roman" w:asciiTheme="minorEastAsia" w:hAnsiTheme="minorEastAsia" w:eastAsiaTheme="minorEastAsia"/>
          <w:color w:val="auto"/>
          <w:sz w:val="24"/>
          <w:szCs w:val="24"/>
          <w:highlight w:val="none"/>
        </w:rPr>
        <w:t>词</w:t>
      </w:r>
      <w:r>
        <w:rPr>
          <w:rFonts w:cs="Times New Roman" w:asciiTheme="minorEastAsia" w:hAnsiTheme="minorEastAsia" w:eastAsiaTheme="minorEastAsia"/>
          <w:color w:val="auto"/>
          <w:sz w:val="24"/>
          <w:szCs w:val="24"/>
          <w:highlight w:val="none"/>
        </w:rPr>
        <w:t>语应</w:t>
      </w:r>
      <w:r>
        <w:rPr>
          <w:rFonts w:hint="eastAsia" w:cs="Times New Roman" w:asciiTheme="minorEastAsia" w:hAnsiTheme="minorEastAsia" w:eastAsiaTheme="minorEastAsia"/>
          <w:color w:val="auto"/>
          <w:sz w:val="24"/>
          <w:szCs w:val="24"/>
          <w:highlight w:val="none"/>
        </w:rPr>
        <w:t>按以下内容进行</w:t>
      </w:r>
      <w:r>
        <w:rPr>
          <w:rFonts w:cs="Times New Roman" w:asciiTheme="minorEastAsia" w:hAnsiTheme="minorEastAsia" w:eastAsiaTheme="minorEastAsia"/>
          <w:color w:val="auto"/>
          <w:sz w:val="24"/>
          <w:szCs w:val="24"/>
          <w:highlight w:val="none"/>
        </w:rPr>
        <w:t>解释：</w:t>
      </w:r>
    </w:p>
    <w:p w14:paraId="45CF87CA">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.1</w:t>
      </w:r>
      <w:r>
        <w:rPr>
          <w:rFonts w:cs="Times New Roman" w:asciiTheme="minorEastAsia" w:hAnsiTheme="minorEastAsia" w:eastAsiaTheme="minorEastAsia"/>
          <w:color w:val="auto"/>
          <w:sz w:val="24"/>
          <w:szCs w:val="24"/>
          <w:highlight w:val="none"/>
        </w:rPr>
        <w:t>“合同”系指采购人和中标人签订的载明双方当事人所达成的协议，并包括所有的附件、附录和构成合同的其他文件。</w:t>
      </w:r>
    </w:p>
    <w:p w14:paraId="6CFBB192">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1.2“合同价”系指根据合同约定，中标人在完全履行合同义务后</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采购人应支付给中标人的价格。</w:t>
      </w:r>
    </w:p>
    <w:p w14:paraId="258563E5">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1.3“</w:t>
      </w:r>
      <w:r>
        <w:rPr>
          <w:rFonts w:hint="eastAsia" w:cs="Times New Roman" w:asciiTheme="minorEastAsia" w:hAnsiTheme="minorEastAsia" w:eastAsiaTheme="minorEastAsia"/>
          <w:color w:val="auto"/>
          <w:sz w:val="24"/>
          <w:szCs w:val="24"/>
          <w:highlight w:val="none"/>
        </w:rPr>
        <w:t>服务</w:t>
      </w:r>
      <w:r>
        <w:rPr>
          <w:rFonts w:cs="Times New Roman" w:asciiTheme="minorEastAsia" w:hAnsiTheme="minorEastAsia" w:eastAsiaTheme="minorEastAsia"/>
          <w:color w:val="auto"/>
          <w:sz w:val="24"/>
          <w:szCs w:val="24"/>
          <w:highlight w:val="none"/>
        </w:rPr>
        <w:t>”系指</w:t>
      </w:r>
      <w:r>
        <w:rPr>
          <w:rFonts w:hint="eastAsia" w:cs="Times New Roman" w:asciiTheme="minorEastAsia" w:hAnsiTheme="minorEastAsia" w:eastAsiaTheme="minorEastAsia"/>
          <w:color w:val="auto"/>
          <w:sz w:val="24"/>
          <w:szCs w:val="24"/>
          <w:highlight w:val="none"/>
        </w:rPr>
        <w:t>中标人</w:t>
      </w:r>
      <w:r>
        <w:rPr>
          <w:rFonts w:cs="Times New Roman" w:asciiTheme="minorEastAsia" w:hAnsiTheme="minorEastAsia" w:eastAsiaTheme="minorEastAsia"/>
          <w:color w:val="auto"/>
          <w:sz w:val="24"/>
          <w:szCs w:val="24"/>
          <w:highlight w:val="none"/>
        </w:rPr>
        <w:t>根据合同约定应向采购人</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的</w:t>
      </w:r>
      <w:r>
        <w:rPr>
          <w:rFonts w:hint="eastAsia" w:cs="Times New Roman" w:asciiTheme="minorEastAsia" w:hAnsiTheme="minorEastAsia" w:eastAsiaTheme="minorEastAsia"/>
          <w:color w:val="auto"/>
          <w:sz w:val="24"/>
          <w:szCs w:val="24"/>
          <w:highlight w:val="none"/>
        </w:rPr>
        <w:t>除货物和工程以外的其他政府采购对象，包括采购人自身需要的服务和向社会公众提供的公共服务。</w:t>
      </w:r>
    </w:p>
    <w:p w14:paraId="0F82CE57">
      <w:pPr>
        <w:spacing w:line="360" w:lineRule="auto"/>
        <w:ind w:firstLine="435"/>
        <w:rPr>
          <w:rFonts w:cs="Times New Roman" w:asciiTheme="minorEastAsia" w:hAnsiTheme="minorEastAsia" w:eastAsiaTheme="minorEastAsia"/>
          <w:color w:val="auto"/>
          <w:sz w:val="24"/>
          <w:szCs w:val="24"/>
          <w:highlight w:val="none"/>
        </w:rPr>
      </w:pPr>
      <w:bookmarkStart w:id="100" w:name="_Ref467378840"/>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4</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甲方</w:t>
      </w:r>
      <w:r>
        <w:rPr>
          <w:rFonts w:cs="Times New Roman" w:asciiTheme="minorEastAsia" w:hAnsiTheme="minorEastAsia" w:eastAsiaTheme="minorEastAsia"/>
          <w:color w:val="auto"/>
          <w:sz w:val="24"/>
          <w:szCs w:val="24"/>
          <w:highlight w:val="none"/>
        </w:rPr>
        <w:t>”系指与</w:t>
      </w:r>
      <w:r>
        <w:rPr>
          <w:rFonts w:hint="eastAsia" w:cs="Times New Roman" w:asciiTheme="minorEastAsia" w:hAnsiTheme="minorEastAsia" w:eastAsiaTheme="minorEastAsia"/>
          <w:color w:val="auto"/>
          <w:sz w:val="24"/>
          <w:szCs w:val="24"/>
          <w:highlight w:val="none"/>
        </w:rPr>
        <w:t>中标人</w:t>
      </w:r>
      <w:r>
        <w:rPr>
          <w:rFonts w:cs="Times New Roman" w:asciiTheme="minorEastAsia" w:hAnsiTheme="minorEastAsia" w:eastAsiaTheme="minorEastAsia"/>
          <w:color w:val="auto"/>
          <w:sz w:val="24"/>
          <w:szCs w:val="24"/>
          <w:highlight w:val="none"/>
        </w:rPr>
        <w:t>签署合同的采购人</w:t>
      </w:r>
      <w:bookmarkEnd w:id="100"/>
      <w:r>
        <w:rPr>
          <w:rFonts w:hint="eastAsia" w:cs="Times New Roman" w:asciiTheme="minorEastAsia" w:hAnsiTheme="minorEastAsia" w:eastAsiaTheme="minorEastAsia"/>
          <w:color w:val="auto"/>
          <w:sz w:val="24"/>
          <w:szCs w:val="24"/>
          <w:highlight w:val="none"/>
        </w:rPr>
        <w:t>；采购人委托采购代理机构代表其与乙方签订合同的，采购人的授权委托书作为合同附件。</w:t>
      </w:r>
    </w:p>
    <w:p w14:paraId="493C4468">
      <w:pPr>
        <w:spacing w:line="360" w:lineRule="auto"/>
        <w:ind w:firstLine="435"/>
        <w:rPr>
          <w:rFonts w:cs="Times New Roman" w:asciiTheme="minorEastAsia" w:hAnsiTheme="minorEastAsia" w:eastAsiaTheme="minorEastAsia"/>
          <w:color w:val="auto"/>
          <w:sz w:val="24"/>
          <w:szCs w:val="24"/>
          <w:highlight w:val="none"/>
        </w:rPr>
      </w:pPr>
      <w:bookmarkStart w:id="101" w:name="_Ref467379400"/>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5</w:t>
      </w:r>
      <w:r>
        <w:rPr>
          <w:rFonts w:cs="Times New Roman" w:asciiTheme="minorEastAsia" w:hAnsiTheme="minorEastAsia" w:eastAsiaTheme="minorEastAsia"/>
          <w:color w:val="auto"/>
          <w:sz w:val="24"/>
          <w:szCs w:val="24"/>
          <w:highlight w:val="none"/>
        </w:rPr>
        <w:t>“乙方”系指根据合同约定</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的中标人</w:t>
      </w:r>
      <w:bookmarkEnd w:id="101"/>
      <w:r>
        <w:rPr>
          <w:rFonts w:hint="eastAsia" w:cs="Times New Roman" w:asciiTheme="minorEastAsia" w:hAnsiTheme="minorEastAsia" w:eastAsiaTheme="minorEastAsia"/>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638A73">
      <w:pPr>
        <w:spacing w:line="360" w:lineRule="auto"/>
        <w:ind w:firstLine="435"/>
        <w:rPr>
          <w:rFonts w:cs="Times New Roman" w:asciiTheme="minorEastAsia" w:hAnsiTheme="minorEastAsia" w:eastAsiaTheme="minorEastAsia"/>
          <w:color w:val="auto"/>
          <w:sz w:val="24"/>
          <w:szCs w:val="24"/>
          <w:highlight w:val="none"/>
        </w:rPr>
      </w:pPr>
      <w:bookmarkStart w:id="102" w:name="_Ref467379436"/>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6</w:t>
      </w:r>
      <w:r>
        <w:rPr>
          <w:rFonts w:cs="Times New Roman" w:asciiTheme="minorEastAsia" w:hAnsiTheme="minorEastAsia" w:eastAsiaTheme="minorEastAsia"/>
          <w:color w:val="auto"/>
          <w:sz w:val="24"/>
          <w:szCs w:val="24"/>
          <w:highlight w:val="none"/>
        </w:rPr>
        <w:t>“现场”系指合同约定</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的地点。</w:t>
      </w:r>
      <w:bookmarkEnd w:id="102"/>
    </w:p>
    <w:p w14:paraId="14BEB1A2">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03" w:name="_Toc259093670"/>
      <w:bookmarkStart w:id="104" w:name="_Toc13336"/>
      <w:bookmarkStart w:id="105" w:name="_Toc32504"/>
      <w:bookmarkStart w:id="106" w:name="_Toc487900350"/>
      <w:bookmarkStart w:id="107" w:name="_Toc27635"/>
      <w:bookmarkStart w:id="108" w:name="_Toc279701241"/>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2 技术规范</w:t>
      </w:r>
      <w:bookmarkEnd w:id="103"/>
      <w:bookmarkEnd w:id="104"/>
      <w:bookmarkEnd w:id="105"/>
      <w:bookmarkEnd w:id="106"/>
      <w:bookmarkEnd w:id="107"/>
      <w:bookmarkEnd w:id="108"/>
    </w:p>
    <w:p w14:paraId="6FA5645B">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货物所应遵守的技术规范应与采购文件规定的技术规范和技术规范附件(如果有的话)及其技术规范偏差表(如果被甲方接受的话)相一致</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如果采购文件中没有技术规范的相应说明，那么应以国家有关部门最新颁布的相应标准</w:t>
      </w:r>
      <w:r>
        <w:rPr>
          <w:rFonts w:hint="eastAsia" w:cs="Times New Roman" w:asciiTheme="minorEastAsia" w:hAnsiTheme="minorEastAsia" w:eastAsiaTheme="minorEastAsia"/>
          <w:color w:val="auto"/>
          <w:sz w:val="24"/>
          <w:szCs w:val="24"/>
          <w:highlight w:val="none"/>
        </w:rPr>
        <w:t>和</w:t>
      </w:r>
      <w:r>
        <w:rPr>
          <w:rFonts w:cs="Times New Roman" w:asciiTheme="minorEastAsia" w:hAnsiTheme="minorEastAsia" w:eastAsiaTheme="minorEastAsia"/>
          <w:color w:val="auto"/>
          <w:sz w:val="24"/>
          <w:szCs w:val="24"/>
          <w:highlight w:val="none"/>
        </w:rPr>
        <w:t>规范为准。</w:t>
      </w:r>
    </w:p>
    <w:p w14:paraId="0324F656">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09" w:name="_Toc9829"/>
      <w:bookmarkStart w:id="110" w:name="_Toc279701242"/>
      <w:bookmarkStart w:id="111" w:name="_Toc259093671"/>
      <w:bookmarkStart w:id="112" w:name="_Toc31634"/>
      <w:bookmarkStart w:id="113" w:name="_Toc487900351"/>
      <w:bookmarkStart w:id="114" w:name="_Toc27853"/>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3 知识产权</w:t>
      </w:r>
      <w:bookmarkEnd w:id="109"/>
      <w:bookmarkEnd w:id="110"/>
      <w:bookmarkEnd w:id="111"/>
      <w:bookmarkEnd w:id="112"/>
      <w:bookmarkEnd w:id="113"/>
      <w:bookmarkEnd w:id="114"/>
    </w:p>
    <w:p w14:paraId="59FC3C22">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2.3.1乙</w:t>
      </w:r>
      <w:r>
        <w:rPr>
          <w:rFonts w:cs="Times New Roman" w:asciiTheme="minorEastAsia" w:hAnsiTheme="minorEastAsia" w:eastAsiaTheme="minorEastAsia"/>
          <w:color w:val="auto"/>
          <w:sz w:val="24"/>
          <w:szCs w:val="24"/>
          <w:highlight w:val="none"/>
        </w:rPr>
        <w:t>方应保证</w:t>
      </w:r>
      <w:r>
        <w:rPr>
          <w:rFonts w:hint="eastAsia" w:cs="Times New Roman" w:asciiTheme="minorEastAsia" w:hAnsiTheme="minorEastAsia" w:eastAsiaTheme="minorEastAsia"/>
          <w:color w:val="auto"/>
          <w:sz w:val="24"/>
          <w:szCs w:val="24"/>
          <w:highlight w:val="none"/>
        </w:rPr>
        <w:t>其提供的服务</w:t>
      </w:r>
      <w:r>
        <w:rPr>
          <w:rFonts w:cs="Times New Roman" w:asciiTheme="minorEastAsia" w:hAnsiTheme="minorEastAsia" w:eastAsiaTheme="minorEastAsia"/>
          <w:color w:val="auto"/>
          <w:sz w:val="24"/>
          <w:szCs w:val="24"/>
          <w:highlight w:val="none"/>
        </w:rPr>
        <w:t>不受任何第三方提出的侵犯其著作权、商标权、专利权等知识产权方面的起诉</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如果任何第三方提出侵权</w:t>
      </w:r>
      <w:r>
        <w:rPr>
          <w:rFonts w:hint="eastAsia" w:cs="Times New Roman" w:asciiTheme="minorEastAsia" w:hAnsiTheme="minorEastAsia" w:eastAsiaTheme="minorEastAsia"/>
          <w:color w:val="auto"/>
          <w:sz w:val="24"/>
          <w:szCs w:val="24"/>
          <w:highlight w:val="none"/>
        </w:rPr>
        <w:t>指控</w:t>
      </w:r>
      <w:r>
        <w:rPr>
          <w:rFonts w:cs="Times New Roman" w:asciiTheme="minorEastAsia" w:hAnsiTheme="minorEastAsia" w:eastAsiaTheme="minorEastAsia"/>
          <w:color w:val="auto"/>
          <w:sz w:val="24"/>
          <w:szCs w:val="24"/>
          <w:highlight w:val="none"/>
        </w:rPr>
        <w:t>，那么乙方须与该第三方交涉并承担由此发生的一切责任、费用和赔偿</w:t>
      </w:r>
      <w:r>
        <w:rPr>
          <w:rFonts w:hint="eastAsia" w:cs="Times New Roman" w:asciiTheme="minorEastAsia" w:hAnsiTheme="minorEastAsia" w:eastAsiaTheme="minorEastAsia"/>
          <w:color w:val="auto"/>
          <w:sz w:val="24"/>
          <w:szCs w:val="24"/>
          <w:highlight w:val="none"/>
        </w:rPr>
        <w:t>；</w:t>
      </w:r>
    </w:p>
    <w:p w14:paraId="592DB70C">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2.3.2具有知识产权的计算机软件等货物的知识产权归属，</w:t>
      </w:r>
      <w:r>
        <w:rPr>
          <w:rFonts w:cs="Times New Roman" w:asciiTheme="minorEastAsia" w:hAnsiTheme="minorEastAsia" w:eastAsiaTheme="minorEastAsia"/>
          <w:color w:val="auto"/>
          <w:sz w:val="24"/>
          <w:szCs w:val="24"/>
          <w:highlight w:val="none"/>
        </w:rPr>
        <w:t>详见</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w:t>
      </w:r>
    </w:p>
    <w:p w14:paraId="3913012C">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15" w:name="_Ref467378591"/>
      <w:bookmarkStart w:id="116" w:name="_Toc279701245"/>
      <w:bookmarkStart w:id="117" w:name="_Toc487900354"/>
      <w:bookmarkStart w:id="118" w:name="_Toc259093674"/>
      <w:bookmarkStart w:id="119" w:name="_Ref467379527"/>
      <w:bookmarkStart w:id="120" w:name="_Ref467378541"/>
      <w:bookmarkStart w:id="121" w:name="_Ref467379536"/>
      <w:bookmarkStart w:id="122" w:name="_Ref467379542"/>
      <w:bookmarkStart w:id="123" w:name="_Toc26182"/>
      <w:bookmarkStart w:id="124" w:name="_Toc19074"/>
      <w:bookmarkStart w:id="125" w:name="_Toc30272"/>
      <w:r>
        <w:rPr>
          <w:rFonts w:hint="eastAsia" w:cs="Times New Roman" w:asciiTheme="minorEastAsia" w:hAnsiTheme="minorEastAsia" w:eastAsiaTheme="minorEastAsia"/>
          <w:b/>
          <w:bCs/>
          <w:color w:val="auto"/>
          <w:sz w:val="24"/>
          <w:szCs w:val="24"/>
          <w:highlight w:val="none"/>
          <w:lang w:val="zh-CN"/>
        </w:rPr>
        <w:t>2.</w:t>
      </w:r>
      <w:bookmarkEnd w:id="115"/>
      <w:bookmarkEnd w:id="116"/>
      <w:bookmarkEnd w:id="117"/>
      <w:bookmarkEnd w:id="118"/>
      <w:bookmarkEnd w:id="119"/>
      <w:bookmarkEnd w:id="120"/>
      <w:bookmarkEnd w:id="121"/>
      <w:bookmarkEnd w:id="122"/>
      <w:r>
        <w:rPr>
          <w:rFonts w:cs="Times New Roman" w:asciiTheme="minorEastAsia" w:hAnsiTheme="minorEastAsia" w:eastAsiaTheme="minorEastAsia"/>
          <w:b/>
          <w:bCs/>
          <w:color w:val="auto"/>
          <w:sz w:val="24"/>
          <w:szCs w:val="24"/>
          <w:highlight w:val="none"/>
          <w:lang w:val="zh-CN"/>
        </w:rPr>
        <w:t xml:space="preserve">4 </w:t>
      </w:r>
      <w:r>
        <w:rPr>
          <w:rFonts w:hint="eastAsia" w:cs="Times New Roman" w:asciiTheme="minorEastAsia" w:hAnsiTheme="minorEastAsia" w:eastAsiaTheme="minorEastAsia"/>
          <w:b/>
          <w:bCs/>
          <w:color w:val="auto"/>
          <w:sz w:val="24"/>
          <w:szCs w:val="24"/>
          <w:highlight w:val="none"/>
          <w:lang w:val="zh-CN"/>
        </w:rPr>
        <w:t>履约检查和问题反馈</w:t>
      </w:r>
      <w:bookmarkEnd w:id="123"/>
      <w:bookmarkEnd w:id="124"/>
      <w:bookmarkEnd w:id="125"/>
    </w:p>
    <w:p w14:paraId="1F82E3E5">
      <w:pPr>
        <w:spacing w:line="360" w:lineRule="auto"/>
        <w:ind w:firstLine="435"/>
        <w:rPr>
          <w:rFonts w:cs="Times New Roman" w:asciiTheme="minorEastAsia" w:hAnsiTheme="minorEastAsia" w:eastAsiaTheme="minorEastAsia"/>
          <w:color w:val="auto"/>
          <w:sz w:val="24"/>
          <w:szCs w:val="24"/>
          <w:highlight w:val="none"/>
        </w:rPr>
      </w:pPr>
      <w:bookmarkStart w:id="126" w:name="_Toc186431854"/>
      <w:bookmarkStart w:id="127" w:name="_Toc487900357"/>
      <w:bookmarkStart w:id="128" w:name="_Toc259093676"/>
      <w:bookmarkStart w:id="129" w:name="_Toc279701247"/>
      <w:bookmarkStart w:id="130" w:name="_Ref467379807"/>
      <w:bookmarkStart w:id="131" w:name="_Ref467379793"/>
      <w:r>
        <w:rPr>
          <w:rFonts w:hint="eastAsia" w:cs="Times New Roman" w:asciiTheme="minorEastAsia" w:hAnsiTheme="minorEastAsia" w:eastAsiaTheme="minorEastAsia"/>
          <w:color w:val="auto"/>
          <w:sz w:val="24"/>
          <w:szCs w:val="24"/>
          <w:highlight w:val="none"/>
        </w:rPr>
        <w:t>2.4</w:t>
      </w:r>
      <w:r>
        <w:rPr>
          <w:rFonts w:cs="Times New Roman" w:asciiTheme="minorEastAsia" w:hAnsiTheme="minorEastAsia" w:eastAsiaTheme="minorEastAsia"/>
          <w:color w:val="auto"/>
          <w:sz w:val="24"/>
          <w:szCs w:val="24"/>
          <w:highlight w:val="none"/>
        </w:rPr>
        <w:t>.1甲方</w:t>
      </w:r>
      <w:r>
        <w:rPr>
          <w:rFonts w:hint="eastAsia" w:cs="Times New Roman" w:asciiTheme="minorEastAsia" w:hAnsiTheme="minorEastAsia" w:eastAsiaTheme="minorEastAsia"/>
          <w:color w:val="auto"/>
          <w:sz w:val="24"/>
          <w:szCs w:val="24"/>
          <w:highlight w:val="none"/>
        </w:rPr>
        <w:t>有权</w:t>
      </w:r>
      <w:r>
        <w:rPr>
          <w:rFonts w:cs="Times New Roman" w:asciiTheme="minorEastAsia" w:hAnsiTheme="minorEastAsia" w:eastAsiaTheme="minorEastAsia"/>
          <w:color w:val="auto"/>
          <w:sz w:val="24"/>
          <w:szCs w:val="24"/>
          <w:highlight w:val="none"/>
        </w:rPr>
        <w:t>在其认为必要时</w:t>
      </w:r>
      <w:r>
        <w:rPr>
          <w:rFonts w:hint="eastAsia" w:cs="Times New Roman" w:asciiTheme="minorEastAsia" w:hAnsiTheme="minorEastAsia" w:eastAsiaTheme="minorEastAsia"/>
          <w:color w:val="auto"/>
          <w:sz w:val="24"/>
          <w:szCs w:val="24"/>
          <w:highlight w:val="none"/>
        </w:rPr>
        <w:t>，对乙方是否能够按照合同约定提供服务进行履约检查，以确保乙方所提供的服务能够依约满足甲方项目需求，但不得因履约检查妨碍乙方的正常工作，乙方应予积极配合；</w:t>
      </w:r>
    </w:p>
    <w:p w14:paraId="568ABE57">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4</w:t>
      </w:r>
      <w:r>
        <w:rPr>
          <w:rFonts w:hint="eastAsia" w:cs="Times New Roman" w:asciiTheme="minorEastAsia" w:hAnsiTheme="minorEastAsia" w:eastAsiaTheme="minorEastAsia"/>
          <w:color w:val="auto"/>
          <w:sz w:val="24"/>
          <w:szCs w:val="24"/>
          <w:highlight w:val="none"/>
        </w:rPr>
        <w:t>.2合同履行期间，甲方有权将履行过程中出现的问题反馈给乙方，双方当事人应以书面形式约定需要完善和改进的内容</w:t>
      </w:r>
      <w:bookmarkEnd w:id="126"/>
      <w:bookmarkStart w:id="132" w:name="_Toc186431855"/>
      <w:r>
        <w:rPr>
          <w:rFonts w:hint="eastAsia" w:cs="Times New Roman" w:asciiTheme="minorEastAsia" w:hAnsiTheme="minorEastAsia" w:eastAsiaTheme="minorEastAsia"/>
          <w:color w:val="auto"/>
          <w:sz w:val="24"/>
          <w:szCs w:val="24"/>
          <w:highlight w:val="none"/>
        </w:rPr>
        <w:t>。</w:t>
      </w:r>
    </w:p>
    <w:bookmarkEnd w:id="132"/>
    <w:p w14:paraId="14D8A74C">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33" w:name="_Toc19219"/>
      <w:bookmarkStart w:id="134" w:name="_Toc28451"/>
      <w:bookmarkStart w:id="135" w:name="_Toc7836"/>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5结算方式和付款条件</w:t>
      </w:r>
      <w:bookmarkEnd w:id="127"/>
      <w:bookmarkEnd w:id="128"/>
      <w:bookmarkEnd w:id="129"/>
      <w:bookmarkEnd w:id="130"/>
      <w:bookmarkEnd w:id="131"/>
      <w:bookmarkEnd w:id="133"/>
      <w:bookmarkEnd w:id="134"/>
      <w:bookmarkEnd w:id="135"/>
    </w:p>
    <w:p w14:paraId="217FB940">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详见</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w:t>
      </w:r>
    </w:p>
    <w:p w14:paraId="0BC26795">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36" w:name="_Ref467379923"/>
      <w:bookmarkStart w:id="137" w:name="_Ref467379863"/>
      <w:bookmarkStart w:id="138" w:name="_Ref467379852"/>
      <w:bookmarkStart w:id="139" w:name="_Toc279701248"/>
      <w:bookmarkStart w:id="140" w:name="_Toc487900358"/>
      <w:bookmarkStart w:id="141" w:name="_Toc259093677"/>
      <w:bookmarkStart w:id="142" w:name="_Toc3225"/>
      <w:bookmarkStart w:id="143" w:name="_Toc16110"/>
      <w:bookmarkStart w:id="144" w:name="_Toc774"/>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6技术资料</w:t>
      </w:r>
      <w:bookmarkEnd w:id="136"/>
      <w:bookmarkEnd w:id="137"/>
      <w:bookmarkEnd w:id="138"/>
      <w:bookmarkEnd w:id="139"/>
      <w:bookmarkEnd w:id="140"/>
      <w:bookmarkEnd w:id="141"/>
      <w:r>
        <w:rPr>
          <w:rFonts w:cs="Times New Roman" w:asciiTheme="minorEastAsia" w:hAnsiTheme="minorEastAsia" w:eastAsiaTheme="minorEastAsia"/>
          <w:b/>
          <w:bCs/>
          <w:color w:val="auto"/>
          <w:sz w:val="24"/>
          <w:szCs w:val="24"/>
          <w:highlight w:val="none"/>
          <w:lang w:val="zh-CN"/>
        </w:rPr>
        <w:t>和保密义务</w:t>
      </w:r>
      <w:bookmarkEnd w:id="142"/>
      <w:bookmarkEnd w:id="143"/>
      <w:bookmarkEnd w:id="144"/>
    </w:p>
    <w:p w14:paraId="7F1A96F1">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6.1</w:t>
      </w:r>
      <w:r>
        <w:rPr>
          <w:rFonts w:hint="eastAsia" w:cs="Times New Roman" w:asciiTheme="minorEastAsia" w:hAnsiTheme="minorEastAsia" w:eastAsiaTheme="minorEastAsia"/>
          <w:color w:val="auto"/>
          <w:sz w:val="24"/>
          <w:szCs w:val="24"/>
          <w:highlight w:val="none"/>
        </w:rPr>
        <w:t>乙方有权依据合同约定和项目需要，向甲方了解有关情况，调阅有关资料等，甲方应予积极配合；</w:t>
      </w:r>
    </w:p>
    <w:p w14:paraId="14F5EF15">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6</w:t>
      </w:r>
      <w:r>
        <w:rPr>
          <w:rFonts w:hint="eastAsia" w:cs="Times New Roman" w:asciiTheme="minorEastAsia" w:hAnsiTheme="minorEastAsia" w:eastAsiaTheme="minorEastAsia"/>
          <w:color w:val="auto"/>
          <w:sz w:val="24"/>
          <w:szCs w:val="24"/>
          <w:highlight w:val="none"/>
        </w:rPr>
        <w:t>.2乙方有义务妥善保管和保护由甲方提供的前款信息和资料等；</w:t>
      </w:r>
    </w:p>
    <w:p w14:paraId="7FC807DA">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6.</w:t>
      </w:r>
      <w:r>
        <w:rPr>
          <w:rFonts w:hint="eastAsia" w:cs="Times New Roman" w:asciiTheme="minorEastAsia" w:hAnsiTheme="minorEastAsia" w:eastAsiaTheme="minorEastAsia"/>
          <w:color w:val="auto"/>
          <w:sz w:val="24"/>
          <w:szCs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cs="Times New Roman" w:asciiTheme="minorEastAsia" w:hAnsiTheme="minorEastAsia" w:eastAsiaTheme="minorEastAsia"/>
          <w:color w:val="auto"/>
          <w:sz w:val="24"/>
          <w:szCs w:val="24"/>
          <w:highlight w:val="none"/>
        </w:rPr>
        <w:t>技术情报</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技术资料</w:t>
      </w:r>
      <w:r>
        <w:rPr>
          <w:rFonts w:hint="eastAsia" w:cs="Times New Roman" w:asciiTheme="minorEastAsia" w:hAnsiTheme="minorEastAsia" w:eastAsiaTheme="minorEastAsia"/>
          <w:color w:val="auto"/>
          <w:sz w:val="24"/>
          <w:szCs w:val="24"/>
          <w:highlight w:val="none"/>
        </w:rPr>
        <w:t>、商业秘密和商业信息等，并采取一切合理和必要措施和方式防止任何第三方接触到对方当事人的上述保密信息和资料。</w:t>
      </w:r>
    </w:p>
    <w:p w14:paraId="2FD3AF78">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45" w:name="_Toc7860"/>
      <w:r>
        <w:rPr>
          <w:rFonts w:cs="Times New Roman" w:asciiTheme="minorEastAsia" w:hAnsiTheme="minorEastAsia" w:eastAsiaTheme="minorEastAsia"/>
          <w:b/>
          <w:bCs/>
          <w:color w:val="auto"/>
          <w:sz w:val="24"/>
          <w:szCs w:val="24"/>
          <w:highlight w:val="none"/>
          <w:lang w:val="zh-CN"/>
        </w:rPr>
        <w:t>2.7 质量保证</w:t>
      </w:r>
      <w:bookmarkEnd w:id="145"/>
    </w:p>
    <w:p w14:paraId="51A65926">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7</w:t>
      </w:r>
      <w:r>
        <w:rPr>
          <w:rFonts w:hint="eastAsia" w:cs="Times New Roman" w:asciiTheme="minorEastAsia" w:hAnsiTheme="minorEastAsia" w:eastAsiaTheme="minorEastAsia"/>
          <w:color w:val="auto"/>
          <w:sz w:val="24"/>
          <w:szCs w:val="24"/>
          <w:highlight w:val="none"/>
        </w:rPr>
        <w:t>.1乙方应建立和完善履行合同的内部质量保证体系，并提供相关内部规章制度给甲方，以便甲方进行监督检查；</w:t>
      </w:r>
    </w:p>
    <w:p w14:paraId="2230ECB5">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7</w:t>
      </w:r>
      <w:r>
        <w:rPr>
          <w:rFonts w:hint="eastAsia" w:cs="Times New Roman" w:asciiTheme="minorEastAsia" w:hAnsiTheme="minorEastAsia" w:eastAsiaTheme="minorEastAsia"/>
          <w:color w:val="auto"/>
          <w:sz w:val="24"/>
          <w:szCs w:val="24"/>
          <w:highlight w:val="none"/>
        </w:rPr>
        <w:t>.2乙方应保证履行合同的人员数量和素质、软件和硬件设备的配置、场地、环境和设施等满足全面履行合同的要求，并应接受甲方的监督检查。</w:t>
      </w:r>
    </w:p>
    <w:p w14:paraId="3F1B485B">
      <w:pPr>
        <w:spacing w:line="360" w:lineRule="auto"/>
        <w:ind w:firstLine="437"/>
        <w:outlineLvl w:val="2"/>
        <w:rPr>
          <w:rFonts w:cs="Times New Roman" w:asciiTheme="minorEastAsia" w:hAnsiTheme="minorEastAsia" w:eastAsiaTheme="minorEastAsia"/>
          <w:b/>
          <w:color w:val="auto"/>
          <w:sz w:val="24"/>
          <w:szCs w:val="24"/>
          <w:highlight w:val="none"/>
        </w:rPr>
      </w:pPr>
      <w:bookmarkStart w:id="146" w:name="_Toc22267"/>
      <w:r>
        <w:rPr>
          <w:rFonts w:hint="eastAsia" w:cs="Times New Roman" w:asciiTheme="minorEastAsia" w:hAnsiTheme="minorEastAsia" w:eastAsiaTheme="minorEastAsia"/>
          <w:b/>
          <w:color w:val="auto"/>
          <w:sz w:val="24"/>
          <w:szCs w:val="24"/>
          <w:highlight w:val="none"/>
        </w:rPr>
        <w:t>2.8 延迟履行</w:t>
      </w:r>
      <w:bookmarkEnd w:id="146"/>
    </w:p>
    <w:p w14:paraId="68E19745">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在合同履行过程中，如果乙方遇到不能按时</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的情况，应及时以书面形式将不能按时</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的理由、预期延误时间通知甲方</w:t>
      </w:r>
      <w:r>
        <w:rPr>
          <w:rFonts w:hint="eastAsia" w:cs="Times New Roman" w:asciiTheme="minorEastAsia" w:hAnsiTheme="minorEastAsia" w:eastAsiaTheme="minorEastAsia"/>
          <w:color w:val="auto"/>
          <w:sz w:val="24"/>
          <w:szCs w:val="24"/>
          <w:highlight w:val="none"/>
        </w:rPr>
        <w:t>；甲</w:t>
      </w:r>
      <w:r>
        <w:rPr>
          <w:rFonts w:cs="Times New Roman" w:asciiTheme="minorEastAsia" w:hAnsiTheme="minorEastAsia" w:eastAsiaTheme="minorEastAsia"/>
          <w:color w:val="auto"/>
          <w:sz w:val="24"/>
          <w:szCs w:val="24"/>
          <w:highlight w:val="none"/>
        </w:rPr>
        <w:t>方收到乙方通知后，认为其理由正当的，可以书面形式酌情同意乙方可以延长</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的具体时间。</w:t>
      </w:r>
    </w:p>
    <w:p w14:paraId="5E16EED8">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47" w:name="_Toc7502"/>
      <w:bookmarkStart w:id="148" w:name="_Toc487900364"/>
      <w:bookmarkStart w:id="149" w:name="_Ref467378121"/>
      <w:bookmarkStart w:id="150" w:name="_Toc259093683"/>
      <w:bookmarkStart w:id="151" w:name="_Toc279701254"/>
      <w:r>
        <w:rPr>
          <w:rFonts w:cs="Times New Roman" w:asciiTheme="minorEastAsia" w:hAnsiTheme="minorEastAsia" w:eastAsiaTheme="minorEastAsia"/>
          <w:b/>
          <w:bCs/>
          <w:color w:val="auto"/>
          <w:sz w:val="24"/>
          <w:szCs w:val="24"/>
          <w:highlight w:val="none"/>
          <w:lang w:val="zh-CN"/>
        </w:rPr>
        <w:t>2.9 合同变更</w:t>
      </w:r>
      <w:bookmarkEnd w:id="147"/>
    </w:p>
    <w:p w14:paraId="6678AB97">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9</w:t>
      </w:r>
      <w:r>
        <w:rPr>
          <w:rFonts w:hint="eastAsia" w:cs="Times New Roman" w:asciiTheme="minorEastAsia" w:hAnsiTheme="minorEastAsia" w:eastAsiaTheme="minorEastAsia"/>
          <w:color w:val="auto"/>
          <w:sz w:val="24"/>
          <w:szCs w:val="24"/>
          <w:highlight w:val="none"/>
        </w:rPr>
        <w:t>.1双方当事人协商一致，可以签订书面补充合同的形式变更合同，但不得违背采购文件确定的事项；</w:t>
      </w:r>
    </w:p>
    <w:p w14:paraId="1AB180AF">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9</w:t>
      </w:r>
      <w:r>
        <w:rPr>
          <w:rFonts w:hint="eastAsia" w:cs="Times New Roman" w:asciiTheme="minorEastAsia" w:hAnsiTheme="minorEastAsia" w:eastAsiaTheme="minorEastAsia"/>
          <w:color w:val="auto"/>
          <w:sz w:val="24"/>
          <w:szCs w:val="24"/>
          <w:highlight w:val="none"/>
        </w:rPr>
        <w:t>.2合同继续履行将损害国家利益和社会公共利益的，双方当事人应当以书面形式变更合同。有过错的一方应当承担赔偿责任，双方当事人都有过错的，各自承担相应的责任</w:t>
      </w:r>
      <w:bookmarkStart w:id="152" w:name="_Toc259093688"/>
      <w:bookmarkStart w:id="153" w:name="_Toc279701259"/>
      <w:bookmarkStart w:id="154" w:name="_Toc487900369"/>
      <w:r>
        <w:rPr>
          <w:rFonts w:hint="eastAsia" w:cs="Times New Roman" w:asciiTheme="minorEastAsia" w:hAnsiTheme="minorEastAsia" w:eastAsiaTheme="minorEastAsia"/>
          <w:color w:val="auto"/>
          <w:sz w:val="24"/>
          <w:szCs w:val="24"/>
          <w:highlight w:val="none"/>
        </w:rPr>
        <w:t>；</w:t>
      </w:r>
    </w:p>
    <w:p w14:paraId="7B6D1284">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9</w:t>
      </w:r>
      <w:r>
        <w:rPr>
          <w:rFonts w:hint="eastAsia" w:cs="Times New Roman" w:asciiTheme="minorEastAsia" w:hAnsiTheme="minorEastAsia" w:eastAsiaTheme="minorEastAsia"/>
          <w:color w:val="auto"/>
          <w:sz w:val="24"/>
          <w:szCs w:val="24"/>
          <w:highlight w:val="none"/>
        </w:rPr>
        <w:t>.3招标文件对物业管理、技术人员有证书等具体要求的，乙方在合同履行过程中不得擅自更换。因特殊情况，确需更换的，更换后的物业管理、技术人员不得低于中标人的投标文件中委派物业管理、技术人员资格条件，且须经</w:t>
      </w:r>
      <w:r>
        <w:rPr>
          <w:rFonts w:cs="Times New Roman" w:asciiTheme="minorEastAsia" w:hAnsiTheme="minorEastAsia" w:eastAsiaTheme="minorEastAsia"/>
          <w:color w:val="auto"/>
          <w:sz w:val="24"/>
          <w:szCs w:val="24"/>
          <w:highlight w:val="none"/>
        </w:rPr>
        <w:t>甲方</w:t>
      </w:r>
      <w:r>
        <w:rPr>
          <w:rFonts w:hint="eastAsia" w:cs="Times New Roman" w:asciiTheme="minorEastAsia" w:hAnsiTheme="minorEastAsia" w:eastAsiaTheme="minorEastAsia"/>
          <w:color w:val="auto"/>
          <w:sz w:val="24"/>
          <w:szCs w:val="24"/>
          <w:highlight w:val="none"/>
        </w:rPr>
        <w:t>同意。</w:t>
      </w:r>
    </w:p>
    <w:p w14:paraId="721456D6">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55" w:name="_Toc15237"/>
      <w:bookmarkStart w:id="156" w:name="_Toc10366"/>
      <w:bookmarkStart w:id="157" w:name="_Toc22955"/>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0合同转让</w:t>
      </w:r>
      <w:bookmarkEnd w:id="152"/>
      <w:bookmarkEnd w:id="153"/>
      <w:bookmarkEnd w:id="154"/>
      <w:r>
        <w:rPr>
          <w:rFonts w:cs="Times New Roman" w:asciiTheme="minorEastAsia" w:hAnsiTheme="minorEastAsia" w:eastAsiaTheme="minorEastAsia"/>
          <w:b/>
          <w:bCs/>
          <w:color w:val="auto"/>
          <w:sz w:val="24"/>
          <w:szCs w:val="24"/>
          <w:highlight w:val="none"/>
          <w:lang w:val="zh-CN"/>
        </w:rPr>
        <w:t>和分包</w:t>
      </w:r>
      <w:bookmarkEnd w:id="155"/>
      <w:bookmarkEnd w:id="156"/>
      <w:bookmarkEnd w:id="157"/>
    </w:p>
    <w:p w14:paraId="19DF6AA6">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合同的权利义务依法不</w:t>
      </w:r>
      <w:r>
        <w:rPr>
          <w:rFonts w:hint="eastAsia" w:cs="Times New Roman" w:asciiTheme="minorEastAsia" w:hAnsiTheme="minorEastAsia" w:eastAsiaTheme="minorEastAsia"/>
          <w:color w:val="auto"/>
          <w:sz w:val="24"/>
          <w:szCs w:val="24"/>
          <w:highlight w:val="none"/>
        </w:rPr>
        <w:t>得</w:t>
      </w:r>
      <w:r>
        <w:rPr>
          <w:rFonts w:cs="Times New Roman" w:asciiTheme="minorEastAsia" w:hAnsiTheme="minorEastAsia" w:eastAsiaTheme="minorEastAsia"/>
          <w:color w:val="auto"/>
          <w:sz w:val="24"/>
          <w:szCs w:val="24"/>
          <w:highlight w:val="none"/>
        </w:rPr>
        <w:t>转让</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但经甲方</w:t>
      </w:r>
      <w:r>
        <w:rPr>
          <w:rFonts w:hint="eastAsia" w:cs="Times New Roman" w:asciiTheme="minorEastAsia" w:hAnsiTheme="minorEastAsia" w:eastAsiaTheme="minorEastAsia"/>
          <w:color w:val="auto"/>
          <w:sz w:val="24"/>
          <w:szCs w:val="24"/>
          <w:highlight w:val="none"/>
        </w:rPr>
        <w:t>同意，乙方可以依法采取分包方式履行合同，即：依法可以</w:t>
      </w:r>
      <w:r>
        <w:rPr>
          <w:rFonts w:cs="Times New Roman" w:asciiTheme="minorEastAsia" w:hAnsiTheme="minorEastAsia" w:eastAsiaTheme="minorEastAsia"/>
          <w:color w:val="auto"/>
          <w:sz w:val="24"/>
          <w:szCs w:val="24"/>
          <w:highlight w:val="none"/>
        </w:rPr>
        <w:t>将合同项下的部分非主体、非关键性工作分包给他人完成</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接受分包的人应当具备相应的资格条件，并不得再次分包</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且乙方应就分包项目向甲方负责</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并</w:t>
      </w:r>
      <w:r>
        <w:rPr>
          <w:rFonts w:hint="eastAsia" w:cs="Times New Roman" w:asciiTheme="minorEastAsia" w:hAnsiTheme="minorEastAsia" w:eastAsiaTheme="minorEastAsia"/>
          <w:color w:val="auto"/>
          <w:sz w:val="24"/>
          <w:szCs w:val="24"/>
          <w:highlight w:val="none"/>
        </w:rPr>
        <w:t>与分包供应商就分包项目向甲方承担连带责任。</w:t>
      </w:r>
    </w:p>
    <w:p w14:paraId="0C2D62C8">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58" w:name="_Toc13566"/>
      <w:bookmarkStart w:id="159" w:name="_Toc14066"/>
      <w:bookmarkStart w:id="160" w:name="_Toc16508"/>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1 不可抗力</w:t>
      </w:r>
      <w:bookmarkEnd w:id="158"/>
      <w:bookmarkEnd w:id="159"/>
      <w:bookmarkEnd w:id="160"/>
    </w:p>
    <w:p w14:paraId="6E10A1E9">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1.1如果任何一方遭遇法律规定的不可抗力，致使合同履行受阻时，履行合同的期限应予延长，延长的期限应相当于不可抗力所影响的时间</w:t>
      </w:r>
      <w:r>
        <w:rPr>
          <w:rFonts w:hint="eastAsia" w:cs="Times New Roman" w:asciiTheme="minorEastAsia" w:hAnsiTheme="minorEastAsia" w:eastAsiaTheme="minorEastAsia"/>
          <w:color w:val="auto"/>
          <w:sz w:val="24"/>
          <w:szCs w:val="24"/>
          <w:highlight w:val="none"/>
        </w:rPr>
        <w:t>；</w:t>
      </w:r>
    </w:p>
    <w:p w14:paraId="08ADC4AD">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.2因不可抗力致使不能实现合同目的的，当事人可以解除合同；</w:t>
      </w:r>
    </w:p>
    <w:p w14:paraId="24FBB2E5">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.3因</w:t>
      </w:r>
      <w:r>
        <w:rPr>
          <w:rFonts w:cs="Times New Roman" w:asciiTheme="minorEastAsia" w:hAnsiTheme="minorEastAsia" w:eastAsiaTheme="minorEastAsia"/>
          <w:color w:val="auto"/>
          <w:sz w:val="24"/>
          <w:szCs w:val="24"/>
          <w:highlight w:val="none"/>
        </w:rPr>
        <w:t>不可抗力致使合同有变更必要的，双方当事人应在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约定时间内以书面形式变更合同</w:t>
      </w:r>
      <w:r>
        <w:rPr>
          <w:rFonts w:hint="eastAsia" w:cs="Times New Roman" w:asciiTheme="minorEastAsia" w:hAnsiTheme="minorEastAsia" w:eastAsiaTheme="minorEastAsia"/>
          <w:color w:val="auto"/>
          <w:sz w:val="24"/>
          <w:szCs w:val="24"/>
          <w:highlight w:val="none"/>
        </w:rPr>
        <w:t>；</w:t>
      </w:r>
    </w:p>
    <w:p w14:paraId="73690178">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4</w:t>
      </w:r>
      <w:r>
        <w:rPr>
          <w:rFonts w:cs="Times New Roman" w:asciiTheme="minorEastAsia" w:hAnsiTheme="minorEastAsia" w:eastAsiaTheme="minorEastAsia"/>
          <w:color w:val="auto"/>
          <w:sz w:val="24"/>
          <w:szCs w:val="24"/>
          <w:highlight w:val="none"/>
        </w:rPr>
        <w:t>受</w:t>
      </w:r>
      <w:r>
        <w:rPr>
          <w:rFonts w:hint="eastAsia" w:cs="Times New Roman" w:asciiTheme="minorEastAsia" w:hAnsiTheme="minorEastAsia" w:eastAsiaTheme="minorEastAsia"/>
          <w:color w:val="auto"/>
          <w:sz w:val="24"/>
          <w:szCs w:val="24"/>
          <w:highlight w:val="none"/>
        </w:rPr>
        <w:t>不可抗力</w:t>
      </w:r>
      <w:r>
        <w:rPr>
          <w:rFonts w:cs="Times New Roman" w:asciiTheme="minorEastAsia" w:hAnsiTheme="minorEastAsia" w:eastAsiaTheme="minorEastAsia"/>
          <w:color w:val="auto"/>
          <w:sz w:val="24"/>
          <w:szCs w:val="24"/>
          <w:highlight w:val="none"/>
        </w:rPr>
        <w:t>影响的一方在不可抗力发生后</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应在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约定时间内以书面形式通知</w:t>
      </w:r>
      <w:r>
        <w:rPr>
          <w:rFonts w:hint="eastAsia" w:cs="Times New Roman" w:asciiTheme="minorEastAsia" w:hAnsiTheme="minorEastAsia" w:eastAsiaTheme="minorEastAsia"/>
          <w:color w:val="auto"/>
          <w:sz w:val="24"/>
          <w:szCs w:val="24"/>
          <w:highlight w:val="none"/>
        </w:rPr>
        <w:t>对</w:t>
      </w:r>
      <w:r>
        <w:rPr>
          <w:rFonts w:cs="Times New Roman" w:asciiTheme="minorEastAsia" w:hAnsiTheme="minorEastAsia" w:eastAsiaTheme="minorEastAsia"/>
          <w:color w:val="auto"/>
          <w:sz w:val="24"/>
          <w:szCs w:val="24"/>
          <w:highlight w:val="none"/>
        </w:rPr>
        <w:t>方当事人，并在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约定时间内，将有关部门出具的证明文件送达</w:t>
      </w:r>
      <w:r>
        <w:rPr>
          <w:rFonts w:hint="eastAsia" w:cs="Times New Roman" w:asciiTheme="minorEastAsia" w:hAnsiTheme="minorEastAsia" w:eastAsiaTheme="minorEastAsia"/>
          <w:color w:val="auto"/>
          <w:sz w:val="24"/>
          <w:szCs w:val="24"/>
          <w:highlight w:val="none"/>
        </w:rPr>
        <w:t>对方当事人</w:t>
      </w:r>
      <w:r>
        <w:rPr>
          <w:rFonts w:cs="Times New Roman" w:asciiTheme="minorEastAsia" w:hAnsiTheme="minorEastAsia" w:eastAsiaTheme="minorEastAsia"/>
          <w:color w:val="auto"/>
          <w:sz w:val="24"/>
          <w:szCs w:val="24"/>
          <w:highlight w:val="none"/>
        </w:rPr>
        <w:t>。</w:t>
      </w:r>
    </w:p>
    <w:p w14:paraId="77898632">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61" w:name="_Toc487900365"/>
      <w:bookmarkStart w:id="162" w:name="_Toc689"/>
      <w:bookmarkStart w:id="163" w:name="_Toc259093684"/>
      <w:bookmarkStart w:id="164" w:name="_Toc6969"/>
      <w:bookmarkStart w:id="165" w:name="_Toc30676"/>
      <w:bookmarkStart w:id="166" w:name="_Toc279701255"/>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12税费</w:t>
      </w:r>
      <w:bookmarkEnd w:id="161"/>
      <w:bookmarkEnd w:id="162"/>
      <w:bookmarkEnd w:id="163"/>
      <w:bookmarkEnd w:id="164"/>
      <w:bookmarkEnd w:id="165"/>
      <w:bookmarkEnd w:id="166"/>
    </w:p>
    <w:p w14:paraId="601834F2">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与合同有关的一切税费</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均按照中华人民共和国法律的相关规定</w:t>
      </w:r>
      <w:r>
        <w:rPr>
          <w:rFonts w:hint="eastAsia" w:cs="Times New Roman" w:asciiTheme="minorEastAsia" w:hAnsiTheme="minorEastAsia" w:eastAsiaTheme="minorEastAsia"/>
          <w:color w:val="auto"/>
          <w:sz w:val="24"/>
          <w:szCs w:val="24"/>
          <w:highlight w:val="none"/>
        </w:rPr>
        <w:t>缴纳</w:t>
      </w:r>
      <w:r>
        <w:rPr>
          <w:rFonts w:cs="Times New Roman" w:asciiTheme="minorEastAsia" w:hAnsiTheme="minorEastAsia" w:eastAsiaTheme="minorEastAsia"/>
          <w:color w:val="auto"/>
          <w:sz w:val="24"/>
          <w:szCs w:val="24"/>
          <w:highlight w:val="none"/>
        </w:rPr>
        <w:t>。</w:t>
      </w:r>
    </w:p>
    <w:p w14:paraId="2F7400E1">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67" w:name="_Toc279701258"/>
      <w:bookmarkStart w:id="168" w:name="_Toc7102"/>
      <w:bookmarkStart w:id="169" w:name="_Toc487900368"/>
      <w:bookmarkStart w:id="170" w:name="_Toc8298"/>
      <w:bookmarkStart w:id="171" w:name="_Toc16959"/>
      <w:bookmarkStart w:id="172" w:name="_Toc259093687"/>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13乙方破产</w:t>
      </w:r>
      <w:bookmarkEnd w:id="167"/>
      <w:bookmarkEnd w:id="168"/>
      <w:bookmarkEnd w:id="169"/>
      <w:bookmarkEnd w:id="170"/>
      <w:bookmarkEnd w:id="171"/>
      <w:bookmarkEnd w:id="172"/>
    </w:p>
    <w:p w14:paraId="1EED742F">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如果乙方破产导致合同无法履行时，甲方可以书面形式通知乙方终止合同且不给予乙方任何补偿和赔偿</w:t>
      </w:r>
      <w:r>
        <w:rPr>
          <w:rFonts w:hint="eastAsia" w:cs="Times New Roman" w:asciiTheme="minorEastAsia" w:hAnsiTheme="minorEastAsia" w:eastAsiaTheme="minorEastAsia"/>
          <w:color w:val="auto"/>
          <w:sz w:val="24"/>
          <w:szCs w:val="24"/>
          <w:highlight w:val="none"/>
        </w:rPr>
        <w:t>，但合同的</w:t>
      </w:r>
      <w:r>
        <w:rPr>
          <w:rFonts w:cs="Times New Roman" w:asciiTheme="minorEastAsia" w:hAnsiTheme="minorEastAsia" w:eastAsiaTheme="minorEastAsia"/>
          <w:color w:val="auto"/>
          <w:sz w:val="24"/>
          <w:szCs w:val="24"/>
          <w:highlight w:val="none"/>
        </w:rPr>
        <w:t>终止不损害或不影响甲方已经采取或将要采取的任何要求乙方支付违约金</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赔偿损失等的行动或补救措施的权利</w:t>
      </w:r>
      <w:r>
        <w:rPr>
          <w:rFonts w:hint="eastAsia" w:cs="Times New Roman" w:asciiTheme="minorEastAsia" w:hAnsiTheme="minorEastAsia" w:eastAsiaTheme="minorEastAsia"/>
          <w:color w:val="auto"/>
          <w:sz w:val="24"/>
          <w:szCs w:val="24"/>
          <w:highlight w:val="none"/>
        </w:rPr>
        <w:t>。</w:t>
      </w:r>
    </w:p>
    <w:p w14:paraId="6DC5A3F2">
      <w:pPr>
        <w:spacing w:line="360" w:lineRule="auto"/>
        <w:ind w:firstLine="437"/>
        <w:outlineLvl w:val="2"/>
        <w:rPr>
          <w:rFonts w:cs="Times New Roman" w:asciiTheme="minorEastAsia" w:hAnsiTheme="minorEastAsia" w:eastAsiaTheme="minorEastAsia"/>
          <w:b/>
          <w:color w:val="auto"/>
          <w:sz w:val="24"/>
          <w:szCs w:val="24"/>
          <w:highlight w:val="none"/>
        </w:rPr>
      </w:pPr>
      <w:bookmarkStart w:id="173" w:name="_Toc29333"/>
      <w:bookmarkStart w:id="174" w:name="_Toc15387"/>
      <w:bookmarkStart w:id="175" w:name="_Toc6134"/>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4</w:t>
      </w:r>
      <w:r>
        <w:rPr>
          <w:rFonts w:hint="eastAsia" w:cs="Times New Roman" w:asciiTheme="minorEastAsia" w:hAnsiTheme="minorEastAsia" w:eastAsiaTheme="minorEastAsia"/>
          <w:b/>
          <w:bCs/>
          <w:color w:val="auto"/>
          <w:sz w:val="24"/>
          <w:szCs w:val="24"/>
          <w:highlight w:val="none"/>
          <w:lang w:val="zh-CN"/>
        </w:rPr>
        <w:t xml:space="preserve"> 合同中止、终止</w:t>
      </w:r>
      <w:bookmarkEnd w:id="173"/>
      <w:bookmarkEnd w:id="174"/>
      <w:bookmarkEnd w:id="175"/>
    </w:p>
    <w:p w14:paraId="2BC3F607">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4</w:t>
      </w:r>
      <w:r>
        <w:rPr>
          <w:rFonts w:hint="eastAsia" w:cs="Times New Roman" w:asciiTheme="minorEastAsia" w:hAnsiTheme="minorEastAsia" w:eastAsiaTheme="minorEastAsia"/>
          <w:color w:val="auto"/>
          <w:sz w:val="24"/>
          <w:szCs w:val="24"/>
          <w:highlight w:val="none"/>
        </w:rPr>
        <w:t>.1双方当事人不得擅自中止或者终止合同；</w:t>
      </w:r>
    </w:p>
    <w:p w14:paraId="648430D2">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4</w:t>
      </w:r>
      <w:r>
        <w:rPr>
          <w:rFonts w:hint="eastAsia" w:cs="Times New Roman" w:asciiTheme="minorEastAsia" w:hAnsiTheme="minorEastAsia" w:eastAsiaTheme="minorEastAsia"/>
          <w:color w:val="auto"/>
          <w:sz w:val="24"/>
          <w:szCs w:val="24"/>
          <w:highlight w:val="none"/>
        </w:rPr>
        <w:t>.2合同继续履行将损害国家利益和社会公共利益的，双方当事人应当中止或者终止合同。有过错的一方应当承担赔偿责任，双方当事人都有过错的，各自承担相应的责任。</w:t>
      </w:r>
    </w:p>
    <w:p w14:paraId="1637AB34">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76" w:name="_Toc1125"/>
      <w:bookmarkStart w:id="177" w:name="_Toc14563"/>
      <w:bookmarkStart w:id="178" w:name="_Toc6596"/>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5</w:t>
      </w:r>
      <w:r>
        <w:rPr>
          <w:rFonts w:hint="eastAsia" w:cs="Times New Roman" w:asciiTheme="minorEastAsia" w:hAnsiTheme="minorEastAsia" w:eastAsiaTheme="minorEastAsia"/>
          <w:b/>
          <w:bCs/>
          <w:color w:val="auto"/>
          <w:sz w:val="24"/>
          <w:szCs w:val="24"/>
          <w:highlight w:val="none"/>
          <w:lang w:val="zh-CN"/>
        </w:rPr>
        <w:t xml:space="preserve"> 检验和验收</w:t>
      </w:r>
      <w:bookmarkEnd w:id="176"/>
      <w:bookmarkEnd w:id="177"/>
      <w:bookmarkEnd w:id="178"/>
    </w:p>
    <w:p w14:paraId="76F9F680">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5</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1乙方按照</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的约定</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定期提交服务报告</w:t>
      </w:r>
      <w:r>
        <w:rPr>
          <w:rFonts w:hint="eastAsia" w:cs="Times New Roman" w:asciiTheme="minorEastAsia" w:hAnsiTheme="minorEastAsia" w:eastAsiaTheme="minorEastAsia"/>
          <w:color w:val="auto"/>
          <w:sz w:val="24"/>
          <w:szCs w:val="24"/>
          <w:highlight w:val="none"/>
        </w:rPr>
        <w:t>，甲方按照</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的约定进行定期验收</w:t>
      </w:r>
      <w:r>
        <w:rPr>
          <w:rFonts w:hint="eastAsia" w:cs="Times New Roman" w:asciiTheme="minorEastAsia" w:hAnsiTheme="minorEastAsia" w:eastAsiaTheme="minorEastAsia"/>
          <w:color w:val="auto"/>
          <w:sz w:val="24"/>
          <w:szCs w:val="24"/>
          <w:highlight w:val="none"/>
        </w:rPr>
        <w:t>；</w:t>
      </w:r>
    </w:p>
    <w:p w14:paraId="586040A7">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439F233">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2.15.3检验和验收标准、程序等具体内容以及前述验收书的效力详见</w:t>
      </w:r>
      <w:r>
        <w:rPr>
          <w:rFonts w:cs="Times New Roman" w:asciiTheme="minorEastAsia" w:hAnsiTheme="minorEastAsia" w:eastAsiaTheme="minorEastAsia"/>
          <w:b/>
          <w:i/>
          <w:color w:val="auto"/>
          <w:sz w:val="24"/>
          <w:szCs w:val="24"/>
          <w:highlight w:val="none"/>
          <w:u w:val="single"/>
        </w:rPr>
        <w:t>合同专用条款</w:t>
      </w:r>
      <w:r>
        <w:rPr>
          <w:rFonts w:hint="eastAsia" w:cs="Times New Roman" w:asciiTheme="minorEastAsia" w:hAnsiTheme="minorEastAsia" w:eastAsiaTheme="minorEastAsia"/>
          <w:i/>
          <w:color w:val="auto"/>
          <w:sz w:val="24"/>
          <w:szCs w:val="24"/>
          <w:highlight w:val="none"/>
        </w:rPr>
        <w:t>。</w:t>
      </w:r>
    </w:p>
    <w:bookmarkEnd w:id="148"/>
    <w:bookmarkEnd w:id="149"/>
    <w:bookmarkEnd w:id="150"/>
    <w:bookmarkEnd w:id="151"/>
    <w:p w14:paraId="78FA74E6">
      <w:pPr>
        <w:spacing w:line="360" w:lineRule="auto"/>
        <w:ind w:firstLine="437"/>
        <w:outlineLvl w:val="2"/>
        <w:rPr>
          <w:rFonts w:cs="Times New Roman" w:asciiTheme="minorEastAsia" w:hAnsiTheme="minorEastAsia" w:eastAsiaTheme="minorEastAsia"/>
          <w:b/>
          <w:bCs/>
          <w:color w:val="auto"/>
          <w:sz w:val="24"/>
          <w:szCs w:val="24"/>
          <w:highlight w:val="none"/>
        </w:rPr>
      </w:pPr>
      <w:bookmarkStart w:id="179" w:name="_Toc18567"/>
      <w:bookmarkStart w:id="180" w:name="_Toc12773"/>
      <w:bookmarkStart w:id="181" w:name="_Toc487900373"/>
      <w:bookmarkStart w:id="182" w:name="_Toc259093692"/>
      <w:bookmarkStart w:id="183" w:name="_Toc279701263"/>
      <w:bookmarkStart w:id="184" w:name="_Toc10330"/>
      <w:r>
        <w:rPr>
          <w:rFonts w:hint="eastAsia" w:cs="Times New Roman" w:asciiTheme="minorEastAsia" w:hAnsiTheme="minorEastAsia" w:eastAsiaTheme="minorEastAsia"/>
          <w:b/>
          <w:bCs/>
          <w:color w:val="auto"/>
          <w:sz w:val="24"/>
          <w:szCs w:val="24"/>
          <w:highlight w:val="none"/>
        </w:rPr>
        <w:t>2.</w:t>
      </w:r>
      <w:r>
        <w:rPr>
          <w:rFonts w:cs="Times New Roman" w:asciiTheme="minorEastAsia" w:hAnsiTheme="minorEastAsia" w:eastAsiaTheme="minorEastAsia"/>
          <w:b/>
          <w:bCs/>
          <w:color w:val="auto"/>
          <w:sz w:val="24"/>
          <w:szCs w:val="24"/>
          <w:highlight w:val="none"/>
        </w:rPr>
        <w:t>16</w:t>
      </w:r>
      <w:r>
        <w:rPr>
          <w:rFonts w:hint="eastAsia" w:cs="Times New Roman" w:asciiTheme="minorEastAsia" w:hAnsiTheme="minorEastAsia" w:eastAsiaTheme="minorEastAsia"/>
          <w:b/>
          <w:bCs/>
          <w:color w:val="auto"/>
          <w:sz w:val="24"/>
          <w:szCs w:val="24"/>
          <w:highlight w:val="none"/>
          <w:lang w:val="zh-CN"/>
        </w:rPr>
        <w:t>合同使用的文字和</w:t>
      </w:r>
      <w:r>
        <w:rPr>
          <w:rFonts w:cs="Times New Roman" w:asciiTheme="minorEastAsia" w:hAnsiTheme="minorEastAsia" w:eastAsiaTheme="minorEastAsia"/>
          <w:b/>
          <w:bCs/>
          <w:color w:val="auto"/>
          <w:sz w:val="24"/>
          <w:szCs w:val="24"/>
          <w:highlight w:val="none"/>
          <w:lang w:val="zh-CN"/>
        </w:rPr>
        <w:t>适用的法律</w:t>
      </w:r>
      <w:bookmarkEnd w:id="179"/>
      <w:bookmarkEnd w:id="180"/>
      <w:bookmarkEnd w:id="181"/>
      <w:bookmarkEnd w:id="182"/>
      <w:bookmarkEnd w:id="183"/>
      <w:bookmarkEnd w:id="184"/>
    </w:p>
    <w:p w14:paraId="22F84843">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16.1合同使用汉语书就</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变更和解释</w:t>
      </w:r>
      <w:r>
        <w:rPr>
          <w:rFonts w:hint="eastAsia" w:cs="Times New Roman" w:asciiTheme="minorEastAsia" w:hAnsiTheme="minorEastAsia" w:eastAsiaTheme="minorEastAsia"/>
          <w:color w:val="auto"/>
          <w:sz w:val="24"/>
          <w:szCs w:val="24"/>
          <w:highlight w:val="none"/>
        </w:rPr>
        <w:t>；</w:t>
      </w:r>
    </w:p>
    <w:p w14:paraId="570E04A8">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16</w:t>
      </w:r>
      <w:r>
        <w:rPr>
          <w:rFonts w:hint="eastAsia" w:cs="Times New Roman" w:asciiTheme="minorEastAsia" w:hAnsiTheme="minorEastAsia" w:eastAsiaTheme="minorEastAsia"/>
          <w:color w:val="auto"/>
          <w:sz w:val="24"/>
          <w:szCs w:val="24"/>
          <w:highlight w:val="none"/>
        </w:rPr>
        <w:t>.2合同适用</w:t>
      </w:r>
      <w:r>
        <w:rPr>
          <w:rFonts w:cs="Times New Roman" w:asciiTheme="minorEastAsia" w:hAnsiTheme="minorEastAsia" w:eastAsiaTheme="minorEastAsia"/>
          <w:color w:val="auto"/>
          <w:sz w:val="24"/>
          <w:szCs w:val="24"/>
          <w:highlight w:val="none"/>
        </w:rPr>
        <w:t>中华人民共和国法律。</w:t>
      </w:r>
    </w:p>
    <w:p w14:paraId="6F1D1744">
      <w:pPr>
        <w:spacing w:line="360" w:lineRule="auto"/>
        <w:ind w:firstLine="437"/>
        <w:outlineLvl w:val="2"/>
        <w:rPr>
          <w:rFonts w:cs="Times New Roman" w:asciiTheme="minorEastAsia" w:hAnsiTheme="minorEastAsia" w:eastAsiaTheme="minorEastAsia"/>
          <w:b/>
          <w:color w:val="auto"/>
          <w:sz w:val="24"/>
          <w:szCs w:val="24"/>
          <w:highlight w:val="none"/>
        </w:rPr>
      </w:pPr>
      <w:bookmarkStart w:id="185" w:name="_Toc279701264"/>
      <w:bookmarkStart w:id="186" w:name="_Toc16673"/>
      <w:bookmarkStart w:id="187" w:name="_Toc259093693"/>
      <w:bookmarkStart w:id="188" w:name="_Toc12004"/>
      <w:bookmarkStart w:id="189" w:name="_Toc3148"/>
      <w:bookmarkStart w:id="190" w:name="_Toc487900374"/>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17履约保证金</w:t>
      </w:r>
      <w:bookmarkEnd w:id="185"/>
      <w:bookmarkEnd w:id="186"/>
      <w:bookmarkEnd w:id="187"/>
      <w:bookmarkEnd w:id="188"/>
      <w:bookmarkEnd w:id="189"/>
    </w:p>
    <w:p w14:paraId="325B610C">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17</w:t>
      </w:r>
      <w:r>
        <w:rPr>
          <w:rFonts w:hint="eastAsia" w:cs="Times New Roman" w:asciiTheme="minorEastAsia" w:hAnsiTheme="minorEastAsia" w:eastAsiaTheme="minorEastAsia"/>
          <w:color w:val="auto"/>
          <w:sz w:val="24"/>
          <w:szCs w:val="24"/>
          <w:highlight w:val="none"/>
        </w:rPr>
        <w:t>.1采购文件要求乙方提交履约保证金的，乙方</w:t>
      </w:r>
      <w:r>
        <w:rPr>
          <w:rFonts w:cs="Times New Roman" w:asciiTheme="minorEastAsia" w:hAnsiTheme="minorEastAsia" w:eastAsiaTheme="minorEastAsia"/>
          <w:color w:val="auto"/>
          <w:sz w:val="24"/>
          <w:szCs w:val="24"/>
          <w:highlight w:val="none"/>
        </w:rPr>
        <w:t>应按</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约定的方式</w:t>
      </w:r>
      <w:r>
        <w:rPr>
          <w:rFonts w:hint="eastAsia" w:cs="Times New Roman" w:asciiTheme="minorEastAsia" w:hAnsiTheme="minorEastAsia" w:eastAsiaTheme="minorEastAsia"/>
          <w:color w:val="auto"/>
          <w:sz w:val="24"/>
          <w:szCs w:val="24"/>
          <w:highlight w:val="none"/>
        </w:rPr>
        <w:t>，以支票、汇票、本票或者金融机构、担保机构出具的保函等非现金形式提交；</w:t>
      </w:r>
    </w:p>
    <w:p w14:paraId="728444F9">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17.2履约保证金在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约定期间内不予退还或者应完全有效</w:t>
      </w:r>
      <w:r>
        <w:rPr>
          <w:rFonts w:hint="eastAsia" w:cs="Times New Roman" w:asciiTheme="minorEastAsia" w:hAnsiTheme="minorEastAsia" w:eastAsiaTheme="minorEastAsia"/>
          <w:color w:val="auto"/>
          <w:sz w:val="24"/>
          <w:szCs w:val="24"/>
          <w:highlight w:val="none"/>
        </w:rPr>
        <w:t>，前述约定期间届满</w:t>
      </w:r>
      <w:r>
        <w:rPr>
          <w:rFonts w:cs="Times New Roman" w:asciiTheme="minorEastAsia" w:hAnsiTheme="minorEastAsia" w:eastAsiaTheme="minorEastAsia"/>
          <w:color w:val="auto"/>
          <w:sz w:val="24"/>
          <w:szCs w:val="24"/>
          <w:highlight w:val="none"/>
        </w:rPr>
        <w:t>之日起</w:t>
      </w:r>
      <w:r>
        <w:rPr>
          <w:rFonts w:hint="eastAsia" w:cs="Times New Roman" w:asciiTheme="minorEastAsia" w:hAnsiTheme="minorEastAsia" w:eastAsiaTheme="minorEastAsia"/>
          <w:color w:val="auto"/>
          <w:sz w:val="24"/>
          <w:szCs w:val="24"/>
          <w:highlight w:val="none"/>
        </w:rPr>
        <w:t>个</w:t>
      </w:r>
      <w:r>
        <w:rPr>
          <w:rFonts w:cs="Times New Roman" w:asciiTheme="minorEastAsia" w:hAnsiTheme="minorEastAsia" w:eastAsiaTheme="minorEastAsia"/>
          <w:color w:val="auto"/>
          <w:sz w:val="24"/>
          <w:szCs w:val="24"/>
          <w:highlight w:val="none"/>
        </w:rPr>
        <w:t>工作日内，甲方应将履约保证金退还乙方</w:t>
      </w:r>
      <w:r>
        <w:rPr>
          <w:rFonts w:hint="eastAsia" w:cs="Times New Roman" w:asciiTheme="minorEastAsia" w:hAnsiTheme="minorEastAsia" w:eastAsiaTheme="minorEastAsia"/>
          <w:color w:val="auto"/>
          <w:sz w:val="24"/>
          <w:szCs w:val="24"/>
          <w:highlight w:val="none"/>
        </w:rPr>
        <w:t>，甲方逾期退还履约保证金应承担违约责任。</w:t>
      </w:r>
    </w:p>
    <w:p w14:paraId="22B94592">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17</w:t>
      </w:r>
      <w:r>
        <w:rPr>
          <w:rFonts w:hint="eastAsia" w:cs="Times New Roman" w:asciiTheme="minorEastAsia" w:hAnsiTheme="minorEastAsia" w:eastAsiaTheme="minorEastAsia"/>
          <w:color w:val="auto"/>
          <w:sz w:val="24"/>
          <w:szCs w:val="24"/>
          <w:highlight w:val="none"/>
        </w:rPr>
        <w:t>.3</w:t>
      </w:r>
      <w:r>
        <w:rPr>
          <w:rFonts w:cs="Times New Roman" w:asciiTheme="minorEastAsia" w:hAnsiTheme="minorEastAsia" w:eastAsiaTheme="minorEastAsia"/>
          <w:color w:val="auto"/>
          <w:sz w:val="24"/>
          <w:szCs w:val="24"/>
          <w:highlight w:val="none"/>
        </w:rPr>
        <w:t>如果乙方不履行合同</w:t>
      </w:r>
      <w:r>
        <w:rPr>
          <w:rFonts w:hint="eastAsia" w:cs="Times New Roman" w:asciiTheme="minorEastAsia" w:hAnsiTheme="minorEastAsia" w:eastAsiaTheme="minorEastAsia"/>
          <w:color w:val="auto"/>
          <w:sz w:val="24"/>
          <w:szCs w:val="24"/>
          <w:highlight w:val="none"/>
        </w:rPr>
        <w:t>，履约保证金不予退还；如果乙方</w:t>
      </w:r>
      <w:r>
        <w:rPr>
          <w:rFonts w:cs="Times New Roman" w:asciiTheme="minorEastAsia" w:hAnsiTheme="minorEastAsia" w:eastAsiaTheme="minorEastAsia"/>
          <w:color w:val="auto"/>
          <w:sz w:val="24"/>
          <w:szCs w:val="24"/>
          <w:highlight w:val="none"/>
        </w:rPr>
        <w:t>未能按合同</w:t>
      </w:r>
      <w:r>
        <w:rPr>
          <w:rFonts w:hint="eastAsia" w:cs="Times New Roman" w:asciiTheme="minorEastAsia" w:hAnsiTheme="minorEastAsia" w:eastAsiaTheme="minorEastAsia"/>
          <w:color w:val="auto"/>
          <w:sz w:val="24"/>
          <w:szCs w:val="24"/>
          <w:highlight w:val="none"/>
        </w:rPr>
        <w:t>约</w:t>
      </w:r>
      <w:r>
        <w:rPr>
          <w:rFonts w:cs="Times New Roman" w:asciiTheme="minorEastAsia" w:hAnsiTheme="minorEastAsia" w:eastAsiaTheme="minorEastAsia"/>
          <w:color w:val="auto"/>
          <w:sz w:val="24"/>
          <w:szCs w:val="24"/>
          <w:highlight w:val="none"/>
        </w:rPr>
        <w:t>定全面履行义务，那么甲方有权从履约保证金中取得补偿或赔偿</w:t>
      </w:r>
      <w:r>
        <w:rPr>
          <w:rFonts w:hint="eastAsia" w:cs="Times New Roman" w:asciiTheme="minorEastAsia" w:hAnsiTheme="minorEastAsia" w:eastAsiaTheme="minorEastAsia"/>
          <w:color w:val="auto"/>
          <w:sz w:val="24"/>
          <w:szCs w:val="24"/>
          <w:highlight w:val="none"/>
        </w:rPr>
        <w:t>，同时不影响甲方要求乙方承担合同约定的超过履约保证金的违约责任的权利。</w:t>
      </w:r>
    </w:p>
    <w:bookmarkEnd w:id="190"/>
    <w:p w14:paraId="12961F73">
      <w:pPr>
        <w:spacing w:line="360" w:lineRule="auto"/>
        <w:ind w:firstLine="437"/>
        <w:outlineLvl w:val="2"/>
        <w:rPr>
          <w:rFonts w:cs="Times New Roman" w:asciiTheme="minorEastAsia" w:hAnsiTheme="minorEastAsia" w:eastAsiaTheme="minorEastAsia"/>
          <w:b/>
          <w:color w:val="auto"/>
          <w:sz w:val="24"/>
          <w:szCs w:val="24"/>
          <w:highlight w:val="none"/>
        </w:rPr>
      </w:pPr>
      <w:bookmarkStart w:id="191" w:name="_Toc19890"/>
      <w:bookmarkStart w:id="192" w:name="_Toc6885"/>
      <w:bookmarkStart w:id="193" w:name="_Toc14001"/>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18</w:t>
      </w:r>
      <w:r>
        <w:rPr>
          <w:rFonts w:hint="eastAsia" w:cs="Times New Roman" w:asciiTheme="minorEastAsia" w:hAnsiTheme="minorEastAsia" w:eastAsiaTheme="minorEastAsia"/>
          <w:b/>
          <w:bCs/>
          <w:color w:val="auto"/>
          <w:sz w:val="24"/>
          <w:szCs w:val="24"/>
          <w:highlight w:val="none"/>
          <w:lang w:val="zh-CN"/>
        </w:rPr>
        <w:t xml:space="preserve"> 合同份数</w:t>
      </w:r>
      <w:bookmarkEnd w:id="191"/>
      <w:bookmarkEnd w:id="192"/>
      <w:bookmarkEnd w:id="193"/>
    </w:p>
    <w:p w14:paraId="7CA790EF">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合同份数按</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规定</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每份均具有同等法律效力</w:t>
      </w:r>
      <w:r>
        <w:rPr>
          <w:rFonts w:hint="eastAsia" w:cs="Times New Roman" w:asciiTheme="minorEastAsia" w:hAnsiTheme="minorEastAsia" w:eastAsiaTheme="minorEastAsia"/>
          <w:color w:val="auto"/>
          <w:sz w:val="24"/>
          <w:szCs w:val="24"/>
          <w:highlight w:val="none"/>
        </w:rPr>
        <w:t>。</w:t>
      </w:r>
    </w:p>
    <w:p w14:paraId="6695BE6A">
      <w:pPr>
        <w:pStyle w:val="27"/>
        <w:rPr>
          <w:color w:val="auto"/>
          <w:highlight w:val="none"/>
        </w:rPr>
      </w:pPr>
    </w:p>
    <w:p w14:paraId="5EC60F46">
      <w:pPr>
        <w:spacing w:line="360" w:lineRule="auto"/>
        <w:jc w:val="center"/>
        <w:outlineLvl w:val="1"/>
        <w:rPr>
          <w:rFonts w:asciiTheme="minorEastAsia" w:hAnsiTheme="minorEastAsia" w:eastAsiaTheme="minorEastAsia"/>
          <w:b/>
          <w:color w:val="auto"/>
          <w:sz w:val="24"/>
          <w:highlight w:val="none"/>
        </w:rPr>
      </w:pPr>
      <w:r>
        <w:rPr>
          <w:rFonts w:cs="Times New Roman" w:asciiTheme="minorEastAsia" w:hAnsiTheme="minorEastAsia" w:eastAsiaTheme="minorEastAsia"/>
          <w:color w:val="auto"/>
          <w:sz w:val="24"/>
          <w:szCs w:val="24"/>
          <w:highlight w:val="none"/>
        </w:rPr>
        <w:br w:type="page"/>
      </w:r>
      <w:bookmarkStart w:id="194" w:name="_Toc3736"/>
      <w:r>
        <w:rPr>
          <w:rFonts w:hint="eastAsia" w:asciiTheme="minorEastAsia" w:hAnsiTheme="minorEastAsia" w:eastAsiaTheme="minorEastAsia"/>
          <w:b/>
          <w:color w:val="auto"/>
          <w:sz w:val="24"/>
          <w:highlight w:val="none"/>
        </w:rPr>
        <w:t>第三部分合同专用条款</w:t>
      </w:r>
      <w:bookmarkEnd w:id="194"/>
    </w:p>
    <w:p w14:paraId="5462EE8B">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本部分</w:t>
      </w:r>
      <w:r>
        <w:rPr>
          <w:rFonts w:cs="Times New Roman" w:asciiTheme="minorEastAsia" w:hAnsiTheme="minorEastAsia" w:eastAsiaTheme="minorEastAsia"/>
          <w:color w:val="auto"/>
          <w:sz w:val="24"/>
          <w:szCs w:val="24"/>
          <w:highlight w:val="none"/>
        </w:rPr>
        <w:t>是对</w:t>
      </w:r>
      <w:r>
        <w:rPr>
          <w:rFonts w:hint="eastAsia" w:cs="Times New Roman" w:asciiTheme="minorEastAsia" w:hAnsiTheme="minorEastAsia" w:eastAsiaTheme="minorEastAsia"/>
          <w:color w:val="auto"/>
          <w:sz w:val="24"/>
          <w:szCs w:val="24"/>
          <w:highlight w:val="none"/>
        </w:rPr>
        <w:t>前两</w:t>
      </w:r>
      <w:r>
        <w:rPr>
          <w:rFonts w:cs="Times New Roman" w:asciiTheme="minorEastAsia" w:hAnsiTheme="minorEastAsia" w:eastAsiaTheme="minorEastAsia"/>
          <w:color w:val="auto"/>
          <w:sz w:val="24"/>
          <w:szCs w:val="24"/>
          <w:highlight w:val="none"/>
        </w:rPr>
        <w:t>部分的补充和修改</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如果</w:t>
      </w:r>
      <w:r>
        <w:rPr>
          <w:rFonts w:hint="eastAsia" w:cs="Times New Roman" w:asciiTheme="minorEastAsia" w:hAnsiTheme="minorEastAsia" w:eastAsiaTheme="minorEastAsia"/>
          <w:color w:val="auto"/>
          <w:sz w:val="24"/>
          <w:szCs w:val="24"/>
          <w:highlight w:val="none"/>
        </w:rPr>
        <w:t>前两</w:t>
      </w:r>
      <w:r>
        <w:rPr>
          <w:rFonts w:cs="Times New Roman" w:asciiTheme="minorEastAsia" w:hAnsiTheme="minorEastAsia" w:eastAsiaTheme="minorEastAsia"/>
          <w:color w:val="auto"/>
          <w:sz w:val="24"/>
          <w:szCs w:val="24"/>
          <w:highlight w:val="none"/>
        </w:rPr>
        <w:t>部分和本部分的约定不一致</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应以本部分的约定为准</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本部分的条款号应与</w:t>
      </w:r>
      <w:r>
        <w:rPr>
          <w:rFonts w:hint="eastAsia" w:cs="Times New Roman" w:asciiTheme="minorEastAsia" w:hAnsiTheme="minorEastAsia" w:eastAsiaTheme="minorEastAsia"/>
          <w:color w:val="auto"/>
          <w:sz w:val="24"/>
          <w:szCs w:val="24"/>
          <w:highlight w:val="none"/>
        </w:rPr>
        <w:t>前两部分</w:t>
      </w:r>
      <w:r>
        <w:rPr>
          <w:rFonts w:cs="Times New Roman" w:asciiTheme="minorEastAsia" w:hAnsiTheme="minorEastAsia" w:eastAsiaTheme="minorEastAsia"/>
          <w:color w:val="auto"/>
          <w:sz w:val="24"/>
          <w:szCs w:val="24"/>
          <w:highlight w:val="none"/>
        </w:rPr>
        <w:t>的条款号保持对应</w:t>
      </w:r>
      <w:r>
        <w:rPr>
          <w:rFonts w:hint="eastAsia" w:cs="Times New Roman" w:asciiTheme="minorEastAsia" w:hAnsiTheme="minorEastAsia" w:eastAsiaTheme="minorEastAsia"/>
          <w:color w:val="auto"/>
          <w:sz w:val="24"/>
          <w:szCs w:val="24"/>
          <w:highlight w:val="none"/>
        </w:rPr>
        <w:t>；与前两部分</w:t>
      </w:r>
      <w:r>
        <w:rPr>
          <w:rFonts w:cs="Times New Roman" w:asciiTheme="minorEastAsia" w:hAnsiTheme="minorEastAsia" w:eastAsiaTheme="minorEastAsia"/>
          <w:color w:val="auto"/>
          <w:sz w:val="24"/>
          <w:szCs w:val="24"/>
          <w:highlight w:val="none"/>
        </w:rPr>
        <w:t>无对应关系的内容可另行编制条款号</w:t>
      </w:r>
      <w:r>
        <w:rPr>
          <w:rFonts w:hint="eastAsia" w:cs="Times New Roman" w:asciiTheme="minorEastAsia" w:hAnsiTheme="minorEastAsia" w:eastAsiaTheme="minorEastAsia"/>
          <w:color w:val="auto"/>
          <w:sz w:val="24"/>
          <w:szCs w:val="24"/>
          <w:highlight w:val="none"/>
        </w:rPr>
        <w:t>。</w:t>
      </w:r>
    </w:p>
    <w:tbl>
      <w:tblPr>
        <w:tblStyle w:val="28"/>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6B10A7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1935658B">
            <w:pPr>
              <w:jc w:val="center"/>
              <w:rPr>
                <w:rFonts w:cs="Times New Roman" w:asciiTheme="minorEastAsia" w:hAnsiTheme="minorEastAsia" w:eastAsiaTheme="minorEastAsia"/>
                <w:b/>
                <w:color w:val="auto"/>
                <w:sz w:val="24"/>
                <w:szCs w:val="24"/>
                <w:highlight w:val="none"/>
              </w:rPr>
            </w:pPr>
            <w:r>
              <w:rPr>
                <w:rFonts w:cs="Times New Roman" w:asciiTheme="minorEastAsia" w:hAnsiTheme="minorEastAsia" w:eastAsiaTheme="minorEastAsia"/>
                <w:b/>
                <w:color w:val="auto"/>
                <w:sz w:val="24"/>
                <w:szCs w:val="24"/>
                <w:highlight w:val="none"/>
              </w:rPr>
              <w:t>条款号</w:t>
            </w:r>
          </w:p>
        </w:tc>
        <w:tc>
          <w:tcPr>
            <w:tcW w:w="7568" w:type="dxa"/>
            <w:vAlign w:val="center"/>
          </w:tcPr>
          <w:p w14:paraId="7FCCD5C3">
            <w:pPr>
              <w:jc w:val="center"/>
              <w:rPr>
                <w:rFonts w:cs="Times New Roman" w:asciiTheme="minorEastAsia" w:hAnsiTheme="minorEastAsia" w:eastAsiaTheme="minorEastAsia"/>
                <w:b/>
                <w:color w:val="auto"/>
                <w:sz w:val="24"/>
                <w:szCs w:val="24"/>
                <w:highlight w:val="none"/>
              </w:rPr>
            </w:pPr>
            <w:r>
              <w:rPr>
                <w:rFonts w:cs="Times New Roman" w:asciiTheme="minorEastAsia" w:hAnsiTheme="minorEastAsia" w:eastAsiaTheme="minorEastAsia"/>
                <w:b/>
                <w:color w:val="auto"/>
                <w:sz w:val="24"/>
                <w:szCs w:val="24"/>
                <w:highlight w:val="none"/>
              </w:rPr>
              <w:t>约定内容</w:t>
            </w:r>
          </w:p>
        </w:tc>
      </w:tr>
      <w:tr w14:paraId="4C944C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shd w:val="clear" w:color="auto" w:fill="auto"/>
            <w:vAlign w:val="top"/>
          </w:tcPr>
          <w:p w14:paraId="65653EBC">
            <w:pPr>
              <w:pStyle w:val="73"/>
              <w:wordWrap w:val="0"/>
              <w:overflowPunct w:val="0"/>
              <w:ind w:firstLine="0" w:firstLineChars="0"/>
              <w:rPr>
                <w:rFonts w:ascii="仿宋" w:hAnsi="仿宋" w:eastAsia="仿宋" w:cs="仿宋"/>
                <w:color w:val="auto"/>
                <w:kern w:val="2"/>
                <w:sz w:val="24"/>
                <w:szCs w:val="24"/>
                <w:highlight w:val="none"/>
                <w:lang w:val="en-US" w:eastAsia="en-US" w:bidi="ar-SA"/>
              </w:rPr>
            </w:pPr>
            <w:r>
              <w:rPr>
                <w:rFonts w:hint="eastAsia" w:ascii="仿宋" w:hAnsi="仿宋" w:eastAsia="仿宋" w:cs="仿宋"/>
                <w:color w:val="auto"/>
                <w:spacing w:val="-2"/>
                <w:sz w:val="24"/>
                <w:szCs w:val="24"/>
                <w:highlight w:val="none"/>
              </w:rPr>
              <w:t>2.3.2</w:t>
            </w:r>
          </w:p>
        </w:tc>
        <w:tc>
          <w:tcPr>
            <w:tcW w:w="7568" w:type="dxa"/>
            <w:shd w:val="clear" w:color="auto" w:fill="auto"/>
            <w:vAlign w:val="top"/>
          </w:tcPr>
          <w:p w14:paraId="30B606AE">
            <w:pPr>
              <w:pStyle w:val="73"/>
              <w:wordWrap w:val="0"/>
              <w:overflowPunct w:val="0"/>
              <w:ind w:left="30" w:leftChars="0" w:right="62" w:rightChars="0" w:firstLine="0" w:firstLineChars="0"/>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pacing w:val="-1"/>
                <w:sz w:val="24"/>
                <w:szCs w:val="24"/>
                <w:highlight w:val="none"/>
                <w:lang w:eastAsia="zh-CN"/>
              </w:rPr>
              <w:t>乙方确保所提供的产品具有合法的知识产权，如提供的产品因侵犯第三方的知识产权</w:t>
            </w:r>
            <w:r>
              <w:rPr>
                <w:rFonts w:hint="eastAsia" w:ascii="仿宋" w:hAnsi="仿宋" w:eastAsia="仿宋" w:cs="仿宋"/>
                <w:color w:val="auto"/>
                <w:sz w:val="24"/>
                <w:szCs w:val="24"/>
                <w:highlight w:val="none"/>
                <w:lang w:eastAsia="zh-CN"/>
              </w:rPr>
              <w:t>而引起的法律责任由乙方承担，造成甲方损失的，损失</w:t>
            </w:r>
            <w:r>
              <w:rPr>
                <w:rFonts w:hint="eastAsia" w:ascii="仿宋" w:hAnsi="仿宋" w:eastAsia="仿宋" w:cs="仿宋"/>
                <w:color w:val="auto"/>
                <w:spacing w:val="-1"/>
                <w:sz w:val="24"/>
                <w:szCs w:val="24"/>
                <w:highlight w:val="none"/>
                <w:lang w:eastAsia="zh-CN"/>
              </w:rPr>
              <w:t>全部由乙方承担。</w:t>
            </w:r>
          </w:p>
        </w:tc>
      </w:tr>
      <w:tr w14:paraId="31288B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shd w:val="clear" w:color="auto" w:fill="auto"/>
            <w:vAlign w:val="top"/>
          </w:tcPr>
          <w:p w14:paraId="341FCCEF">
            <w:pPr>
              <w:pStyle w:val="73"/>
              <w:wordWrap w:val="0"/>
              <w:overflowPunct w:val="0"/>
              <w:ind w:firstLine="0" w:firstLineChars="0"/>
              <w:rPr>
                <w:rFonts w:ascii="仿宋" w:hAnsi="仿宋" w:eastAsia="仿宋" w:cs="仿宋"/>
                <w:color w:val="auto"/>
                <w:kern w:val="2"/>
                <w:sz w:val="24"/>
                <w:szCs w:val="24"/>
                <w:highlight w:val="none"/>
                <w:lang w:val="en-US" w:eastAsia="en-US" w:bidi="ar-SA"/>
              </w:rPr>
            </w:pPr>
            <w:r>
              <w:rPr>
                <w:rFonts w:hint="eastAsia" w:ascii="仿宋" w:hAnsi="仿宋" w:eastAsia="仿宋" w:cs="仿宋"/>
                <w:color w:val="auto"/>
                <w:spacing w:val="-4"/>
                <w:sz w:val="24"/>
                <w:szCs w:val="24"/>
                <w:highlight w:val="none"/>
              </w:rPr>
              <w:t>2.5</w:t>
            </w:r>
          </w:p>
        </w:tc>
        <w:tc>
          <w:tcPr>
            <w:tcW w:w="7568" w:type="dxa"/>
            <w:shd w:val="clear" w:color="auto" w:fill="auto"/>
            <w:vAlign w:val="top"/>
          </w:tcPr>
          <w:p w14:paraId="79B6AA31">
            <w:pPr>
              <w:pStyle w:val="73"/>
              <w:wordWrap w:val="0"/>
              <w:overflowPunct w:val="0"/>
              <w:ind w:left="28" w:leftChars="0" w:firstLine="0" w:firstLineChars="0"/>
              <w:jc w:val="both"/>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pacing w:val="1"/>
                <w:sz w:val="24"/>
                <w:szCs w:val="24"/>
                <w:highlight w:val="none"/>
                <w:lang w:eastAsia="zh-CN"/>
              </w:rPr>
              <w:t>合同生效以及具备实施条件后 5 个工作日内支付预付款，预付款为一年合同金额的 40%【成交人须提供在金融机构办理的同等金额的保函（见索即付性质的独立保函）】，剩余价款按季度支付，第二季度支付上一季度费用，以此类推，中标人需开具相应金额的服务发票。</w:t>
            </w:r>
          </w:p>
        </w:tc>
      </w:tr>
      <w:tr w14:paraId="2D1873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shd w:val="clear" w:color="auto" w:fill="auto"/>
            <w:vAlign w:val="top"/>
          </w:tcPr>
          <w:p w14:paraId="41AE552E">
            <w:pPr>
              <w:pStyle w:val="73"/>
              <w:wordWrap w:val="0"/>
              <w:overflowPunct w:val="0"/>
              <w:ind w:firstLine="0" w:firstLineChars="0"/>
              <w:rPr>
                <w:rFonts w:ascii="仿宋" w:hAnsi="仿宋" w:eastAsia="仿宋" w:cs="仿宋"/>
                <w:color w:val="auto"/>
                <w:kern w:val="2"/>
                <w:sz w:val="24"/>
                <w:szCs w:val="24"/>
                <w:highlight w:val="none"/>
                <w:lang w:val="en-US" w:eastAsia="en-US" w:bidi="ar-SA"/>
              </w:rPr>
            </w:pPr>
            <w:r>
              <w:rPr>
                <w:rFonts w:hint="eastAsia" w:ascii="仿宋" w:hAnsi="仿宋" w:eastAsia="仿宋" w:cs="仿宋"/>
                <w:color w:val="auto"/>
                <w:spacing w:val="-2"/>
                <w:sz w:val="24"/>
                <w:szCs w:val="24"/>
                <w:highlight w:val="none"/>
              </w:rPr>
              <w:t>2.11.3</w:t>
            </w:r>
          </w:p>
        </w:tc>
        <w:tc>
          <w:tcPr>
            <w:tcW w:w="7568" w:type="dxa"/>
            <w:shd w:val="clear" w:color="auto" w:fill="auto"/>
            <w:vAlign w:val="top"/>
          </w:tcPr>
          <w:p w14:paraId="5920F47F">
            <w:pPr>
              <w:pStyle w:val="73"/>
              <w:wordWrap w:val="0"/>
              <w:overflowPunct w:val="0"/>
              <w:ind w:left="33" w:leftChars="0" w:right="64" w:rightChars="0" w:firstLine="0" w:firstLineChars="0"/>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pacing w:val="-1"/>
                <w:sz w:val="24"/>
                <w:szCs w:val="24"/>
                <w:highlight w:val="none"/>
                <w:lang w:eastAsia="zh-CN"/>
              </w:rPr>
              <w:t>因不可抗力致使合同有变更必要的，双方当事人应在不可抗</w:t>
            </w:r>
            <w:r>
              <w:rPr>
                <w:rFonts w:hint="eastAsia" w:ascii="仿宋" w:hAnsi="仿宋" w:eastAsia="仿宋" w:cs="仿宋"/>
                <w:color w:val="auto"/>
                <w:spacing w:val="-2"/>
                <w:sz w:val="24"/>
                <w:szCs w:val="24"/>
                <w:highlight w:val="none"/>
                <w:lang w:eastAsia="zh-CN"/>
              </w:rPr>
              <w:t>力发生的</w:t>
            </w:r>
            <w:r>
              <w:rPr>
                <w:rFonts w:hint="eastAsia" w:ascii="仿宋" w:hAnsi="仿宋" w:eastAsia="仿宋" w:cs="仿宋"/>
                <w:color w:val="auto"/>
                <w:spacing w:val="-42"/>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3</w:t>
            </w:r>
            <w:r>
              <w:rPr>
                <w:rFonts w:hint="eastAsia" w:ascii="仿宋" w:hAnsi="仿宋" w:eastAsia="仿宋" w:cs="仿宋"/>
                <w:color w:val="auto"/>
                <w:spacing w:val="-46"/>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个工作日内以书面形式变更合同。</w:t>
            </w:r>
          </w:p>
        </w:tc>
      </w:tr>
      <w:tr w14:paraId="1B53CB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shd w:val="clear" w:color="auto" w:fill="auto"/>
            <w:vAlign w:val="top"/>
          </w:tcPr>
          <w:p w14:paraId="025E45F2">
            <w:pPr>
              <w:pStyle w:val="73"/>
              <w:wordWrap w:val="0"/>
              <w:overflowPunct w:val="0"/>
              <w:ind w:firstLine="0" w:firstLineChars="0"/>
              <w:rPr>
                <w:rFonts w:ascii="仿宋" w:hAnsi="仿宋" w:eastAsia="仿宋" w:cs="仿宋"/>
                <w:color w:val="auto"/>
                <w:kern w:val="2"/>
                <w:sz w:val="24"/>
                <w:szCs w:val="24"/>
                <w:highlight w:val="none"/>
                <w:lang w:val="en-US" w:eastAsia="en-US" w:bidi="ar-SA"/>
              </w:rPr>
            </w:pPr>
            <w:r>
              <w:rPr>
                <w:rFonts w:hint="eastAsia" w:ascii="仿宋" w:hAnsi="仿宋" w:eastAsia="仿宋" w:cs="仿宋"/>
                <w:color w:val="auto"/>
                <w:spacing w:val="-2"/>
                <w:sz w:val="24"/>
                <w:szCs w:val="24"/>
                <w:highlight w:val="none"/>
              </w:rPr>
              <w:t>2.11.4</w:t>
            </w:r>
          </w:p>
        </w:tc>
        <w:tc>
          <w:tcPr>
            <w:tcW w:w="7568" w:type="dxa"/>
            <w:shd w:val="clear" w:color="auto" w:fill="auto"/>
            <w:vAlign w:val="top"/>
          </w:tcPr>
          <w:p w14:paraId="1F2A8E0E">
            <w:pPr>
              <w:pStyle w:val="73"/>
              <w:wordWrap w:val="0"/>
              <w:overflowPunct w:val="0"/>
              <w:ind w:left="31" w:leftChars="0" w:right="61" w:rightChars="0" w:firstLine="0" w:firstLineChars="0"/>
              <w:jc w:val="both"/>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pacing w:val="-1"/>
                <w:sz w:val="24"/>
                <w:szCs w:val="24"/>
                <w:highlight w:val="none"/>
                <w:lang w:eastAsia="zh-CN"/>
              </w:rPr>
              <w:t>受不可抗力影响的一方在不可抗力发生后，应在不可抗力发生的</w:t>
            </w:r>
            <w:r>
              <w:rPr>
                <w:rFonts w:hint="eastAsia" w:ascii="仿宋" w:hAnsi="仿宋" w:eastAsia="仿宋" w:cs="仿宋"/>
                <w:color w:val="auto"/>
                <w:spacing w:val="-30"/>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1</w:t>
            </w:r>
            <w:r>
              <w:rPr>
                <w:rFonts w:hint="eastAsia" w:ascii="仿宋" w:hAnsi="仿宋" w:eastAsia="仿宋" w:cs="仿宋"/>
                <w:color w:val="auto"/>
                <w:spacing w:val="-46"/>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个工作日内以书面</w:t>
            </w:r>
            <w:r>
              <w:rPr>
                <w:rFonts w:hint="eastAsia" w:ascii="仿宋" w:hAnsi="仿宋" w:eastAsia="仿宋" w:cs="仿宋"/>
                <w:color w:val="auto"/>
                <w:spacing w:val="-1"/>
                <w:sz w:val="24"/>
                <w:szCs w:val="24"/>
                <w:highlight w:val="none"/>
                <w:lang w:eastAsia="zh-CN"/>
              </w:rPr>
              <w:t>形式通知对方当事人，并在</w:t>
            </w:r>
            <w:r>
              <w:rPr>
                <w:rFonts w:hint="eastAsia" w:ascii="仿宋" w:hAnsi="仿宋" w:eastAsia="仿宋" w:cs="仿宋"/>
                <w:color w:val="auto"/>
                <w:spacing w:val="-30"/>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1</w:t>
            </w:r>
            <w:r>
              <w:rPr>
                <w:rFonts w:hint="eastAsia" w:ascii="仿宋" w:hAnsi="仿宋" w:eastAsia="仿宋" w:cs="仿宋"/>
                <w:color w:val="auto"/>
                <w:spacing w:val="-46"/>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个工作日内，将有关部门出具的证明</w:t>
            </w:r>
            <w:r>
              <w:rPr>
                <w:rFonts w:hint="eastAsia" w:ascii="仿宋" w:hAnsi="仿宋" w:eastAsia="仿宋" w:cs="仿宋"/>
                <w:color w:val="auto"/>
                <w:spacing w:val="-2"/>
                <w:sz w:val="24"/>
                <w:szCs w:val="24"/>
                <w:highlight w:val="none"/>
                <w:lang w:eastAsia="zh-CN"/>
              </w:rPr>
              <w:t>文件送达对方当事人</w:t>
            </w:r>
          </w:p>
        </w:tc>
      </w:tr>
      <w:tr w14:paraId="7FC2A5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shd w:val="clear" w:color="auto" w:fill="auto"/>
            <w:vAlign w:val="top"/>
          </w:tcPr>
          <w:p w14:paraId="0EC5C00E">
            <w:pPr>
              <w:pStyle w:val="73"/>
              <w:wordWrap w:val="0"/>
              <w:overflowPunct w:val="0"/>
              <w:ind w:firstLine="0" w:firstLineChars="0"/>
              <w:rPr>
                <w:rFonts w:ascii="仿宋" w:hAnsi="仿宋" w:eastAsia="仿宋" w:cs="仿宋"/>
                <w:color w:val="auto"/>
                <w:kern w:val="2"/>
                <w:sz w:val="24"/>
                <w:szCs w:val="24"/>
                <w:highlight w:val="none"/>
                <w:lang w:val="en-US" w:eastAsia="en-US" w:bidi="ar-SA"/>
              </w:rPr>
            </w:pPr>
            <w:r>
              <w:rPr>
                <w:rFonts w:hint="eastAsia" w:ascii="仿宋" w:hAnsi="仿宋" w:eastAsia="仿宋" w:cs="仿宋"/>
                <w:color w:val="auto"/>
                <w:spacing w:val="-3"/>
                <w:sz w:val="24"/>
                <w:szCs w:val="24"/>
                <w:highlight w:val="none"/>
              </w:rPr>
              <w:t>2.15</w:t>
            </w:r>
          </w:p>
        </w:tc>
        <w:tc>
          <w:tcPr>
            <w:tcW w:w="7568" w:type="dxa"/>
            <w:shd w:val="clear" w:color="auto" w:fill="auto"/>
            <w:vAlign w:val="top"/>
          </w:tcPr>
          <w:p w14:paraId="74A6C608">
            <w:pPr>
              <w:pStyle w:val="73"/>
              <w:wordWrap w:val="0"/>
              <w:overflowPunct w:val="0"/>
              <w:ind w:left="36" w:right="23" w:firstLine="0" w:firstLineChars="0"/>
              <w:rPr>
                <w:rFonts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2.15.1</w:t>
            </w:r>
            <w:r>
              <w:rPr>
                <w:rFonts w:hint="eastAsia" w:ascii="仿宋" w:hAnsi="仿宋" w:eastAsia="仿宋" w:cs="仿宋"/>
                <w:color w:val="auto"/>
                <w:spacing w:val="-27"/>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乙方按照甲方要求提交服务报告，甲方按照在</w:t>
            </w:r>
            <w:r>
              <w:rPr>
                <w:rFonts w:hint="eastAsia" w:ascii="仿宋" w:hAnsi="仿宋" w:eastAsia="仿宋" w:cs="仿宋"/>
                <w:color w:val="auto"/>
                <w:spacing w:val="-2"/>
                <w:sz w:val="24"/>
                <w:szCs w:val="24"/>
                <w:highlight w:val="none"/>
                <w:lang w:eastAsia="zh-CN"/>
              </w:rPr>
              <w:t>收到报告后由采购人进行专项</w:t>
            </w:r>
            <w:r>
              <w:rPr>
                <w:rFonts w:hint="eastAsia" w:ascii="仿宋" w:hAnsi="仿宋" w:eastAsia="仿宋" w:cs="仿宋"/>
                <w:color w:val="auto"/>
                <w:spacing w:val="-1"/>
                <w:sz w:val="24"/>
                <w:szCs w:val="24"/>
                <w:highlight w:val="none"/>
                <w:lang w:eastAsia="zh-CN"/>
              </w:rPr>
              <w:t>考核,考核达不到标准的，追究其法律和经济责任；</w:t>
            </w:r>
          </w:p>
          <w:p w14:paraId="36C86D0C">
            <w:pPr>
              <w:pStyle w:val="73"/>
              <w:wordWrap w:val="0"/>
              <w:overflowPunct w:val="0"/>
              <w:ind w:left="28" w:leftChars="0" w:right="23" w:rightChars="0" w:firstLine="0" w:firstLineChars="0"/>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pacing w:val="-1"/>
                <w:sz w:val="24"/>
                <w:szCs w:val="24"/>
                <w:highlight w:val="none"/>
                <w:lang w:eastAsia="zh-CN"/>
              </w:rPr>
              <w:t>2.15.3考核的内容</w:t>
            </w:r>
            <w:r>
              <w:rPr>
                <w:rFonts w:hint="eastAsia" w:ascii="仿宋" w:hAnsi="仿宋" w:eastAsia="仿宋" w:cs="仿宋"/>
                <w:color w:val="auto"/>
                <w:sz w:val="24"/>
                <w:szCs w:val="24"/>
                <w:highlight w:val="none"/>
                <w:lang w:eastAsia="zh-CN"/>
              </w:rPr>
              <w:t>和标准、程序结合项目具体内容出具，以</w:t>
            </w:r>
            <w:r>
              <w:rPr>
                <w:rFonts w:hint="eastAsia" w:ascii="仿宋" w:hAnsi="仿宋" w:eastAsia="仿宋" w:cs="仿宋"/>
                <w:color w:val="auto"/>
                <w:spacing w:val="-1"/>
                <w:sz w:val="24"/>
                <w:szCs w:val="24"/>
                <w:highlight w:val="none"/>
                <w:lang w:eastAsia="zh-CN"/>
              </w:rPr>
              <w:t>考核结果作为服务费支付依据。</w:t>
            </w:r>
          </w:p>
        </w:tc>
      </w:tr>
      <w:tr w14:paraId="630F6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shd w:val="clear" w:color="auto" w:fill="auto"/>
            <w:vAlign w:val="top"/>
          </w:tcPr>
          <w:p w14:paraId="4FDEB516">
            <w:pPr>
              <w:pStyle w:val="73"/>
              <w:wordWrap w:val="0"/>
              <w:overflowPunct w:val="0"/>
              <w:ind w:firstLine="0" w:firstLineChars="0"/>
              <w:rPr>
                <w:rFonts w:ascii="仿宋" w:hAnsi="仿宋" w:eastAsia="仿宋" w:cs="仿宋"/>
                <w:color w:val="auto"/>
                <w:kern w:val="2"/>
                <w:sz w:val="24"/>
                <w:szCs w:val="24"/>
                <w:highlight w:val="none"/>
                <w:lang w:val="en-US" w:eastAsia="en-US" w:bidi="ar-SA"/>
              </w:rPr>
            </w:pPr>
            <w:r>
              <w:rPr>
                <w:rFonts w:hint="eastAsia" w:ascii="仿宋" w:hAnsi="仿宋" w:eastAsia="仿宋" w:cs="仿宋"/>
                <w:color w:val="auto"/>
                <w:spacing w:val="-3"/>
                <w:sz w:val="24"/>
                <w:szCs w:val="24"/>
                <w:highlight w:val="none"/>
              </w:rPr>
              <w:t>2.17</w:t>
            </w:r>
          </w:p>
        </w:tc>
        <w:tc>
          <w:tcPr>
            <w:tcW w:w="7568" w:type="dxa"/>
            <w:shd w:val="clear" w:color="auto" w:fill="auto"/>
            <w:vAlign w:val="top"/>
          </w:tcPr>
          <w:p w14:paraId="712FFC21">
            <w:pPr>
              <w:pStyle w:val="73"/>
              <w:wordWrap w:val="0"/>
              <w:overflowPunct w:val="0"/>
              <w:ind w:left="31" w:leftChars="0" w:firstLine="0" w:firstLineChars="0"/>
              <w:rPr>
                <w:rFonts w:ascii="仿宋" w:hAnsi="仿宋" w:eastAsia="仿宋" w:cs="仿宋"/>
                <w:color w:val="auto"/>
                <w:kern w:val="2"/>
                <w:sz w:val="24"/>
                <w:szCs w:val="24"/>
                <w:highlight w:val="none"/>
                <w:lang w:val="en-US" w:eastAsia="en-US" w:bidi="ar-SA"/>
              </w:rPr>
            </w:pPr>
            <w:r>
              <w:rPr>
                <w:rFonts w:hint="eastAsia" w:ascii="仿宋" w:hAnsi="仿宋" w:eastAsia="仿宋" w:cs="仿宋"/>
                <w:color w:val="auto"/>
                <w:spacing w:val="-2"/>
                <w:sz w:val="24"/>
                <w:szCs w:val="24"/>
                <w:highlight w:val="none"/>
              </w:rPr>
              <w:t>无履约保证金</w:t>
            </w:r>
          </w:p>
        </w:tc>
      </w:tr>
      <w:tr w14:paraId="1443FB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shd w:val="clear" w:color="auto" w:fill="auto"/>
            <w:vAlign w:val="top"/>
          </w:tcPr>
          <w:p w14:paraId="0B4E1DC8">
            <w:pPr>
              <w:pStyle w:val="73"/>
              <w:wordWrap w:val="0"/>
              <w:overflowPunct w:val="0"/>
              <w:ind w:firstLine="0" w:firstLineChars="0"/>
              <w:rPr>
                <w:rFonts w:ascii="仿宋" w:hAnsi="仿宋" w:eastAsia="仿宋" w:cs="仿宋"/>
                <w:color w:val="auto"/>
                <w:kern w:val="2"/>
                <w:sz w:val="24"/>
                <w:szCs w:val="24"/>
                <w:highlight w:val="none"/>
                <w:lang w:val="en-US" w:eastAsia="en-US" w:bidi="ar-SA"/>
              </w:rPr>
            </w:pPr>
            <w:r>
              <w:rPr>
                <w:rFonts w:hint="eastAsia" w:ascii="仿宋" w:hAnsi="仿宋" w:eastAsia="仿宋" w:cs="仿宋"/>
                <w:color w:val="auto"/>
                <w:spacing w:val="-3"/>
                <w:sz w:val="24"/>
                <w:szCs w:val="24"/>
                <w:highlight w:val="none"/>
              </w:rPr>
              <w:t>2.18</w:t>
            </w:r>
          </w:p>
        </w:tc>
        <w:tc>
          <w:tcPr>
            <w:tcW w:w="7568" w:type="dxa"/>
            <w:shd w:val="clear" w:color="auto" w:fill="auto"/>
            <w:vAlign w:val="top"/>
          </w:tcPr>
          <w:p w14:paraId="1D84EE6A">
            <w:pPr>
              <w:pStyle w:val="73"/>
              <w:wordWrap w:val="0"/>
              <w:overflowPunct w:val="0"/>
              <w:ind w:left="29" w:leftChars="0" w:firstLine="0" w:firstLineChars="0"/>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合同一式肆份，甲乙双方各执贰份，具有同等法律效力。</w:t>
            </w:r>
          </w:p>
        </w:tc>
      </w:tr>
      <w:tr w14:paraId="030A8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FAC1F79">
            <w:pPr>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14:paraId="38A1FC7E">
            <w:pPr>
              <w:spacing w:line="560" w:lineRule="exact"/>
              <w:rPr>
                <w:rFonts w:cs="Times New Roman" w:asciiTheme="minorEastAsia" w:hAnsiTheme="minorEastAsia" w:eastAsiaTheme="minorEastAsia"/>
                <w:color w:val="auto"/>
                <w:sz w:val="24"/>
                <w:szCs w:val="24"/>
                <w:highlight w:val="none"/>
              </w:rPr>
            </w:pPr>
          </w:p>
        </w:tc>
      </w:tr>
      <w:tr w14:paraId="094496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9BEC5FA">
            <w:pPr>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14:paraId="3EFA5EDF">
            <w:pPr>
              <w:spacing w:line="560" w:lineRule="exact"/>
              <w:rPr>
                <w:rFonts w:cs="Times New Roman" w:asciiTheme="minorEastAsia" w:hAnsiTheme="minorEastAsia" w:eastAsiaTheme="minorEastAsia"/>
                <w:color w:val="auto"/>
                <w:sz w:val="24"/>
                <w:szCs w:val="24"/>
                <w:highlight w:val="none"/>
              </w:rPr>
            </w:pPr>
          </w:p>
        </w:tc>
      </w:tr>
      <w:tr w14:paraId="7A225B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04DDCAB">
            <w:pPr>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14:paraId="36D6908E">
            <w:pPr>
              <w:spacing w:line="560" w:lineRule="exact"/>
              <w:rPr>
                <w:rFonts w:cs="Times New Roman" w:asciiTheme="minorEastAsia" w:hAnsiTheme="minorEastAsia" w:eastAsiaTheme="minorEastAsia"/>
                <w:color w:val="auto"/>
                <w:sz w:val="24"/>
                <w:szCs w:val="24"/>
                <w:highlight w:val="none"/>
              </w:rPr>
            </w:pPr>
          </w:p>
        </w:tc>
      </w:tr>
      <w:tr w14:paraId="4ED7D3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6EEC5B70">
            <w:pPr>
              <w:spacing w:line="560" w:lineRule="exact"/>
              <w:rPr>
                <w:rFonts w:cs="Times New Roman" w:asciiTheme="minorEastAsia" w:hAnsiTheme="minorEastAsia" w:eastAsiaTheme="minorEastAsia"/>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2FC26143">
            <w:pPr>
              <w:spacing w:line="560" w:lineRule="exact"/>
              <w:rPr>
                <w:rFonts w:cs="Times New Roman" w:asciiTheme="minorEastAsia" w:hAnsiTheme="minorEastAsia" w:eastAsiaTheme="minorEastAsia"/>
                <w:color w:val="auto"/>
                <w:sz w:val="24"/>
                <w:szCs w:val="24"/>
                <w:highlight w:val="none"/>
              </w:rPr>
            </w:pPr>
          </w:p>
        </w:tc>
      </w:tr>
      <w:tr w14:paraId="5E4E7B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7720B55E">
            <w:pPr>
              <w:spacing w:line="560" w:lineRule="exact"/>
              <w:rPr>
                <w:rFonts w:cs="Times New Roman" w:asciiTheme="minorEastAsia" w:hAnsiTheme="minorEastAsia" w:eastAsiaTheme="minorEastAsia"/>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760A4E90">
            <w:pPr>
              <w:spacing w:line="560" w:lineRule="exact"/>
              <w:rPr>
                <w:rFonts w:cs="Times New Roman" w:asciiTheme="minorEastAsia" w:hAnsiTheme="minorEastAsia" w:eastAsiaTheme="minorEastAsia"/>
                <w:color w:val="auto"/>
                <w:sz w:val="24"/>
                <w:szCs w:val="24"/>
                <w:highlight w:val="none"/>
              </w:rPr>
            </w:pPr>
          </w:p>
        </w:tc>
      </w:tr>
    </w:tbl>
    <w:p w14:paraId="06F9DFC8">
      <w:pPr>
        <w:spacing w:line="360" w:lineRule="auto"/>
        <w:rPr>
          <w:rFonts w:asciiTheme="minorEastAsia" w:hAnsiTheme="minorEastAsia" w:eastAsiaTheme="minorEastAsia"/>
          <w:color w:val="auto"/>
          <w:sz w:val="24"/>
          <w:highlight w:val="none"/>
        </w:rPr>
      </w:pPr>
    </w:p>
    <w:p w14:paraId="6AD0DBD8">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bookmarkEnd w:id="52"/>
    <w:p w14:paraId="6FD49A11">
      <w:pPr>
        <w:spacing w:line="360" w:lineRule="auto"/>
        <w:jc w:val="center"/>
        <w:outlineLvl w:val="0"/>
        <w:rPr>
          <w:rFonts w:asciiTheme="minorEastAsia" w:hAnsiTheme="minorEastAsia" w:eastAsiaTheme="minorEastAsia"/>
          <w:b/>
          <w:color w:val="auto"/>
          <w:sz w:val="28"/>
          <w:highlight w:val="none"/>
        </w:rPr>
      </w:pPr>
      <w:bookmarkStart w:id="195" w:name="_Toc13555"/>
      <w:r>
        <w:rPr>
          <w:rFonts w:hint="eastAsia" w:asciiTheme="minorEastAsia" w:hAnsiTheme="minorEastAsia" w:eastAsiaTheme="minorEastAsia"/>
          <w:b/>
          <w:color w:val="auto"/>
          <w:sz w:val="28"/>
          <w:highlight w:val="none"/>
        </w:rPr>
        <w:t>第六章  投标文件格式</w:t>
      </w:r>
      <w:bookmarkEnd w:id="195"/>
    </w:p>
    <w:p w14:paraId="6B00C47E">
      <w:pPr>
        <w:spacing w:line="900" w:lineRule="exact"/>
        <w:jc w:val="center"/>
        <w:rPr>
          <w:rFonts w:asciiTheme="minorEastAsia" w:hAnsiTheme="minorEastAsia" w:eastAsiaTheme="minorEastAsia"/>
          <w:b/>
          <w:color w:val="auto"/>
          <w:sz w:val="72"/>
          <w:highlight w:val="none"/>
        </w:rPr>
      </w:pPr>
    </w:p>
    <w:p w14:paraId="5D83089B">
      <w:pPr>
        <w:jc w:val="center"/>
        <w:rPr>
          <w:rFonts w:ascii="宋体" w:hAnsi="宋体" w:eastAsia="宋体" w:cs="宋体"/>
          <w:b/>
          <w:color w:val="auto"/>
          <w:sz w:val="28"/>
          <w:szCs w:val="28"/>
          <w:highlight w:val="none"/>
          <w:bdr w:val="single" w:color="000000" w:sz="4" w:space="0"/>
        </w:rPr>
      </w:pPr>
      <w:r>
        <w:rPr>
          <w:rFonts w:hint="eastAsia" w:ascii="宋体" w:hAnsi="宋体" w:eastAsia="宋体" w:cs="宋体"/>
          <w:b/>
          <w:color w:val="auto"/>
          <w:sz w:val="28"/>
          <w:szCs w:val="28"/>
          <w:highlight w:val="none"/>
        </w:rPr>
        <w:t>一、资信证明格式文件</w:t>
      </w:r>
    </w:p>
    <w:p w14:paraId="60441468">
      <w:pPr>
        <w:jc w:val="center"/>
        <w:rPr>
          <w:rFonts w:ascii="宋体" w:hAnsi="宋体" w:eastAsia="宋体" w:cs="宋体"/>
          <w:color w:val="auto"/>
          <w:sz w:val="20"/>
          <w:highlight w:val="none"/>
        </w:rPr>
      </w:pPr>
    </w:p>
    <w:p w14:paraId="3039611F">
      <w:pPr>
        <w:rPr>
          <w:rFonts w:ascii="宋体" w:hAnsi="宋体" w:eastAsia="宋体" w:cs="宋体"/>
          <w:color w:val="auto"/>
          <w:sz w:val="20"/>
          <w:highlight w:val="none"/>
        </w:rPr>
      </w:pPr>
    </w:p>
    <w:p w14:paraId="70E3D338">
      <w:pPr>
        <w:jc w:val="center"/>
        <w:rPr>
          <w:rFonts w:ascii="宋体" w:hAnsi="宋体" w:eastAsia="宋体" w:cs="宋体"/>
          <w:b/>
          <w:color w:val="auto"/>
          <w:sz w:val="44"/>
          <w:szCs w:val="44"/>
          <w:highlight w:val="none"/>
        </w:rPr>
      </w:pPr>
      <w:bookmarkStart w:id="196" w:name="_Toc350698753"/>
      <w:bookmarkStart w:id="197" w:name="_Toc449028949"/>
      <w:r>
        <w:rPr>
          <w:rFonts w:hint="eastAsia" w:ascii="宋体" w:hAnsi="宋体" w:eastAsia="宋体" w:cs="宋体"/>
          <w:b/>
          <w:color w:val="auto"/>
          <w:sz w:val="44"/>
          <w:szCs w:val="44"/>
          <w:highlight w:val="none"/>
        </w:rPr>
        <w:t>资信证明文件</w:t>
      </w:r>
      <w:bookmarkEnd w:id="196"/>
      <w:bookmarkEnd w:id="197"/>
    </w:p>
    <w:p w14:paraId="7A905A14">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（投标文件一）</w:t>
      </w:r>
    </w:p>
    <w:p w14:paraId="240588ED">
      <w:pPr>
        <w:jc w:val="center"/>
        <w:rPr>
          <w:rFonts w:ascii="宋体" w:hAnsi="宋体" w:eastAsia="宋体" w:cs="宋体"/>
          <w:color w:val="auto"/>
          <w:sz w:val="44"/>
          <w:szCs w:val="44"/>
          <w:highlight w:val="none"/>
        </w:rPr>
      </w:pPr>
    </w:p>
    <w:p w14:paraId="5180A8C2">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项目</w:t>
      </w:r>
    </w:p>
    <w:p w14:paraId="17DFF6BD">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w:t>
      </w:r>
    </w:p>
    <w:p w14:paraId="2F4DD839">
      <w:pPr>
        <w:rPr>
          <w:rFonts w:ascii="宋体" w:hAnsi="宋体" w:eastAsia="宋体" w:cs="宋体"/>
          <w:color w:val="auto"/>
          <w:sz w:val="28"/>
          <w:szCs w:val="28"/>
          <w:highlight w:val="none"/>
        </w:rPr>
      </w:pPr>
    </w:p>
    <w:p w14:paraId="2D93585E">
      <w:pPr>
        <w:rPr>
          <w:rFonts w:ascii="宋体" w:hAnsi="宋体" w:eastAsia="宋体" w:cs="宋体"/>
          <w:color w:val="auto"/>
          <w:sz w:val="28"/>
          <w:szCs w:val="28"/>
          <w:highlight w:val="none"/>
        </w:rPr>
      </w:pPr>
    </w:p>
    <w:p w14:paraId="549A0197">
      <w:pPr>
        <w:rPr>
          <w:rFonts w:ascii="宋体" w:hAnsi="宋体" w:eastAsia="宋体" w:cs="宋体"/>
          <w:color w:val="auto"/>
          <w:sz w:val="28"/>
          <w:szCs w:val="28"/>
          <w:highlight w:val="none"/>
        </w:rPr>
      </w:pPr>
    </w:p>
    <w:p w14:paraId="002CBE0D">
      <w:pPr>
        <w:rPr>
          <w:rFonts w:ascii="宋体" w:hAnsi="宋体" w:eastAsia="宋体" w:cs="宋体"/>
          <w:color w:val="auto"/>
          <w:sz w:val="28"/>
          <w:szCs w:val="28"/>
          <w:highlight w:val="none"/>
        </w:rPr>
      </w:pPr>
    </w:p>
    <w:p w14:paraId="3E15EE6D">
      <w:pPr>
        <w:rPr>
          <w:rFonts w:ascii="宋体" w:hAnsi="宋体" w:eastAsia="宋体" w:cs="宋体"/>
          <w:color w:val="auto"/>
          <w:sz w:val="28"/>
          <w:szCs w:val="28"/>
          <w:highlight w:val="none"/>
        </w:rPr>
      </w:pPr>
    </w:p>
    <w:p w14:paraId="6FE7558E">
      <w:pPr>
        <w:rPr>
          <w:rFonts w:ascii="宋体" w:hAnsi="宋体" w:eastAsia="宋体" w:cs="宋体"/>
          <w:color w:val="auto"/>
          <w:sz w:val="28"/>
          <w:szCs w:val="28"/>
          <w:highlight w:val="none"/>
        </w:rPr>
      </w:pPr>
    </w:p>
    <w:p w14:paraId="240D77EE">
      <w:pPr>
        <w:rPr>
          <w:rFonts w:ascii="宋体" w:hAnsi="宋体" w:eastAsia="宋体" w:cs="宋体"/>
          <w:color w:val="auto"/>
          <w:sz w:val="28"/>
          <w:szCs w:val="28"/>
          <w:highlight w:val="none"/>
        </w:rPr>
      </w:pPr>
    </w:p>
    <w:p w14:paraId="1A8539A5">
      <w:pPr>
        <w:rPr>
          <w:rFonts w:ascii="宋体" w:hAnsi="宋体" w:eastAsia="宋体" w:cs="宋体"/>
          <w:color w:val="auto"/>
          <w:sz w:val="28"/>
          <w:szCs w:val="28"/>
          <w:highlight w:val="none"/>
        </w:rPr>
      </w:pPr>
    </w:p>
    <w:p w14:paraId="673EE585">
      <w:pPr>
        <w:jc w:val="cente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投标人：（盖单位章）</w:t>
      </w:r>
    </w:p>
    <w:p w14:paraId="04EC4AA9">
      <w:pPr>
        <w:ind w:firstLine="2800" w:firstLineChars="10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法定代表人：（签章）</w:t>
      </w:r>
    </w:p>
    <w:p w14:paraId="57875D5F">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年月日</w:t>
      </w:r>
    </w:p>
    <w:p w14:paraId="1364DF8C">
      <w:pPr>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22290756">
      <w:pPr>
        <w:jc w:val="center"/>
        <w:rPr>
          <w:rFonts w:ascii="宋体" w:hAnsi="宋体" w:eastAsia="宋体" w:cs="宋体"/>
          <w:b/>
          <w:color w:val="auto"/>
          <w:sz w:val="44"/>
          <w:szCs w:val="44"/>
          <w:highlight w:val="none"/>
        </w:rPr>
      </w:pPr>
      <w:r>
        <w:rPr>
          <w:rFonts w:hint="eastAsia" w:ascii="宋体" w:hAnsi="宋体" w:eastAsia="宋体" w:cs="宋体"/>
          <w:b/>
          <w:color w:val="auto"/>
          <w:sz w:val="36"/>
          <w:szCs w:val="36"/>
          <w:highlight w:val="none"/>
        </w:rPr>
        <w:t>目   录</w:t>
      </w:r>
    </w:p>
    <w:p w14:paraId="3A8348AB">
      <w:pPr>
        <w:spacing w:line="400" w:lineRule="exact"/>
        <w:ind w:firstLine="562" w:firstLineChars="200"/>
        <w:rPr>
          <w:rFonts w:ascii="宋体" w:hAnsi="宋体" w:eastAsia="宋体" w:cs="宋体"/>
          <w:b/>
          <w:color w:val="auto"/>
          <w:sz w:val="28"/>
          <w:szCs w:val="28"/>
          <w:highlight w:val="none"/>
        </w:rPr>
      </w:pPr>
    </w:p>
    <w:p w14:paraId="5983F7CD">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（1）投标人资格声明书（格式见附件）；</w:t>
      </w:r>
    </w:p>
    <w:p w14:paraId="1F17848A">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（2）授权书（格式见附件）；   </w:t>
      </w:r>
    </w:p>
    <w:p w14:paraId="2CE42938">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（3）投标人为企业（包括合伙企业）的，应提供有效的“营业执照”；</w:t>
      </w:r>
    </w:p>
    <w:p w14:paraId="540A3360">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投标人为事业单位的，应提供有效的“事业单位法人证书”；</w:t>
      </w:r>
    </w:p>
    <w:p w14:paraId="5631FC48">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投标人是非企业机构的，应提供有效的“执业许可证”、“登记证书”等证明文件；</w:t>
      </w:r>
    </w:p>
    <w:p w14:paraId="2F722FDB">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投标人是个体工商户的，应提供有效的“个体工商户营业执照”；</w:t>
      </w:r>
    </w:p>
    <w:p w14:paraId="49047A72">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投标人是自然人的，应提供有效的自然人身份证明；</w:t>
      </w:r>
    </w:p>
    <w:p w14:paraId="3C4FA73F">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（4）诚信投标承诺书（格式见附件）；</w:t>
      </w:r>
    </w:p>
    <w:p w14:paraId="307202F3">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（5）中小企业声明函，残疾人福利性企业（格式见附件）；</w:t>
      </w:r>
    </w:p>
    <w:p w14:paraId="7665231D">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（6）省级以上监狱管理局、戒毒管理局（含新疆生产建设兵团）出具的属于监狱企业的证明（如是）</w:t>
      </w:r>
    </w:p>
    <w:p w14:paraId="4D9E215A">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（7）招标文件中要求的资信评审和</w:t>
      </w:r>
      <w:r>
        <w:rPr>
          <w:rFonts w:hint="eastAsia" w:ascii="宋体" w:hAnsi="宋体" w:eastAsia="宋体" w:cs="宋体"/>
          <w:b/>
          <w:bCs/>
          <w:color w:val="auto"/>
          <w:szCs w:val="21"/>
          <w:highlight w:val="none"/>
        </w:rPr>
        <w:t>资信</w:t>
      </w:r>
      <w:r>
        <w:rPr>
          <w:rFonts w:hint="eastAsia" w:ascii="宋体" w:hAnsi="宋体" w:eastAsia="宋体" w:cs="宋体"/>
          <w:b/>
          <w:bCs/>
          <w:color w:val="auto"/>
          <w:szCs w:val="21"/>
          <w:highlight w:val="none"/>
          <w:lang w:val="en-US" w:eastAsia="zh-CN"/>
        </w:rPr>
        <w:t>部分</w:t>
      </w:r>
      <w:r>
        <w:rPr>
          <w:rFonts w:hint="eastAsia" w:ascii="宋体" w:hAnsi="宋体" w:eastAsia="宋体" w:cs="宋体"/>
          <w:b/>
          <w:bCs/>
          <w:color w:val="auto"/>
          <w:szCs w:val="21"/>
          <w:highlight w:val="none"/>
        </w:rPr>
        <w:t>评分</w:t>
      </w:r>
      <w:r>
        <w:rPr>
          <w:rFonts w:hint="eastAsia" w:ascii="宋体" w:hAnsi="宋体" w:eastAsia="宋体" w:cs="宋体"/>
          <w:b/>
          <w:bCs/>
          <w:color w:val="auto"/>
          <w:szCs w:val="21"/>
          <w:highlight w:val="none"/>
          <w:lang w:val="en-US" w:eastAsia="zh-CN"/>
        </w:rPr>
        <w:t>内容</w:t>
      </w:r>
      <w:r>
        <w:rPr>
          <w:rFonts w:hint="eastAsia" w:ascii="宋体" w:hAnsi="宋体" w:eastAsia="宋体" w:cs="宋体"/>
          <w:color w:val="auto"/>
          <w:szCs w:val="21"/>
          <w:highlight w:val="none"/>
        </w:rPr>
        <w:t>的支持资料；</w:t>
      </w:r>
    </w:p>
    <w:p w14:paraId="25C749F2">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（8）投标人认为需要提供的其他资信证明材料；</w:t>
      </w:r>
    </w:p>
    <w:p w14:paraId="10AB478E">
      <w:pPr>
        <w:spacing w:line="500" w:lineRule="exact"/>
        <w:jc w:val="left"/>
        <w:rPr>
          <w:rFonts w:ascii="宋体" w:hAnsi="宋体" w:eastAsia="宋体" w:cs="宋体"/>
          <w:color w:val="auto"/>
          <w:szCs w:val="21"/>
          <w:highlight w:val="none"/>
        </w:rPr>
      </w:pPr>
    </w:p>
    <w:p w14:paraId="021F2D4A">
      <w:pPr>
        <w:spacing w:line="360" w:lineRule="auto"/>
        <w:ind w:firstLine="420" w:firstLineChars="200"/>
        <w:rPr>
          <w:rFonts w:ascii="宋体" w:hAnsi="宋体" w:eastAsia="宋体" w:cs="宋体"/>
          <w:color w:val="auto"/>
          <w:szCs w:val="21"/>
          <w:highlight w:val="none"/>
        </w:rPr>
      </w:pPr>
    </w:p>
    <w:p w14:paraId="0ECE4F1B">
      <w:pPr>
        <w:rPr>
          <w:rFonts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5B708162">
      <w:pPr>
        <w:spacing w:line="360" w:lineRule="auto"/>
        <w:jc w:val="center"/>
        <w:outlineLvl w:val="1"/>
        <w:rPr>
          <w:rFonts w:asciiTheme="minorEastAsia" w:hAnsiTheme="minorEastAsia" w:eastAsiaTheme="minorEastAsia"/>
          <w:b/>
          <w:color w:val="auto"/>
          <w:sz w:val="24"/>
          <w:highlight w:val="none"/>
        </w:rPr>
      </w:pPr>
      <w:bookmarkStart w:id="198" w:name="_Toc31772"/>
      <w:r>
        <w:rPr>
          <w:rFonts w:hint="eastAsia" w:asciiTheme="minorEastAsia" w:hAnsiTheme="minorEastAsia" w:eastAsiaTheme="minorEastAsia"/>
          <w:b/>
          <w:color w:val="auto"/>
          <w:sz w:val="24"/>
          <w:highlight w:val="none"/>
        </w:rPr>
        <w:t>（1）投标人资格声明书</w:t>
      </w:r>
      <w:bookmarkEnd w:id="198"/>
    </w:p>
    <w:p w14:paraId="294F0C78">
      <w:pPr>
        <w:pStyle w:val="16"/>
        <w:spacing w:line="360" w:lineRule="auto"/>
        <w:rPr>
          <w:rFonts w:asciiTheme="minorEastAsia" w:hAnsiTheme="minorEastAsia" w:cstheme="minorEastAsia"/>
          <w:color w:val="auto"/>
          <w:sz w:val="24"/>
          <w:szCs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5188957F">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在参与本次项目投标中，我单位承诺：</w:t>
      </w:r>
    </w:p>
    <w:p w14:paraId="27158BBA">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（一）具有良好的商业信誉和健全的财务会计制度；</w:t>
      </w:r>
    </w:p>
    <w:p w14:paraId="4B7AF716">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（二）具有履行合同所必需的设备和专业技术能力；</w:t>
      </w:r>
    </w:p>
    <w:p w14:paraId="31AC423F">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（三）有依法缴纳税收和社会保障资金的良好记录；</w:t>
      </w:r>
    </w:p>
    <w:p w14:paraId="55C1135D">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3EA2845">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（五）我单位不属于政府采购法律、行政法规规定的公益一类事业单位、或使用事业编制且由财政拨款保障的群团组织（仅适用于政府购买服务项目）； </w:t>
      </w:r>
    </w:p>
    <w:p w14:paraId="430ACEED">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（六）我单位不存在为采购项目提供整体设计、规范编制或者项目管理、监理、检测等服务后，再参加该采购项目的其他采购活动的情形（单一来源采购项目除外）；</w:t>
      </w:r>
    </w:p>
    <w:p w14:paraId="76963EAA">
      <w:pPr>
        <w:widowControl/>
        <w:spacing w:line="360" w:lineRule="auto"/>
        <w:ind w:firstLine="480" w:firstLineChars="200"/>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（七）与我单位存在单位负责人为同一人或者存在直接控股、管理关系的其他法人单位信息如下（如有，不论其是否参加同一合同项下的政府采购活动均须填写）：</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B5A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074163D">
            <w:pPr>
              <w:widowControl/>
              <w:spacing w:beforeLines="50" w:after="10"/>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序号</w:t>
            </w:r>
          </w:p>
        </w:tc>
        <w:tc>
          <w:tcPr>
            <w:tcW w:w="2841" w:type="dxa"/>
          </w:tcPr>
          <w:p w14:paraId="781A181B">
            <w:pPr>
              <w:pStyle w:val="5"/>
              <w:spacing w:beforeLines="50" w:after="10"/>
              <w:jc w:val="center"/>
              <w:rPr>
                <w:rFonts w:asciiTheme="minorEastAsia" w:hAnsiTheme="minorEastAsia" w:eastAsiaTheme="minorEastAsia" w:cstheme="minorEastAsia"/>
                <w:color w:val="auto"/>
                <w:kern w:val="0"/>
                <w:sz w:val="24"/>
                <w:highlight w:val="none"/>
                <w:lang w:val="en-US"/>
              </w:rPr>
            </w:pPr>
            <w:r>
              <w:rPr>
                <w:rFonts w:hint="eastAsia" w:asciiTheme="minorEastAsia" w:hAnsiTheme="minorEastAsia" w:eastAsiaTheme="minorEastAsia" w:cstheme="minorEastAsia"/>
                <w:color w:val="auto"/>
                <w:kern w:val="0"/>
                <w:sz w:val="24"/>
                <w:highlight w:val="none"/>
                <w:lang w:val="en-US"/>
              </w:rPr>
              <w:t>单位名称</w:t>
            </w:r>
          </w:p>
        </w:tc>
        <w:tc>
          <w:tcPr>
            <w:tcW w:w="2841" w:type="dxa"/>
          </w:tcPr>
          <w:p w14:paraId="0826E6A9">
            <w:pPr>
              <w:pStyle w:val="5"/>
              <w:spacing w:beforeLines="50" w:after="10"/>
              <w:jc w:val="center"/>
              <w:rPr>
                <w:rFonts w:asciiTheme="minorEastAsia" w:hAnsiTheme="minorEastAsia" w:eastAsiaTheme="minorEastAsia" w:cstheme="minorEastAsia"/>
                <w:color w:val="auto"/>
                <w:kern w:val="0"/>
                <w:sz w:val="24"/>
                <w:highlight w:val="none"/>
                <w:lang w:val="en-US"/>
              </w:rPr>
            </w:pPr>
            <w:r>
              <w:rPr>
                <w:rFonts w:hint="eastAsia" w:asciiTheme="minorEastAsia" w:hAnsiTheme="minorEastAsia" w:eastAsiaTheme="minorEastAsia" w:cstheme="minorEastAsia"/>
                <w:color w:val="auto"/>
                <w:kern w:val="0"/>
                <w:sz w:val="24"/>
                <w:highlight w:val="none"/>
                <w:lang w:val="en-US"/>
              </w:rPr>
              <w:t>相互关系</w:t>
            </w:r>
          </w:p>
        </w:tc>
      </w:tr>
      <w:tr w14:paraId="61C8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55E84D0">
            <w:pPr>
              <w:pStyle w:val="5"/>
              <w:spacing w:beforeLines="50" w:after="10"/>
              <w:jc w:val="center"/>
              <w:rPr>
                <w:rFonts w:asciiTheme="minorEastAsia" w:hAnsiTheme="minorEastAsia" w:eastAsiaTheme="minorEastAsia" w:cstheme="minorEastAsia"/>
                <w:color w:val="auto"/>
                <w:kern w:val="0"/>
                <w:sz w:val="24"/>
                <w:highlight w:val="none"/>
                <w:lang w:val="en-US"/>
              </w:rPr>
            </w:pPr>
            <w:r>
              <w:rPr>
                <w:rFonts w:hint="eastAsia" w:asciiTheme="minorEastAsia" w:hAnsiTheme="minorEastAsia" w:eastAsiaTheme="minorEastAsia" w:cstheme="minorEastAsia"/>
                <w:color w:val="auto"/>
                <w:kern w:val="0"/>
                <w:sz w:val="24"/>
                <w:highlight w:val="none"/>
                <w:lang w:val="en-US"/>
              </w:rPr>
              <w:t>1</w:t>
            </w:r>
          </w:p>
        </w:tc>
        <w:tc>
          <w:tcPr>
            <w:tcW w:w="2841" w:type="dxa"/>
          </w:tcPr>
          <w:p w14:paraId="0DFE2043">
            <w:pPr>
              <w:pStyle w:val="5"/>
              <w:spacing w:beforeLines="50" w:after="10"/>
              <w:jc w:val="center"/>
              <w:rPr>
                <w:rFonts w:asciiTheme="minorEastAsia" w:hAnsiTheme="minorEastAsia" w:eastAsiaTheme="minorEastAsia" w:cstheme="minorEastAsia"/>
                <w:color w:val="auto"/>
                <w:kern w:val="0"/>
                <w:sz w:val="24"/>
                <w:highlight w:val="none"/>
                <w:lang w:val="en-US"/>
              </w:rPr>
            </w:pPr>
          </w:p>
        </w:tc>
        <w:tc>
          <w:tcPr>
            <w:tcW w:w="2841" w:type="dxa"/>
          </w:tcPr>
          <w:p w14:paraId="1DEAAFB2">
            <w:pPr>
              <w:pStyle w:val="5"/>
              <w:spacing w:beforeLines="50" w:after="10"/>
              <w:jc w:val="center"/>
              <w:rPr>
                <w:rFonts w:asciiTheme="minorEastAsia" w:hAnsiTheme="minorEastAsia" w:eastAsiaTheme="minorEastAsia" w:cstheme="minorEastAsia"/>
                <w:color w:val="auto"/>
                <w:kern w:val="0"/>
                <w:sz w:val="24"/>
                <w:highlight w:val="none"/>
                <w:lang w:val="en-US"/>
              </w:rPr>
            </w:pPr>
          </w:p>
        </w:tc>
      </w:tr>
      <w:tr w14:paraId="40E4E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75FF4B5">
            <w:pPr>
              <w:pStyle w:val="5"/>
              <w:spacing w:beforeLines="50" w:after="10"/>
              <w:jc w:val="center"/>
              <w:rPr>
                <w:rFonts w:asciiTheme="minorEastAsia" w:hAnsiTheme="minorEastAsia" w:eastAsiaTheme="minorEastAsia" w:cstheme="minorEastAsia"/>
                <w:color w:val="auto"/>
                <w:kern w:val="0"/>
                <w:sz w:val="24"/>
                <w:highlight w:val="none"/>
                <w:lang w:val="en-US"/>
              </w:rPr>
            </w:pPr>
            <w:r>
              <w:rPr>
                <w:rFonts w:hint="eastAsia" w:asciiTheme="minorEastAsia" w:hAnsiTheme="minorEastAsia" w:eastAsiaTheme="minorEastAsia" w:cstheme="minorEastAsia"/>
                <w:color w:val="auto"/>
                <w:kern w:val="0"/>
                <w:sz w:val="24"/>
                <w:highlight w:val="none"/>
                <w:lang w:val="en-US"/>
              </w:rPr>
              <w:t>2</w:t>
            </w:r>
          </w:p>
        </w:tc>
        <w:tc>
          <w:tcPr>
            <w:tcW w:w="2841" w:type="dxa"/>
          </w:tcPr>
          <w:p w14:paraId="40938302">
            <w:pPr>
              <w:pStyle w:val="5"/>
              <w:spacing w:beforeLines="50" w:after="10"/>
              <w:jc w:val="center"/>
              <w:rPr>
                <w:rFonts w:asciiTheme="minorEastAsia" w:hAnsiTheme="minorEastAsia" w:eastAsiaTheme="minorEastAsia" w:cstheme="minorEastAsia"/>
                <w:color w:val="auto"/>
                <w:kern w:val="0"/>
                <w:sz w:val="24"/>
                <w:highlight w:val="none"/>
                <w:lang w:val="en-US"/>
              </w:rPr>
            </w:pPr>
          </w:p>
        </w:tc>
        <w:tc>
          <w:tcPr>
            <w:tcW w:w="2841" w:type="dxa"/>
          </w:tcPr>
          <w:p w14:paraId="3751A565">
            <w:pPr>
              <w:pStyle w:val="5"/>
              <w:spacing w:beforeLines="50" w:after="10"/>
              <w:jc w:val="center"/>
              <w:rPr>
                <w:rFonts w:asciiTheme="minorEastAsia" w:hAnsiTheme="minorEastAsia" w:eastAsiaTheme="minorEastAsia" w:cstheme="minorEastAsia"/>
                <w:color w:val="auto"/>
                <w:kern w:val="0"/>
                <w:sz w:val="24"/>
                <w:highlight w:val="none"/>
                <w:lang w:val="en-US"/>
              </w:rPr>
            </w:pPr>
          </w:p>
        </w:tc>
      </w:tr>
    </w:tbl>
    <w:p w14:paraId="0D6DF94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38882CD7">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p>
    <w:p w14:paraId="3BF579F3">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p>
    <w:p w14:paraId="5D44BFDA">
      <w:pPr>
        <w:spacing w:line="360" w:lineRule="auto"/>
        <w:ind w:firstLine="420" w:firstLineChars="200"/>
        <w:rPr>
          <w:rFonts w:ascii="宋体" w:hAnsi="宋体" w:eastAsia="宋体" w:cs="宋体"/>
          <w:color w:val="auto"/>
          <w:szCs w:val="21"/>
          <w:highlight w:val="none"/>
        </w:rPr>
      </w:pPr>
    </w:p>
    <w:p w14:paraId="5FEA7281">
      <w:pPr>
        <w:spacing w:line="360" w:lineRule="auto"/>
        <w:ind w:firstLine="420" w:firstLineChars="200"/>
        <w:rPr>
          <w:rFonts w:ascii="宋体" w:hAnsi="宋体" w:eastAsia="宋体" w:cs="宋体"/>
          <w:color w:val="auto"/>
          <w:szCs w:val="21"/>
          <w:highlight w:val="none"/>
        </w:rPr>
      </w:pPr>
    </w:p>
    <w:p w14:paraId="70642FDF">
      <w:pPr>
        <w:rPr>
          <w:rFonts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4DCA7095">
      <w:pPr>
        <w:spacing w:line="360" w:lineRule="auto"/>
        <w:jc w:val="center"/>
        <w:outlineLvl w:val="1"/>
        <w:rPr>
          <w:rFonts w:asciiTheme="minorEastAsia" w:hAnsiTheme="minorEastAsia" w:eastAsiaTheme="minorEastAsia"/>
          <w:b/>
          <w:bCs/>
          <w:color w:val="auto"/>
          <w:sz w:val="24"/>
          <w:highlight w:val="none"/>
        </w:rPr>
      </w:pPr>
      <w:bookmarkStart w:id="199" w:name="_Toc19138"/>
      <w:r>
        <w:rPr>
          <w:rFonts w:hint="eastAsia" w:ascii="宋体" w:hAnsi="宋体" w:eastAsia="宋体" w:cs="宋体"/>
          <w:b/>
          <w:bCs/>
          <w:color w:val="auto"/>
          <w:szCs w:val="21"/>
          <w:highlight w:val="none"/>
        </w:rPr>
        <w:t>（2）</w:t>
      </w:r>
      <w:r>
        <w:rPr>
          <w:rFonts w:hint="eastAsia" w:asciiTheme="minorEastAsia" w:hAnsiTheme="minorEastAsia" w:eastAsiaTheme="minorEastAsia"/>
          <w:b/>
          <w:bCs/>
          <w:color w:val="auto"/>
          <w:sz w:val="24"/>
          <w:highlight w:val="none"/>
        </w:rPr>
        <w:t>授权书</w:t>
      </w:r>
      <w:bookmarkEnd w:id="199"/>
    </w:p>
    <w:p w14:paraId="49280E76">
      <w:pPr>
        <w:pStyle w:val="15"/>
        <w:snapToGrid w:val="0"/>
        <w:spacing w:line="360" w:lineRule="auto"/>
        <w:ind w:firstLine="480" w:firstLineChars="200"/>
        <w:jc w:val="left"/>
        <w:rPr>
          <w:rFonts w:hAnsi="宋体" w:eastAsia="宋体"/>
          <w:color w:val="auto"/>
          <w:sz w:val="24"/>
          <w:szCs w:val="28"/>
          <w:highlight w:val="none"/>
        </w:rPr>
      </w:pPr>
    </w:p>
    <w:p w14:paraId="55EC10DA">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书声明：（投标人名称）授权（投标人授权代表姓名）代表我方参加本项目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405173D9">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19541EF4">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eastAsia="宋体"/>
          <w:color w:val="auto"/>
          <w:sz w:val="24"/>
          <w:highlight w:val="none"/>
        </w:rPr>
        <w:t>身份证明扫描件：</w:t>
      </w:r>
    </w:p>
    <w:p w14:paraId="42549B19">
      <w:pPr>
        <w:spacing w:line="360" w:lineRule="auto"/>
        <w:ind w:firstLine="435"/>
        <w:rPr>
          <w:rFonts w:asciiTheme="minorEastAsia" w:hAnsiTheme="minorEastAsia" w:eastAsiaTheme="minorEastAsia"/>
          <w:color w:val="auto"/>
          <w:sz w:val="24"/>
          <w:highlight w:val="none"/>
        </w:rPr>
      </w:pPr>
    </w:p>
    <w:p w14:paraId="3ED3A5FE">
      <w:pPr>
        <w:spacing w:line="360" w:lineRule="auto"/>
        <w:ind w:firstLine="435"/>
        <w:rPr>
          <w:rFonts w:asciiTheme="minorEastAsia" w:hAnsiTheme="minorEastAsia" w:eastAsiaTheme="minorEastAsia"/>
          <w:color w:val="auto"/>
          <w:sz w:val="24"/>
          <w:highlight w:val="none"/>
        </w:rPr>
      </w:pPr>
    </w:p>
    <w:p w14:paraId="49605243">
      <w:pPr>
        <w:spacing w:line="360" w:lineRule="auto"/>
        <w:ind w:firstLine="435"/>
        <w:rPr>
          <w:rFonts w:asciiTheme="minorEastAsia" w:hAnsiTheme="minorEastAsia" w:eastAsiaTheme="minorEastAsia"/>
          <w:color w:val="auto"/>
          <w:sz w:val="24"/>
          <w:highlight w:val="none"/>
        </w:rPr>
      </w:pPr>
    </w:p>
    <w:p w14:paraId="2C50D0B5">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0E79D980">
      <w:pPr>
        <w:spacing w:line="360" w:lineRule="auto"/>
        <w:ind w:firstLine="435"/>
        <w:rPr>
          <w:rFonts w:hAnsi="宋体" w:eastAsia="宋体"/>
          <w:color w:val="auto"/>
          <w:sz w:val="24"/>
          <w:szCs w:val="28"/>
          <w:highlight w:val="none"/>
          <w:lang w:val="zh-CN"/>
        </w:rPr>
      </w:pPr>
    </w:p>
    <w:p w14:paraId="4B879310">
      <w:pPr>
        <w:spacing w:line="360" w:lineRule="auto"/>
        <w:ind w:firstLine="435"/>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14:paraId="55080D5C">
      <w:pPr>
        <w:spacing w:line="360" w:lineRule="auto"/>
        <w:rPr>
          <w:rFonts w:ascii="宋体" w:hAnsi="宋体" w:eastAsia="宋体"/>
          <w:color w:val="auto"/>
          <w:sz w:val="24"/>
          <w:szCs w:val="28"/>
          <w:highlight w:val="none"/>
        </w:rPr>
      </w:pPr>
    </w:p>
    <w:p w14:paraId="47691D3A">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p>
    <w:p w14:paraId="0D1905AD">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p>
    <w:p w14:paraId="35007D1C">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36EA1E0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1.本项目只允许有唯一的投标人授权代表，提供身份证明扫描件；</w:t>
      </w:r>
    </w:p>
    <w:p w14:paraId="4267D60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2.法定代表人参加投标的无需提供授权书，提供身份证明扫描件。</w:t>
      </w:r>
    </w:p>
    <w:p w14:paraId="52030172">
      <w:pPr>
        <w:spacing w:line="360" w:lineRule="auto"/>
        <w:ind w:firstLine="420" w:firstLineChars="200"/>
        <w:rPr>
          <w:rFonts w:ascii="宋体" w:hAnsi="宋体" w:eastAsia="宋体" w:cs="宋体"/>
          <w:color w:val="auto"/>
          <w:szCs w:val="21"/>
          <w:highlight w:val="none"/>
        </w:rPr>
      </w:pPr>
    </w:p>
    <w:p w14:paraId="6F7AD784">
      <w:pPr>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7DA6D935">
      <w:pPr>
        <w:spacing w:line="360" w:lineRule="auto"/>
        <w:jc w:val="center"/>
        <w:outlineLvl w:val="1"/>
        <w:rPr>
          <w:rFonts w:asciiTheme="minorEastAsia" w:hAnsiTheme="minorEastAsia" w:eastAsiaTheme="minorEastAsia"/>
          <w:b/>
          <w:color w:val="auto"/>
          <w:sz w:val="24"/>
          <w:highlight w:val="none"/>
        </w:rPr>
      </w:pPr>
      <w:bookmarkStart w:id="200" w:name="_Toc13454"/>
      <w:r>
        <w:rPr>
          <w:rFonts w:hint="eastAsia" w:asciiTheme="minorEastAsia" w:hAnsiTheme="minorEastAsia" w:eastAsiaTheme="minorEastAsia"/>
          <w:b/>
          <w:color w:val="auto"/>
          <w:sz w:val="24"/>
          <w:highlight w:val="none"/>
        </w:rPr>
        <w:t>（3）诚信投标承诺书</w:t>
      </w:r>
      <w:bookmarkEnd w:id="200"/>
    </w:p>
    <w:p w14:paraId="0817F4E1">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本人以企业法定代表人的身份郑重承诺：</w:t>
      </w:r>
    </w:p>
    <w:p w14:paraId="2ED4232E">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一、将遵循公开、公正和诚实信用的原则自愿参加项目的投标，所提供的一切材料都是真实、有效、合法的；</w:t>
      </w:r>
    </w:p>
    <w:p w14:paraId="62BACBBC">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4181535A">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三、不出借、转让资质证书，不让他人挂靠投标，不以他人名义投标或者以其他方式弄虚作假，骗取中标；</w:t>
      </w:r>
    </w:p>
    <w:p w14:paraId="1A461E70">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四、不与其他投标人相互串通投标报价，不排挤其他投标人的公平竞争、损害招标人的合法权益；</w:t>
      </w:r>
    </w:p>
    <w:p w14:paraId="08B82868">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五、不与招标人、招标代理机构或其他投标人串通投标，损害国家利益、社会公共利益或者他人的合法权益；</w:t>
      </w:r>
    </w:p>
    <w:p w14:paraId="44F8F78F">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六、</w:t>
      </w:r>
      <w:r>
        <w:rPr>
          <w:rFonts w:hint="eastAsia" w:ascii="宋体" w:hAnsi="宋体" w:eastAsia="宋体" w:cs="宋体"/>
          <w:color w:val="auto"/>
          <w:szCs w:val="21"/>
          <w:highlight w:val="none"/>
          <w:u w:val="single"/>
        </w:rPr>
        <w:t xml:space="preserve">       （企业名称）</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u w:val="single"/>
        </w:rPr>
        <w:t xml:space="preserve">       （企业名称）</w:t>
      </w:r>
      <w:r>
        <w:rPr>
          <w:rFonts w:hint="eastAsia" w:ascii="宋体" w:hAnsi="宋体" w:eastAsia="宋体" w:cs="宋体"/>
          <w:color w:val="auto"/>
          <w:szCs w:val="21"/>
          <w:highlight w:val="none"/>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w:t>
      </w:r>
      <w:r>
        <w:rPr>
          <w:rFonts w:hint="eastAsia" w:ascii="宋体" w:hAnsi="宋体" w:eastAsia="宋体" w:cs="宋体"/>
          <w:color w:val="auto"/>
          <w:szCs w:val="21"/>
          <w:highlight w:val="none"/>
          <w:lang w:eastAsia="zh-CN"/>
        </w:rPr>
        <w:t>呈批表</w:t>
      </w:r>
      <w:r>
        <w:rPr>
          <w:rFonts w:hint="eastAsia" w:ascii="宋体" w:hAnsi="宋体" w:eastAsia="宋体" w:cs="宋体"/>
          <w:color w:val="auto"/>
          <w:szCs w:val="21"/>
          <w:highlight w:val="none"/>
        </w:rPr>
        <w:t>所属分公司、办事处等分支机构有上述1-7项信誉要求，在此一并承诺我公司所属分公司、办事处等分支机构没有上述1-7项情形）</w:t>
      </w:r>
    </w:p>
    <w:p w14:paraId="10E9C657">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七、严格遵守开标现场纪律，服从监管人员管理；</w:t>
      </w:r>
    </w:p>
    <w:p w14:paraId="7BD40547">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八、保证中标后不转包，若有分包征得招标人同意；</w:t>
      </w:r>
    </w:p>
    <w:p w14:paraId="70B5E884">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九、保证中标之后，按照投标文件要求提供相关后续服务；</w:t>
      </w:r>
    </w:p>
    <w:p w14:paraId="1ABBF6E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十、保证企业及所属相关人员在本次投标中无行贿等犯罪行为；</w:t>
      </w:r>
    </w:p>
    <w:p w14:paraId="1C41E49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2F43D085">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以上内容我已仔细阅读，本公司若有违反承诺内容的行为，自愿接受取消投标或者中标资格、中标无效、记入不良行为记录等有关处理，愿意承担法律责任，给招标人造成损失的，依法承担赔偿责任。</w:t>
      </w:r>
    </w:p>
    <w:p w14:paraId="4BBAE935">
      <w:pPr>
        <w:spacing w:line="500" w:lineRule="exact"/>
        <w:ind w:firstLine="420" w:firstLineChars="200"/>
        <w:rPr>
          <w:rFonts w:ascii="宋体" w:hAnsi="宋体" w:eastAsia="宋体" w:cs="宋体"/>
          <w:color w:val="auto"/>
          <w:szCs w:val="21"/>
          <w:highlight w:val="none"/>
        </w:rPr>
      </w:pPr>
    </w:p>
    <w:p w14:paraId="2910B8F7">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开户银行：                      基本账户：</w:t>
      </w:r>
    </w:p>
    <w:p w14:paraId="65A0420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投标单位（签章）：              法定代表人（签章）：</w:t>
      </w:r>
    </w:p>
    <w:p w14:paraId="0772F8D4">
      <w:pPr>
        <w:spacing w:line="500" w:lineRule="exact"/>
        <w:ind w:firstLine="420" w:firstLineChars="200"/>
        <w:rPr>
          <w:rFonts w:ascii="宋体" w:hAnsi="宋体" w:eastAsia="宋体" w:cs="宋体"/>
          <w:color w:val="auto"/>
          <w:szCs w:val="21"/>
          <w:highlight w:val="none"/>
        </w:rPr>
      </w:pPr>
    </w:p>
    <w:p w14:paraId="168594A7">
      <w:pPr>
        <w:widowControl/>
        <w:ind w:firstLine="3780" w:firstLineChars="1800"/>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日期：年 月 </w:t>
      </w:r>
    </w:p>
    <w:p w14:paraId="2FEBE5C8">
      <w:pPr>
        <w:widowControl/>
        <w:ind w:firstLine="3780" w:firstLineChars="1800"/>
        <w:jc w:val="left"/>
        <w:rPr>
          <w:rFonts w:ascii="宋体" w:hAnsi="宋体" w:eastAsia="宋体" w:cs="宋体"/>
          <w:color w:val="auto"/>
          <w:szCs w:val="21"/>
          <w:highlight w:val="none"/>
          <w:u w:val="single"/>
        </w:rPr>
      </w:pPr>
    </w:p>
    <w:p w14:paraId="1D3695A8">
      <w:pPr>
        <w:widowControl/>
        <w:ind w:firstLine="3780" w:firstLineChars="1800"/>
        <w:jc w:val="left"/>
        <w:rPr>
          <w:rFonts w:ascii="宋体" w:hAnsi="宋体" w:eastAsia="宋体" w:cs="宋体"/>
          <w:color w:val="auto"/>
          <w:szCs w:val="21"/>
          <w:highlight w:val="none"/>
          <w:u w:val="single"/>
        </w:rPr>
      </w:pPr>
    </w:p>
    <w:p w14:paraId="54EC9371">
      <w:pP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39C832DF">
      <w:pPr>
        <w:spacing w:line="360" w:lineRule="auto"/>
        <w:jc w:val="center"/>
        <w:outlineLvl w:val="1"/>
        <w:rPr>
          <w:rFonts w:ascii="宋体" w:hAnsi="宋体" w:eastAsia="宋体"/>
          <w:b/>
          <w:color w:val="auto"/>
          <w:sz w:val="24"/>
          <w:szCs w:val="24"/>
          <w:highlight w:val="none"/>
        </w:rPr>
      </w:pPr>
      <w:bookmarkStart w:id="201" w:name="_Toc21472"/>
      <w:r>
        <w:rPr>
          <w:rFonts w:hint="eastAsia" w:ascii="宋体" w:hAnsi="宋体" w:eastAsia="宋体" w:cs="宋体"/>
          <w:b/>
          <w:color w:val="auto"/>
          <w:sz w:val="24"/>
          <w:szCs w:val="24"/>
          <w:highlight w:val="none"/>
        </w:rPr>
        <w:t>（4）中小企业声明函</w:t>
      </w:r>
      <w:bookmarkEnd w:id="201"/>
    </w:p>
    <w:p w14:paraId="06CCC1B8">
      <w:pPr>
        <w:pStyle w:val="23"/>
        <w:spacing w:before="0" w:after="120" w:afterAutospacing="0"/>
        <w:jc w:val="center"/>
        <w:rPr>
          <w:rFonts w:ascii="宋体" w:hAnsi="宋体" w:eastAsia="宋体" w:cs="@微软简标宋"/>
          <w:color w:val="auto"/>
          <w:kern w:val="2"/>
          <w:szCs w:val="24"/>
          <w:highlight w:val="none"/>
        </w:rPr>
      </w:pPr>
      <w:r>
        <w:rPr>
          <w:rFonts w:hint="eastAsia" w:ascii="宋体" w:hAnsi="宋体" w:eastAsia="宋体" w:cs="宋体"/>
          <w:i/>
          <w:color w:val="auto"/>
          <w:kern w:val="2"/>
          <w:szCs w:val="24"/>
          <w:highlight w:val="none"/>
        </w:rPr>
        <w:t>（非中小企业投标，不需此件，请删去“中小企业声明函”）</w:t>
      </w:r>
    </w:p>
    <w:p w14:paraId="6C386887">
      <w:pPr>
        <w:spacing w:line="360" w:lineRule="auto"/>
        <w:ind w:firstLine="435"/>
        <w:rPr>
          <w:rFonts w:ascii="宋体" w:hAnsi="宋体" w:eastAsia="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）采购活动，服务全部由符合政策要求的中小企业承接。相关企业（含联合体中的中小企业、签订分包意向协议的中小企业）的具体情况如下：</w:t>
      </w:r>
    </w:p>
    <w:p w14:paraId="610C2AF7">
      <w:pPr>
        <w:spacing w:line="360" w:lineRule="auto"/>
        <w:ind w:firstLine="435"/>
        <w:rPr>
          <w:rFonts w:ascii="宋体" w:hAnsi="宋体" w:eastAsia="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，从业人员人，营业收入为万元，资产总额为万元，属于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5B65C198">
      <w:pPr>
        <w:spacing w:line="360" w:lineRule="auto"/>
        <w:ind w:firstLine="435"/>
        <w:rPr>
          <w:rFonts w:ascii="宋体" w:hAnsi="宋体" w:eastAsia="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，从业人员人，营业收入为万元，资产总额为万元，属于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2DD38175">
      <w:pPr>
        <w:spacing w:line="360" w:lineRule="auto"/>
        <w:ind w:firstLine="435"/>
        <w:rPr>
          <w:rFonts w:ascii="宋体" w:hAnsi="宋体" w:eastAsia="宋体"/>
          <w:color w:val="auto"/>
          <w:sz w:val="24"/>
          <w:szCs w:val="24"/>
          <w:highlight w:val="none"/>
        </w:rPr>
      </w:pPr>
      <w:r>
        <w:rPr>
          <w:rFonts w:hint="eastAsia" w:ascii="宋体" w:hAnsi="宋体" w:eastAsia="宋体" w:cs="宋体"/>
          <w:color w:val="auto"/>
          <w:sz w:val="24"/>
          <w:szCs w:val="24"/>
          <w:highlight w:val="none"/>
        </w:rPr>
        <w:t>……</w:t>
      </w:r>
    </w:p>
    <w:p w14:paraId="20A840BC">
      <w:pPr>
        <w:spacing w:line="360" w:lineRule="auto"/>
        <w:ind w:firstLine="435"/>
        <w:rPr>
          <w:rFonts w:ascii="宋体" w:hAnsi="宋体" w:eastAsia="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58E36BB8">
      <w:pPr>
        <w:spacing w:line="360" w:lineRule="auto"/>
        <w:ind w:firstLine="435"/>
        <w:rPr>
          <w:rFonts w:ascii="宋体" w:hAnsi="宋体" w:eastAsia="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000E0A0E">
      <w:pPr>
        <w:spacing w:line="360" w:lineRule="auto"/>
        <w:rPr>
          <w:rFonts w:ascii="宋体" w:hAnsi="宋体" w:eastAsia="宋体"/>
          <w:color w:val="auto"/>
          <w:sz w:val="24"/>
          <w:szCs w:val="24"/>
          <w:highlight w:val="none"/>
        </w:rPr>
      </w:pPr>
    </w:p>
    <w:p w14:paraId="16E60991">
      <w:pPr>
        <w:spacing w:line="360" w:lineRule="auto"/>
        <w:ind w:firstLine="4228" w:firstLineChars="1762"/>
        <w:rPr>
          <w:rFonts w:ascii="宋体" w:hAnsi="宋体" w:eastAsia="宋体"/>
          <w:color w:val="auto"/>
          <w:sz w:val="24"/>
          <w:szCs w:val="24"/>
          <w:highlight w:val="none"/>
          <w:u w:val="single"/>
        </w:rPr>
      </w:pPr>
      <w:r>
        <w:rPr>
          <w:rFonts w:hint="eastAsia" w:ascii="宋体" w:hAnsi="宋体" w:eastAsia="宋体" w:cs="宋体"/>
          <w:color w:val="auto"/>
          <w:sz w:val="24"/>
          <w:szCs w:val="24"/>
          <w:highlight w:val="none"/>
        </w:rPr>
        <w:t>投标人电子签章：</w:t>
      </w:r>
    </w:p>
    <w:p w14:paraId="79F0D6A1">
      <w:pPr>
        <w:tabs>
          <w:tab w:val="left" w:pos="4620"/>
        </w:tabs>
        <w:spacing w:line="360" w:lineRule="auto"/>
        <w:ind w:firstLine="4252" w:firstLineChars="1772"/>
        <w:rPr>
          <w:rFonts w:ascii="宋体" w:hAnsi="宋体" w:eastAsia="宋体"/>
          <w:color w:val="auto"/>
          <w:sz w:val="24"/>
          <w:szCs w:val="24"/>
          <w:highlight w:val="none"/>
          <w:u w:val="single"/>
        </w:rPr>
      </w:pPr>
      <w:r>
        <w:rPr>
          <w:rFonts w:hint="eastAsia" w:ascii="宋体" w:hAnsi="宋体" w:eastAsia="宋体" w:cs="宋体"/>
          <w:color w:val="auto"/>
          <w:sz w:val="24"/>
          <w:szCs w:val="24"/>
          <w:highlight w:val="none"/>
        </w:rPr>
        <w:t>日期：</w:t>
      </w:r>
    </w:p>
    <w:p w14:paraId="27615C45">
      <w:pPr>
        <w:tabs>
          <w:tab w:val="left" w:pos="4620"/>
        </w:tabs>
        <w:spacing w:line="360" w:lineRule="auto"/>
        <w:jc w:val="left"/>
        <w:rPr>
          <w:rFonts w:ascii="宋体" w:hAnsi="宋体" w:eastAsia="宋体"/>
          <w:b/>
          <w:color w:val="auto"/>
          <w:szCs w:val="21"/>
          <w:highlight w:val="none"/>
        </w:rPr>
      </w:pPr>
      <w:r>
        <w:rPr>
          <w:rFonts w:hint="eastAsia" w:ascii="宋体" w:hAnsi="宋体" w:eastAsia="宋体" w:cs="宋体"/>
          <w:b/>
          <w:color w:val="auto"/>
          <w:szCs w:val="21"/>
          <w:highlight w:val="none"/>
        </w:rPr>
        <w:t>注：</w:t>
      </w:r>
    </w:p>
    <w:p w14:paraId="115FF630">
      <w:pPr>
        <w:tabs>
          <w:tab w:val="left" w:pos="4620"/>
        </w:tabs>
        <w:spacing w:line="360" w:lineRule="auto"/>
        <w:rPr>
          <w:rFonts w:ascii="宋体" w:hAnsi="宋体" w:eastAsia="宋体"/>
          <w:color w:val="auto"/>
          <w:szCs w:val="21"/>
          <w:highlight w:val="none"/>
        </w:rPr>
      </w:pPr>
      <w:r>
        <w:rPr>
          <w:rFonts w:hint="eastAsia" w:ascii="宋体" w:hAnsi="宋体" w:eastAsia="宋体"/>
          <w:color w:val="auto"/>
          <w:szCs w:val="21"/>
          <w:highlight w:val="none"/>
        </w:rPr>
        <w:t>1.从业人员、营业收入、资产总额填报上一年数据，无上一年数据的新成立企业可不填报。</w:t>
      </w:r>
    </w:p>
    <w:p w14:paraId="6FB0B849">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如有虚假，将依法承担相应责任。投标人自行登录工业和信息化部官网进行中小企业规模类型自测（查询网址https://www.miit.gov.cn/）。</w:t>
      </w:r>
    </w:p>
    <w:p w14:paraId="51188B2B">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rPr>
        <w:t>标的名称</w:t>
      </w:r>
      <w:r>
        <w:rPr>
          <w:rFonts w:hint="eastAsia" w:ascii="宋体" w:hAnsi="宋体" w:eastAsia="宋体" w:cs="宋体"/>
          <w:b/>
          <w:bCs/>
          <w:color w:val="auto"/>
          <w:szCs w:val="21"/>
          <w:highlight w:val="none"/>
        </w:rPr>
        <w:t>”，详见第三章采购需求前附表中明确的“标的名称”。</w:t>
      </w:r>
    </w:p>
    <w:p w14:paraId="25125CB6">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”，详见第三章采购需求前附表中明确的“所属行业”。</w:t>
      </w:r>
    </w:p>
    <w:p w14:paraId="34C9D760">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rPr>
        <w:t>某标的名称</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u w:val="single"/>
        </w:rPr>
        <w:t>填写第三章采购需求前附表中明确的“标的名称”</w:t>
      </w:r>
      <w:r>
        <w:rPr>
          <w:rFonts w:hint="eastAsia" w:ascii="宋体" w:hAnsi="宋体" w:eastAsia="宋体" w:cs="宋体"/>
          <w:b/>
          <w:bCs/>
          <w:color w:val="auto"/>
          <w:szCs w:val="21"/>
          <w:highlight w:val="none"/>
        </w:rPr>
        <w:t>），属于</w:t>
      </w:r>
      <w:r>
        <w:rPr>
          <w:rFonts w:hint="eastAsia" w:ascii="宋体" w:hAnsi="宋体" w:eastAsia="宋体" w:cs="宋体"/>
          <w:b/>
          <w:bCs/>
          <w:color w:val="auto"/>
          <w:szCs w:val="21"/>
          <w:highlight w:val="none"/>
          <w:u w:val="single"/>
        </w:rPr>
        <w:t>（填写第三章采购需求前附表中明确的“所属行业”，如软件和信息技术服务业）</w:t>
      </w:r>
      <w:r>
        <w:rPr>
          <w:rFonts w:hint="eastAsia" w:ascii="宋体" w:hAnsi="宋体" w:eastAsia="宋体" w:cs="宋体"/>
          <w:b/>
          <w:bCs/>
          <w:color w:val="auto"/>
          <w:szCs w:val="21"/>
          <w:highlight w:val="none"/>
        </w:rPr>
        <w:t>行业；承接企业为</w:t>
      </w:r>
      <w:r>
        <w:rPr>
          <w:rFonts w:hint="eastAsia" w:ascii="宋体" w:hAnsi="宋体" w:eastAsia="宋体" w:cs="宋体"/>
          <w:b/>
          <w:bCs/>
          <w:color w:val="auto"/>
          <w:szCs w:val="21"/>
          <w:highlight w:val="none"/>
          <w:u w:val="single"/>
        </w:rPr>
        <w:t>某企业</w:t>
      </w:r>
      <w:r>
        <w:rPr>
          <w:rFonts w:hint="eastAsia" w:ascii="宋体" w:hAnsi="宋体" w:eastAsia="宋体" w:cs="宋体"/>
          <w:b/>
          <w:bCs/>
          <w:color w:val="auto"/>
          <w:szCs w:val="21"/>
          <w:highlight w:val="none"/>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rPr>
        <w:t>人，营业收入为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rPr>
        <w:t>万元，资产总额为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rPr>
        <w:t>万元，属于中</w:t>
      </w:r>
      <w:r>
        <w:rPr>
          <w:rFonts w:hint="eastAsia" w:ascii="宋体" w:hAnsi="宋体" w:eastAsia="宋体" w:cs="宋体"/>
          <w:b/>
          <w:bCs/>
          <w:color w:val="auto"/>
          <w:szCs w:val="21"/>
          <w:highlight w:val="none"/>
          <w:u w:val="single"/>
        </w:rPr>
        <w:t>型</w:t>
      </w:r>
      <w:r>
        <w:rPr>
          <w:rFonts w:hint="eastAsia" w:ascii="宋体" w:hAnsi="宋体" w:eastAsia="宋体" w:cs="宋体"/>
          <w:b/>
          <w:bCs/>
          <w:color w:val="auto"/>
          <w:szCs w:val="21"/>
          <w:highlight w:val="none"/>
        </w:rPr>
        <w:t>企业[投标人自行登录工业和信息化部官网进行中小企业规模类型自测（查询网址https://www.miit.gov.cn/）]。</w:t>
      </w:r>
    </w:p>
    <w:p w14:paraId="689B421F">
      <w:pPr>
        <w:pStyle w:val="23"/>
        <w:spacing w:before="0" w:after="120" w:afterAutospacing="0"/>
        <w:jc w:val="both"/>
        <w:rPr>
          <w:rFonts w:ascii="宋体" w:hAnsi="宋体" w:eastAsia="宋体" w:cs="@微软简标宋"/>
          <w:b/>
          <w:bCs/>
          <w:color w:val="auto"/>
          <w:kern w:val="2"/>
          <w:sz w:val="21"/>
          <w:szCs w:val="21"/>
          <w:highlight w:val="none"/>
        </w:rPr>
      </w:pPr>
    </w:p>
    <w:p w14:paraId="77AF4E34">
      <w:pPr>
        <w:rPr>
          <w:rFonts w:ascii="宋体" w:hAnsi="宋体" w:eastAsia="宋体"/>
          <w:b/>
          <w:color w:val="auto"/>
          <w:sz w:val="24"/>
          <w:szCs w:val="24"/>
          <w:highlight w:val="none"/>
        </w:rPr>
      </w:pPr>
    </w:p>
    <w:p w14:paraId="722B10B2">
      <w:pPr>
        <w:rPr>
          <w:rFonts w:ascii="宋体" w:hAnsi="宋体" w:eastAsia="宋体"/>
          <w:b/>
          <w:color w:val="auto"/>
          <w:sz w:val="24"/>
          <w:szCs w:val="24"/>
          <w:highlight w:val="none"/>
        </w:rPr>
      </w:pPr>
    </w:p>
    <w:p w14:paraId="1C9AB34A">
      <w:pPr>
        <w:rPr>
          <w:rFonts w:ascii="宋体" w:hAnsi="宋体" w:eastAsia="宋体"/>
          <w:b/>
          <w:color w:val="auto"/>
          <w:sz w:val="24"/>
          <w:szCs w:val="24"/>
          <w:highlight w:val="none"/>
        </w:rPr>
      </w:pPr>
    </w:p>
    <w:p w14:paraId="0EF84365">
      <w:pPr>
        <w:ind w:firstLine="1928" w:firstLineChars="800"/>
        <w:rPr>
          <w:rFonts w:ascii="宋体" w:hAnsi="宋体" w:eastAsia="宋体"/>
          <w:b/>
          <w:color w:val="auto"/>
          <w:sz w:val="24"/>
          <w:szCs w:val="24"/>
          <w:highlight w:val="none"/>
        </w:rPr>
      </w:pPr>
      <w:r>
        <w:rPr>
          <w:rFonts w:hint="eastAsia" w:ascii="宋体" w:hAnsi="宋体" w:eastAsia="宋体" w:cs="宋体"/>
          <w:b/>
          <w:color w:val="auto"/>
          <w:sz w:val="24"/>
          <w:szCs w:val="24"/>
          <w:highlight w:val="none"/>
        </w:rPr>
        <w:t>（5）残疾人福利性单位声明函</w:t>
      </w:r>
    </w:p>
    <w:p w14:paraId="258863FB">
      <w:pPr>
        <w:pStyle w:val="23"/>
        <w:spacing w:before="0" w:after="120" w:afterAutospacing="0"/>
        <w:jc w:val="center"/>
        <w:rPr>
          <w:rFonts w:ascii="宋体" w:hAnsi="宋体" w:eastAsia="宋体" w:cs="@微软简标宋"/>
          <w:i/>
          <w:color w:val="auto"/>
          <w:kern w:val="2"/>
          <w:szCs w:val="24"/>
          <w:highlight w:val="none"/>
        </w:rPr>
      </w:pPr>
      <w:r>
        <w:rPr>
          <w:rFonts w:hint="eastAsia" w:ascii="宋体" w:hAnsi="宋体" w:eastAsia="宋体" w:cs="宋体"/>
          <w:i/>
          <w:color w:val="auto"/>
          <w:kern w:val="2"/>
          <w:szCs w:val="24"/>
          <w:highlight w:val="none"/>
        </w:rPr>
        <w:t>（非残疾人福利性单位投标，请删去“残疾人福利性单位声明函”）</w:t>
      </w:r>
    </w:p>
    <w:p w14:paraId="231CC660">
      <w:pPr>
        <w:spacing w:line="360" w:lineRule="auto"/>
        <w:ind w:firstLine="435"/>
        <w:rPr>
          <w:rFonts w:ascii="宋体" w:hAnsi="宋体" w:eastAsia="宋体"/>
          <w:color w:val="auto"/>
          <w:spacing w:val="6"/>
          <w:sz w:val="24"/>
          <w:szCs w:val="24"/>
          <w:highlight w:val="none"/>
        </w:rPr>
      </w:pPr>
      <w:r>
        <w:rPr>
          <w:rFonts w:hint="eastAsia" w:ascii="宋体" w:hAnsi="宋体" w:eastAsia="宋体" w:cs="宋体"/>
          <w:color w:val="auto"/>
          <w:spacing w:val="6"/>
          <w:sz w:val="24"/>
          <w:szCs w:val="24"/>
          <w:highlight w:val="none"/>
        </w:rPr>
        <w:t>本单位</w:t>
      </w:r>
      <w:r>
        <w:rPr>
          <w:rFonts w:hint="eastAsia" w:ascii="宋体" w:hAnsi="宋体" w:eastAsia="宋体" w:cs="宋体"/>
          <w:color w:val="auto"/>
          <w:sz w:val="24"/>
          <w:szCs w:val="24"/>
          <w:highlight w:val="none"/>
        </w:rPr>
        <w:t>郑重</w:t>
      </w:r>
      <w:r>
        <w:rPr>
          <w:rFonts w:hint="eastAsia" w:ascii="宋体" w:hAnsi="宋体" w:eastAsia="宋体" w:cs="宋体"/>
          <w:color w:val="auto"/>
          <w:spacing w:val="6"/>
          <w:sz w:val="24"/>
          <w:szCs w:val="24"/>
          <w:highlight w:val="none"/>
        </w:rPr>
        <w:t>声明，根据《财政部民政部中国残疾人联合会关于促进残疾人就业政府采购政策的通知》（财库</w:t>
      </w:r>
      <w:r>
        <w:rPr>
          <w:rFonts w:hint="eastAsia" w:ascii="宋体" w:hAnsi="宋体" w:eastAsia="宋体" w:cs="宋体"/>
          <w:color w:val="auto"/>
          <w:sz w:val="24"/>
          <w:szCs w:val="24"/>
          <w:highlight w:val="none"/>
        </w:rPr>
        <w:t>〔2017〕141</w:t>
      </w:r>
      <w:r>
        <w:rPr>
          <w:rFonts w:hint="eastAsia" w:ascii="宋体" w:hAnsi="宋体" w:eastAsia="宋体" w:cs="宋体"/>
          <w:color w:val="auto"/>
          <w:spacing w:val="6"/>
          <w:sz w:val="24"/>
          <w:szCs w:val="24"/>
          <w:highlight w:val="none"/>
        </w:rPr>
        <w:t>号）的规定，本单位为</w:t>
      </w:r>
      <w:r>
        <w:rPr>
          <w:rFonts w:hint="eastAsia" w:ascii="宋体" w:hAnsi="宋体" w:eastAsia="宋体" w:cs="宋体"/>
          <w:bCs/>
          <w:color w:val="auto"/>
          <w:sz w:val="24"/>
          <w:szCs w:val="24"/>
          <w:highlight w:val="none"/>
        </w:rPr>
        <w:t>符合</w:t>
      </w:r>
      <w:r>
        <w:rPr>
          <w:rFonts w:hint="eastAsia" w:ascii="宋体" w:hAnsi="宋体" w:eastAsia="宋体" w:cs="宋体"/>
          <w:color w:val="auto"/>
          <w:spacing w:val="6"/>
          <w:sz w:val="24"/>
          <w:szCs w:val="24"/>
          <w:highlight w:val="none"/>
        </w:rPr>
        <w:t>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4207CC6">
      <w:pPr>
        <w:spacing w:line="360" w:lineRule="auto"/>
        <w:ind w:firstLine="435"/>
        <w:rPr>
          <w:rFonts w:ascii="宋体" w:hAnsi="宋体" w:eastAsia="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6C9B5BAC">
      <w:pPr>
        <w:spacing w:line="360" w:lineRule="auto"/>
        <w:ind w:firstLine="4228" w:firstLineChars="1762"/>
        <w:rPr>
          <w:rFonts w:ascii="宋体" w:hAnsi="宋体" w:eastAsia="宋体"/>
          <w:color w:val="auto"/>
          <w:sz w:val="24"/>
          <w:szCs w:val="24"/>
          <w:highlight w:val="none"/>
        </w:rPr>
      </w:pPr>
    </w:p>
    <w:p w14:paraId="763C960D">
      <w:pPr>
        <w:spacing w:line="360" w:lineRule="auto"/>
        <w:ind w:firstLine="4228" w:firstLineChars="1762"/>
        <w:rPr>
          <w:rFonts w:ascii="宋体" w:hAnsi="宋体" w:eastAsia="宋体"/>
          <w:color w:val="auto"/>
          <w:sz w:val="24"/>
          <w:szCs w:val="24"/>
          <w:highlight w:val="none"/>
        </w:rPr>
      </w:pPr>
    </w:p>
    <w:p w14:paraId="2DB4CCA4">
      <w:pPr>
        <w:spacing w:line="360" w:lineRule="auto"/>
        <w:ind w:firstLine="4228" w:firstLineChars="1762"/>
        <w:rPr>
          <w:rFonts w:ascii="宋体" w:hAnsi="宋体" w:eastAsia="宋体"/>
          <w:color w:val="auto"/>
          <w:sz w:val="24"/>
          <w:szCs w:val="24"/>
          <w:highlight w:val="none"/>
          <w:u w:val="single"/>
        </w:rPr>
      </w:pPr>
      <w:r>
        <w:rPr>
          <w:rFonts w:hint="eastAsia" w:ascii="宋体" w:hAnsi="宋体" w:eastAsia="宋体" w:cs="宋体"/>
          <w:color w:val="auto"/>
          <w:sz w:val="24"/>
          <w:szCs w:val="24"/>
          <w:highlight w:val="none"/>
        </w:rPr>
        <w:t>投标人电子签章：</w:t>
      </w:r>
    </w:p>
    <w:p w14:paraId="1C5588DE">
      <w:pPr>
        <w:spacing w:line="360" w:lineRule="auto"/>
        <w:ind w:firstLine="4228" w:firstLineChars="1762"/>
        <w:rPr>
          <w:color w:val="auto"/>
          <w:highlight w:val="none"/>
        </w:rPr>
      </w:pPr>
      <w:r>
        <w:rPr>
          <w:rFonts w:hint="eastAsia" w:ascii="宋体" w:hAnsi="宋体" w:eastAsia="宋体" w:cs="宋体"/>
          <w:color w:val="auto"/>
          <w:sz w:val="24"/>
          <w:szCs w:val="24"/>
          <w:highlight w:val="none"/>
        </w:rPr>
        <w:t>日期：</w:t>
      </w:r>
    </w:p>
    <w:p w14:paraId="4E8B3F13">
      <w:pPr>
        <w:widowControl/>
        <w:ind w:firstLine="3780" w:firstLineChars="1800"/>
        <w:jc w:val="left"/>
        <w:rPr>
          <w:rFonts w:ascii="宋体" w:hAnsi="宋体" w:eastAsia="宋体" w:cs="宋体"/>
          <w:color w:val="auto"/>
          <w:szCs w:val="21"/>
          <w:highlight w:val="none"/>
          <w:u w:val="single"/>
        </w:rPr>
      </w:pPr>
    </w:p>
    <w:p w14:paraId="36379FBB">
      <w:pPr>
        <w:widowControl/>
        <w:ind w:firstLine="3780" w:firstLineChars="1800"/>
        <w:jc w:val="left"/>
        <w:rPr>
          <w:rFonts w:ascii="宋体" w:hAnsi="宋体" w:eastAsia="宋体" w:cs="宋体"/>
          <w:color w:val="auto"/>
          <w:szCs w:val="21"/>
          <w:highlight w:val="none"/>
          <w:u w:val="single"/>
        </w:rPr>
      </w:pPr>
    </w:p>
    <w:p w14:paraId="5FE4E30B">
      <w:pPr>
        <w:widowControl/>
        <w:jc w:val="left"/>
        <w:rPr>
          <w:rFonts w:eastAsia="宋体" w:asciiTheme="minorEastAsia" w:hAnsiTheme="minorEastAsia"/>
          <w:b/>
          <w:color w:val="auto"/>
          <w:sz w:val="28"/>
          <w:highlight w:val="none"/>
        </w:rPr>
      </w:pPr>
    </w:p>
    <w:p w14:paraId="18DCC0C8">
      <w:pPr>
        <w:rPr>
          <w:rFonts w:asciiTheme="minorEastAsia" w:hAnsiTheme="minorEastAsia" w:eastAsiaTheme="minorEastAsia"/>
          <w:b/>
          <w:color w:val="auto"/>
          <w:sz w:val="24"/>
          <w:highlight w:val="none"/>
        </w:rPr>
      </w:pPr>
      <w:bookmarkStart w:id="202" w:name="_Toc28960"/>
      <w:bookmarkStart w:id="203" w:name="_Toc17986"/>
    </w:p>
    <w:p w14:paraId="6FA7BF29">
      <w:pPr>
        <w:pageBreakBefore/>
        <w:wordWrap w:val="0"/>
        <w:spacing w:before="100" w:beforeAutospacing="1" w:after="100" w:afterAutospacing="1"/>
        <w:jc w:val="center"/>
        <w:rPr>
          <w:rFonts w:ascii="宋体" w:hAnsi="宋体" w:eastAsia="宋体" w:cs="宋体"/>
          <w:b/>
          <w:color w:val="auto"/>
          <w:sz w:val="28"/>
          <w:szCs w:val="28"/>
          <w:highlight w:val="none"/>
          <w:bdr w:val="single" w:color="000000" w:sz="4" w:space="0"/>
        </w:rPr>
      </w:pPr>
      <w:r>
        <w:rPr>
          <w:rFonts w:hint="eastAsia" w:ascii="宋体" w:hAnsi="宋体" w:eastAsia="宋体" w:cs="宋体"/>
          <w:b/>
          <w:color w:val="auto"/>
          <w:sz w:val="28"/>
          <w:szCs w:val="28"/>
          <w:highlight w:val="none"/>
        </w:rPr>
        <w:t>二、技术标格式文件</w:t>
      </w:r>
    </w:p>
    <w:p w14:paraId="7CE3291C">
      <w:pPr>
        <w:jc w:val="center"/>
        <w:rPr>
          <w:rFonts w:ascii="宋体" w:hAnsi="宋体" w:eastAsia="宋体" w:cs="宋体"/>
          <w:b/>
          <w:color w:val="auto"/>
          <w:sz w:val="44"/>
          <w:szCs w:val="44"/>
          <w:highlight w:val="none"/>
        </w:rPr>
      </w:pPr>
      <w:bookmarkStart w:id="204" w:name="_Toc387149626"/>
      <w:bookmarkStart w:id="205" w:name="_Toc449028953"/>
    </w:p>
    <w:p w14:paraId="35DF43D1">
      <w:pPr>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技术标</w:t>
      </w:r>
      <w:bookmarkEnd w:id="204"/>
      <w:bookmarkEnd w:id="205"/>
    </w:p>
    <w:p w14:paraId="488E2548">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（投标文件二）</w:t>
      </w:r>
    </w:p>
    <w:p w14:paraId="7B9ECF8D">
      <w:pPr>
        <w:jc w:val="center"/>
        <w:rPr>
          <w:rFonts w:ascii="宋体" w:hAnsi="宋体" w:eastAsia="宋体" w:cs="宋体"/>
          <w:color w:val="auto"/>
          <w:sz w:val="44"/>
          <w:szCs w:val="44"/>
          <w:highlight w:val="none"/>
        </w:rPr>
      </w:pPr>
    </w:p>
    <w:p w14:paraId="682A9049">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项目</w:t>
      </w:r>
    </w:p>
    <w:p w14:paraId="62B5F6A5">
      <w:pPr>
        <w:jc w:val="center"/>
        <w:rPr>
          <w:rFonts w:ascii="宋体" w:hAnsi="宋体" w:eastAsia="宋体" w:cs="宋体"/>
          <w:color w:val="auto"/>
          <w:sz w:val="44"/>
          <w:szCs w:val="44"/>
          <w:highlight w:val="none"/>
        </w:rPr>
      </w:pPr>
      <w:r>
        <w:rPr>
          <w:rFonts w:hint="eastAsia" w:ascii="宋体" w:hAnsi="宋体" w:eastAsia="宋体" w:cs="宋体"/>
          <w:color w:val="auto"/>
          <w:sz w:val="28"/>
          <w:szCs w:val="28"/>
          <w:highlight w:val="none"/>
        </w:rPr>
        <w:t>项目编号</w:t>
      </w:r>
    </w:p>
    <w:p w14:paraId="61A31F7D">
      <w:pPr>
        <w:rPr>
          <w:rFonts w:ascii="宋体" w:hAnsi="宋体" w:eastAsia="宋体" w:cs="宋体"/>
          <w:color w:val="auto"/>
          <w:sz w:val="28"/>
          <w:szCs w:val="28"/>
          <w:highlight w:val="none"/>
        </w:rPr>
      </w:pPr>
    </w:p>
    <w:p w14:paraId="3B4B6F0D">
      <w:pPr>
        <w:rPr>
          <w:rFonts w:ascii="宋体" w:hAnsi="宋体" w:eastAsia="宋体" w:cs="宋体"/>
          <w:color w:val="auto"/>
          <w:sz w:val="28"/>
          <w:szCs w:val="28"/>
          <w:highlight w:val="none"/>
        </w:rPr>
      </w:pPr>
    </w:p>
    <w:p w14:paraId="78B82F48">
      <w:pPr>
        <w:tabs>
          <w:tab w:val="left" w:pos="2579"/>
        </w:tabs>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ab/>
      </w:r>
    </w:p>
    <w:p w14:paraId="0DB717CA">
      <w:pPr>
        <w:rPr>
          <w:rFonts w:ascii="宋体" w:hAnsi="宋体" w:eastAsia="宋体" w:cs="宋体"/>
          <w:color w:val="auto"/>
          <w:sz w:val="28"/>
          <w:szCs w:val="28"/>
          <w:highlight w:val="none"/>
        </w:rPr>
      </w:pPr>
    </w:p>
    <w:p w14:paraId="5A680F53">
      <w:pPr>
        <w:rPr>
          <w:rFonts w:ascii="宋体" w:hAnsi="宋体" w:eastAsia="宋体" w:cs="宋体"/>
          <w:color w:val="auto"/>
          <w:sz w:val="28"/>
          <w:szCs w:val="28"/>
          <w:highlight w:val="none"/>
        </w:rPr>
      </w:pPr>
    </w:p>
    <w:p w14:paraId="14EA2726">
      <w:pPr>
        <w:rPr>
          <w:rFonts w:ascii="宋体" w:hAnsi="宋体" w:eastAsia="宋体" w:cs="宋体"/>
          <w:color w:val="auto"/>
          <w:sz w:val="28"/>
          <w:szCs w:val="28"/>
          <w:highlight w:val="none"/>
        </w:rPr>
      </w:pPr>
    </w:p>
    <w:p w14:paraId="7DFDA4C9">
      <w:pPr>
        <w:rPr>
          <w:rFonts w:ascii="宋体" w:hAnsi="宋体" w:eastAsia="宋体" w:cs="宋体"/>
          <w:color w:val="auto"/>
          <w:sz w:val="28"/>
          <w:szCs w:val="28"/>
          <w:highlight w:val="none"/>
        </w:rPr>
      </w:pPr>
    </w:p>
    <w:p w14:paraId="30FEBAF8">
      <w:pPr>
        <w:jc w:val="cente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投标人：（盖单位章）</w:t>
      </w:r>
    </w:p>
    <w:p w14:paraId="2BC35454">
      <w:pPr>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法定代表人：（签章）</w:t>
      </w:r>
    </w:p>
    <w:p w14:paraId="4D776E4A">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年月日</w:t>
      </w:r>
    </w:p>
    <w:p w14:paraId="63817981">
      <w:pPr>
        <w:rPr>
          <w:rFonts w:ascii="宋体" w:hAnsi="宋体" w:eastAsia="宋体" w:cs="宋体"/>
          <w:b/>
          <w:color w:val="auto"/>
          <w:sz w:val="24"/>
          <w:highlight w:val="none"/>
        </w:rPr>
      </w:pPr>
    </w:p>
    <w:p w14:paraId="717207E6">
      <w:pPr>
        <w:rPr>
          <w:rFonts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0DF274E8">
      <w:pPr>
        <w:pageBreakBefore/>
        <w:spacing w:line="400" w:lineRule="exact"/>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目   录</w:t>
      </w:r>
    </w:p>
    <w:p w14:paraId="5506BCEB">
      <w:pPr>
        <w:spacing w:line="400" w:lineRule="exact"/>
        <w:rPr>
          <w:rFonts w:ascii="宋体"/>
          <w:color w:val="auto"/>
          <w:szCs w:val="21"/>
          <w:highlight w:val="none"/>
        </w:rPr>
      </w:pPr>
    </w:p>
    <w:p w14:paraId="4A7C391D">
      <w:pPr>
        <w:spacing w:line="5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（1）投标响应表（格式见附件）；</w:t>
      </w:r>
    </w:p>
    <w:p w14:paraId="374A9339">
      <w:pPr>
        <w:spacing w:line="5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（2）服务方案：为本项目实施所采用的技术措施和实施方案等；</w:t>
      </w:r>
    </w:p>
    <w:p w14:paraId="5A6FD824">
      <w:pPr>
        <w:spacing w:line="5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（3）诚信履约承诺函；</w:t>
      </w:r>
    </w:p>
    <w:p w14:paraId="795E2559">
      <w:pPr>
        <w:spacing w:line="5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（4）招标文件技术标评审中要求提交的其他材料；</w:t>
      </w:r>
    </w:p>
    <w:p w14:paraId="1D0DF1BC">
      <w:pPr>
        <w:spacing w:line="5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（5）招标文件中要求的技术标评审及</w:t>
      </w:r>
      <w:r>
        <w:rPr>
          <w:rFonts w:hint="eastAsia" w:ascii="宋体" w:hAnsi="宋体" w:eastAsia="宋体" w:cs="宋体"/>
          <w:b/>
          <w:bCs/>
          <w:color w:val="auto"/>
          <w:sz w:val="24"/>
          <w:szCs w:val="24"/>
          <w:highlight w:val="none"/>
        </w:rPr>
        <w:t>技术</w:t>
      </w:r>
      <w:r>
        <w:rPr>
          <w:rFonts w:hint="eastAsia" w:ascii="宋体" w:hAnsi="宋体" w:eastAsia="宋体" w:cs="宋体"/>
          <w:b/>
          <w:bCs/>
          <w:color w:val="auto"/>
          <w:sz w:val="24"/>
          <w:szCs w:val="24"/>
          <w:highlight w:val="none"/>
          <w:lang w:val="en-US" w:eastAsia="zh-CN"/>
        </w:rPr>
        <w:t>部分</w:t>
      </w:r>
      <w:r>
        <w:rPr>
          <w:rFonts w:hint="eastAsia" w:ascii="宋体" w:hAnsi="宋体" w:eastAsia="宋体" w:cs="宋体"/>
          <w:color w:val="auto"/>
          <w:sz w:val="24"/>
          <w:szCs w:val="24"/>
          <w:highlight w:val="none"/>
        </w:rPr>
        <w:t>评分</w:t>
      </w:r>
      <w:r>
        <w:rPr>
          <w:rFonts w:hint="eastAsia" w:ascii="宋体" w:hAnsi="宋体" w:eastAsia="宋体" w:cs="宋体"/>
          <w:color w:val="auto"/>
          <w:sz w:val="24"/>
          <w:szCs w:val="24"/>
          <w:highlight w:val="none"/>
          <w:lang w:val="en-US" w:eastAsia="zh-CN"/>
        </w:rPr>
        <w:t>内容</w:t>
      </w:r>
      <w:r>
        <w:rPr>
          <w:rFonts w:hint="eastAsia" w:ascii="宋体" w:hAnsi="宋体" w:eastAsia="宋体" w:cs="宋体"/>
          <w:color w:val="auto"/>
          <w:sz w:val="24"/>
          <w:szCs w:val="24"/>
          <w:highlight w:val="none"/>
        </w:rPr>
        <w:t>的支持资料；</w:t>
      </w:r>
    </w:p>
    <w:p w14:paraId="099A4BBC">
      <w:pPr>
        <w:spacing w:line="5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（6）投标人认为需要提供的其他技术证明材料；</w:t>
      </w:r>
    </w:p>
    <w:p w14:paraId="2430F889">
      <w:pPr>
        <w:spacing w:line="5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（7）其他（如有）。</w:t>
      </w:r>
    </w:p>
    <w:p w14:paraId="22D6D80C">
      <w:pPr>
        <w:spacing w:line="500" w:lineRule="exact"/>
        <w:rPr>
          <w:rFonts w:ascii="宋体" w:hAnsi="宋体" w:eastAsia="宋体" w:cs="宋体"/>
          <w:b/>
          <w:color w:val="auto"/>
          <w:sz w:val="24"/>
          <w:szCs w:val="24"/>
          <w:highlight w:val="none"/>
        </w:rPr>
      </w:pPr>
    </w:p>
    <w:p w14:paraId="1A1C1616">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bookmarkStart w:id="206" w:name="_Toc1533"/>
      <w:r>
        <w:rPr>
          <w:rFonts w:hint="eastAsia" w:asciiTheme="minorEastAsia" w:hAnsiTheme="minorEastAsia" w:eastAsiaTheme="minorEastAsia"/>
          <w:b/>
          <w:color w:val="auto"/>
          <w:sz w:val="24"/>
          <w:highlight w:val="none"/>
        </w:rPr>
        <w:t>（1）投标响应表</w:t>
      </w:r>
      <w:bookmarkEnd w:id="206"/>
    </w:p>
    <w:p w14:paraId="4992A02F">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4D41A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4DB0175E">
            <w:pPr>
              <w:pStyle w:val="1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2935531F">
            <w:pPr>
              <w:pStyle w:val="15"/>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700CAE07">
            <w:pPr>
              <w:pStyle w:val="1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招标文件要求</w:t>
            </w:r>
          </w:p>
        </w:tc>
        <w:tc>
          <w:tcPr>
            <w:tcW w:w="1510" w:type="pct"/>
            <w:vAlign w:val="center"/>
          </w:tcPr>
          <w:p w14:paraId="5AADF964">
            <w:pPr>
              <w:pStyle w:val="1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投标人承诺</w:t>
            </w:r>
          </w:p>
        </w:tc>
        <w:tc>
          <w:tcPr>
            <w:tcW w:w="475" w:type="pct"/>
            <w:vAlign w:val="center"/>
          </w:tcPr>
          <w:p w14:paraId="7A0BD6D7">
            <w:pPr>
              <w:pStyle w:val="1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40CED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5A9621B">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551791D4">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44D4483A">
            <w:pPr>
              <w:jc w:val="center"/>
              <w:rPr>
                <w:rFonts w:asciiTheme="minorEastAsia" w:hAnsiTheme="minorEastAsia" w:eastAsiaTheme="minorEastAsia"/>
                <w:color w:val="auto"/>
                <w:sz w:val="24"/>
                <w:highlight w:val="none"/>
              </w:rPr>
            </w:pPr>
          </w:p>
        </w:tc>
        <w:tc>
          <w:tcPr>
            <w:tcW w:w="1510" w:type="pct"/>
            <w:vAlign w:val="center"/>
          </w:tcPr>
          <w:p w14:paraId="14325B5F">
            <w:pPr>
              <w:jc w:val="center"/>
              <w:rPr>
                <w:rFonts w:asciiTheme="minorEastAsia" w:hAnsiTheme="minorEastAsia" w:eastAsiaTheme="minorEastAsia"/>
                <w:color w:val="auto"/>
                <w:sz w:val="24"/>
                <w:highlight w:val="none"/>
              </w:rPr>
            </w:pPr>
          </w:p>
        </w:tc>
        <w:tc>
          <w:tcPr>
            <w:tcW w:w="475" w:type="pct"/>
            <w:vAlign w:val="center"/>
          </w:tcPr>
          <w:p w14:paraId="491302F4">
            <w:pPr>
              <w:jc w:val="center"/>
              <w:rPr>
                <w:rFonts w:asciiTheme="minorEastAsia" w:hAnsiTheme="minorEastAsia" w:eastAsiaTheme="minorEastAsia"/>
                <w:color w:val="auto"/>
                <w:sz w:val="24"/>
                <w:highlight w:val="none"/>
              </w:rPr>
            </w:pPr>
          </w:p>
        </w:tc>
      </w:tr>
      <w:tr w14:paraId="55281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BB613D4">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2D4299D9">
            <w:pPr>
              <w:jc w:val="center"/>
              <w:rPr>
                <w:rFonts w:ascii="宋体" w:hAnsi="宋体" w:eastAsia="宋体"/>
                <w:color w:val="auto"/>
                <w:sz w:val="24"/>
                <w:highlight w:val="none"/>
              </w:rPr>
            </w:pPr>
            <w:r>
              <w:rPr>
                <w:rFonts w:hint="eastAsia" w:ascii="宋体" w:hAnsi="宋体" w:eastAsia="宋体"/>
                <w:color w:val="auto"/>
                <w:sz w:val="24"/>
                <w:highlight w:val="none"/>
              </w:rPr>
              <w:t>服务地点</w:t>
            </w:r>
          </w:p>
        </w:tc>
        <w:tc>
          <w:tcPr>
            <w:tcW w:w="1465" w:type="pct"/>
            <w:vAlign w:val="center"/>
          </w:tcPr>
          <w:p w14:paraId="28AC8A5F">
            <w:pPr>
              <w:jc w:val="center"/>
              <w:rPr>
                <w:rFonts w:asciiTheme="minorEastAsia" w:hAnsiTheme="minorEastAsia" w:eastAsiaTheme="minorEastAsia"/>
                <w:color w:val="auto"/>
                <w:sz w:val="24"/>
                <w:highlight w:val="none"/>
              </w:rPr>
            </w:pPr>
          </w:p>
        </w:tc>
        <w:tc>
          <w:tcPr>
            <w:tcW w:w="1510" w:type="pct"/>
            <w:vAlign w:val="center"/>
          </w:tcPr>
          <w:p w14:paraId="146281F8">
            <w:pPr>
              <w:jc w:val="center"/>
              <w:rPr>
                <w:rFonts w:asciiTheme="minorEastAsia" w:hAnsiTheme="minorEastAsia" w:eastAsiaTheme="minorEastAsia"/>
                <w:color w:val="auto"/>
                <w:sz w:val="24"/>
                <w:highlight w:val="none"/>
              </w:rPr>
            </w:pPr>
          </w:p>
        </w:tc>
        <w:tc>
          <w:tcPr>
            <w:tcW w:w="475" w:type="pct"/>
            <w:vAlign w:val="center"/>
          </w:tcPr>
          <w:p w14:paraId="4FBAC164">
            <w:pPr>
              <w:jc w:val="center"/>
              <w:rPr>
                <w:rFonts w:asciiTheme="minorEastAsia" w:hAnsiTheme="minorEastAsia" w:eastAsiaTheme="minorEastAsia"/>
                <w:color w:val="auto"/>
                <w:sz w:val="24"/>
                <w:highlight w:val="none"/>
              </w:rPr>
            </w:pPr>
          </w:p>
        </w:tc>
      </w:tr>
      <w:tr w14:paraId="3834C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8478EC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07C44104">
            <w:pPr>
              <w:jc w:val="center"/>
              <w:rPr>
                <w:rFonts w:ascii="宋体" w:hAnsi="宋体" w:eastAsia="宋体"/>
                <w:color w:val="auto"/>
                <w:sz w:val="24"/>
                <w:highlight w:val="none"/>
              </w:rPr>
            </w:pPr>
            <w:r>
              <w:rPr>
                <w:rFonts w:hint="eastAsia" w:ascii="宋体" w:hAnsi="宋体" w:eastAsia="宋体"/>
                <w:color w:val="auto"/>
                <w:sz w:val="24"/>
                <w:highlight w:val="none"/>
              </w:rPr>
              <w:t>服务期限</w:t>
            </w:r>
          </w:p>
        </w:tc>
        <w:tc>
          <w:tcPr>
            <w:tcW w:w="1465" w:type="pct"/>
            <w:vAlign w:val="center"/>
          </w:tcPr>
          <w:p w14:paraId="2B8EC922">
            <w:pPr>
              <w:jc w:val="center"/>
              <w:rPr>
                <w:rFonts w:asciiTheme="minorEastAsia" w:hAnsiTheme="minorEastAsia" w:eastAsiaTheme="minorEastAsia"/>
                <w:color w:val="auto"/>
                <w:sz w:val="24"/>
                <w:highlight w:val="none"/>
              </w:rPr>
            </w:pPr>
          </w:p>
        </w:tc>
        <w:tc>
          <w:tcPr>
            <w:tcW w:w="1510" w:type="pct"/>
            <w:vAlign w:val="center"/>
          </w:tcPr>
          <w:p w14:paraId="4B20F3AD">
            <w:pPr>
              <w:pStyle w:val="54"/>
              <w:jc w:val="center"/>
              <w:rPr>
                <w:rFonts w:asciiTheme="minorEastAsia" w:hAnsiTheme="minorEastAsia" w:eastAsiaTheme="minorEastAsia"/>
                <w:color w:val="auto"/>
                <w:highlight w:val="none"/>
              </w:rPr>
            </w:pPr>
          </w:p>
        </w:tc>
        <w:tc>
          <w:tcPr>
            <w:tcW w:w="475" w:type="pct"/>
            <w:vAlign w:val="center"/>
          </w:tcPr>
          <w:p w14:paraId="29096693">
            <w:pPr>
              <w:jc w:val="center"/>
              <w:rPr>
                <w:rFonts w:asciiTheme="minorEastAsia" w:hAnsiTheme="minorEastAsia" w:eastAsiaTheme="minorEastAsia"/>
                <w:color w:val="auto"/>
                <w:sz w:val="24"/>
                <w:highlight w:val="none"/>
              </w:rPr>
            </w:pPr>
          </w:p>
        </w:tc>
      </w:tr>
      <w:tr w14:paraId="047C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EE0FE5C">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7CEE99CF">
            <w:pPr>
              <w:jc w:val="center"/>
              <w:rPr>
                <w:rFonts w:ascii="宋体" w:hAnsi="宋体" w:eastAsia="宋体"/>
                <w:color w:val="auto"/>
                <w:sz w:val="24"/>
                <w:highlight w:val="none"/>
              </w:rPr>
            </w:pPr>
          </w:p>
        </w:tc>
        <w:tc>
          <w:tcPr>
            <w:tcW w:w="1465" w:type="pct"/>
            <w:vAlign w:val="center"/>
          </w:tcPr>
          <w:p w14:paraId="0CD936D0">
            <w:pPr>
              <w:jc w:val="center"/>
              <w:rPr>
                <w:rFonts w:asciiTheme="minorEastAsia" w:hAnsiTheme="minorEastAsia" w:eastAsiaTheme="minorEastAsia"/>
                <w:color w:val="auto"/>
                <w:sz w:val="24"/>
                <w:highlight w:val="none"/>
              </w:rPr>
            </w:pPr>
          </w:p>
        </w:tc>
        <w:tc>
          <w:tcPr>
            <w:tcW w:w="1510" w:type="pct"/>
            <w:vAlign w:val="center"/>
          </w:tcPr>
          <w:p w14:paraId="13BBF55F">
            <w:pPr>
              <w:jc w:val="center"/>
              <w:rPr>
                <w:rFonts w:asciiTheme="minorEastAsia" w:hAnsiTheme="minorEastAsia" w:eastAsiaTheme="minorEastAsia"/>
                <w:color w:val="auto"/>
                <w:sz w:val="24"/>
                <w:highlight w:val="none"/>
              </w:rPr>
            </w:pPr>
          </w:p>
        </w:tc>
        <w:tc>
          <w:tcPr>
            <w:tcW w:w="475" w:type="pct"/>
            <w:vAlign w:val="center"/>
          </w:tcPr>
          <w:p w14:paraId="66E2407A">
            <w:pPr>
              <w:jc w:val="center"/>
              <w:rPr>
                <w:rFonts w:asciiTheme="minorEastAsia" w:hAnsiTheme="minorEastAsia" w:eastAsiaTheme="minorEastAsia"/>
                <w:color w:val="auto"/>
                <w:sz w:val="24"/>
                <w:highlight w:val="none"/>
              </w:rPr>
            </w:pPr>
          </w:p>
        </w:tc>
      </w:tr>
    </w:tbl>
    <w:p w14:paraId="4228196F">
      <w:pPr>
        <w:spacing w:line="360" w:lineRule="auto"/>
        <w:ind w:firstLine="4800" w:firstLineChars="2000"/>
        <w:rPr>
          <w:rFonts w:ascii="宋体" w:hAnsi="宋体" w:eastAsia="宋体"/>
          <w:color w:val="auto"/>
          <w:sz w:val="24"/>
          <w:highlight w:val="none"/>
        </w:rPr>
      </w:pPr>
    </w:p>
    <w:p w14:paraId="02006034">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p>
    <w:p w14:paraId="5C3E36FE">
      <w:pPr>
        <w:tabs>
          <w:tab w:val="left" w:pos="630"/>
        </w:tabs>
        <w:spacing w:line="360" w:lineRule="auto"/>
        <w:ind w:firstLine="4800" w:firstLineChars="2000"/>
        <w:rPr>
          <w:rFonts w:eastAsia="宋体"/>
          <w:b/>
          <w:color w:val="auto"/>
          <w:sz w:val="28"/>
          <w:szCs w:val="28"/>
          <w:highlight w:val="none"/>
        </w:rPr>
      </w:pPr>
      <w:r>
        <w:rPr>
          <w:rFonts w:hint="eastAsia" w:ascii="宋体" w:hAnsi="宋体" w:eastAsia="宋体"/>
          <w:color w:val="auto"/>
          <w:sz w:val="24"/>
          <w:highlight w:val="none"/>
        </w:rPr>
        <w:t>日      期：</w:t>
      </w:r>
    </w:p>
    <w:p w14:paraId="72709AD3">
      <w:pPr>
        <w:ind w:firstLine="480" w:firstLineChars="200"/>
        <w:rPr>
          <w:rFonts w:ascii="宋体"/>
          <w:color w:val="auto"/>
          <w:sz w:val="24"/>
          <w:highlight w:val="none"/>
        </w:rPr>
      </w:pPr>
    </w:p>
    <w:p w14:paraId="3ABE70E2">
      <w:pPr>
        <w:rPr>
          <w:rFonts w:asciiTheme="minorEastAsia" w:hAnsiTheme="minorEastAsia" w:eastAsiaTheme="minorEastAsia"/>
          <w:b/>
          <w:color w:val="auto"/>
          <w:sz w:val="24"/>
          <w:highlight w:val="none"/>
        </w:rPr>
      </w:pPr>
      <w:bookmarkStart w:id="207" w:name="_Toc23860"/>
      <w:bookmarkStart w:id="208" w:name="_Toc26536"/>
      <w:bookmarkStart w:id="209" w:name="_Hlk11701496"/>
      <w:r>
        <w:rPr>
          <w:rFonts w:hint="eastAsia" w:asciiTheme="minorEastAsia" w:hAnsiTheme="minorEastAsia" w:eastAsiaTheme="minorEastAsia"/>
          <w:b/>
          <w:color w:val="auto"/>
          <w:sz w:val="24"/>
          <w:highlight w:val="none"/>
        </w:rPr>
        <w:br w:type="page"/>
      </w:r>
    </w:p>
    <w:p w14:paraId="0CAEB334">
      <w:pPr>
        <w:spacing w:line="360" w:lineRule="auto"/>
        <w:jc w:val="center"/>
        <w:outlineLvl w:val="1"/>
        <w:rPr>
          <w:rFonts w:asciiTheme="minorEastAsia" w:hAnsiTheme="minorEastAsia" w:eastAsiaTheme="minorEastAsia"/>
          <w:b/>
          <w:color w:val="auto"/>
          <w:sz w:val="24"/>
          <w:highlight w:val="none"/>
        </w:rPr>
      </w:pPr>
      <w:bookmarkStart w:id="210" w:name="_Toc3287"/>
      <w:r>
        <w:rPr>
          <w:rFonts w:hint="eastAsia" w:asciiTheme="minorEastAsia" w:hAnsiTheme="minorEastAsia" w:eastAsiaTheme="minorEastAsia"/>
          <w:b/>
          <w:color w:val="auto"/>
          <w:sz w:val="24"/>
          <w:highlight w:val="none"/>
        </w:rPr>
        <w:t>(2)诚信履约承诺函</w:t>
      </w:r>
      <w:bookmarkEnd w:id="207"/>
      <w:bookmarkEnd w:id="208"/>
      <w:bookmarkEnd w:id="210"/>
    </w:p>
    <w:p w14:paraId="379FB9F8">
      <w:pPr>
        <w:spacing w:line="360" w:lineRule="auto"/>
        <w:rPr>
          <w:rFonts w:asciiTheme="minorEastAsia" w:hAnsiTheme="minorEastAsia" w:eastAsiaTheme="minorEastAsia"/>
          <w:b/>
          <w:bCs/>
          <w:color w:val="auto"/>
          <w:sz w:val="24"/>
          <w:highlight w:val="none"/>
        </w:rPr>
      </w:pPr>
    </w:p>
    <w:p w14:paraId="2D7BAF0C">
      <w:pPr>
        <w:spacing w:line="360" w:lineRule="auto"/>
        <w:rPr>
          <w:rFonts w:asciiTheme="minorEastAsia" w:hAnsiTheme="minorEastAsia" w:eastAsiaTheme="minorEastAsia"/>
          <w:b/>
          <w:bCs/>
          <w:color w:val="auto"/>
          <w:sz w:val="24"/>
          <w:highlight w:val="none"/>
          <w:u w:val="single"/>
        </w:rPr>
      </w:pPr>
      <w:r>
        <w:rPr>
          <w:rFonts w:hint="eastAsia" w:asciiTheme="minorEastAsia" w:hAnsiTheme="minorEastAsia" w:eastAsiaTheme="minorEastAsia"/>
          <w:b/>
          <w:bCs/>
          <w:color w:val="auto"/>
          <w:sz w:val="24"/>
          <w:highlight w:val="none"/>
        </w:rPr>
        <w:t>致：采购人</w:t>
      </w:r>
    </w:p>
    <w:p w14:paraId="6CE0034D">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57B3E7FA">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26CF19C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47D1DE4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68FE5FC1">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5D0D67B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1D91B2E1">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70A8F1B">
      <w:pPr>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本承诺声明：</w:t>
      </w:r>
      <w:r>
        <w:rPr>
          <w:rFonts w:hint="eastAsia" w:ascii="宋体" w:hAnsi="宋体" w:eastAsia="宋体"/>
          <w:bCs/>
          <w:color w:val="auto"/>
          <w:sz w:val="24"/>
          <w:szCs w:val="24"/>
          <w:highlight w:val="none"/>
          <w:u w:val="single"/>
        </w:rPr>
        <w:t xml:space="preserve">                   （投标人名称）</w:t>
      </w:r>
      <w:r>
        <w:rPr>
          <w:rFonts w:hint="eastAsia" w:ascii="宋体" w:hAnsi="宋体" w:eastAsia="宋体"/>
          <w:bCs/>
          <w:color w:val="auto"/>
          <w:sz w:val="24"/>
          <w:szCs w:val="24"/>
          <w:highlight w:val="none"/>
        </w:rPr>
        <w:t>对本招标文件的相关要求完全响应。若有幸中标将严格按照以上承诺进行供货和服务。</w:t>
      </w:r>
    </w:p>
    <w:p w14:paraId="46C9FB7A">
      <w:pPr>
        <w:spacing w:line="360" w:lineRule="auto"/>
        <w:rPr>
          <w:rFonts w:asciiTheme="minorEastAsia" w:hAnsiTheme="minorEastAsia" w:eastAsiaTheme="minorEastAsia"/>
          <w:bCs/>
          <w:color w:val="auto"/>
          <w:sz w:val="24"/>
          <w:highlight w:val="none"/>
        </w:rPr>
      </w:pPr>
    </w:p>
    <w:p w14:paraId="68783812">
      <w:pPr>
        <w:spacing w:line="360" w:lineRule="auto"/>
        <w:rPr>
          <w:rFonts w:asciiTheme="minorEastAsia" w:hAnsiTheme="minorEastAsia" w:eastAsiaTheme="minorEastAsia"/>
          <w:bCs/>
          <w:color w:val="auto"/>
          <w:sz w:val="24"/>
          <w:highlight w:val="none"/>
        </w:rPr>
      </w:pPr>
    </w:p>
    <w:p w14:paraId="5FC217CC">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投标人电子签章：</w:t>
      </w:r>
    </w:p>
    <w:p w14:paraId="41EE787D">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p>
    <w:p w14:paraId="2EE825DA">
      <w:pPr>
        <w:widowControl/>
        <w:jc w:val="left"/>
        <w:rPr>
          <w:rFonts w:ascii="宋体" w:hAnsi="宋体"/>
          <w:color w:val="auto"/>
          <w:szCs w:val="21"/>
          <w:highlight w:val="none"/>
        </w:rPr>
      </w:pPr>
      <w:r>
        <w:rPr>
          <w:rFonts w:ascii="宋体" w:hAnsi="宋体" w:eastAsia="宋体" w:cs="Arial"/>
          <w:color w:val="auto"/>
          <w:sz w:val="24"/>
          <w:highlight w:val="none"/>
        </w:rPr>
        <w:br w:type="page"/>
      </w:r>
      <w:bookmarkEnd w:id="209"/>
    </w:p>
    <w:p w14:paraId="3B16E0BF">
      <w:pPr>
        <w:jc w:val="center"/>
        <w:rPr>
          <w:rFonts w:ascii="宋体" w:hAnsi="宋体" w:eastAsia="宋体" w:cs="宋体"/>
          <w:color w:val="auto"/>
          <w:sz w:val="24"/>
          <w:highlight w:val="none"/>
        </w:rPr>
      </w:pPr>
      <w:r>
        <w:rPr>
          <w:rFonts w:hint="eastAsia" w:ascii="宋体" w:hAnsi="宋体" w:eastAsia="宋体" w:cs="宋体"/>
          <w:b/>
          <w:color w:val="auto"/>
          <w:sz w:val="28"/>
          <w:szCs w:val="28"/>
          <w:highlight w:val="none"/>
        </w:rPr>
        <w:t>三、商务标格式文件</w:t>
      </w:r>
    </w:p>
    <w:p w14:paraId="46D653CB">
      <w:pPr>
        <w:jc w:val="center"/>
        <w:rPr>
          <w:rFonts w:ascii="宋体" w:hAnsi="宋体" w:eastAsia="宋体" w:cs="宋体"/>
          <w:color w:val="auto"/>
          <w:sz w:val="20"/>
          <w:highlight w:val="none"/>
        </w:rPr>
      </w:pPr>
    </w:p>
    <w:p w14:paraId="1940CE6C">
      <w:pPr>
        <w:rPr>
          <w:rFonts w:ascii="宋体" w:hAnsi="宋体" w:eastAsia="宋体" w:cs="宋体"/>
          <w:color w:val="auto"/>
          <w:sz w:val="20"/>
          <w:highlight w:val="none"/>
        </w:rPr>
      </w:pPr>
    </w:p>
    <w:p w14:paraId="7439F385">
      <w:pPr>
        <w:pStyle w:val="27"/>
        <w:rPr>
          <w:rFonts w:ascii="宋体" w:hAnsi="宋体" w:eastAsia="宋体" w:cs="宋体"/>
          <w:color w:val="auto"/>
          <w:highlight w:val="none"/>
        </w:rPr>
      </w:pPr>
    </w:p>
    <w:p w14:paraId="18BBE2B6">
      <w:pPr>
        <w:jc w:val="center"/>
        <w:rPr>
          <w:rFonts w:ascii="宋体" w:hAnsi="宋体" w:eastAsia="宋体" w:cs="宋体"/>
          <w:b/>
          <w:color w:val="auto"/>
          <w:sz w:val="44"/>
          <w:szCs w:val="44"/>
          <w:highlight w:val="none"/>
        </w:rPr>
      </w:pPr>
      <w:bookmarkStart w:id="211" w:name="_Toc449028954"/>
      <w:r>
        <w:rPr>
          <w:rFonts w:hint="eastAsia" w:ascii="宋体" w:hAnsi="宋体" w:eastAsia="宋体" w:cs="宋体"/>
          <w:b/>
          <w:color w:val="auto"/>
          <w:sz w:val="44"/>
          <w:szCs w:val="44"/>
          <w:highlight w:val="none"/>
        </w:rPr>
        <w:t>商务标</w:t>
      </w:r>
      <w:bookmarkEnd w:id="211"/>
    </w:p>
    <w:p w14:paraId="4E18A5AF">
      <w:pPr>
        <w:jc w:val="center"/>
        <w:rPr>
          <w:rFonts w:ascii="宋体" w:hAnsi="宋体" w:eastAsia="宋体" w:cs="宋体"/>
          <w:color w:val="auto"/>
          <w:sz w:val="36"/>
          <w:szCs w:val="36"/>
          <w:highlight w:val="none"/>
        </w:rPr>
      </w:pPr>
      <w:r>
        <w:rPr>
          <w:rFonts w:hint="eastAsia" w:ascii="宋体" w:hAnsi="宋体" w:eastAsia="宋体" w:cs="宋体"/>
          <w:color w:val="auto"/>
          <w:sz w:val="44"/>
          <w:szCs w:val="44"/>
          <w:highlight w:val="none"/>
        </w:rPr>
        <w:t>（</w:t>
      </w:r>
      <w:r>
        <w:rPr>
          <w:rFonts w:hint="eastAsia" w:ascii="宋体" w:hAnsi="宋体" w:eastAsia="宋体" w:cs="宋体"/>
          <w:color w:val="auto"/>
          <w:sz w:val="36"/>
          <w:szCs w:val="36"/>
          <w:highlight w:val="none"/>
        </w:rPr>
        <w:t>投标文件三）</w:t>
      </w:r>
    </w:p>
    <w:p w14:paraId="6389504C">
      <w:pPr>
        <w:jc w:val="center"/>
        <w:rPr>
          <w:rFonts w:ascii="宋体" w:hAnsi="宋体" w:eastAsia="宋体" w:cs="宋体"/>
          <w:color w:val="auto"/>
          <w:sz w:val="36"/>
          <w:szCs w:val="36"/>
          <w:highlight w:val="none"/>
        </w:rPr>
      </w:pPr>
    </w:p>
    <w:p w14:paraId="57A20483">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项目</w:t>
      </w:r>
    </w:p>
    <w:p w14:paraId="6AA8BE0B">
      <w:pPr>
        <w:jc w:val="center"/>
        <w:rPr>
          <w:rFonts w:ascii="宋体" w:hAnsi="宋体" w:eastAsia="宋体" w:cs="宋体"/>
          <w:color w:val="auto"/>
          <w:sz w:val="44"/>
          <w:szCs w:val="44"/>
          <w:highlight w:val="none"/>
        </w:rPr>
      </w:pPr>
      <w:r>
        <w:rPr>
          <w:rFonts w:hint="eastAsia" w:ascii="宋体" w:hAnsi="宋体" w:eastAsia="宋体" w:cs="宋体"/>
          <w:color w:val="auto"/>
          <w:sz w:val="28"/>
          <w:szCs w:val="28"/>
          <w:highlight w:val="none"/>
        </w:rPr>
        <w:t>项目编号</w:t>
      </w:r>
    </w:p>
    <w:p w14:paraId="53CF037C">
      <w:pPr>
        <w:rPr>
          <w:rFonts w:ascii="宋体" w:hAnsi="宋体" w:eastAsia="宋体" w:cs="宋体"/>
          <w:color w:val="auto"/>
          <w:sz w:val="28"/>
          <w:szCs w:val="28"/>
          <w:highlight w:val="none"/>
        </w:rPr>
      </w:pPr>
    </w:p>
    <w:p w14:paraId="28EF51CE">
      <w:pPr>
        <w:rPr>
          <w:rFonts w:ascii="宋体" w:hAnsi="宋体" w:eastAsia="宋体" w:cs="宋体"/>
          <w:color w:val="auto"/>
          <w:sz w:val="28"/>
          <w:szCs w:val="28"/>
          <w:highlight w:val="none"/>
        </w:rPr>
      </w:pPr>
    </w:p>
    <w:p w14:paraId="338B1E5D">
      <w:pPr>
        <w:rPr>
          <w:rFonts w:ascii="宋体" w:hAnsi="宋体" w:eastAsia="宋体" w:cs="宋体"/>
          <w:color w:val="auto"/>
          <w:sz w:val="28"/>
          <w:szCs w:val="28"/>
          <w:highlight w:val="none"/>
        </w:rPr>
      </w:pPr>
    </w:p>
    <w:p w14:paraId="5B7B3E5A">
      <w:pPr>
        <w:rPr>
          <w:rFonts w:ascii="宋体" w:hAnsi="宋体" w:eastAsia="宋体" w:cs="宋体"/>
          <w:color w:val="auto"/>
          <w:sz w:val="28"/>
          <w:szCs w:val="28"/>
          <w:highlight w:val="none"/>
        </w:rPr>
      </w:pPr>
    </w:p>
    <w:p w14:paraId="0D50C1AC">
      <w:pPr>
        <w:rPr>
          <w:rFonts w:ascii="宋体" w:hAnsi="宋体" w:eastAsia="宋体" w:cs="宋体"/>
          <w:color w:val="auto"/>
          <w:sz w:val="28"/>
          <w:szCs w:val="28"/>
          <w:highlight w:val="none"/>
        </w:rPr>
      </w:pPr>
    </w:p>
    <w:p w14:paraId="1D57ACCA">
      <w:pPr>
        <w:rPr>
          <w:rFonts w:ascii="宋体" w:hAnsi="宋体" w:eastAsia="宋体" w:cs="宋体"/>
          <w:color w:val="auto"/>
          <w:sz w:val="28"/>
          <w:szCs w:val="28"/>
          <w:highlight w:val="none"/>
        </w:rPr>
      </w:pPr>
    </w:p>
    <w:p w14:paraId="6C3BBBD6">
      <w:pPr>
        <w:rPr>
          <w:rFonts w:ascii="宋体" w:hAnsi="宋体" w:eastAsia="宋体" w:cs="宋体"/>
          <w:color w:val="auto"/>
          <w:sz w:val="28"/>
          <w:szCs w:val="28"/>
          <w:highlight w:val="none"/>
        </w:rPr>
      </w:pPr>
    </w:p>
    <w:p w14:paraId="057203DB">
      <w:pPr>
        <w:jc w:val="cente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投标人：（签章）</w:t>
      </w:r>
    </w:p>
    <w:p w14:paraId="71967B8A">
      <w:pPr>
        <w:ind w:firstLine="700" w:firstLineChars="25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法定代表人：（签章）</w:t>
      </w:r>
    </w:p>
    <w:p w14:paraId="58419F9B">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年月日</w:t>
      </w:r>
    </w:p>
    <w:p w14:paraId="7E870CDE">
      <w:pPr>
        <w:spacing w:line="720" w:lineRule="auto"/>
        <w:jc w:val="center"/>
        <w:rPr>
          <w:rFonts w:ascii="宋体" w:hAnsi="宋体" w:eastAsia="宋体" w:cs="宋体"/>
          <w:b/>
          <w:color w:val="auto"/>
          <w:sz w:val="36"/>
          <w:szCs w:val="36"/>
          <w:highlight w:val="none"/>
        </w:rPr>
      </w:pPr>
    </w:p>
    <w:p w14:paraId="5AB64A94">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2942EDA4">
      <w:pPr>
        <w:spacing w:line="400" w:lineRule="exact"/>
        <w:ind w:firstLine="3379" w:firstLineChars="935"/>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目   录</w:t>
      </w:r>
    </w:p>
    <w:p w14:paraId="73EC8FFC">
      <w:pPr>
        <w:spacing w:line="400" w:lineRule="exact"/>
        <w:ind w:firstLine="4130" w:firstLineChars="935"/>
        <w:rPr>
          <w:rFonts w:ascii="宋体" w:hAnsi="宋体" w:eastAsia="宋体" w:cs="宋体"/>
          <w:b/>
          <w:color w:val="auto"/>
          <w:sz w:val="44"/>
          <w:szCs w:val="44"/>
          <w:highlight w:val="none"/>
        </w:rPr>
      </w:pPr>
    </w:p>
    <w:p w14:paraId="1FDE48CF">
      <w:pPr>
        <w:spacing w:line="440" w:lineRule="exact"/>
        <w:ind w:left="420"/>
        <w:jc w:val="left"/>
        <w:rPr>
          <w:rFonts w:ascii="宋体" w:hAnsi="宋体" w:eastAsia="宋体"/>
          <w:color w:val="auto"/>
          <w:szCs w:val="21"/>
          <w:highlight w:val="none"/>
        </w:rPr>
      </w:pPr>
      <w:bookmarkStart w:id="212" w:name="_Hlk111065821"/>
      <w:r>
        <w:rPr>
          <w:rFonts w:hint="eastAsia" w:ascii="宋体" w:hAnsi="宋体" w:eastAsia="宋体"/>
          <w:color w:val="auto"/>
          <w:szCs w:val="21"/>
          <w:highlight w:val="none"/>
        </w:rPr>
        <w:t>（1）开标一览表（格式见附件）；</w:t>
      </w:r>
    </w:p>
    <w:p w14:paraId="0FE8F58D">
      <w:pPr>
        <w:spacing w:line="440" w:lineRule="exact"/>
        <w:ind w:left="420"/>
        <w:jc w:val="left"/>
        <w:rPr>
          <w:rFonts w:ascii="宋体" w:hAnsi="宋体" w:eastAsia="宋体"/>
          <w:color w:val="auto"/>
          <w:szCs w:val="21"/>
          <w:highlight w:val="none"/>
        </w:rPr>
      </w:pPr>
      <w:r>
        <w:rPr>
          <w:rFonts w:hint="eastAsia" w:ascii="宋体" w:hAnsi="宋体" w:eastAsia="宋体"/>
          <w:color w:val="auto"/>
          <w:szCs w:val="21"/>
          <w:highlight w:val="none"/>
        </w:rPr>
        <w:t>（2）投标函（格式见附件）；</w:t>
      </w:r>
    </w:p>
    <w:bookmarkEnd w:id="212"/>
    <w:p w14:paraId="2318788C">
      <w:pPr>
        <w:spacing w:line="500" w:lineRule="exact"/>
        <w:ind w:firstLine="424" w:firstLineChars="202"/>
        <w:jc w:val="left"/>
        <w:rPr>
          <w:rFonts w:ascii="宋体" w:hAnsi="宋体" w:eastAsia="宋体"/>
          <w:color w:val="auto"/>
          <w:szCs w:val="21"/>
          <w:highlight w:val="none"/>
        </w:rPr>
      </w:pPr>
      <w:r>
        <w:rPr>
          <w:rFonts w:hint="eastAsia" w:ascii="宋体" w:hAnsi="宋体" w:eastAsia="宋体"/>
          <w:color w:val="auto"/>
          <w:szCs w:val="21"/>
          <w:highlight w:val="none"/>
        </w:rPr>
        <w:t>（3）投标分项报价表</w:t>
      </w:r>
      <w:r>
        <w:rPr>
          <w:rFonts w:hint="eastAsia" w:ascii="宋体" w:hAnsi="宋体" w:eastAsia="宋体" w:cs="宋体"/>
          <w:color w:val="auto"/>
          <w:szCs w:val="21"/>
          <w:highlight w:val="none"/>
        </w:rPr>
        <w:t>（格式见附件）；</w:t>
      </w:r>
    </w:p>
    <w:p w14:paraId="0805A413">
      <w:pPr>
        <w:tabs>
          <w:tab w:val="left" w:pos="14"/>
        </w:tabs>
        <w:spacing w:line="44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（4）关于符合本国产品标准的声明函（格式见附件）；</w:t>
      </w:r>
    </w:p>
    <w:p w14:paraId="7C6E8922">
      <w:pPr>
        <w:tabs>
          <w:tab w:val="left" w:pos="14"/>
        </w:tabs>
        <w:spacing w:line="44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w:t>
      </w:r>
      <w:r>
        <w:rPr>
          <w:rFonts w:hint="eastAsia" w:ascii="宋体" w:hAnsi="宋体" w:eastAsia="宋体"/>
          <w:color w:val="auto"/>
          <w:szCs w:val="21"/>
          <w:highlight w:val="none"/>
          <w:lang w:val="en-US" w:eastAsia="zh-CN"/>
        </w:rPr>
        <w:t>5</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投标人认为需要提供的其他材料。（如有）</w:t>
      </w:r>
    </w:p>
    <w:p w14:paraId="12689180">
      <w:pPr>
        <w:rPr>
          <w:rFonts w:ascii="宋体" w:hAnsi="宋体" w:eastAsia="宋体"/>
          <w:color w:val="auto"/>
          <w:szCs w:val="21"/>
          <w:highlight w:val="none"/>
        </w:rPr>
      </w:pPr>
      <w:r>
        <w:rPr>
          <w:rFonts w:hint="eastAsia" w:ascii="宋体" w:hAnsi="宋体" w:eastAsia="宋体"/>
          <w:color w:val="auto"/>
          <w:szCs w:val="21"/>
          <w:highlight w:val="none"/>
        </w:rPr>
        <w:br w:type="page"/>
      </w:r>
    </w:p>
    <w:p w14:paraId="535D2B08">
      <w:pPr>
        <w:spacing w:line="360" w:lineRule="auto"/>
        <w:jc w:val="center"/>
        <w:outlineLvl w:val="1"/>
        <w:rPr>
          <w:rFonts w:asciiTheme="minorEastAsia" w:hAnsiTheme="minorEastAsia" w:eastAsiaTheme="minorEastAsia"/>
          <w:b/>
          <w:color w:val="auto"/>
          <w:sz w:val="24"/>
          <w:highlight w:val="none"/>
        </w:rPr>
      </w:pPr>
      <w:bookmarkStart w:id="213" w:name="_Toc30819"/>
      <w:r>
        <w:rPr>
          <w:rFonts w:hint="eastAsia" w:asciiTheme="minorEastAsia" w:hAnsiTheme="minorEastAsia" w:eastAsiaTheme="minorEastAsia"/>
          <w:b/>
          <w:color w:val="auto"/>
          <w:sz w:val="24"/>
          <w:highlight w:val="none"/>
        </w:rPr>
        <w:t>（1）开标一览表</w:t>
      </w:r>
      <w:bookmarkEnd w:id="202"/>
      <w:bookmarkEnd w:id="203"/>
      <w:bookmarkEnd w:id="213"/>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3227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352" w:type="pct"/>
            <w:tcBorders>
              <w:top w:val="single" w:color="auto" w:sz="4" w:space="0"/>
              <w:bottom w:val="single" w:color="auto" w:sz="4" w:space="0"/>
              <w:right w:val="single" w:color="auto" w:sz="4" w:space="0"/>
            </w:tcBorders>
            <w:vAlign w:val="center"/>
          </w:tcPr>
          <w:p w14:paraId="01976378">
            <w:pPr>
              <w:widowControl/>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21C2BA3D">
            <w:pPr>
              <w:spacing w:line="360" w:lineRule="exact"/>
              <w:jc w:val="center"/>
              <w:rPr>
                <w:rFonts w:asciiTheme="minorEastAsia" w:hAnsiTheme="minorEastAsia" w:eastAsiaTheme="minorEastAsia"/>
                <w:bCs/>
                <w:color w:val="auto"/>
                <w:sz w:val="24"/>
                <w:highlight w:val="none"/>
                <w:u w:val="single"/>
              </w:rPr>
            </w:pPr>
          </w:p>
        </w:tc>
      </w:tr>
      <w:tr w14:paraId="67BCC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3F436028">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5767D31D">
            <w:pPr>
              <w:spacing w:line="360" w:lineRule="auto"/>
              <w:rPr>
                <w:rFonts w:asciiTheme="minorEastAsia" w:hAnsiTheme="minorEastAsia" w:eastAsiaTheme="minorEastAsia"/>
                <w:color w:val="auto"/>
                <w:sz w:val="24"/>
                <w:highlight w:val="none"/>
              </w:rPr>
            </w:pPr>
          </w:p>
        </w:tc>
      </w:tr>
      <w:tr w14:paraId="5F83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5903DF8B">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376DCFFC">
            <w:pPr>
              <w:widowControl/>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全部</w:t>
            </w:r>
          </w:p>
        </w:tc>
      </w:tr>
      <w:tr w14:paraId="4ECC5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9" w:hRule="atLeast"/>
          <w:jc w:val="center"/>
        </w:trPr>
        <w:tc>
          <w:tcPr>
            <w:tcW w:w="1352" w:type="pct"/>
            <w:tcBorders>
              <w:top w:val="nil"/>
            </w:tcBorders>
            <w:vAlign w:val="center"/>
          </w:tcPr>
          <w:p w14:paraId="61D98E23">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14:paraId="7AAD9DA5">
            <w:pPr>
              <w:snapToGrid w:val="0"/>
              <w:spacing w:line="360" w:lineRule="auto"/>
              <w:jc w:val="left"/>
              <w:rPr>
                <w:rFonts w:hint="default"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大写：每年</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lang w:val="en-US" w:eastAsia="zh-CN"/>
              </w:rPr>
              <w:t xml:space="preserve"> ；</w:t>
            </w:r>
          </w:p>
          <w:p w14:paraId="4F97CDBF">
            <w:pPr>
              <w:spacing w:line="360" w:lineRule="auto"/>
              <w:ind w:right="-670"/>
              <w:rPr>
                <w:rFonts w:eastAsia="宋体" w:asciiTheme="minorEastAsia" w:hAnsi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元/年</w:t>
            </w:r>
            <w:r>
              <w:rPr>
                <w:rFonts w:hint="eastAsia" w:ascii="宋体" w:hAnsi="宋体" w:eastAsia="宋体" w:cs="宋体"/>
                <w:bCs/>
                <w:color w:val="auto"/>
                <w:sz w:val="24"/>
                <w:szCs w:val="24"/>
                <w:highlight w:val="none"/>
                <w:u w:val="single"/>
              </w:rPr>
              <w:br w:type="textWrapping"/>
            </w:r>
          </w:p>
        </w:tc>
      </w:tr>
      <w:tr w14:paraId="1AFCC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201227EF">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0C5CB57D">
            <w:pPr>
              <w:spacing w:line="360" w:lineRule="auto"/>
              <w:jc w:val="left"/>
              <w:rPr>
                <w:rFonts w:asciiTheme="minorEastAsia" w:hAnsiTheme="minorEastAsia" w:eastAsiaTheme="minorEastAsia"/>
                <w:color w:val="auto"/>
                <w:sz w:val="24"/>
                <w:szCs w:val="28"/>
                <w:highlight w:val="none"/>
              </w:rPr>
            </w:pPr>
          </w:p>
        </w:tc>
      </w:tr>
    </w:tbl>
    <w:p w14:paraId="5FCE190A">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p>
    <w:p w14:paraId="61DC6F60">
      <w:pPr>
        <w:tabs>
          <w:tab w:val="left" w:pos="630"/>
        </w:tabs>
        <w:spacing w:line="360" w:lineRule="auto"/>
        <w:ind w:firstLine="4800" w:firstLineChars="2000"/>
        <w:rPr>
          <w:rFonts w:asciiTheme="minorEastAsia" w:hAnsiTheme="minorEastAsia" w:eastAsiaTheme="minorEastAsia"/>
          <w:color w:val="auto"/>
          <w:sz w:val="24"/>
          <w:highlight w:val="none"/>
        </w:rPr>
      </w:pPr>
      <w:r>
        <w:rPr>
          <w:rFonts w:hint="eastAsia" w:ascii="宋体" w:hAnsi="宋体" w:eastAsia="宋体"/>
          <w:color w:val="auto"/>
          <w:sz w:val="24"/>
          <w:highlight w:val="none"/>
        </w:rPr>
        <w:t>日      期：</w:t>
      </w:r>
    </w:p>
    <w:p w14:paraId="4F57E988">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注：</w:t>
      </w:r>
    </w:p>
    <w:p w14:paraId="742BE5F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0298F86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hint="eastAsia" w:ascii="宋体" w:hAnsi="宋体" w:eastAsia="宋体"/>
          <w:b/>
          <w:bCs/>
          <w:color w:val="auto"/>
          <w:sz w:val="24"/>
          <w:highlight w:val="none"/>
        </w:rPr>
        <w:t>此表</w:t>
      </w:r>
      <w:r>
        <w:rPr>
          <w:rFonts w:ascii="宋体" w:hAnsi="宋体" w:eastAsia="宋体"/>
          <w:color w:val="auto"/>
          <w:sz w:val="24"/>
          <w:highlight w:val="none"/>
        </w:rPr>
        <w:t>作为评审及定标依据。任何有选择或有条件的投标报价，或者表中某一包别填写多个报价，均为无效报价。</w:t>
      </w:r>
    </w:p>
    <w:p w14:paraId="307F12F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3.表中大写金额与小写金额不一致的，以大写金额为准。</w:t>
      </w:r>
      <w:r>
        <w:rPr>
          <w:rFonts w:asciiTheme="minorEastAsia" w:hAnsiTheme="minorEastAsia" w:eastAsiaTheme="minorEastAsia"/>
          <w:color w:val="auto"/>
          <w:sz w:val="24"/>
          <w:highlight w:val="none"/>
        </w:rPr>
        <w:br w:type="page"/>
      </w:r>
    </w:p>
    <w:p w14:paraId="4450D474">
      <w:pPr>
        <w:spacing w:line="360" w:lineRule="auto"/>
        <w:jc w:val="center"/>
        <w:outlineLvl w:val="1"/>
        <w:rPr>
          <w:rFonts w:asciiTheme="minorEastAsia" w:hAnsiTheme="minorEastAsia" w:eastAsiaTheme="minorEastAsia"/>
          <w:b/>
          <w:color w:val="auto"/>
          <w:sz w:val="24"/>
          <w:highlight w:val="none"/>
        </w:rPr>
      </w:pPr>
      <w:bookmarkStart w:id="214" w:name="_Toc28259"/>
      <w:bookmarkStart w:id="215" w:name="_Toc6441"/>
      <w:bookmarkStart w:id="216" w:name="_Toc6120"/>
      <w:r>
        <w:rPr>
          <w:rFonts w:hint="eastAsia" w:asciiTheme="minorEastAsia" w:hAnsiTheme="minorEastAsia" w:eastAsiaTheme="minorEastAsia"/>
          <w:b/>
          <w:color w:val="auto"/>
          <w:sz w:val="24"/>
          <w:highlight w:val="none"/>
        </w:rPr>
        <w:t>（2）投标函</w:t>
      </w:r>
      <w:bookmarkEnd w:id="214"/>
      <w:bookmarkEnd w:id="215"/>
      <w:bookmarkEnd w:id="216"/>
    </w:p>
    <w:p w14:paraId="0B732D45">
      <w:pPr>
        <w:pStyle w:val="16"/>
        <w:spacing w:line="360" w:lineRule="auto"/>
        <w:rPr>
          <w:rFonts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7DD0FA8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14F6798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0923214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2.我方已详细审核全部招标文件，包括招标文件附件及更正公告（如有），我方正式认可并遵守本次招标文件，并对招标文件各项条款、规定及要求均无异议。</w:t>
      </w:r>
    </w:p>
    <w:p w14:paraId="6050C93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3.我方同意从招标文件规定的开标日期起遵循本招标文件，并在招标文件规定的投标有效期之前均具有约束力。</w:t>
      </w:r>
    </w:p>
    <w:p w14:paraId="2196A3A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3DC3373D">
      <w:pPr>
        <w:spacing w:line="360" w:lineRule="auto"/>
        <w:ind w:firstLine="4800" w:firstLineChars="2000"/>
        <w:rPr>
          <w:rFonts w:ascii="宋体" w:hAnsi="宋体" w:eastAsia="宋体"/>
          <w:color w:val="auto"/>
          <w:sz w:val="24"/>
          <w:highlight w:val="none"/>
        </w:rPr>
      </w:pPr>
    </w:p>
    <w:p w14:paraId="398C76D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p>
    <w:p w14:paraId="7019B93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p>
    <w:p w14:paraId="7B0E218D">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0411E3D7">
      <w:pPr>
        <w:spacing w:line="360" w:lineRule="auto"/>
        <w:jc w:val="center"/>
        <w:outlineLvl w:val="1"/>
        <w:rPr>
          <w:rFonts w:asciiTheme="minorEastAsia" w:hAnsiTheme="minorEastAsia" w:eastAsiaTheme="minorEastAsia"/>
          <w:b/>
          <w:color w:val="auto"/>
          <w:sz w:val="24"/>
          <w:highlight w:val="none"/>
        </w:rPr>
      </w:pPr>
      <w:bookmarkStart w:id="217" w:name="_Toc31027"/>
      <w:bookmarkStart w:id="218" w:name="_Toc32226"/>
      <w:bookmarkStart w:id="219" w:name="_Toc30633"/>
      <w:r>
        <w:rPr>
          <w:rFonts w:hint="eastAsia" w:asciiTheme="minorEastAsia" w:hAnsiTheme="minorEastAsia" w:eastAsiaTheme="minorEastAsia"/>
          <w:b/>
          <w:color w:val="auto"/>
          <w:sz w:val="24"/>
          <w:highlight w:val="none"/>
        </w:rPr>
        <w:t>（3）投标分项报价表</w:t>
      </w:r>
      <w:bookmarkEnd w:id="217"/>
      <w:bookmarkEnd w:id="218"/>
      <w:bookmarkEnd w:id="219"/>
    </w:p>
    <w:p w14:paraId="29F4E7CC">
      <w:pPr>
        <w:keepNext w:val="0"/>
        <w:keepLines w:val="0"/>
        <w:widowControl/>
        <w:suppressLineNumbers w:val="0"/>
        <w:jc w:val="left"/>
        <w:rPr>
          <w:rFonts w:hint="eastAsia" w:ascii="宋体" w:hAnsi="宋体" w:eastAsia="宋体"/>
          <w:b/>
          <w:bCs/>
          <w:color w:val="auto"/>
          <w:highlight w:val="none"/>
          <w:lang w:val="en-US" w:eastAsia="zh-CN"/>
        </w:rPr>
      </w:pPr>
      <w:r>
        <w:rPr>
          <w:rFonts w:hint="eastAsia" w:ascii="宋体" w:hAnsi="宋体" w:eastAsia="宋体"/>
          <w:b/>
          <w:bCs/>
          <w:color w:val="auto"/>
          <w:highlight w:val="none"/>
          <w:lang w:val="en-US" w:eastAsia="zh-CN"/>
        </w:rPr>
        <w:t>3-1货物部分（适用于含货物采购的服务项目，如无，不需填写）</w:t>
      </w:r>
    </w:p>
    <w:p w14:paraId="771023BA">
      <w:pPr>
        <w:pStyle w:val="54"/>
        <w:jc w:val="left"/>
        <w:rPr>
          <w:rFonts w:hint="default" w:ascii="宋体" w:hAnsi="宋体" w:eastAsia="宋体"/>
          <w:b/>
          <w:bCs/>
          <w:color w:val="auto"/>
          <w:highlight w:val="none"/>
          <w:lang w:val="en-US" w:eastAsia="zh-CN"/>
        </w:rPr>
      </w:pP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323"/>
        <w:gridCol w:w="1316"/>
        <w:gridCol w:w="1316"/>
        <w:gridCol w:w="672"/>
        <w:gridCol w:w="672"/>
        <w:gridCol w:w="940"/>
        <w:gridCol w:w="940"/>
        <w:gridCol w:w="670"/>
      </w:tblGrid>
      <w:tr w14:paraId="1E012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center"/>
          </w:tcPr>
          <w:p w14:paraId="1BC40AED">
            <w:pPr>
              <w:pStyle w:val="46"/>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序号</w:t>
            </w:r>
          </w:p>
        </w:tc>
        <w:tc>
          <w:tcPr>
            <w:tcW w:w="776" w:type="pct"/>
            <w:noWrap w:val="0"/>
            <w:vAlign w:val="center"/>
          </w:tcPr>
          <w:p w14:paraId="552C012A">
            <w:pPr>
              <w:jc w:val="center"/>
              <w:rPr>
                <w:rFonts w:ascii="宋体" w:hAnsi="宋体" w:eastAsia="宋体"/>
                <w:b/>
                <w:color w:val="auto"/>
                <w:sz w:val="24"/>
                <w:highlight w:val="none"/>
              </w:rPr>
            </w:pPr>
            <w:r>
              <w:rPr>
                <w:rFonts w:hint="eastAsia" w:ascii="宋体" w:hAnsi="宋体" w:eastAsia="宋体"/>
                <w:b/>
                <w:color w:val="auto"/>
                <w:sz w:val="24"/>
                <w:highlight w:val="none"/>
              </w:rPr>
              <w:t>货物名称</w:t>
            </w:r>
          </w:p>
        </w:tc>
        <w:tc>
          <w:tcPr>
            <w:tcW w:w="772" w:type="pct"/>
            <w:noWrap w:val="0"/>
            <w:vAlign w:val="center"/>
          </w:tcPr>
          <w:p w14:paraId="6EFB6506">
            <w:pPr>
              <w:jc w:val="center"/>
              <w:rPr>
                <w:rFonts w:ascii="宋体" w:hAnsi="宋体" w:eastAsia="宋体"/>
                <w:b/>
                <w:color w:val="auto"/>
                <w:sz w:val="24"/>
                <w:highlight w:val="none"/>
              </w:rPr>
            </w:pPr>
            <w:r>
              <w:rPr>
                <w:rFonts w:hint="eastAsia" w:ascii="宋体" w:hAnsi="宋体" w:eastAsia="宋体"/>
                <w:b/>
                <w:color w:val="auto"/>
                <w:sz w:val="24"/>
                <w:highlight w:val="none"/>
              </w:rPr>
              <w:t>品牌、型</w:t>
            </w:r>
          </w:p>
          <w:p w14:paraId="511BCF1A">
            <w:pPr>
              <w:jc w:val="center"/>
              <w:rPr>
                <w:rFonts w:ascii="宋体" w:hAnsi="宋体" w:eastAsia="宋体"/>
                <w:b/>
                <w:color w:val="auto"/>
                <w:sz w:val="24"/>
                <w:highlight w:val="none"/>
              </w:rPr>
            </w:pPr>
            <w:r>
              <w:rPr>
                <w:rFonts w:hint="eastAsia" w:ascii="宋体" w:hAnsi="宋体" w:eastAsia="宋体"/>
                <w:b/>
                <w:color w:val="auto"/>
                <w:sz w:val="24"/>
                <w:highlight w:val="none"/>
              </w:rPr>
              <w:t>号规格</w:t>
            </w:r>
          </w:p>
        </w:tc>
        <w:tc>
          <w:tcPr>
            <w:tcW w:w="772" w:type="pct"/>
            <w:noWrap w:val="0"/>
            <w:vAlign w:val="center"/>
          </w:tcPr>
          <w:p w14:paraId="191CF77E">
            <w:pPr>
              <w:jc w:val="center"/>
              <w:rPr>
                <w:rFonts w:ascii="宋体" w:hAnsi="宋体" w:eastAsia="宋体"/>
                <w:b/>
                <w:color w:val="auto"/>
                <w:sz w:val="24"/>
                <w:highlight w:val="none"/>
              </w:rPr>
            </w:pPr>
            <w:r>
              <w:rPr>
                <w:rFonts w:hint="eastAsia" w:ascii="宋体" w:hAnsi="宋体" w:eastAsia="宋体"/>
                <w:b/>
                <w:color w:val="auto"/>
                <w:sz w:val="24"/>
                <w:highlight w:val="none"/>
              </w:rPr>
              <w:t>原产地及</w:t>
            </w:r>
          </w:p>
          <w:p w14:paraId="3E26092A">
            <w:pPr>
              <w:jc w:val="center"/>
              <w:rPr>
                <w:rFonts w:ascii="宋体" w:hAnsi="宋体" w:eastAsia="宋体"/>
                <w:b/>
                <w:color w:val="auto"/>
                <w:sz w:val="24"/>
                <w:highlight w:val="none"/>
              </w:rPr>
            </w:pPr>
            <w:r>
              <w:rPr>
                <w:rFonts w:hint="eastAsia" w:ascii="宋体" w:hAnsi="宋体" w:eastAsia="宋体"/>
                <w:b/>
                <w:color w:val="auto"/>
                <w:sz w:val="24"/>
                <w:highlight w:val="none"/>
              </w:rPr>
              <w:t>生产厂商</w:t>
            </w:r>
          </w:p>
        </w:tc>
        <w:tc>
          <w:tcPr>
            <w:tcW w:w="394" w:type="pct"/>
            <w:noWrap w:val="0"/>
            <w:vAlign w:val="center"/>
          </w:tcPr>
          <w:p w14:paraId="402BE3BE">
            <w:pPr>
              <w:jc w:val="center"/>
              <w:rPr>
                <w:rFonts w:ascii="宋体" w:hAnsi="宋体" w:eastAsia="宋体"/>
                <w:b/>
                <w:color w:val="auto"/>
                <w:sz w:val="24"/>
                <w:highlight w:val="none"/>
              </w:rPr>
            </w:pPr>
            <w:r>
              <w:rPr>
                <w:rFonts w:hint="eastAsia" w:ascii="宋体" w:hAnsi="宋体" w:eastAsia="宋体"/>
                <w:b/>
                <w:color w:val="auto"/>
                <w:sz w:val="24"/>
                <w:highlight w:val="none"/>
              </w:rPr>
              <w:t>单位</w:t>
            </w:r>
          </w:p>
        </w:tc>
        <w:tc>
          <w:tcPr>
            <w:tcW w:w="394" w:type="pct"/>
            <w:noWrap w:val="0"/>
            <w:vAlign w:val="center"/>
          </w:tcPr>
          <w:p w14:paraId="1A442232">
            <w:pPr>
              <w:jc w:val="center"/>
              <w:rPr>
                <w:rFonts w:ascii="宋体" w:hAnsi="宋体" w:eastAsia="宋体"/>
                <w:b/>
                <w:color w:val="auto"/>
                <w:sz w:val="24"/>
                <w:highlight w:val="none"/>
              </w:rPr>
            </w:pPr>
            <w:r>
              <w:rPr>
                <w:rFonts w:hint="eastAsia" w:ascii="宋体" w:hAnsi="宋体" w:eastAsia="宋体"/>
                <w:b/>
                <w:color w:val="auto"/>
                <w:sz w:val="24"/>
                <w:highlight w:val="none"/>
              </w:rPr>
              <w:t>数量</w:t>
            </w:r>
          </w:p>
        </w:tc>
        <w:tc>
          <w:tcPr>
            <w:tcW w:w="551" w:type="pct"/>
            <w:noWrap w:val="0"/>
            <w:vAlign w:val="center"/>
          </w:tcPr>
          <w:p w14:paraId="1932FAF0">
            <w:pPr>
              <w:jc w:val="center"/>
              <w:rPr>
                <w:rFonts w:ascii="宋体" w:hAnsi="宋体" w:eastAsia="宋体"/>
                <w:b/>
                <w:color w:val="auto"/>
                <w:sz w:val="24"/>
                <w:highlight w:val="none"/>
              </w:rPr>
            </w:pPr>
            <w:r>
              <w:rPr>
                <w:rFonts w:hint="eastAsia" w:ascii="宋体" w:hAnsi="宋体" w:eastAsia="宋体"/>
                <w:b/>
                <w:color w:val="auto"/>
                <w:sz w:val="24"/>
                <w:highlight w:val="none"/>
              </w:rPr>
              <w:t>单价</w:t>
            </w:r>
          </w:p>
          <w:p w14:paraId="65F1DEAD">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551" w:type="pct"/>
            <w:noWrap w:val="0"/>
            <w:vAlign w:val="center"/>
          </w:tcPr>
          <w:p w14:paraId="5DE324EE">
            <w:pPr>
              <w:jc w:val="center"/>
              <w:rPr>
                <w:rFonts w:ascii="宋体" w:hAnsi="宋体" w:eastAsia="宋体"/>
                <w:b/>
                <w:color w:val="auto"/>
                <w:sz w:val="24"/>
                <w:highlight w:val="none"/>
              </w:rPr>
            </w:pPr>
            <w:r>
              <w:rPr>
                <w:rFonts w:hint="eastAsia" w:ascii="宋体" w:hAnsi="宋体" w:eastAsia="宋体"/>
                <w:b/>
                <w:color w:val="auto"/>
                <w:sz w:val="24"/>
                <w:highlight w:val="none"/>
              </w:rPr>
              <w:t>小计</w:t>
            </w:r>
          </w:p>
          <w:p w14:paraId="4612D4E6">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393" w:type="pct"/>
            <w:noWrap w:val="0"/>
            <w:vAlign w:val="center"/>
          </w:tcPr>
          <w:p w14:paraId="728A531A">
            <w:pPr>
              <w:jc w:val="center"/>
              <w:rPr>
                <w:rFonts w:ascii="宋体" w:hAnsi="宋体" w:eastAsia="宋体"/>
                <w:b/>
                <w:color w:val="auto"/>
                <w:sz w:val="24"/>
                <w:highlight w:val="none"/>
              </w:rPr>
            </w:pPr>
            <w:r>
              <w:rPr>
                <w:rFonts w:hint="eastAsia" w:ascii="宋体" w:hAnsi="宋体" w:eastAsia="宋体"/>
                <w:b/>
                <w:color w:val="auto"/>
                <w:sz w:val="24"/>
                <w:highlight w:val="none"/>
              </w:rPr>
              <w:t>备注</w:t>
            </w:r>
          </w:p>
        </w:tc>
      </w:tr>
      <w:tr w14:paraId="446FB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Borders>
              <w:bottom w:val="single" w:color="auto" w:sz="4" w:space="0"/>
            </w:tcBorders>
            <w:noWrap w:val="0"/>
            <w:vAlign w:val="top"/>
          </w:tcPr>
          <w:p w14:paraId="432B84C4">
            <w:pPr>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776" w:type="pct"/>
            <w:noWrap w:val="0"/>
            <w:vAlign w:val="top"/>
          </w:tcPr>
          <w:p w14:paraId="6A8CEC95">
            <w:pPr>
              <w:rPr>
                <w:rFonts w:ascii="宋体" w:hAnsi="宋体" w:eastAsia="宋体"/>
                <w:color w:val="auto"/>
                <w:sz w:val="24"/>
                <w:highlight w:val="none"/>
              </w:rPr>
            </w:pPr>
          </w:p>
        </w:tc>
        <w:tc>
          <w:tcPr>
            <w:tcW w:w="772" w:type="pct"/>
            <w:noWrap w:val="0"/>
            <w:vAlign w:val="top"/>
          </w:tcPr>
          <w:p w14:paraId="54BE32F8">
            <w:pPr>
              <w:rPr>
                <w:rFonts w:ascii="宋体" w:hAnsi="宋体" w:eastAsia="宋体"/>
                <w:color w:val="auto"/>
                <w:sz w:val="24"/>
                <w:highlight w:val="none"/>
              </w:rPr>
            </w:pPr>
          </w:p>
        </w:tc>
        <w:tc>
          <w:tcPr>
            <w:tcW w:w="772" w:type="pct"/>
            <w:noWrap w:val="0"/>
            <w:vAlign w:val="top"/>
          </w:tcPr>
          <w:p w14:paraId="26E625DD">
            <w:pPr>
              <w:rPr>
                <w:rFonts w:ascii="宋体" w:hAnsi="宋体" w:eastAsia="宋体"/>
                <w:color w:val="auto"/>
                <w:sz w:val="24"/>
                <w:highlight w:val="none"/>
              </w:rPr>
            </w:pPr>
          </w:p>
        </w:tc>
        <w:tc>
          <w:tcPr>
            <w:tcW w:w="394" w:type="pct"/>
            <w:noWrap w:val="0"/>
            <w:vAlign w:val="top"/>
          </w:tcPr>
          <w:p w14:paraId="60744C20">
            <w:pPr>
              <w:rPr>
                <w:rFonts w:ascii="宋体" w:hAnsi="宋体" w:eastAsia="宋体"/>
                <w:color w:val="auto"/>
                <w:sz w:val="24"/>
                <w:highlight w:val="none"/>
              </w:rPr>
            </w:pPr>
          </w:p>
        </w:tc>
        <w:tc>
          <w:tcPr>
            <w:tcW w:w="394" w:type="pct"/>
            <w:noWrap w:val="0"/>
            <w:vAlign w:val="top"/>
          </w:tcPr>
          <w:p w14:paraId="58AA35F0">
            <w:pPr>
              <w:rPr>
                <w:rFonts w:ascii="宋体" w:hAnsi="宋体" w:eastAsia="宋体"/>
                <w:color w:val="auto"/>
                <w:sz w:val="24"/>
                <w:highlight w:val="none"/>
              </w:rPr>
            </w:pPr>
          </w:p>
        </w:tc>
        <w:tc>
          <w:tcPr>
            <w:tcW w:w="551" w:type="pct"/>
            <w:noWrap w:val="0"/>
            <w:vAlign w:val="top"/>
          </w:tcPr>
          <w:p w14:paraId="280AC6FE">
            <w:pPr>
              <w:rPr>
                <w:rFonts w:ascii="宋体" w:hAnsi="宋体" w:eastAsia="宋体"/>
                <w:color w:val="auto"/>
                <w:sz w:val="24"/>
                <w:highlight w:val="none"/>
              </w:rPr>
            </w:pPr>
          </w:p>
        </w:tc>
        <w:tc>
          <w:tcPr>
            <w:tcW w:w="551" w:type="pct"/>
            <w:noWrap w:val="0"/>
            <w:vAlign w:val="top"/>
          </w:tcPr>
          <w:p w14:paraId="01346115">
            <w:pPr>
              <w:rPr>
                <w:rFonts w:ascii="宋体" w:hAnsi="宋体" w:eastAsia="宋体"/>
                <w:color w:val="auto"/>
                <w:sz w:val="24"/>
                <w:highlight w:val="none"/>
              </w:rPr>
            </w:pPr>
          </w:p>
        </w:tc>
        <w:tc>
          <w:tcPr>
            <w:tcW w:w="393" w:type="pct"/>
            <w:noWrap w:val="0"/>
            <w:vAlign w:val="top"/>
          </w:tcPr>
          <w:p w14:paraId="4941694C">
            <w:pPr>
              <w:rPr>
                <w:rFonts w:ascii="宋体" w:hAnsi="宋体" w:eastAsia="宋体"/>
                <w:color w:val="auto"/>
                <w:sz w:val="24"/>
                <w:highlight w:val="none"/>
              </w:rPr>
            </w:pPr>
          </w:p>
        </w:tc>
      </w:tr>
      <w:tr w14:paraId="2B560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top"/>
          </w:tcPr>
          <w:p w14:paraId="17B26488">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776" w:type="pct"/>
            <w:noWrap w:val="0"/>
            <w:vAlign w:val="top"/>
          </w:tcPr>
          <w:p w14:paraId="12D87747">
            <w:pPr>
              <w:rPr>
                <w:rFonts w:ascii="宋体" w:hAnsi="宋体" w:eastAsia="宋体"/>
                <w:color w:val="auto"/>
                <w:sz w:val="24"/>
                <w:highlight w:val="none"/>
              </w:rPr>
            </w:pPr>
          </w:p>
        </w:tc>
        <w:tc>
          <w:tcPr>
            <w:tcW w:w="772" w:type="pct"/>
            <w:noWrap w:val="0"/>
            <w:vAlign w:val="top"/>
          </w:tcPr>
          <w:p w14:paraId="05C8FC95">
            <w:pPr>
              <w:rPr>
                <w:rFonts w:ascii="宋体" w:hAnsi="宋体" w:eastAsia="宋体"/>
                <w:color w:val="auto"/>
                <w:sz w:val="24"/>
                <w:highlight w:val="none"/>
              </w:rPr>
            </w:pPr>
          </w:p>
        </w:tc>
        <w:tc>
          <w:tcPr>
            <w:tcW w:w="772" w:type="pct"/>
            <w:noWrap w:val="0"/>
            <w:vAlign w:val="top"/>
          </w:tcPr>
          <w:p w14:paraId="4AF994D5">
            <w:pPr>
              <w:rPr>
                <w:rFonts w:ascii="宋体" w:hAnsi="宋体" w:eastAsia="宋体"/>
                <w:color w:val="auto"/>
                <w:sz w:val="24"/>
                <w:highlight w:val="none"/>
              </w:rPr>
            </w:pPr>
          </w:p>
        </w:tc>
        <w:tc>
          <w:tcPr>
            <w:tcW w:w="394" w:type="pct"/>
            <w:noWrap w:val="0"/>
            <w:vAlign w:val="top"/>
          </w:tcPr>
          <w:p w14:paraId="7F0B09CE">
            <w:pPr>
              <w:rPr>
                <w:rFonts w:ascii="宋体" w:hAnsi="宋体" w:eastAsia="宋体"/>
                <w:color w:val="auto"/>
                <w:sz w:val="24"/>
                <w:highlight w:val="none"/>
              </w:rPr>
            </w:pPr>
          </w:p>
        </w:tc>
        <w:tc>
          <w:tcPr>
            <w:tcW w:w="394" w:type="pct"/>
            <w:noWrap w:val="0"/>
            <w:vAlign w:val="top"/>
          </w:tcPr>
          <w:p w14:paraId="472FAAB6">
            <w:pPr>
              <w:rPr>
                <w:rFonts w:ascii="宋体" w:hAnsi="宋体" w:eastAsia="宋体"/>
                <w:color w:val="auto"/>
                <w:sz w:val="24"/>
                <w:highlight w:val="none"/>
              </w:rPr>
            </w:pPr>
          </w:p>
        </w:tc>
        <w:tc>
          <w:tcPr>
            <w:tcW w:w="551" w:type="pct"/>
            <w:noWrap w:val="0"/>
            <w:vAlign w:val="top"/>
          </w:tcPr>
          <w:p w14:paraId="40723567">
            <w:pPr>
              <w:rPr>
                <w:rFonts w:ascii="宋体" w:hAnsi="宋体" w:eastAsia="宋体"/>
                <w:color w:val="auto"/>
                <w:sz w:val="24"/>
                <w:highlight w:val="none"/>
              </w:rPr>
            </w:pPr>
          </w:p>
        </w:tc>
        <w:tc>
          <w:tcPr>
            <w:tcW w:w="551" w:type="pct"/>
            <w:noWrap w:val="0"/>
            <w:vAlign w:val="top"/>
          </w:tcPr>
          <w:p w14:paraId="6C2CA1E0">
            <w:pPr>
              <w:rPr>
                <w:rFonts w:ascii="宋体" w:hAnsi="宋体" w:eastAsia="宋体"/>
                <w:color w:val="auto"/>
                <w:sz w:val="24"/>
                <w:highlight w:val="none"/>
              </w:rPr>
            </w:pPr>
          </w:p>
        </w:tc>
        <w:tc>
          <w:tcPr>
            <w:tcW w:w="393" w:type="pct"/>
            <w:noWrap w:val="0"/>
            <w:vAlign w:val="top"/>
          </w:tcPr>
          <w:p w14:paraId="1DA52364">
            <w:pPr>
              <w:rPr>
                <w:rFonts w:ascii="宋体" w:hAnsi="宋体" w:eastAsia="宋体"/>
                <w:color w:val="auto"/>
                <w:sz w:val="24"/>
                <w:highlight w:val="none"/>
              </w:rPr>
            </w:pPr>
          </w:p>
        </w:tc>
      </w:tr>
      <w:tr w14:paraId="4DC92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top"/>
          </w:tcPr>
          <w:p w14:paraId="716AC33B">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776" w:type="pct"/>
            <w:noWrap w:val="0"/>
            <w:vAlign w:val="top"/>
          </w:tcPr>
          <w:p w14:paraId="4A00C8E3">
            <w:pPr>
              <w:rPr>
                <w:rFonts w:ascii="宋体" w:hAnsi="宋体" w:eastAsia="宋体"/>
                <w:color w:val="auto"/>
                <w:sz w:val="24"/>
                <w:highlight w:val="none"/>
              </w:rPr>
            </w:pPr>
          </w:p>
        </w:tc>
        <w:tc>
          <w:tcPr>
            <w:tcW w:w="772" w:type="pct"/>
            <w:noWrap w:val="0"/>
            <w:vAlign w:val="top"/>
          </w:tcPr>
          <w:p w14:paraId="23595A51">
            <w:pPr>
              <w:rPr>
                <w:rFonts w:ascii="宋体" w:hAnsi="宋体" w:eastAsia="宋体"/>
                <w:color w:val="auto"/>
                <w:sz w:val="24"/>
                <w:highlight w:val="none"/>
              </w:rPr>
            </w:pPr>
          </w:p>
        </w:tc>
        <w:tc>
          <w:tcPr>
            <w:tcW w:w="772" w:type="pct"/>
            <w:noWrap w:val="0"/>
            <w:vAlign w:val="top"/>
          </w:tcPr>
          <w:p w14:paraId="2E48DDA6">
            <w:pPr>
              <w:rPr>
                <w:rFonts w:ascii="宋体" w:hAnsi="宋体" w:eastAsia="宋体"/>
                <w:color w:val="auto"/>
                <w:sz w:val="24"/>
                <w:highlight w:val="none"/>
              </w:rPr>
            </w:pPr>
          </w:p>
        </w:tc>
        <w:tc>
          <w:tcPr>
            <w:tcW w:w="394" w:type="pct"/>
            <w:noWrap w:val="0"/>
            <w:vAlign w:val="top"/>
          </w:tcPr>
          <w:p w14:paraId="193878D8">
            <w:pPr>
              <w:rPr>
                <w:rFonts w:ascii="宋体" w:hAnsi="宋体" w:eastAsia="宋体"/>
                <w:color w:val="auto"/>
                <w:sz w:val="24"/>
                <w:highlight w:val="none"/>
              </w:rPr>
            </w:pPr>
          </w:p>
        </w:tc>
        <w:tc>
          <w:tcPr>
            <w:tcW w:w="394" w:type="pct"/>
            <w:noWrap w:val="0"/>
            <w:vAlign w:val="top"/>
          </w:tcPr>
          <w:p w14:paraId="15C11928">
            <w:pPr>
              <w:rPr>
                <w:rFonts w:ascii="宋体" w:hAnsi="宋体" w:eastAsia="宋体"/>
                <w:color w:val="auto"/>
                <w:sz w:val="24"/>
                <w:highlight w:val="none"/>
              </w:rPr>
            </w:pPr>
          </w:p>
        </w:tc>
        <w:tc>
          <w:tcPr>
            <w:tcW w:w="551" w:type="pct"/>
            <w:noWrap w:val="0"/>
            <w:vAlign w:val="top"/>
          </w:tcPr>
          <w:p w14:paraId="334E3DFB">
            <w:pPr>
              <w:rPr>
                <w:rFonts w:ascii="宋体" w:hAnsi="宋体" w:eastAsia="宋体"/>
                <w:color w:val="auto"/>
                <w:sz w:val="24"/>
                <w:highlight w:val="none"/>
              </w:rPr>
            </w:pPr>
          </w:p>
        </w:tc>
        <w:tc>
          <w:tcPr>
            <w:tcW w:w="551" w:type="pct"/>
            <w:noWrap w:val="0"/>
            <w:vAlign w:val="top"/>
          </w:tcPr>
          <w:p w14:paraId="01EF51FC">
            <w:pPr>
              <w:rPr>
                <w:rFonts w:ascii="宋体" w:hAnsi="宋体" w:eastAsia="宋体"/>
                <w:color w:val="auto"/>
                <w:sz w:val="24"/>
                <w:highlight w:val="none"/>
              </w:rPr>
            </w:pPr>
          </w:p>
        </w:tc>
        <w:tc>
          <w:tcPr>
            <w:tcW w:w="393" w:type="pct"/>
            <w:noWrap w:val="0"/>
            <w:vAlign w:val="top"/>
          </w:tcPr>
          <w:p w14:paraId="64056621">
            <w:pPr>
              <w:rPr>
                <w:rFonts w:ascii="宋体" w:hAnsi="宋体" w:eastAsia="宋体"/>
                <w:color w:val="auto"/>
                <w:sz w:val="24"/>
                <w:highlight w:val="none"/>
              </w:rPr>
            </w:pPr>
          </w:p>
        </w:tc>
      </w:tr>
      <w:tr w14:paraId="74E0A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top"/>
          </w:tcPr>
          <w:p w14:paraId="4814B2D2">
            <w:pPr>
              <w:jc w:val="center"/>
              <w:rPr>
                <w:rFonts w:ascii="宋体" w:hAnsi="宋体" w:eastAsia="宋体"/>
                <w:color w:val="auto"/>
                <w:sz w:val="24"/>
                <w:highlight w:val="none"/>
              </w:rPr>
            </w:pPr>
            <w:r>
              <w:rPr>
                <w:rFonts w:hint="eastAsia" w:ascii="宋体" w:hAnsi="宋体" w:eastAsia="宋体"/>
                <w:color w:val="auto"/>
                <w:sz w:val="24"/>
                <w:highlight w:val="none"/>
              </w:rPr>
              <w:t>…</w:t>
            </w:r>
          </w:p>
        </w:tc>
        <w:tc>
          <w:tcPr>
            <w:tcW w:w="776" w:type="pct"/>
            <w:noWrap w:val="0"/>
            <w:vAlign w:val="top"/>
          </w:tcPr>
          <w:p w14:paraId="3D1F2374">
            <w:pPr>
              <w:rPr>
                <w:rFonts w:ascii="宋体" w:hAnsi="宋体" w:eastAsia="宋体"/>
                <w:color w:val="auto"/>
                <w:sz w:val="24"/>
                <w:highlight w:val="none"/>
              </w:rPr>
            </w:pPr>
          </w:p>
        </w:tc>
        <w:tc>
          <w:tcPr>
            <w:tcW w:w="772" w:type="pct"/>
            <w:noWrap w:val="0"/>
            <w:vAlign w:val="top"/>
          </w:tcPr>
          <w:p w14:paraId="4C643047">
            <w:pPr>
              <w:rPr>
                <w:rFonts w:ascii="宋体" w:hAnsi="宋体" w:eastAsia="宋体"/>
                <w:color w:val="auto"/>
                <w:sz w:val="24"/>
                <w:highlight w:val="none"/>
              </w:rPr>
            </w:pPr>
          </w:p>
        </w:tc>
        <w:tc>
          <w:tcPr>
            <w:tcW w:w="772" w:type="pct"/>
            <w:noWrap w:val="0"/>
            <w:vAlign w:val="top"/>
          </w:tcPr>
          <w:p w14:paraId="1197C493">
            <w:pPr>
              <w:rPr>
                <w:rFonts w:ascii="宋体" w:hAnsi="宋体" w:eastAsia="宋体"/>
                <w:color w:val="auto"/>
                <w:sz w:val="24"/>
                <w:highlight w:val="none"/>
              </w:rPr>
            </w:pPr>
          </w:p>
        </w:tc>
        <w:tc>
          <w:tcPr>
            <w:tcW w:w="394" w:type="pct"/>
            <w:noWrap w:val="0"/>
            <w:vAlign w:val="top"/>
          </w:tcPr>
          <w:p w14:paraId="745D1AFE">
            <w:pPr>
              <w:rPr>
                <w:rFonts w:ascii="宋体" w:hAnsi="宋体" w:eastAsia="宋体"/>
                <w:color w:val="auto"/>
                <w:sz w:val="24"/>
                <w:highlight w:val="none"/>
              </w:rPr>
            </w:pPr>
          </w:p>
        </w:tc>
        <w:tc>
          <w:tcPr>
            <w:tcW w:w="394" w:type="pct"/>
            <w:noWrap w:val="0"/>
            <w:vAlign w:val="top"/>
          </w:tcPr>
          <w:p w14:paraId="230E04AF">
            <w:pPr>
              <w:rPr>
                <w:rFonts w:ascii="宋体" w:hAnsi="宋体" w:eastAsia="宋体"/>
                <w:color w:val="auto"/>
                <w:sz w:val="24"/>
                <w:highlight w:val="none"/>
              </w:rPr>
            </w:pPr>
          </w:p>
        </w:tc>
        <w:tc>
          <w:tcPr>
            <w:tcW w:w="551" w:type="pct"/>
            <w:noWrap w:val="0"/>
            <w:vAlign w:val="top"/>
          </w:tcPr>
          <w:p w14:paraId="3074FE71">
            <w:pPr>
              <w:rPr>
                <w:rFonts w:ascii="宋体" w:hAnsi="宋体" w:eastAsia="宋体"/>
                <w:color w:val="auto"/>
                <w:sz w:val="24"/>
                <w:highlight w:val="none"/>
              </w:rPr>
            </w:pPr>
          </w:p>
        </w:tc>
        <w:tc>
          <w:tcPr>
            <w:tcW w:w="551" w:type="pct"/>
            <w:noWrap w:val="0"/>
            <w:vAlign w:val="top"/>
          </w:tcPr>
          <w:p w14:paraId="0FDA0867">
            <w:pPr>
              <w:rPr>
                <w:rFonts w:ascii="宋体" w:hAnsi="宋体" w:eastAsia="宋体"/>
                <w:color w:val="auto"/>
                <w:sz w:val="24"/>
                <w:highlight w:val="none"/>
              </w:rPr>
            </w:pPr>
          </w:p>
        </w:tc>
        <w:tc>
          <w:tcPr>
            <w:tcW w:w="393" w:type="pct"/>
            <w:noWrap w:val="0"/>
            <w:vAlign w:val="top"/>
          </w:tcPr>
          <w:p w14:paraId="065A142C">
            <w:pPr>
              <w:rPr>
                <w:rFonts w:ascii="宋体" w:hAnsi="宋体" w:eastAsia="宋体"/>
                <w:color w:val="auto"/>
                <w:sz w:val="24"/>
                <w:highlight w:val="none"/>
              </w:rPr>
            </w:pPr>
          </w:p>
        </w:tc>
      </w:tr>
      <w:tr w14:paraId="55C4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054" w:type="pct"/>
            <w:gridSpan w:val="7"/>
            <w:noWrap w:val="0"/>
            <w:vAlign w:val="center"/>
          </w:tcPr>
          <w:p w14:paraId="4D3B845C">
            <w:pPr>
              <w:jc w:val="center"/>
              <w:rPr>
                <w:rFonts w:ascii="宋体" w:hAnsi="宋体" w:eastAsia="宋体"/>
                <w:color w:val="auto"/>
                <w:sz w:val="24"/>
                <w:highlight w:val="none"/>
              </w:rPr>
            </w:pPr>
            <w:r>
              <w:rPr>
                <w:rFonts w:hint="eastAsia" w:ascii="宋体" w:hAnsi="宋体" w:eastAsia="宋体"/>
                <w:b/>
                <w:color w:val="auto"/>
                <w:sz w:val="24"/>
                <w:highlight w:val="none"/>
              </w:rPr>
              <w:t>合计</w:t>
            </w:r>
            <w:r>
              <w:rPr>
                <w:rFonts w:hint="eastAsia" w:ascii="宋体" w:hAnsi="宋体" w:eastAsia="宋体"/>
                <w:b/>
                <w:color w:val="auto"/>
                <w:sz w:val="24"/>
                <w:highlight w:val="none"/>
                <w:lang w:val="en-US" w:eastAsia="zh-CN"/>
              </w:rPr>
              <w:t>金额</w:t>
            </w:r>
            <w:r>
              <w:rPr>
                <w:rFonts w:hint="eastAsia" w:ascii="宋体" w:hAnsi="宋体" w:eastAsia="宋体"/>
                <w:b/>
                <w:color w:val="auto"/>
                <w:sz w:val="24"/>
                <w:highlight w:val="none"/>
              </w:rPr>
              <w:t>（元）</w:t>
            </w:r>
          </w:p>
        </w:tc>
        <w:tc>
          <w:tcPr>
            <w:tcW w:w="945" w:type="pct"/>
            <w:gridSpan w:val="2"/>
            <w:noWrap w:val="0"/>
            <w:vAlign w:val="top"/>
          </w:tcPr>
          <w:p w14:paraId="1BC54D7C">
            <w:pPr>
              <w:rPr>
                <w:rFonts w:ascii="宋体" w:hAnsi="宋体" w:eastAsia="宋体"/>
                <w:color w:val="auto"/>
                <w:sz w:val="24"/>
                <w:highlight w:val="none"/>
              </w:rPr>
            </w:pPr>
          </w:p>
        </w:tc>
      </w:tr>
    </w:tbl>
    <w:p w14:paraId="2213CFA8">
      <w:pPr>
        <w:pStyle w:val="2"/>
        <w:numPr>
          <w:ilvl w:val="0"/>
          <w:numId w:val="0"/>
        </w:numPr>
        <w:rPr>
          <w:color w:val="auto"/>
          <w:highlight w:val="none"/>
        </w:rPr>
      </w:pPr>
    </w:p>
    <w:p w14:paraId="318553DF">
      <w:pPr>
        <w:keepNext w:val="0"/>
        <w:keepLines w:val="0"/>
        <w:widowControl/>
        <w:suppressLineNumbers w:val="0"/>
        <w:jc w:val="left"/>
        <w:rPr>
          <w:rFonts w:hint="eastAsia" w:ascii="宋体" w:hAnsi="宋体" w:eastAsia="宋体"/>
          <w:b/>
          <w:bCs/>
          <w:color w:val="auto"/>
          <w:highlight w:val="none"/>
          <w:lang w:val="en-US" w:eastAsia="zh-CN"/>
        </w:rPr>
      </w:pPr>
      <w:r>
        <w:rPr>
          <w:rFonts w:hint="eastAsia" w:ascii="宋体" w:hAnsi="宋体" w:eastAsia="宋体"/>
          <w:b/>
          <w:bCs/>
          <w:color w:val="auto"/>
          <w:highlight w:val="none"/>
          <w:lang w:val="en-US" w:eastAsia="zh-CN"/>
        </w:rPr>
        <w:t>3-2服务部分（仅供参考，投标人可自行制作格式）</w:t>
      </w:r>
    </w:p>
    <w:p w14:paraId="3B2FED73">
      <w:pPr>
        <w:spacing w:line="360" w:lineRule="auto"/>
        <w:ind w:firstLine="4800" w:firstLineChars="2000"/>
        <w:rPr>
          <w:rFonts w:ascii="宋体" w:hAnsi="宋体" w:eastAsia="宋体"/>
          <w:color w:val="auto"/>
          <w:sz w:val="24"/>
          <w:highlight w:val="none"/>
        </w:rPr>
      </w:pP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3109"/>
        <w:gridCol w:w="1357"/>
        <w:gridCol w:w="1698"/>
        <w:gridCol w:w="1568"/>
      </w:tblGrid>
      <w:tr w14:paraId="11721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4" w:type="pct"/>
            <w:vAlign w:val="center"/>
          </w:tcPr>
          <w:p w14:paraId="647B770F">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序号</w:t>
            </w:r>
          </w:p>
        </w:tc>
        <w:tc>
          <w:tcPr>
            <w:tcW w:w="1824" w:type="pct"/>
            <w:vAlign w:val="center"/>
          </w:tcPr>
          <w:p w14:paraId="389BC6D2">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服务内容</w:t>
            </w:r>
          </w:p>
        </w:tc>
        <w:tc>
          <w:tcPr>
            <w:tcW w:w="796" w:type="pct"/>
            <w:vAlign w:val="center"/>
          </w:tcPr>
          <w:p w14:paraId="2E010899">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w:t>
            </w:r>
          </w:p>
        </w:tc>
        <w:tc>
          <w:tcPr>
            <w:tcW w:w="995" w:type="pct"/>
            <w:vAlign w:val="center"/>
          </w:tcPr>
          <w:p w14:paraId="7C80C062">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单价</w:t>
            </w:r>
          </w:p>
        </w:tc>
        <w:tc>
          <w:tcPr>
            <w:tcW w:w="920" w:type="pct"/>
            <w:vAlign w:val="center"/>
          </w:tcPr>
          <w:p w14:paraId="5438887B">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小计金额（元）</w:t>
            </w:r>
          </w:p>
        </w:tc>
      </w:tr>
      <w:tr w14:paraId="2A33D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tcBorders>
              <w:bottom w:val="single" w:color="auto" w:sz="4" w:space="0"/>
            </w:tcBorders>
            <w:vAlign w:val="center"/>
          </w:tcPr>
          <w:p w14:paraId="3836189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824" w:type="pct"/>
            <w:vAlign w:val="center"/>
          </w:tcPr>
          <w:p w14:paraId="6EEF84F5">
            <w:pPr>
              <w:jc w:val="center"/>
              <w:rPr>
                <w:rFonts w:asciiTheme="minorEastAsia" w:hAnsiTheme="minorEastAsia" w:eastAsiaTheme="minorEastAsia"/>
                <w:color w:val="auto"/>
                <w:sz w:val="24"/>
                <w:highlight w:val="none"/>
              </w:rPr>
            </w:pPr>
          </w:p>
        </w:tc>
        <w:tc>
          <w:tcPr>
            <w:tcW w:w="796" w:type="pct"/>
            <w:vAlign w:val="center"/>
          </w:tcPr>
          <w:p w14:paraId="4BE10035">
            <w:pPr>
              <w:jc w:val="center"/>
              <w:rPr>
                <w:rFonts w:asciiTheme="minorEastAsia" w:hAnsiTheme="minorEastAsia" w:eastAsiaTheme="minorEastAsia"/>
                <w:color w:val="auto"/>
                <w:sz w:val="24"/>
                <w:highlight w:val="none"/>
              </w:rPr>
            </w:pPr>
          </w:p>
        </w:tc>
        <w:tc>
          <w:tcPr>
            <w:tcW w:w="995" w:type="pct"/>
            <w:vAlign w:val="center"/>
          </w:tcPr>
          <w:p w14:paraId="6D5148D8">
            <w:pPr>
              <w:jc w:val="center"/>
              <w:rPr>
                <w:rFonts w:asciiTheme="minorEastAsia" w:hAnsiTheme="minorEastAsia" w:eastAsiaTheme="minorEastAsia"/>
                <w:color w:val="auto"/>
                <w:sz w:val="24"/>
                <w:highlight w:val="none"/>
              </w:rPr>
            </w:pPr>
          </w:p>
        </w:tc>
        <w:tc>
          <w:tcPr>
            <w:tcW w:w="920" w:type="pct"/>
            <w:vAlign w:val="center"/>
          </w:tcPr>
          <w:p w14:paraId="04A4CC0A">
            <w:pPr>
              <w:jc w:val="center"/>
              <w:rPr>
                <w:rFonts w:asciiTheme="minorEastAsia" w:hAnsiTheme="minorEastAsia" w:eastAsiaTheme="minorEastAsia"/>
                <w:color w:val="auto"/>
                <w:sz w:val="24"/>
                <w:highlight w:val="none"/>
              </w:rPr>
            </w:pPr>
          </w:p>
        </w:tc>
      </w:tr>
      <w:tr w14:paraId="719B3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63D64BCA">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824" w:type="pct"/>
            <w:vAlign w:val="center"/>
          </w:tcPr>
          <w:p w14:paraId="7952C57D">
            <w:pPr>
              <w:jc w:val="center"/>
              <w:rPr>
                <w:rFonts w:asciiTheme="minorEastAsia" w:hAnsiTheme="minorEastAsia" w:eastAsiaTheme="minorEastAsia"/>
                <w:color w:val="auto"/>
                <w:sz w:val="24"/>
                <w:highlight w:val="none"/>
              </w:rPr>
            </w:pPr>
          </w:p>
        </w:tc>
        <w:tc>
          <w:tcPr>
            <w:tcW w:w="796" w:type="pct"/>
            <w:vAlign w:val="center"/>
          </w:tcPr>
          <w:p w14:paraId="25747598">
            <w:pPr>
              <w:jc w:val="center"/>
              <w:rPr>
                <w:rFonts w:asciiTheme="minorEastAsia" w:hAnsiTheme="minorEastAsia" w:eastAsiaTheme="minorEastAsia"/>
                <w:color w:val="auto"/>
                <w:sz w:val="24"/>
                <w:highlight w:val="none"/>
              </w:rPr>
            </w:pPr>
          </w:p>
        </w:tc>
        <w:tc>
          <w:tcPr>
            <w:tcW w:w="995" w:type="pct"/>
            <w:vAlign w:val="center"/>
          </w:tcPr>
          <w:p w14:paraId="11D869F8">
            <w:pPr>
              <w:jc w:val="center"/>
              <w:rPr>
                <w:rFonts w:asciiTheme="minorEastAsia" w:hAnsiTheme="minorEastAsia" w:eastAsiaTheme="minorEastAsia"/>
                <w:color w:val="auto"/>
                <w:sz w:val="24"/>
                <w:highlight w:val="none"/>
              </w:rPr>
            </w:pPr>
          </w:p>
        </w:tc>
        <w:tc>
          <w:tcPr>
            <w:tcW w:w="920" w:type="pct"/>
            <w:vAlign w:val="center"/>
          </w:tcPr>
          <w:p w14:paraId="6FAD3261">
            <w:pPr>
              <w:jc w:val="center"/>
              <w:rPr>
                <w:rFonts w:asciiTheme="minorEastAsia" w:hAnsiTheme="minorEastAsia" w:eastAsiaTheme="minorEastAsia"/>
                <w:color w:val="auto"/>
                <w:sz w:val="24"/>
                <w:highlight w:val="none"/>
              </w:rPr>
            </w:pPr>
          </w:p>
        </w:tc>
      </w:tr>
      <w:tr w14:paraId="25B10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386DFC44">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824" w:type="pct"/>
            <w:vAlign w:val="center"/>
          </w:tcPr>
          <w:p w14:paraId="4BCB148B">
            <w:pPr>
              <w:jc w:val="center"/>
              <w:rPr>
                <w:rFonts w:asciiTheme="minorEastAsia" w:hAnsiTheme="minorEastAsia" w:eastAsiaTheme="minorEastAsia"/>
                <w:color w:val="auto"/>
                <w:sz w:val="24"/>
                <w:highlight w:val="none"/>
              </w:rPr>
            </w:pPr>
          </w:p>
        </w:tc>
        <w:tc>
          <w:tcPr>
            <w:tcW w:w="796" w:type="pct"/>
            <w:vAlign w:val="center"/>
          </w:tcPr>
          <w:p w14:paraId="1E648484">
            <w:pPr>
              <w:jc w:val="center"/>
              <w:rPr>
                <w:rFonts w:asciiTheme="minorEastAsia" w:hAnsiTheme="minorEastAsia" w:eastAsiaTheme="minorEastAsia"/>
                <w:color w:val="auto"/>
                <w:sz w:val="24"/>
                <w:highlight w:val="none"/>
              </w:rPr>
            </w:pPr>
          </w:p>
        </w:tc>
        <w:tc>
          <w:tcPr>
            <w:tcW w:w="995" w:type="pct"/>
            <w:vAlign w:val="center"/>
          </w:tcPr>
          <w:p w14:paraId="507FD28D">
            <w:pPr>
              <w:jc w:val="center"/>
              <w:rPr>
                <w:rFonts w:asciiTheme="minorEastAsia" w:hAnsiTheme="minorEastAsia" w:eastAsiaTheme="minorEastAsia"/>
                <w:color w:val="auto"/>
                <w:sz w:val="24"/>
                <w:highlight w:val="none"/>
              </w:rPr>
            </w:pPr>
          </w:p>
        </w:tc>
        <w:tc>
          <w:tcPr>
            <w:tcW w:w="920" w:type="pct"/>
            <w:vAlign w:val="center"/>
          </w:tcPr>
          <w:p w14:paraId="672A8C6B">
            <w:pPr>
              <w:jc w:val="center"/>
              <w:rPr>
                <w:rFonts w:asciiTheme="minorEastAsia" w:hAnsiTheme="minorEastAsia" w:eastAsiaTheme="minorEastAsia"/>
                <w:color w:val="auto"/>
                <w:sz w:val="24"/>
                <w:highlight w:val="none"/>
              </w:rPr>
            </w:pPr>
          </w:p>
        </w:tc>
      </w:tr>
      <w:tr w14:paraId="1598F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6C54C4FE">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w:t>
            </w:r>
          </w:p>
        </w:tc>
        <w:tc>
          <w:tcPr>
            <w:tcW w:w="1824" w:type="pct"/>
            <w:vAlign w:val="center"/>
          </w:tcPr>
          <w:p w14:paraId="5D73E6D0">
            <w:pPr>
              <w:jc w:val="center"/>
              <w:rPr>
                <w:rFonts w:asciiTheme="minorEastAsia" w:hAnsiTheme="minorEastAsia" w:eastAsiaTheme="minorEastAsia"/>
                <w:color w:val="auto"/>
                <w:sz w:val="24"/>
                <w:highlight w:val="none"/>
              </w:rPr>
            </w:pPr>
          </w:p>
        </w:tc>
        <w:tc>
          <w:tcPr>
            <w:tcW w:w="796" w:type="pct"/>
            <w:vAlign w:val="center"/>
          </w:tcPr>
          <w:p w14:paraId="24E7A3F0">
            <w:pPr>
              <w:jc w:val="center"/>
              <w:rPr>
                <w:rFonts w:asciiTheme="minorEastAsia" w:hAnsiTheme="minorEastAsia" w:eastAsiaTheme="minorEastAsia"/>
                <w:color w:val="auto"/>
                <w:sz w:val="24"/>
                <w:highlight w:val="none"/>
              </w:rPr>
            </w:pPr>
          </w:p>
        </w:tc>
        <w:tc>
          <w:tcPr>
            <w:tcW w:w="995" w:type="pct"/>
            <w:vAlign w:val="center"/>
          </w:tcPr>
          <w:p w14:paraId="54DDD30E">
            <w:pPr>
              <w:jc w:val="center"/>
              <w:rPr>
                <w:rFonts w:asciiTheme="minorEastAsia" w:hAnsiTheme="minorEastAsia" w:eastAsiaTheme="minorEastAsia"/>
                <w:color w:val="auto"/>
                <w:sz w:val="24"/>
                <w:highlight w:val="none"/>
              </w:rPr>
            </w:pPr>
          </w:p>
        </w:tc>
        <w:tc>
          <w:tcPr>
            <w:tcW w:w="920" w:type="pct"/>
            <w:vAlign w:val="center"/>
          </w:tcPr>
          <w:p w14:paraId="5072508C">
            <w:pPr>
              <w:jc w:val="center"/>
              <w:rPr>
                <w:rFonts w:asciiTheme="minorEastAsia" w:hAnsiTheme="minorEastAsia" w:eastAsiaTheme="minorEastAsia"/>
                <w:color w:val="auto"/>
                <w:sz w:val="24"/>
                <w:highlight w:val="none"/>
              </w:rPr>
            </w:pPr>
          </w:p>
        </w:tc>
      </w:tr>
      <w:tr w14:paraId="69179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54FB81D2">
            <w:pPr>
              <w:jc w:val="center"/>
              <w:rPr>
                <w:rFonts w:asciiTheme="minorEastAsia" w:hAnsiTheme="minorEastAsia" w:eastAsiaTheme="minorEastAsia"/>
                <w:color w:val="auto"/>
                <w:sz w:val="24"/>
                <w:highlight w:val="none"/>
              </w:rPr>
            </w:pPr>
          </w:p>
        </w:tc>
        <w:tc>
          <w:tcPr>
            <w:tcW w:w="1824" w:type="pct"/>
            <w:vAlign w:val="center"/>
          </w:tcPr>
          <w:p w14:paraId="18333C15">
            <w:pPr>
              <w:pStyle w:val="54"/>
              <w:ind w:left="-108"/>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其他费用</w:t>
            </w:r>
          </w:p>
        </w:tc>
        <w:tc>
          <w:tcPr>
            <w:tcW w:w="796" w:type="pct"/>
            <w:vAlign w:val="center"/>
          </w:tcPr>
          <w:p w14:paraId="15B73813">
            <w:pPr>
              <w:jc w:val="center"/>
              <w:rPr>
                <w:rFonts w:asciiTheme="minorEastAsia" w:hAnsiTheme="minorEastAsia" w:eastAsiaTheme="minorEastAsia"/>
                <w:color w:val="auto"/>
                <w:sz w:val="24"/>
                <w:highlight w:val="none"/>
              </w:rPr>
            </w:pPr>
          </w:p>
        </w:tc>
        <w:tc>
          <w:tcPr>
            <w:tcW w:w="995" w:type="pct"/>
            <w:vAlign w:val="center"/>
          </w:tcPr>
          <w:p w14:paraId="6CD0BC5C">
            <w:pPr>
              <w:jc w:val="center"/>
              <w:rPr>
                <w:rFonts w:asciiTheme="minorEastAsia" w:hAnsiTheme="minorEastAsia" w:eastAsiaTheme="minorEastAsia"/>
                <w:color w:val="auto"/>
                <w:sz w:val="24"/>
                <w:highlight w:val="none"/>
              </w:rPr>
            </w:pPr>
          </w:p>
        </w:tc>
        <w:tc>
          <w:tcPr>
            <w:tcW w:w="920" w:type="pct"/>
            <w:vAlign w:val="center"/>
          </w:tcPr>
          <w:p w14:paraId="33263E5A">
            <w:pPr>
              <w:jc w:val="center"/>
              <w:rPr>
                <w:rFonts w:asciiTheme="minorEastAsia" w:hAnsiTheme="minorEastAsia" w:eastAsiaTheme="minorEastAsia"/>
                <w:color w:val="auto"/>
                <w:sz w:val="24"/>
                <w:highlight w:val="none"/>
              </w:rPr>
            </w:pPr>
          </w:p>
        </w:tc>
      </w:tr>
      <w:tr w14:paraId="408A1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7475242C">
            <w:pPr>
              <w:jc w:val="center"/>
              <w:rPr>
                <w:rFonts w:asciiTheme="minorEastAsia" w:hAnsiTheme="minorEastAsia" w:eastAsiaTheme="minorEastAsia"/>
                <w:color w:val="auto"/>
                <w:sz w:val="24"/>
                <w:highlight w:val="none"/>
              </w:rPr>
            </w:pPr>
          </w:p>
        </w:tc>
        <w:tc>
          <w:tcPr>
            <w:tcW w:w="1824" w:type="pct"/>
            <w:vAlign w:val="center"/>
          </w:tcPr>
          <w:p w14:paraId="557BE5AD">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w:t>
            </w:r>
          </w:p>
        </w:tc>
        <w:tc>
          <w:tcPr>
            <w:tcW w:w="796" w:type="pct"/>
            <w:vAlign w:val="center"/>
          </w:tcPr>
          <w:p w14:paraId="62CB1ED2">
            <w:pPr>
              <w:jc w:val="center"/>
              <w:rPr>
                <w:rFonts w:asciiTheme="minorEastAsia" w:hAnsiTheme="minorEastAsia" w:eastAsiaTheme="minorEastAsia"/>
                <w:color w:val="auto"/>
                <w:sz w:val="24"/>
                <w:highlight w:val="none"/>
              </w:rPr>
            </w:pPr>
          </w:p>
        </w:tc>
        <w:tc>
          <w:tcPr>
            <w:tcW w:w="995" w:type="pct"/>
            <w:vAlign w:val="center"/>
          </w:tcPr>
          <w:p w14:paraId="64B52D6F">
            <w:pPr>
              <w:jc w:val="center"/>
              <w:rPr>
                <w:rFonts w:asciiTheme="minorEastAsia" w:hAnsiTheme="minorEastAsia" w:eastAsiaTheme="minorEastAsia"/>
                <w:color w:val="auto"/>
                <w:sz w:val="24"/>
                <w:highlight w:val="none"/>
              </w:rPr>
            </w:pPr>
          </w:p>
        </w:tc>
        <w:tc>
          <w:tcPr>
            <w:tcW w:w="920" w:type="pct"/>
            <w:vAlign w:val="center"/>
          </w:tcPr>
          <w:p w14:paraId="0C7DB071">
            <w:pPr>
              <w:jc w:val="center"/>
              <w:rPr>
                <w:rFonts w:asciiTheme="minorEastAsia" w:hAnsiTheme="minorEastAsia" w:eastAsiaTheme="minorEastAsia"/>
                <w:color w:val="auto"/>
                <w:sz w:val="24"/>
                <w:highlight w:val="none"/>
              </w:rPr>
            </w:pPr>
          </w:p>
        </w:tc>
      </w:tr>
      <w:tr w14:paraId="5394C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vAlign w:val="center"/>
          </w:tcPr>
          <w:p w14:paraId="60E4B32D">
            <w:pPr>
              <w:jc w:val="center"/>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合计金额（元）</w:t>
            </w:r>
          </w:p>
        </w:tc>
        <w:tc>
          <w:tcPr>
            <w:tcW w:w="920" w:type="pct"/>
            <w:vAlign w:val="center"/>
          </w:tcPr>
          <w:p w14:paraId="710EF721">
            <w:pPr>
              <w:jc w:val="center"/>
              <w:rPr>
                <w:rFonts w:asciiTheme="minorEastAsia" w:hAnsiTheme="minorEastAsia" w:eastAsiaTheme="minorEastAsia"/>
                <w:color w:val="auto"/>
                <w:sz w:val="24"/>
                <w:highlight w:val="none"/>
              </w:rPr>
            </w:pPr>
          </w:p>
        </w:tc>
      </w:tr>
    </w:tbl>
    <w:p w14:paraId="275DD56B">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p>
    <w:p w14:paraId="7E9E0ECE">
      <w:pPr>
        <w:tabs>
          <w:tab w:val="left" w:pos="630"/>
        </w:tabs>
        <w:spacing w:line="360" w:lineRule="auto"/>
        <w:ind w:firstLine="4800" w:firstLineChars="2000"/>
        <w:rPr>
          <w:rFonts w:asciiTheme="minorEastAsia" w:hAnsiTheme="minorEastAsia" w:eastAsiaTheme="minorEastAsia"/>
          <w:b/>
          <w:bCs/>
          <w:color w:val="auto"/>
          <w:sz w:val="24"/>
          <w:szCs w:val="28"/>
          <w:highlight w:val="none"/>
        </w:rPr>
      </w:pPr>
      <w:r>
        <w:rPr>
          <w:rFonts w:hint="eastAsia" w:ascii="宋体" w:hAnsi="宋体" w:eastAsia="宋体"/>
          <w:color w:val="auto"/>
          <w:sz w:val="24"/>
          <w:highlight w:val="none"/>
        </w:rPr>
        <w:t>日      期：</w:t>
      </w:r>
    </w:p>
    <w:p w14:paraId="0A1FE9C5">
      <w:pPr>
        <w:keepNext w:val="0"/>
        <w:keepLines w:val="0"/>
        <w:widowControl/>
        <w:suppressLineNumbers w:val="0"/>
        <w:jc w:val="left"/>
        <w:rPr>
          <w:rFonts w:hint="eastAsia" w:ascii="宋体" w:hAnsi="宋体" w:eastAsia="宋体"/>
          <w:b/>
          <w:bCs/>
          <w:color w:val="auto"/>
          <w:highlight w:val="none"/>
          <w:lang w:val="en-US" w:eastAsia="zh-CN"/>
        </w:rPr>
      </w:pPr>
    </w:p>
    <w:p w14:paraId="7C354805">
      <w:pPr>
        <w:keepNext w:val="0"/>
        <w:keepLines w:val="0"/>
        <w:widowControl/>
        <w:suppressLineNumbers w:val="0"/>
        <w:jc w:val="left"/>
        <w:rPr>
          <w:rFonts w:hint="eastAsia" w:ascii="宋体" w:hAnsi="宋体" w:eastAsia="宋体"/>
          <w:b/>
          <w:bCs/>
          <w:color w:val="auto"/>
          <w:highlight w:val="none"/>
          <w:lang w:val="en-US" w:eastAsia="zh-CN"/>
        </w:rPr>
      </w:pPr>
      <w:r>
        <w:rPr>
          <w:rFonts w:hint="eastAsia" w:ascii="宋体" w:hAnsi="宋体" w:eastAsia="宋体"/>
          <w:b/>
          <w:bCs/>
          <w:color w:val="auto"/>
          <w:highlight w:val="none"/>
          <w:lang w:val="en-US" w:eastAsia="zh-CN"/>
        </w:rPr>
        <w:t>3-3 符合本国产品标准的产品成本之和占比</w:t>
      </w:r>
    </w:p>
    <w:tbl>
      <w:tblPr>
        <w:tblStyle w:val="29"/>
        <w:tblW w:w="9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7"/>
        <w:gridCol w:w="1732"/>
      </w:tblGrid>
      <w:tr w14:paraId="73E19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7627" w:type="dxa"/>
            <w:noWrap w:val="0"/>
            <w:vAlign w:val="top"/>
          </w:tcPr>
          <w:p w14:paraId="4DECA2F7">
            <w:pPr>
              <w:spacing w:line="360" w:lineRule="auto"/>
              <w:rPr>
                <w:rFonts w:hint="eastAsia" w:ascii="宋体" w:hAnsi="宋体" w:eastAsia="宋体"/>
                <w:b/>
                <w:bCs/>
                <w:color w:val="auto"/>
                <w:sz w:val="21"/>
                <w:szCs w:val="21"/>
                <w:highlight w:val="none"/>
                <w:vertAlign w:val="baseline"/>
                <w:lang w:eastAsia="zh-CN"/>
              </w:rPr>
            </w:pPr>
            <w:r>
              <w:rPr>
                <w:rFonts w:hint="eastAsia" w:ascii="宋体" w:hAnsi="宋体" w:eastAsia="宋体" w:cs="宋体"/>
                <w:color w:val="auto"/>
                <w:sz w:val="24"/>
                <w:szCs w:val="24"/>
                <w:highlight w:val="none"/>
              </w:rPr>
              <w:t>本公司（单位）提供的符合本国产品标准的产品成本之和占提供的全部产品成本之和的比例</w:t>
            </w:r>
          </w:p>
        </w:tc>
        <w:tc>
          <w:tcPr>
            <w:tcW w:w="1732" w:type="dxa"/>
            <w:noWrap w:val="0"/>
            <w:vAlign w:val="top"/>
          </w:tcPr>
          <w:p w14:paraId="6345AD47">
            <w:pPr>
              <w:spacing w:line="360" w:lineRule="auto"/>
              <w:rPr>
                <w:rFonts w:hint="eastAsia" w:ascii="宋体" w:hAnsi="宋体" w:eastAsia="宋体" w:cs="宋体"/>
                <w:color w:val="auto"/>
                <w:sz w:val="24"/>
                <w:szCs w:val="24"/>
                <w:highlight w:val="none"/>
                <w:u w:val="single"/>
                <w:lang w:val="en-US" w:eastAsia="zh-CN"/>
              </w:rPr>
            </w:pPr>
          </w:p>
          <w:p w14:paraId="218CB0CA">
            <w:pPr>
              <w:spacing w:line="360" w:lineRule="auto"/>
              <w:rPr>
                <w:rFonts w:hint="eastAsia" w:ascii="宋体" w:hAnsi="宋体" w:eastAsia="宋体"/>
                <w:b/>
                <w:bCs/>
                <w:color w:val="auto"/>
                <w:sz w:val="21"/>
                <w:szCs w:val="21"/>
                <w:highlight w:val="none"/>
                <w:vertAlign w:val="baseline"/>
                <w:lang w:eastAsia="zh-CN"/>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Times New Roman"/>
                <w:b w:val="0"/>
                <w:bCs/>
                <w:color w:val="auto"/>
                <w:szCs w:val="24"/>
                <w:highlight w:val="none"/>
                <w:lang w:val="en-US" w:eastAsia="zh-CN"/>
              </w:rPr>
              <w:t>%</w:t>
            </w:r>
          </w:p>
        </w:tc>
      </w:tr>
      <w:tr w14:paraId="3752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trPr>
        <w:tc>
          <w:tcPr>
            <w:tcW w:w="9359" w:type="dxa"/>
            <w:gridSpan w:val="2"/>
            <w:noWrap w:val="0"/>
            <w:vAlign w:val="top"/>
          </w:tcPr>
          <w:p w14:paraId="6902F005">
            <w:pPr>
              <w:tabs>
                <w:tab w:val="left" w:pos="4620"/>
              </w:tabs>
              <w:spacing w:line="360" w:lineRule="auto"/>
              <w:jc w:val="left"/>
              <w:rPr>
                <w:rFonts w:hint="eastAsia" w:ascii="宋体" w:hAnsi="宋体" w:eastAsia="宋体" w:cs="Times New Roman"/>
                <w:b/>
                <w:bCs w:val="0"/>
                <w:color w:val="auto"/>
                <w:szCs w:val="24"/>
                <w:highlight w:val="none"/>
                <w:lang w:val="en-US" w:eastAsia="zh-CN"/>
              </w:rPr>
            </w:pPr>
            <w:r>
              <w:rPr>
                <w:rFonts w:hint="eastAsia" w:ascii="宋体" w:hAnsi="宋体" w:eastAsia="宋体" w:cs="Times New Roman"/>
                <w:b/>
                <w:bCs w:val="0"/>
                <w:color w:val="auto"/>
                <w:szCs w:val="24"/>
                <w:highlight w:val="none"/>
                <w:lang w:val="en-US" w:eastAsia="zh-CN"/>
              </w:rPr>
              <w:t>提醒：</w:t>
            </w:r>
          </w:p>
          <w:p w14:paraId="4211CC09">
            <w:pPr>
              <w:tabs>
                <w:tab w:val="left" w:pos="4620"/>
              </w:tabs>
              <w:spacing w:line="360" w:lineRule="auto"/>
              <w:jc w:val="left"/>
              <w:rPr>
                <w:rFonts w:hint="eastAsia" w:ascii="宋体" w:hAnsi="宋体" w:eastAsia="宋体" w:cs="Times New Roman"/>
                <w:b w:val="0"/>
                <w:bCs/>
                <w:color w:val="auto"/>
                <w:szCs w:val="24"/>
                <w:highlight w:val="none"/>
                <w:lang w:val="en-US" w:eastAsia="zh-CN"/>
              </w:rPr>
            </w:pPr>
            <w:r>
              <w:rPr>
                <w:rFonts w:hint="eastAsia" w:ascii="宋体" w:hAnsi="宋体" w:eastAsia="宋体" w:cs="Times New Roman"/>
                <w:b w:val="0"/>
                <w:bCs/>
                <w:color w:val="auto"/>
                <w:szCs w:val="24"/>
                <w:highlight w:val="none"/>
                <w:lang w:val="en-US" w:eastAsia="zh-CN"/>
              </w:rPr>
              <w:t>1.投标人为该采购项目或者采购包提供的符合本国产品标准的产品成本之和占该投标人提供的全部产品成本之和的比例达到80%以上时，对该投标人提供的全部产品给予价格评审优惠。</w:t>
            </w:r>
          </w:p>
          <w:p w14:paraId="22252D7C">
            <w:pPr>
              <w:spacing w:line="360" w:lineRule="auto"/>
              <w:rPr>
                <w:rFonts w:hint="eastAsia" w:ascii="宋体" w:hAnsi="宋体" w:eastAsia="宋体" w:cs="Times New Roman"/>
                <w:b w:val="0"/>
                <w:bCs/>
                <w:color w:val="auto"/>
                <w:szCs w:val="24"/>
                <w:highlight w:val="none"/>
                <w:lang w:val="en-US" w:eastAsia="zh-CN"/>
              </w:rPr>
            </w:pPr>
            <w:r>
              <w:rPr>
                <w:rFonts w:hint="eastAsia" w:ascii="宋体" w:hAnsi="宋体" w:eastAsia="宋体" w:cs="Times New Roman"/>
                <w:b w:val="0"/>
                <w:bCs/>
                <w:color w:val="auto"/>
                <w:szCs w:val="24"/>
                <w:highlight w:val="none"/>
                <w:lang w:val="en-US" w:eastAsia="zh-CN"/>
              </w:rPr>
              <w:t>2.投标人应当根据“投标分项报价表-货物部分”的内容对符合本国产品标准的产品成本进行测算（比例未达到80%或未进行比例测算的，对该投标人提供的全部产品不予价格评审优惠），如有虚假响应，投标人承担全部责任。</w:t>
            </w:r>
          </w:p>
          <w:p w14:paraId="12230B6B">
            <w:pPr>
              <w:spacing w:line="360" w:lineRule="auto"/>
              <w:rPr>
                <w:rFonts w:hint="default" w:ascii="宋体" w:hAnsi="宋体" w:eastAsia="宋体" w:cs="Times New Roman"/>
                <w:b w:val="0"/>
                <w:bCs/>
                <w:color w:val="auto"/>
                <w:szCs w:val="24"/>
                <w:highlight w:val="none"/>
                <w:lang w:val="en-US" w:eastAsia="zh-CN"/>
              </w:rPr>
            </w:pPr>
            <w:r>
              <w:rPr>
                <w:rFonts w:hint="eastAsia" w:ascii="宋体" w:hAnsi="宋体" w:eastAsia="宋体" w:cs="Times New Roman"/>
                <w:b w:val="0"/>
                <w:bCs/>
                <w:color w:val="auto"/>
                <w:szCs w:val="24"/>
                <w:highlight w:val="none"/>
                <w:lang w:val="en-US" w:eastAsia="zh-CN"/>
              </w:rPr>
              <w:t>3.</w:t>
            </w:r>
            <w:r>
              <w:rPr>
                <w:rFonts w:hint="eastAsia" w:ascii="宋体" w:hAnsi="宋体" w:eastAsia="宋体" w:cs="宋体"/>
                <w:b w:val="0"/>
                <w:bCs/>
                <w:color w:val="auto"/>
                <w:kern w:val="2"/>
                <w:sz w:val="21"/>
                <w:szCs w:val="21"/>
                <w:highlight w:val="none"/>
                <w:lang w:val="en-US" w:eastAsia="zh-CN" w:bidi="ar"/>
              </w:rPr>
              <w:t>上表中全部产品成本之和是指表3-1和表3-2包含的全部货物、服务产品成本之和。</w:t>
            </w:r>
          </w:p>
        </w:tc>
      </w:tr>
    </w:tbl>
    <w:p w14:paraId="41DF4DBB">
      <w:pPr>
        <w:spacing w:line="360" w:lineRule="auto"/>
        <w:rPr>
          <w:rFonts w:hint="eastAsia" w:ascii="宋体" w:hAnsi="宋体" w:eastAsia="宋体"/>
          <w:b/>
          <w:bCs/>
          <w:color w:val="auto"/>
          <w:sz w:val="21"/>
          <w:szCs w:val="21"/>
          <w:highlight w:val="none"/>
          <w:lang w:eastAsia="zh-CN"/>
        </w:rPr>
      </w:pPr>
    </w:p>
    <w:p w14:paraId="725986D4">
      <w:pPr>
        <w:spacing w:line="360" w:lineRule="auto"/>
        <w:ind w:firstLine="4800" w:firstLineChars="2000"/>
        <w:jc w:val="center"/>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3493136">
      <w:pPr>
        <w:tabs>
          <w:tab w:val="left" w:pos="630"/>
        </w:tabs>
        <w:spacing w:line="360" w:lineRule="auto"/>
        <w:ind w:firstLine="4800" w:firstLineChars="2000"/>
        <w:jc w:val="center"/>
        <w:rPr>
          <w:rFonts w:ascii="宋体" w:hAnsi="宋体" w:eastAsia="宋体"/>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290C4559">
      <w:pPr>
        <w:spacing w:line="360" w:lineRule="auto"/>
        <w:rPr>
          <w:rFonts w:hint="eastAsia" w:ascii="宋体" w:hAnsi="宋体" w:eastAsia="宋体"/>
          <w:b/>
          <w:bCs/>
          <w:color w:val="auto"/>
          <w:sz w:val="21"/>
          <w:szCs w:val="21"/>
          <w:highlight w:val="none"/>
          <w:lang w:eastAsia="zh-CN"/>
        </w:rPr>
      </w:pPr>
      <w:r>
        <w:rPr>
          <w:rFonts w:hint="eastAsia" w:ascii="宋体" w:hAnsi="宋体" w:eastAsia="宋体"/>
          <w:b/>
          <w:bCs/>
          <w:color w:val="auto"/>
          <w:sz w:val="21"/>
          <w:szCs w:val="21"/>
          <w:highlight w:val="none"/>
          <w:lang w:eastAsia="zh-CN"/>
        </w:rPr>
        <w:t>注：</w:t>
      </w:r>
    </w:p>
    <w:p w14:paraId="0FC5F10B">
      <w:pPr>
        <w:spacing w:line="360" w:lineRule="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1.表5-1</w:t>
      </w:r>
      <w:r>
        <w:rPr>
          <w:rFonts w:hint="eastAsia" w:ascii="宋体" w:hAnsi="宋体" w:eastAsia="宋体"/>
          <w:color w:val="auto"/>
          <w:sz w:val="21"/>
          <w:szCs w:val="21"/>
          <w:highlight w:val="none"/>
        </w:rPr>
        <w:t>中须明确列出所投产品的货物名称、品牌、型号规格、原产地及生产厂商，否则可能导致</w:t>
      </w:r>
      <w:r>
        <w:rPr>
          <w:rFonts w:hint="eastAsia" w:ascii="宋体" w:hAnsi="宋体" w:eastAsia="宋体"/>
          <w:b/>
          <w:bCs/>
          <w:color w:val="auto"/>
          <w:sz w:val="21"/>
          <w:szCs w:val="21"/>
          <w:highlight w:val="none"/>
        </w:rPr>
        <w:t>投标无效</w:t>
      </w:r>
      <w:r>
        <w:rPr>
          <w:rFonts w:hint="eastAsia" w:ascii="宋体" w:hAnsi="宋体" w:eastAsia="宋体"/>
          <w:b/>
          <w:bCs/>
          <w:color w:val="auto"/>
          <w:sz w:val="21"/>
          <w:szCs w:val="21"/>
          <w:highlight w:val="none"/>
          <w:lang w:eastAsia="zh-CN"/>
        </w:rPr>
        <w:t>。</w:t>
      </w:r>
    </w:p>
    <w:p w14:paraId="6F8C7329">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2.上述报价为投标人完成本项目内容的全部费用（总报价为表3-1和表3-2合计金额之和），</w:t>
      </w:r>
      <w:r>
        <w:rPr>
          <w:rFonts w:hint="eastAsia" w:ascii="宋体" w:hAnsi="宋体" w:eastAsia="宋体"/>
          <w:color w:val="auto"/>
          <w:sz w:val="21"/>
          <w:szCs w:val="21"/>
          <w:highlight w:val="none"/>
        </w:rPr>
        <w:t>如有漏项或缺项，</w:t>
      </w:r>
      <w:r>
        <w:rPr>
          <w:rFonts w:hint="eastAsia" w:ascii="宋体" w:hAnsi="宋体" w:eastAsia="宋体"/>
          <w:color w:val="auto"/>
          <w:sz w:val="21"/>
          <w:szCs w:val="21"/>
          <w:highlight w:val="none"/>
          <w:lang w:val="en-US" w:eastAsia="zh-CN"/>
        </w:rPr>
        <w:t>自行</w:t>
      </w:r>
      <w:r>
        <w:rPr>
          <w:rFonts w:hint="eastAsia" w:ascii="宋体" w:hAnsi="宋体" w:eastAsia="宋体"/>
          <w:color w:val="auto"/>
          <w:sz w:val="21"/>
          <w:szCs w:val="21"/>
          <w:highlight w:val="none"/>
        </w:rPr>
        <w:t>承担全部责任。</w:t>
      </w:r>
    </w:p>
    <w:p w14:paraId="192633EA">
      <w:pPr>
        <w:pStyle w:val="5"/>
        <w:rPr>
          <w:rFonts w:hint="eastAsia" w:asciiTheme="minorEastAsia" w:hAnsiTheme="minorEastAsia" w:eastAsiaTheme="minorEastAsia"/>
          <w:color w:val="auto"/>
          <w:sz w:val="24"/>
          <w:highlight w:val="none"/>
        </w:rPr>
      </w:pPr>
    </w:p>
    <w:p w14:paraId="1E64B49E">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p>
    <w:p w14:paraId="1BDEC40B">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547B3CE">
      <w:pPr>
        <w:spacing w:line="360" w:lineRule="auto"/>
        <w:jc w:val="center"/>
        <w:outlineLvl w:val="1"/>
        <w:rPr>
          <w:rFonts w:ascii="宋体" w:hAnsi="宋体" w:cs="@仿宋_GB2312"/>
          <w:b/>
          <w:color w:val="auto"/>
          <w:sz w:val="24"/>
          <w:szCs w:val="20"/>
          <w:highlight w:val="none"/>
        </w:rPr>
      </w:pPr>
      <w:bookmarkStart w:id="220" w:name="_Toc2683"/>
      <w:bookmarkStart w:id="221" w:name="_Toc6776"/>
      <w:r>
        <w:rPr>
          <w:rFonts w:hint="eastAsia" w:asciiTheme="minorEastAsia" w:hAnsiTheme="minorEastAsia" w:eastAsiaTheme="minorEastAsia"/>
          <w:b/>
          <w:color w:val="auto"/>
          <w:sz w:val="24"/>
          <w:highlight w:val="none"/>
        </w:rPr>
        <w:t>（4）</w:t>
      </w:r>
      <w:r>
        <w:rPr>
          <w:rFonts w:hint="eastAsia" w:ascii="宋体" w:hAnsi="宋体" w:cs="@仿宋_GB2312"/>
          <w:b/>
          <w:color w:val="auto"/>
          <w:sz w:val="24"/>
          <w:szCs w:val="20"/>
          <w:highlight w:val="none"/>
        </w:rPr>
        <w:t>关于符合本国产品标准的声明函</w:t>
      </w:r>
    </w:p>
    <w:p w14:paraId="278804DC">
      <w:pPr>
        <w:spacing w:line="360" w:lineRule="auto"/>
        <w:jc w:val="center"/>
        <w:rPr>
          <w:rFonts w:ascii="宋体" w:hAnsi="宋体" w:cs="宋体"/>
          <w:color w:val="auto"/>
          <w:sz w:val="24"/>
          <w:highlight w:val="none"/>
          <w:shd w:val="clear" w:color="auto" w:fill="FFFFFF"/>
        </w:rPr>
      </w:pPr>
      <w:r>
        <w:rPr>
          <w:rFonts w:hint="eastAsia" w:ascii="宋体" w:hAnsi="宋体" w:cs="@仿宋_GB2312"/>
          <w:i/>
          <w:color w:val="auto"/>
          <w:sz w:val="24"/>
          <w:szCs w:val="20"/>
          <w:highlight w:val="none"/>
        </w:rPr>
        <w:t>（不符合本国产品扶持政策，不需此件）</w:t>
      </w:r>
    </w:p>
    <w:p w14:paraId="7704F247">
      <w:pPr>
        <w:widowControl/>
        <w:spacing w:line="360" w:lineRule="auto"/>
        <w:ind w:firstLine="42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64756BE5">
      <w:pPr>
        <w:widowControl/>
        <w:spacing w:line="360" w:lineRule="auto"/>
        <w:ind w:firstLine="42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shd w:val="clear" w:color="auto" w:fill="FFFFFF"/>
        </w:rPr>
        <w:t>1.</w:t>
      </w:r>
      <w:r>
        <w:rPr>
          <w:rFonts w:hint="eastAsia" w:ascii="宋体" w:hAnsi="宋体" w:cs="宋体"/>
          <w:color w:val="auto"/>
          <w:kern w:val="0"/>
          <w:sz w:val="24"/>
          <w:highlight w:val="none"/>
          <w:u w:val="single"/>
          <w:shd w:val="clear" w:color="auto" w:fill="FFFFFF"/>
        </w:rPr>
        <w:t>（产品名称1）</w:t>
      </w:r>
      <w:r>
        <w:rPr>
          <w:rFonts w:hint="eastAsia" w:ascii="宋体" w:hAnsi="宋体" w:cs="宋体"/>
          <w:color w:val="auto"/>
          <w:kern w:val="0"/>
          <w:sz w:val="24"/>
          <w:highlight w:val="none"/>
          <w:shd w:val="clear" w:color="auto" w:fill="FFFFFF"/>
          <w:vertAlign w:val="superscript"/>
        </w:rPr>
        <w:t>1</w:t>
      </w:r>
      <w:r>
        <w:rPr>
          <w:rFonts w:hint="eastAsia" w:ascii="宋体" w:hAnsi="宋体" w:cs="宋体"/>
          <w:color w:val="auto"/>
          <w:kern w:val="0"/>
          <w:sz w:val="24"/>
          <w:highlight w:val="none"/>
          <w:shd w:val="clear" w:color="auto" w:fill="FFFFFF"/>
        </w:rPr>
        <w:t>，生产厂为</w:t>
      </w:r>
      <w:r>
        <w:rPr>
          <w:rFonts w:hint="eastAsia" w:ascii="宋体" w:hAnsi="宋体" w:cs="宋体"/>
          <w:color w:val="auto"/>
          <w:kern w:val="0"/>
          <w:sz w:val="24"/>
          <w:highlight w:val="none"/>
          <w:u w:val="single"/>
          <w:shd w:val="clear" w:color="auto" w:fill="FFFFFF"/>
        </w:rPr>
        <w:t>（厂名）</w:t>
      </w:r>
      <w:r>
        <w:rPr>
          <w:rFonts w:hint="eastAsia" w:ascii="宋体" w:hAnsi="宋体" w:cs="宋体"/>
          <w:color w:val="auto"/>
          <w:kern w:val="0"/>
          <w:sz w:val="24"/>
          <w:highlight w:val="none"/>
          <w:shd w:val="clear" w:color="auto" w:fill="FFFFFF"/>
          <w:vertAlign w:val="superscript"/>
        </w:rPr>
        <w:t>2</w:t>
      </w:r>
      <w:r>
        <w:rPr>
          <w:rFonts w:hint="eastAsia" w:ascii="宋体" w:hAnsi="宋体" w:cs="宋体"/>
          <w:color w:val="auto"/>
          <w:kern w:val="0"/>
          <w:sz w:val="24"/>
          <w:highlight w:val="none"/>
          <w:shd w:val="clear" w:color="auto" w:fill="FFFFFF"/>
        </w:rPr>
        <w:t>，厂址为</w:t>
      </w:r>
      <w:r>
        <w:rPr>
          <w:rFonts w:hint="eastAsia" w:ascii="宋体" w:hAnsi="宋体" w:cs="宋体"/>
          <w:color w:val="auto"/>
          <w:kern w:val="0"/>
          <w:sz w:val="24"/>
          <w:highlight w:val="none"/>
          <w:u w:val="single"/>
          <w:shd w:val="clear" w:color="auto" w:fill="FFFFFF"/>
        </w:rPr>
        <w:t>（生产厂址）</w:t>
      </w:r>
      <w:r>
        <w:rPr>
          <w:rFonts w:hint="eastAsia" w:ascii="宋体" w:hAnsi="宋体" w:cs="宋体"/>
          <w:color w:val="auto"/>
          <w:kern w:val="0"/>
          <w:sz w:val="24"/>
          <w:highlight w:val="none"/>
          <w:shd w:val="clear" w:color="auto" w:fill="FFFFFF"/>
        </w:rPr>
        <w:t>。</w:t>
      </w:r>
      <w:r>
        <w:rPr>
          <w:rFonts w:hint="eastAsia" w:ascii="宋体" w:hAnsi="宋体" w:cs="宋体"/>
          <w:color w:val="auto"/>
          <w:kern w:val="0"/>
          <w:sz w:val="24"/>
          <w:highlight w:val="none"/>
          <w:u w:val="single"/>
          <w:shd w:val="clear" w:color="auto" w:fill="FFFFFF"/>
        </w:rPr>
        <w:t xml:space="preserve">  /  </w:t>
      </w:r>
      <w:r>
        <w:rPr>
          <w:rFonts w:hint="eastAsia" w:ascii="宋体" w:hAnsi="宋体" w:cs="宋体"/>
          <w:color w:val="auto"/>
          <w:kern w:val="0"/>
          <w:sz w:val="24"/>
          <w:highlight w:val="none"/>
          <w:shd w:val="clear" w:color="auto" w:fill="FFFFFF"/>
        </w:rPr>
        <w:t>的中国境内生产的组件成本占比≥</w:t>
      </w:r>
      <w:r>
        <w:rPr>
          <w:rFonts w:hint="eastAsia" w:ascii="宋体" w:hAnsi="宋体" w:cs="宋体"/>
          <w:color w:val="auto"/>
          <w:kern w:val="0"/>
          <w:sz w:val="24"/>
          <w:highlight w:val="none"/>
          <w:u w:val="single"/>
          <w:shd w:val="clear" w:color="auto" w:fill="FFFFFF"/>
        </w:rPr>
        <w:t xml:space="preserve">  /  </w:t>
      </w:r>
      <w:r>
        <w:rPr>
          <w:rFonts w:hint="eastAsia" w:ascii="宋体" w:hAnsi="宋体" w:cs="宋体"/>
          <w:color w:val="auto"/>
          <w:kern w:val="0"/>
          <w:sz w:val="24"/>
          <w:highlight w:val="none"/>
          <w:shd w:val="clear" w:color="auto" w:fill="FFFFFF"/>
        </w:rPr>
        <w:t>。</w:t>
      </w:r>
      <w:r>
        <w:rPr>
          <w:rFonts w:hint="eastAsia" w:ascii="宋体" w:hAnsi="宋体" w:cs="宋体"/>
          <w:color w:val="auto"/>
          <w:kern w:val="0"/>
          <w:sz w:val="24"/>
          <w:highlight w:val="none"/>
          <w:u w:val="single"/>
          <w:shd w:val="clear" w:color="auto" w:fill="FFFFFF"/>
        </w:rPr>
        <w:t xml:space="preserve">  /  </w:t>
      </w:r>
      <w:r>
        <w:rPr>
          <w:rFonts w:hint="eastAsia" w:ascii="宋体" w:hAnsi="宋体" w:cs="宋体"/>
          <w:color w:val="auto"/>
          <w:kern w:val="0"/>
          <w:sz w:val="24"/>
          <w:highlight w:val="none"/>
          <w:shd w:val="clear" w:color="auto" w:fill="FFFFFF"/>
        </w:rPr>
        <w:t>的</w:t>
      </w:r>
      <w:r>
        <w:rPr>
          <w:rFonts w:hint="eastAsia" w:ascii="宋体" w:hAnsi="宋体" w:cs="宋体"/>
          <w:color w:val="auto"/>
          <w:kern w:val="0"/>
          <w:sz w:val="24"/>
          <w:highlight w:val="none"/>
          <w:u w:val="single"/>
          <w:shd w:val="clear" w:color="auto" w:fill="FFFFFF"/>
        </w:rPr>
        <w:t xml:space="preserve">  /  </w:t>
      </w:r>
      <w:r>
        <w:rPr>
          <w:rFonts w:hint="eastAsia" w:ascii="宋体" w:hAnsi="宋体" w:cs="宋体"/>
          <w:color w:val="auto"/>
          <w:kern w:val="0"/>
          <w:sz w:val="24"/>
          <w:highlight w:val="none"/>
          <w:shd w:val="clear" w:color="auto" w:fill="FFFFFF"/>
        </w:rPr>
        <w:t>在中国境内生产。</w:t>
      </w:r>
      <w:r>
        <w:rPr>
          <w:rFonts w:hint="eastAsia" w:ascii="宋体" w:hAnsi="宋体" w:cs="宋体"/>
          <w:color w:val="auto"/>
          <w:kern w:val="0"/>
          <w:sz w:val="24"/>
          <w:highlight w:val="none"/>
          <w:u w:val="single"/>
          <w:shd w:val="clear" w:color="auto" w:fill="FFFFFF"/>
        </w:rPr>
        <w:t xml:space="preserve">  /  </w:t>
      </w:r>
      <w:r>
        <w:rPr>
          <w:rFonts w:hint="eastAsia" w:ascii="宋体" w:hAnsi="宋体" w:cs="宋体"/>
          <w:color w:val="auto"/>
          <w:kern w:val="0"/>
          <w:sz w:val="24"/>
          <w:highlight w:val="none"/>
          <w:shd w:val="clear" w:color="auto" w:fill="FFFFFF"/>
        </w:rPr>
        <w:t>的</w:t>
      </w:r>
      <w:r>
        <w:rPr>
          <w:rFonts w:hint="eastAsia" w:ascii="宋体" w:hAnsi="宋体" w:cs="宋体"/>
          <w:color w:val="auto"/>
          <w:kern w:val="0"/>
          <w:sz w:val="24"/>
          <w:highlight w:val="none"/>
          <w:u w:val="single"/>
          <w:shd w:val="clear" w:color="auto" w:fill="FFFFFF"/>
        </w:rPr>
        <w:t xml:space="preserve">  /  </w:t>
      </w:r>
      <w:r>
        <w:rPr>
          <w:rFonts w:hint="eastAsia" w:ascii="宋体" w:hAnsi="宋体" w:cs="宋体"/>
          <w:color w:val="auto"/>
          <w:kern w:val="0"/>
          <w:sz w:val="24"/>
          <w:highlight w:val="none"/>
          <w:shd w:val="clear" w:color="auto" w:fill="FFFFFF"/>
        </w:rPr>
        <w:t>在中国境内完成。</w:t>
      </w:r>
    </w:p>
    <w:p w14:paraId="70A401FA">
      <w:pPr>
        <w:widowControl/>
        <w:spacing w:line="360" w:lineRule="auto"/>
        <w:ind w:firstLine="42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shd w:val="clear" w:color="auto" w:fill="FFFFFF"/>
        </w:rPr>
        <w:t>2.</w:t>
      </w:r>
      <w:r>
        <w:rPr>
          <w:rFonts w:hint="eastAsia" w:ascii="宋体" w:hAnsi="宋体" w:cs="宋体"/>
          <w:color w:val="auto"/>
          <w:kern w:val="0"/>
          <w:sz w:val="24"/>
          <w:highlight w:val="none"/>
          <w:u w:val="single"/>
          <w:shd w:val="clear" w:color="auto" w:fill="FFFFFF"/>
        </w:rPr>
        <w:t>（产品名称2）</w:t>
      </w:r>
      <w:r>
        <w:rPr>
          <w:rFonts w:hint="eastAsia" w:ascii="宋体" w:hAnsi="宋体" w:cs="宋体"/>
          <w:color w:val="auto"/>
          <w:kern w:val="0"/>
          <w:sz w:val="24"/>
          <w:highlight w:val="none"/>
          <w:shd w:val="clear" w:color="auto" w:fill="FFFFFF"/>
        </w:rPr>
        <w:t>，生产厂为</w:t>
      </w:r>
      <w:r>
        <w:rPr>
          <w:rFonts w:hint="eastAsia" w:ascii="宋体" w:hAnsi="宋体" w:cs="宋体"/>
          <w:color w:val="auto"/>
          <w:kern w:val="0"/>
          <w:sz w:val="24"/>
          <w:highlight w:val="none"/>
          <w:u w:val="single"/>
          <w:shd w:val="clear" w:color="auto" w:fill="FFFFFF"/>
        </w:rPr>
        <w:t>（厂名）</w:t>
      </w:r>
      <w:r>
        <w:rPr>
          <w:rFonts w:hint="eastAsia" w:ascii="宋体" w:hAnsi="宋体" w:cs="宋体"/>
          <w:color w:val="auto"/>
          <w:kern w:val="0"/>
          <w:sz w:val="24"/>
          <w:highlight w:val="none"/>
          <w:shd w:val="clear" w:color="auto" w:fill="FFFFFF"/>
        </w:rPr>
        <w:t>，厂址为</w:t>
      </w:r>
      <w:r>
        <w:rPr>
          <w:rFonts w:hint="eastAsia" w:ascii="宋体" w:hAnsi="宋体" w:cs="宋体"/>
          <w:color w:val="auto"/>
          <w:kern w:val="0"/>
          <w:sz w:val="24"/>
          <w:highlight w:val="none"/>
          <w:u w:val="single"/>
          <w:shd w:val="clear" w:color="auto" w:fill="FFFFFF"/>
        </w:rPr>
        <w:t>（生产厂址）</w:t>
      </w:r>
      <w:r>
        <w:rPr>
          <w:rFonts w:hint="eastAsia" w:ascii="宋体" w:hAnsi="宋体" w:cs="宋体"/>
          <w:color w:val="auto"/>
          <w:kern w:val="0"/>
          <w:sz w:val="24"/>
          <w:highlight w:val="none"/>
          <w:shd w:val="clear" w:color="auto" w:fill="FFFFFF"/>
        </w:rPr>
        <w:t>。</w:t>
      </w:r>
      <w:r>
        <w:rPr>
          <w:rFonts w:hint="eastAsia" w:ascii="宋体" w:hAnsi="宋体" w:cs="宋体"/>
          <w:color w:val="auto"/>
          <w:kern w:val="0"/>
          <w:sz w:val="24"/>
          <w:highlight w:val="none"/>
          <w:u w:val="single"/>
          <w:shd w:val="clear" w:color="auto" w:fill="FFFFFF"/>
        </w:rPr>
        <w:t xml:space="preserve">  /  </w:t>
      </w:r>
      <w:r>
        <w:rPr>
          <w:rFonts w:hint="eastAsia" w:ascii="宋体" w:hAnsi="宋体" w:cs="宋体"/>
          <w:color w:val="auto"/>
          <w:kern w:val="0"/>
          <w:sz w:val="24"/>
          <w:highlight w:val="none"/>
          <w:shd w:val="clear" w:color="auto" w:fill="FFFFFF"/>
        </w:rPr>
        <w:t>的中国境内生产的组件成本占比≥</w:t>
      </w:r>
      <w:r>
        <w:rPr>
          <w:rFonts w:hint="eastAsia" w:ascii="宋体" w:hAnsi="宋体" w:cs="宋体"/>
          <w:color w:val="auto"/>
          <w:kern w:val="0"/>
          <w:sz w:val="24"/>
          <w:highlight w:val="none"/>
          <w:u w:val="single"/>
          <w:shd w:val="clear" w:color="auto" w:fill="FFFFFF"/>
        </w:rPr>
        <w:t xml:space="preserve">  /  </w:t>
      </w:r>
      <w:r>
        <w:rPr>
          <w:rFonts w:hint="eastAsia" w:ascii="宋体" w:hAnsi="宋体" w:cs="宋体"/>
          <w:color w:val="auto"/>
          <w:kern w:val="0"/>
          <w:sz w:val="24"/>
          <w:highlight w:val="none"/>
          <w:shd w:val="clear" w:color="auto" w:fill="FFFFFF"/>
        </w:rPr>
        <w:t>。</w:t>
      </w:r>
      <w:r>
        <w:rPr>
          <w:rFonts w:hint="eastAsia" w:ascii="宋体" w:hAnsi="宋体" w:cs="宋体"/>
          <w:color w:val="auto"/>
          <w:kern w:val="0"/>
          <w:sz w:val="24"/>
          <w:highlight w:val="none"/>
          <w:u w:val="single"/>
          <w:shd w:val="clear" w:color="auto" w:fill="FFFFFF"/>
        </w:rPr>
        <w:t xml:space="preserve">  /  </w:t>
      </w:r>
      <w:r>
        <w:rPr>
          <w:rFonts w:hint="eastAsia" w:ascii="宋体" w:hAnsi="宋体" w:cs="宋体"/>
          <w:color w:val="auto"/>
          <w:kern w:val="0"/>
          <w:sz w:val="24"/>
          <w:highlight w:val="none"/>
          <w:shd w:val="clear" w:color="auto" w:fill="FFFFFF"/>
        </w:rPr>
        <w:t>的</w:t>
      </w:r>
      <w:r>
        <w:rPr>
          <w:rFonts w:hint="eastAsia" w:ascii="宋体" w:hAnsi="宋体" w:cs="宋体"/>
          <w:color w:val="auto"/>
          <w:kern w:val="0"/>
          <w:sz w:val="24"/>
          <w:highlight w:val="none"/>
          <w:u w:val="single"/>
          <w:shd w:val="clear" w:color="auto" w:fill="FFFFFF"/>
        </w:rPr>
        <w:t xml:space="preserve">  /  </w:t>
      </w:r>
      <w:r>
        <w:rPr>
          <w:rFonts w:hint="eastAsia" w:ascii="宋体" w:hAnsi="宋体" w:cs="宋体"/>
          <w:color w:val="auto"/>
          <w:kern w:val="0"/>
          <w:sz w:val="24"/>
          <w:highlight w:val="none"/>
          <w:shd w:val="clear" w:color="auto" w:fill="FFFFFF"/>
        </w:rPr>
        <w:t>在中国境内生产。</w:t>
      </w:r>
      <w:r>
        <w:rPr>
          <w:rFonts w:hint="eastAsia" w:ascii="宋体" w:hAnsi="宋体" w:cs="宋体"/>
          <w:color w:val="auto"/>
          <w:kern w:val="0"/>
          <w:sz w:val="24"/>
          <w:highlight w:val="none"/>
          <w:u w:val="single"/>
          <w:shd w:val="clear" w:color="auto" w:fill="FFFFFF"/>
        </w:rPr>
        <w:t xml:space="preserve">  /  </w:t>
      </w:r>
      <w:r>
        <w:rPr>
          <w:rFonts w:hint="eastAsia" w:ascii="宋体" w:hAnsi="宋体" w:cs="宋体"/>
          <w:color w:val="auto"/>
          <w:kern w:val="0"/>
          <w:sz w:val="24"/>
          <w:highlight w:val="none"/>
          <w:shd w:val="clear" w:color="auto" w:fill="FFFFFF"/>
        </w:rPr>
        <w:t>的</w:t>
      </w:r>
      <w:r>
        <w:rPr>
          <w:rFonts w:hint="eastAsia" w:ascii="宋体" w:hAnsi="宋体" w:cs="宋体"/>
          <w:color w:val="auto"/>
          <w:kern w:val="0"/>
          <w:sz w:val="24"/>
          <w:highlight w:val="none"/>
          <w:u w:val="single"/>
          <w:shd w:val="clear" w:color="auto" w:fill="FFFFFF"/>
        </w:rPr>
        <w:t xml:space="preserve">  /  </w:t>
      </w:r>
      <w:r>
        <w:rPr>
          <w:rFonts w:hint="eastAsia" w:ascii="宋体" w:hAnsi="宋体" w:cs="宋体"/>
          <w:color w:val="auto"/>
          <w:kern w:val="0"/>
          <w:sz w:val="24"/>
          <w:highlight w:val="none"/>
          <w:shd w:val="clear" w:color="auto" w:fill="FFFFFF"/>
        </w:rPr>
        <w:t>在中国境内完成。</w:t>
      </w:r>
    </w:p>
    <w:p w14:paraId="3D9DC716">
      <w:pPr>
        <w:widowControl/>
        <w:spacing w:line="360" w:lineRule="auto"/>
        <w:ind w:firstLine="42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shd w:val="clear" w:color="auto" w:fill="FFFFFF"/>
        </w:rPr>
        <w:t>……</w:t>
      </w:r>
    </w:p>
    <w:p w14:paraId="26BAEF2F">
      <w:pPr>
        <w:widowControl/>
        <w:spacing w:line="360" w:lineRule="auto"/>
        <w:ind w:firstLine="42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shd w:val="clear" w:color="auto" w:fill="FFFFFF"/>
        </w:rPr>
        <w:t>本公司（单位）对上述声明内容的真实性负责。如有虚假，愿承担相应法律责任。</w:t>
      </w:r>
    </w:p>
    <w:p w14:paraId="215E2BAF">
      <w:pPr>
        <w:spacing w:line="360" w:lineRule="auto"/>
        <w:ind w:firstLine="4228" w:firstLineChars="1762"/>
        <w:rPr>
          <w:rFonts w:ascii="宋体" w:hAnsi="宋体" w:cs="@仿宋_GB2312"/>
          <w:color w:val="auto"/>
          <w:sz w:val="24"/>
          <w:highlight w:val="none"/>
          <w:u w:val="single"/>
        </w:rPr>
      </w:pPr>
      <w:r>
        <w:rPr>
          <w:rFonts w:hint="eastAsia" w:ascii="宋体" w:hAnsi="宋体" w:cs="@仿宋_GB2312"/>
          <w:color w:val="auto"/>
          <w:sz w:val="24"/>
          <w:highlight w:val="none"/>
        </w:rPr>
        <w:t>投标人</w:t>
      </w:r>
      <w:r>
        <w:rPr>
          <w:rFonts w:ascii="宋体" w:hAnsi="宋体" w:cs="@仿宋_GB2312"/>
          <w:color w:val="auto"/>
          <w:sz w:val="24"/>
          <w:highlight w:val="none"/>
        </w:rPr>
        <w:t>电子签章</w:t>
      </w:r>
      <w:r>
        <w:rPr>
          <w:rFonts w:hint="eastAsia" w:ascii="宋体" w:hAnsi="宋体" w:cs="@仿宋_GB2312"/>
          <w:color w:val="auto"/>
          <w:sz w:val="24"/>
          <w:highlight w:val="none"/>
        </w:rPr>
        <w:t>：</w:t>
      </w:r>
      <w:r>
        <w:rPr>
          <w:rFonts w:ascii="宋体" w:hAnsi="宋体" w:cs="@仿宋_GB2312"/>
          <w:color w:val="auto"/>
          <w:sz w:val="24"/>
          <w:highlight w:val="none"/>
          <w:u w:val="single"/>
        </w:rPr>
        <w:t xml:space="preserve">             </w:t>
      </w:r>
    </w:p>
    <w:p w14:paraId="66C340F7">
      <w:pPr>
        <w:tabs>
          <w:tab w:val="left" w:pos="4620"/>
        </w:tabs>
        <w:spacing w:line="360" w:lineRule="auto"/>
        <w:ind w:firstLine="4252" w:firstLineChars="1772"/>
        <w:rPr>
          <w:rFonts w:ascii="宋体" w:hAnsi="宋体" w:cs="宋体"/>
          <w:color w:val="auto"/>
          <w:sz w:val="24"/>
          <w:highlight w:val="none"/>
          <w:shd w:val="clear" w:color="auto" w:fill="FFFFFF"/>
        </w:rPr>
      </w:pPr>
      <w:r>
        <w:rPr>
          <w:rFonts w:hint="eastAsia" w:ascii="宋体" w:hAnsi="宋体" w:cs="@仿宋_GB2312"/>
          <w:color w:val="auto"/>
          <w:sz w:val="24"/>
          <w:highlight w:val="none"/>
        </w:rPr>
        <w:t>日</w:t>
      </w:r>
      <w:r>
        <w:rPr>
          <w:rFonts w:ascii="宋体" w:hAnsi="宋体" w:cs="@仿宋_GB2312"/>
          <w:color w:val="auto"/>
          <w:sz w:val="24"/>
          <w:highlight w:val="none"/>
        </w:rPr>
        <w:t xml:space="preserve">      </w:t>
      </w:r>
      <w:r>
        <w:rPr>
          <w:rFonts w:hint="eastAsia" w:ascii="宋体" w:hAnsi="宋体" w:cs="@仿宋_GB2312"/>
          <w:color w:val="auto"/>
          <w:sz w:val="24"/>
          <w:highlight w:val="none"/>
        </w:rPr>
        <w:t xml:space="preserve">    期：</w:t>
      </w:r>
      <w:r>
        <w:rPr>
          <w:rFonts w:ascii="宋体" w:hAnsi="宋体" w:cs="@仿宋_GB2312"/>
          <w:color w:val="auto"/>
          <w:sz w:val="24"/>
          <w:highlight w:val="none"/>
          <w:u w:val="single"/>
        </w:rPr>
        <w:t xml:space="preserve">             </w:t>
      </w:r>
    </w:p>
    <w:p w14:paraId="4E187A93">
      <w:pPr>
        <w:tabs>
          <w:tab w:val="left" w:pos="4620"/>
        </w:tabs>
        <w:spacing w:line="360" w:lineRule="auto"/>
        <w:jc w:val="left"/>
        <w:rPr>
          <w:rFonts w:ascii="宋体" w:hAnsi="宋体" w:cs="@仿宋_GB2312"/>
          <w:bCs/>
          <w:color w:val="auto"/>
          <w:highlight w:val="none"/>
        </w:rPr>
      </w:pPr>
      <w:r>
        <w:rPr>
          <w:rFonts w:hint="eastAsia" w:ascii="宋体" w:hAnsi="宋体"/>
          <w:b/>
          <w:color w:val="auto"/>
          <w:highlight w:val="none"/>
        </w:rPr>
        <w:t>注：</w:t>
      </w:r>
      <w:r>
        <w:rPr>
          <w:rFonts w:hint="eastAsia" w:ascii="宋体" w:hAnsi="宋体" w:cs="@仿宋_GB2312"/>
          <w:bCs/>
          <w:color w:val="auto"/>
          <w:highlight w:val="none"/>
        </w:rPr>
        <w:t>1.产品如有型号，请在“产品名称”栏一并填写。</w:t>
      </w:r>
    </w:p>
    <w:p w14:paraId="236DDE06">
      <w:pPr>
        <w:tabs>
          <w:tab w:val="left" w:pos="4620"/>
        </w:tabs>
        <w:spacing w:line="360" w:lineRule="auto"/>
        <w:jc w:val="left"/>
        <w:rPr>
          <w:rFonts w:ascii="宋体" w:hAnsi="宋体" w:cs="@仿宋_GB2312"/>
          <w:bCs/>
          <w:color w:val="auto"/>
          <w:highlight w:val="none"/>
        </w:rPr>
      </w:pPr>
      <w:r>
        <w:rPr>
          <w:rFonts w:hint="eastAsia" w:ascii="宋体" w:hAnsi="宋体" w:cs="@仿宋_GB2312"/>
          <w:bCs/>
          <w:color w:val="auto"/>
          <w:highlight w:val="none"/>
        </w:rPr>
        <w:t>2.生产厂名与厂址应与生产厂营业执照载明的相关信息保持一致。</w:t>
      </w:r>
    </w:p>
    <w:p w14:paraId="30C93026">
      <w:pPr>
        <w:tabs>
          <w:tab w:val="left" w:pos="4620"/>
        </w:tabs>
        <w:spacing w:line="360" w:lineRule="auto"/>
        <w:jc w:val="left"/>
        <w:rPr>
          <w:rFonts w:ascii="宋体" w:hAnsi="宋体"/>
          <w:bCs/>
          <w:color w:val="auto"/>
          <w:highlight w:val="none"/>
        </w:rPr>
      </w:pPr>
      <w:r>
        <w:rPr>
          <w:rFonts w:hint="eastAsia" w:ascii="宋体" w:hAnsi="宋体"/>
          <w:bCs/>
          <w:color w:val="auto"/>
          <w:highlight w:val="none"/>
        </w:rPr>
        <w:t>3.上述声明函中标注</w:t>
      </w:r>
      <w:r>
        <w:rPr>
          <w:rFonts w:hint="eastAsia" w:ascii="宋体" w:hAnsi="宋体"/>
          <w:bCs/>
          <w:color w:val="auto"/>
          <w:highlight w:val="none"/>
          <w:u w:val="single"/>
        </w:rPr>
        <w:t xml:space="preserve">  /  </w:t>
      </w:r>
      <w:r>
        <w:rPr>
          <w:rFonts w:hint="eastAsia" w:ascii="宋体" w:hAnsi="宋体"/>
          <w:bCs/>
          <w:color w:val="auto"/>
          <w:highlight w:val="none"/>
        </w:rPr>
        <w:t>的，无需填写。</w:t>
      </w:r>
    </w:p>
    <w:p w14:paraId="1C94BEF8">
      <w:pPr>
        <w:tabs>
          <w:tab w:val="left" w:pos="4620"/>
        </w:tabs>
        <w:spacing w:line="360" w:lineRule="auto"/>
        <w:jc w:val="left"/>
        <w:rPr>
          <w:rFonts w:hint="eastAsia" w:ascii="宋体" w:hAnsi="宋体"/>
          <w:bCs/>
          <w:color w:val="auto"/>
          <w:szCs w:val="21"/>
          <w:highlight w:val="none"/>
        </w:rPr>
      </w:pPr>
      <w:r>
        <w:rPr>
          <w:rFonts w:hint="eastAsia" w:ascii="宋体" w:hAnsi="宋体"/>
          <w:bCs/>
          <w:color w:val="auto"/>
          <w:szCs w:val="21"/>
          <w:highlight w:val="none"/>
        </w:rPr>
        <w:t>4.投标人应当结合“五、投标分项报价表-货物部分”相关信息进行填写。</w:t>
      </w:r>
    </w:p>
    <w:p w14:paraId="703B3C36">
      <w:pPr>
        <w:tabs>
          <w:tab w:val="left" w:pos="4620"/>
        </w:tabs>
        <w:spacing w:line="360" w:lineRule="auto"/>
        <w:jc w:val="left"/>
        <w:rPr>
          <w:rFonts w:hint="eastAsia"/>
          <w:color w:val="auto"/>
          <w:highlight w:val="none"/>
        </w:rPr>
      </w:pPr>
      <w:r>
        <w:rPr>
          <w:rFonts w:hint="eastAsia" w:ascii="宋体" w:hAnsi="宋体"/>
          <w:bCs/>
          <w:color w:val="auto"/>
          <w:szCs w:val="21"/>
          <w:highlight w:val="none"/>
        </w:rPr>
        <w:t>5.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0CB517D">
      <w:pPr>
        <w:spacing w:line="360" w:lineRule="auto"/>
        <w:jc w:val="center"/>
        <w:outlineLvl w:val="1"/>
        <w:rPr>
          <w:rFonts w:hint="eastAsia" w:asciiTheme="minorEastAsia" w:hAnsiTheme="minorEastAsia" w:eastAsiaTheme="minorEastAsia"/>
          <w:b/>
          <w:color w:val="auto"/>
          <w:sz w:val="24"/>
          <w:highlight w:val="none"/>
        </w:rPr>
      </w:pPr>
    </w:p>
    <w:p w14:paraId="6D977CE2">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5</w:t>
      </w:r>
      <w:r>
        <w:rPr>
          <w:rFonts w:hint="eastAsia" w:asciiTheme="minorEastAsia" w:hAnsiTheme="minorEastAsia" w:eastAsiaTheme="minorEastAsia"/>
          <w:b/>
          <w:color w:val="auto"/>
          <w:sz w:val="24"/>
          <w:highlight w:val="none"/>
        </w:rPr>
        <w:t>）其他相关证明材料</w:t>
      </w:r>
      <w:bookmarkEnd w:id="220"/>
      <w:bookmarkEnd w:id="221"/>
    </w:p>
    <w:p w14:paraId="28FD0383">
      <w:pPr>
        <w:spacing w:line="360" w:lineRule="auto"/>
        <w:ind w:firstLine="435"/>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如有</w:t>
      </w:r>
      <w:r>
        <w:rPr>
          <w:rFonts w:asciiTheme="minorEastAsia" w:hAnsiTheme="minorEastAsia" w:eastAsiaTheme="minorEastAsia"/>
          <w:color w:val="auto"/>
          <w:sz w:val="24"/>
          <w:highlight w:val="none"/>
        </w:rPr>
        <w:t>。</w:t>
      </w:r>
    </w:p>
    <w:p w14:paraId="188A361F">
      <w:pPr>
        <w:widowControl/>
        <w:jc w:val="left"/>
        <w:rPr>
          <w:rFonts w:asciiTheme="minorEastAsia" w:hAnsiTheme="minorEastAsia" w:eastAsiaTheme="minorEastAsia"/>
          <w:color w:val="auto"/>
          <w:sz w:val="24"/>
          <w:highlight w:val="none"/>
        </w:rPr>
      </w:pPr>
    </w:p>
    <w:p w14:paraId="72422BE5">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1DA28374">
      <w:pPr>
        <w:spacing w:line="360" w:lineRule="auto"/>
        <w:jc w:val="center"/>
        <w:outlineLvl w:val="0"/>
        <w:rPr>
          <w:rFonts w:ascii="宋体" w:hAnsi="宋体" w:eastAsia="宋体"/>
          <w:b/>
          <w:bCs/>
          <w:color w:val="auto"/>
          <w:sz w:val="28"/>
          <w:highlight w:val="none"/>
        </w:rPr>
      </w:pPr>
      <w:bookmarkStart w:id="222" w:name="_Toc20819"/>
      <w:bookmarkStart w:id="223" w:name="_Toc6435"/>
      <w:r>
        <w:rPr>
          <w:rFonts w:hint="eastAsia" w:asciiTheme="minorEastAsia" w:hAnsiTheme="minorEastAsia" w:eastAsiaTheme="minorEastAsia"/>
          <w:b/>
          <w:color w:val="auto"/>
          <w:sz w:val="28"/>
          <w:highlight w:val="none"/>
        </w:rPr>
        <w:t>第七章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222"/>
      <w:bookmarkEnd w:id="223"/>
    </w:p>
    <w:p w14:paraId="6525CA81">
      <w:pPr>
        <w:spacing w:line="360" w:lineRule="auto"/>
        <w:jc w:val="center"/>
        <w:outlineLvl w:val="1"/>
        <w:rPr>
          <w:rFonts w:ascii="仿宋" w:hAnsi="仿宋" w:eastAsia="仿宋" w:cs="仿宋"/>
          <w:b/>
          <w:bCs/>
          <w:color w:val="auto"/>
          <w:sz w:val="32"/>
          <w:szCs w:val="44"/>
          <w:highlight w:val="none"/>
        </w:rPr>
      </w:pPr>
      <w:bookmarkStart w:id="224" w:name="_Toc27159"/>
      <w:bookmarkStart w:id="225" w:name="_Toc6955"/>
      <w:r>
        <w:rPr>
          <w:rFonts w:hint="eastAsia" w:ascii="仿宋" w:hAnsi="仿宋" w:eastAsia="仿宋" w:cs="仿宋"/>
          <w:b/>
          <w:bCs/>
          <w:color w:val="auto"/>
          <w:sz w:val="32"/>
          <w:szCs w:val="44"/>
          <w:highlight w:val="none"/>
        </w:rPr>
        <w:t>询问函范本</w:t>
      </w:r>
      <w:bookmarkEnd w:id="224"/>
      <w:bookmarkEnd w:id="225"/>
    </w:p>
    <w:p w14:paraId="3C3650DC">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2E8B1915">
      <w:pPr>
        <w:adjustRightInd w:val="0"/>
        <w:snapToGrid w:val="0"/>
        <w:spacing w:line="360" w:lineRule="auto"/>
        <w:rPr>
          <w:rFonts w:cs="仿宋" w:asciiTheme="minorEastAsia" w:hAnsiTheme="minorEastAsia" w:eastAsiaTheme="minorEastAsia"/>
          <w:b/>
          <w:bCs/>
          <w:color w:val="auto"/>
          <w:sz w:val="24"/>
          <w:szCs w:val="24"/>
          <w:highlight w:val="none"/>
          <w:u w:val="single"/>
        </w:rPr>
      </w:pPr>
      <w:r>
        <w:rPr>
          <w:rFonts w:hint="eastAsia" w:cs="仿宋" w:asciiTheme="minorEastAsia" w:hAnsiTheme="minorEastAsia" w:eastAsiaTheme="minorEastAsia"/>
          <w:b/>
          <w:bCs/>
          <w:color w:val="auto"/>
          <w:sz w:val="24"/>
          <w:szCs w:val="24"/>
          <w:highlight w:val="none"/>
        </w:rPr>
        <w:t>致：采购人</w:t>
      </w:r>
    </w:p>
    <w:p w14:paraId="0789B07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i/>
          <w:iCs/>
          <w:color w:val="auto"/>
          <w:sz w:val="24"/>
          <w:szCs w:val="24"/>
          <w:highlight w:val="none"/>
        </w:rPr>
        <w:t>项目名称、编号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6D277A0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bookmarkStart w:id="226" w:name="_Toc13899"/>
      <w:r>
        <w:rPr>
          <w:rFonts w:hint="eastAsia" w:cs="仿宋" w:asciiTheme="minorEastAsia" w:hAnsiTheme="minorEastAsia" w:eastAsiaTheme="minorEastAsia"/>
          <w:color w:val="auto"/>
          <w:sz w:val="24"/>
          <w:szCs w:val="24"/>
          <w:highlight w:val="none"/>
        </w:rPr>
        <w:t>一、(事项一)</w:t>
      </w:r>
      <w:bookmarkEnd w:id="226"/>
    </w:p>
    <w:p w14:paraId="1EE2D1C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1BCFC745">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340CD003">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19018428">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bookmarkStart w:id="227" w:name="_Toc3352"/>
      <w:r>
        <w:rPr>
          <w:rFonts w:hint="eastAsia" w:cs="仿宋" w:asciiTheme="minorEastAsia" w:hAnsiTheme="minorEastAsia" w:eastAsiaTheme="minorEastAsia"/>
          <w:color w:val="auto"/>
          <w:sz w:val="24"/>
          <w:szCs w:val="24"/>
          <w:highlight w:val="none"/>
        </w:rPr>
        <w:t>二、(事项二)</w:t>
      </w:r>
      <w:bookmarkEnd w:id="227"/>
    </w:p>
    <w:p w14:paraId="04F080F1">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3B9D588">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5BA74233">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p>
    <w:p w14:paraId="47F5EB75">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p>
    <w:p w14:paraId="18F99EDA">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p>
    <w:p w14:paraId="57A0D2A1">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0E66B512">
      <w:pPr>
        <w:jc w:val="center"/>
        <w:outlineLvl w:val="1"/>
        <w:rPr>
          <w:rFonts w:ascii="仿宋" w:hAnsi="仿宋" w:eastAsia="仿宋" w:cs="仿宋"/>
          <w:b/>
          <w:bCs/>
          <w:color w:val="auto"/>
          <w:sz w:val="32"/>
          <w:szCs w:val="44"/>
          <w:highlight w:val="none"/>
        </w:rPr>
      </w:pPr>
      <w:bookmarkStart w:id="228" w:name="_Toc1575"/>
      <w:bookmarkStart w:id="229" w:name="_Toc857"/>
      <w:r>
        <w:rPr>
          <w:rFonts w:hint="eastAsia" w:ascii="仿宋" w:hAnsi="仿宋" w:eastAsia="仿宋" w:cs="仿宋"/>
          <w:b/>
          <w:bCs/>
          <w:color w:val="auto"/>
          <w:sz w:val="32"/>
          <w:szCs w:val="44"/>
          <w:highlight w:val="none"/>
        </w:rPr>
        <w:t>质疑函范本</w:t>
      </w:r>
      <w:bookmarkEnd w:id="228"/>
      <w:bookmarkEnd w:id="229"/>
    </w:p>
    <w:p w14:paraId="38FEE6F9">
      <w:pPr>
        <w:adjustRightInd w:val="0"/>
        <w:snapToGrid w:val="0"/>
        <w:spacing w:beforeLines="100" w:line="360" w:lineRule="auto"/>
        <w:rPr>
          <w:rFonts w:cs="仿宋" w:asciiTheme="minorEastAsia" w:hAnsiTheme="minorEastAsia" w:eastAsiaTheme="minorEastAsia"/>
          <w:b/>
          <w:bCs/>
          <w:color w:val="auto"/>
          <w:sz w:val="24"/>
          <w:szCs w:val="24"/>
          <w:highlight w:val="none"/>
        </w:rPr>
      </w:pPr>
      <w:bookmarkStart w:id="230" w:name="_Toc21381"/>
      <w:r>
        <w:rPr>
          <w:rFonts w:hint="eastAsia" w:cs="仿宋" w:asciiTheme="minorEastAsia" w:hAnsiTheme="minorEastAsia" w:eastAsiaTheme="minorEastAsia"/>
          <w:b/>
          <w:bCs/>
          <w:color w:val="auto"/>
          <w:sz w:val="24"/>
          <w:szCs w:val="24"/>
          <w:highlight w:val="none"/>
        </w:rPr>
        <w:t>一、质疑供应商基本信息</w:t>
      </w:r>
      <w:bookmarkEnd w:id="230"/>
    </w:p>
    <w:p w14:paraId="4EA1014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p>
    <w:p w14:paraId="47460A0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地址：邮编：</w:t>
      </w:r>
    </w:p>
    <w:p w14:paraId="137E93B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联系人：联系电话：</w:t>
      </w:r>
    </w:p>
    <w:p w14:paraId="2104D06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p>
    <w:p w14:paraId="189E527B">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p>
    <w:p w14:paraId="05CE2C2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地址：邮编：</w:t>
      </w:r>
    </w:p>
    <w:p w14:paraId="755EBE5A">
      <w:pPr>
        <w:adjustRightInd w:val="0"/>
        <w:snapToGrid w:val="0"/>
        <w:spacing w:line="360" w:lineRule="auto"/>
        <w:rPr>
          <w:rFonts w:cs="仿宋" w:asciiTheme="minorEastAsia" w:hAnsiTheme="minorEastAsia" w:eastAsiaTheme="minorEastAsia"/>
          <w:b/>
          <w:bCs/>
          <w:color w:val="auto"/>
          <w:sz w:val="24"/>
          <w:szCs w:val="24"/>
          <w:highlight w:val="none"/>
        </w:rPr>
      </w:pPr>
      <w:bookmarkStart w:id="231" w:name="_Toc28415"/>
      <w:r>
        <w:rPr>
          <w:rFonts w:hint="eastAsia" w:cs="仿宋" w:asciiTheme="minorEastAsia" w:hAnsiTheme="minorEastAsia" w:eastAsiaTheme="minorEastAsia"/>
          <w:b/>
          <w:bCs/>
          <w:color w:val="auto"/>
          <w:sz w:val="24"/>
          <w:szCs w:val="24"/>
          <w:highlight w:val="none"/>
        </w:rPr>
        <w:t>二、质疑项目基本情况</w:t>
      </w:r>
      <w:bookmarkEnd w:id="231"/>
    </w:p>
    <w:p w14:paraId="4647609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p>
    <w:p w14:paraId="736F64D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质疑项目的编号：包号：</w:t>
      </w:r>
    </w:p>
    <w:p w14:paraId="660A5E6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p>
    <w:p w14:paraId="17D8BB2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p>
    <w:p w14:paraId="6A6277CC">
      <w:pPr>
        <w:adjustRightInd w:val="0"/>
        <w:snapToGrid w:val="0"/>
        <w:spacing w:line="360" w:lineRule="auto"/>
        <w:rPr>
          <w:rFonts w:cs="仿宋" w:asciiTheme="minorEastAsia" w:hAnsiTheme="minorEastAsia" w:eastAsiaTheme="minorEastAsia"/>
          <w:b/>
          <w:bCs/>
          <w:color w:val="auto"/>
          <w:sz w:val="24"/>
          <w:szCs w:val="24"/>
          <w:highlight w:val="none"/>
        </w:rPr>
      </w:pPr>
      <w:bookmarkStart w:id="232" w:name="_Toc19014"/>
      <w:r>
        <w:rPr>
          <w:rFonts w:hint="eastAsia" w:cs="仿宋" w:asciiTheme="minorEastAsia" w:hAnsiTheme="minorEastAsia" w:eastAsiaTheme="minorEastAsia"/>
          <w:b/>
          <w:bCs/>
          <w:color w:val="auto"/>
          <w:sz w:val="24"/>
          <w:szCs w:val="24"/>
          <w:highlight w:val="none"/>
        </w:rPr>
        <w:t>三、质疑事项具体内容</w:t>
      </w:r>
      <w:bookmarkEnd w:id="232"/>
    </w:p>
    <w:p w14:paraId="3C7579B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p>
    <w:p w14:paraId="6DB02FE5">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p>
    <w:p w14:paraId="7EF9947D">
      <w:pPr>
        <w:adjustRightInd w:val="0"/>
        <w:snapToGrid w:val="0"/>
        <w:spacing w:line="360" w:lineRule="auto"/>
        <w:rPr>
          <w:rFonts w:cs="仿宋" w:asciiTheme="minorEastAsia" w:hAnsiTheme="minorEastAsia" w:eastAsiaTheme="minorEastAsia"/>
          <w:color w:val="auto"/>
          <w:sz w:val="24"/>
          <w:szCs w:val="24"/>
          <w:highlight w:val="none"/>
        </w:rPr>
      </w:pPr>
    </w:p>
    <w:p w14:paraId="37AEA365">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p>
    <w:p w14:paraId="040A8CE2">
      <w:pPr>
        <w:adjustRightInd w:val="0"/>
        <w:snapToGrid w:val="0"/>
        <w:spacing w:line="360" w:lineRule="auto"/>
        <w:rPr>
          <w:rFonts w:cs="仿宋" w:asciiTheme="minorEastAsia" w:hAnsiTheme="minorEastAsia" w:eastAsiaTheme="minorEastAsia"/>
          <w:color w:val="auto"/>
          <w:sz w:val="24"/>
          <w:szCs w:val="24"/>
          <w:highlight w:val="none"/>
          <w:u w:val="dotted"/>
        </w:rPr>
      </w:pPr>
    </w:p>
    <w:p w14:paraId="267CF6D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4E23738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73837B50">
      <w:pPr>
        <w:adjustRightInd w:val="0"/>
        <w:snapToGrid w:val="0"/>
        <w:spacing w:line="360" w:lineRule="auto"/>
        <w:rPr>
          <w:rFonts w:cs="仿宋" w:asciiTheme="minorEastAsia" w:hAnsiTheme="minorEastAsia" w:eastAsiaTheme="minorEastAsia"/>
          <w:b/>
          <w:bCs/>
          <w:color w:val="auto"/>
          <w:sz w:val="24"/>
          <w:szCs w:val="24"/>
          <w:highlight w:val="none"/>
        </w:rPr>
      </w:pPr>
      <w:bookmarkStart w:id="233" w:name="_Toc17919"/>
      <w:r>
        <w:rPr>
          <w:rFonts w:hint="eastAsia" w:cs="仿宋" w:asciiTheme="minorEastAsia" w:hAnsiTheme="minorEastAsia" w:eastAsiaTheme="minorEastAsia"/>
          <w:b/>
          <w:bCs/>
          <w:color w:val="auto"/>
          <w:sz w:val="24"/>
          <w:szCs w:val="24"/>
          <w:highlight w:val="none"/>
        </w:rPr>
        <w:t>四、与质疑事项相关的质疑请求</w:t>
      </w:r>
      <w:bookmarkEnd w:id="233"/>
    </w:p>
    <w:p w14:paraId="73EEA5F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p>
    <w:p w14:paraId="56B1AAFD">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1C64654E">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2023BA7D">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32F6B23C">
      <w:pPr>
        <w:outlineLvl w:val="0"/>
        <w:rPr>
          <w:rFonts w:asciiTheme="minorEastAsia" w:hAnsiTheme="minorEastAsia" w:eastAsiaTheme="minorEastAsia"/>
          <w:b/>
          <w:color w:val="auto"/>
          <w:sz w:val="28"/>
          <w:szCs w:val="32"/>
          <w:highlight w:val="none"/>
        </w:rPr>
      </w:pPr>
      <w:bookmarkStart w:id="234" w:name="_Toc22239"/>
      <w:bookmarkStart w:id="235" w:name="_Toc9754"/>
      <w:r>
        <w:rPr>
          <w:rFonts w:hint="eastAsia" w:asciiTheme="minorEastAsia" w:hAnsiTheme="minorEastAsia" w:eastAsiaTheme="minorEastAsia"/>
          <w:b/>
          <w:color w:val="auto"/>
          <w:sz w:val="28"/>
          <w:szCs w:val="32"/>
          <w:highlight w:val="none"/>
        </w:rPr>
        <w:t>质疑函制作说明：</w:t>
      </w:r>
      <w:bookmarkEnd w:id="234"/>
      <w:bookmarkEnd w:id="235"/>
    </w:p>
    <w:p w14:paraId="5BDCFD4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487A868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69C3DE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36E9201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4F6DFE5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3E0E7B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bookmarkEnd w:id="236"/>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monospace">
    <w:altName w:val="XcGJSymbol"/>
    <w:panose1 w:val="00000000000000000000"/>
    <w:charset w:val="00"/>
    <w:family w:val="auto"/>
    <w:pitch w:val="default"/>
    <w:sig w:usb0="00000000" w:usb1="00000000" w:usb2="00000000" w:usb3="00000000" w:csb0="00000000" w:csb1="00000000"/>
  </w:font>
  <w:font w:name="XcGJSymbol">
    <w:panose1 w:val="02000500000000000000"/>
    <w:charset w:val="00"/>
    <w:family w:val="auto"/>
    <w:pitch w:val="default"/>
    <w:sig w:usb0="00000000" w:usb1="00000000" w:usb2="00000000" w:usb3="00000000" w:csb0="00000001" w:csb1="00000000"/>
  </w:font>
  <w:font w:name="ActionIcon ! important">
    <w:altName w:val="XcGJSymbol"/>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86"/>
    <w:family w:val="auto"/>
    <w:pitch w:val="default"/>
    <w:sig w:usb0="00000000" w:usb1="00000000" w:usb2="00000010" w:usb3="00000000" w:csb0="0004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altName w:val="宋体"/>
    <w:panose1 w:val="020B0604020202020204"/>
    <w:charset w:val="86"/>
    <w:family w:val="swiss"/>
    <w:pitch w:val="default"/>
    <w:sig w:usb0="00000000" w:usb1="00000000" w:usb2="0000003F" w:usb3="00000000" w:csb0="003F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10" w:usb3="00000000" w:csb0="00040000" w:csb1="00000000"/>
  </w:font>
  <w:font w:name="ModIcon">
    <w:altName w:val="XcGJSymbol"/>
    <w:panose1 w:val="00000000000000000000"/>
    <w:charset w:val="00"/>
    <w:family w:val="auto"/>
    <w:pitch w:val="default"/>
    <w:sig w:usb0="00000000" w:usb1="00000000" w:usb2="00000000" w:usb3="00000000" w:csb0="00000000" w:csb1="00000000"/>
  </w:font>
  <w:font w:name="ActionIcon">
    <w:altName w:val="XcGJSymbol"/>
    <w:panose1 w:val="00000000000000000000"/>
    <w:charset w:val="00"/>
    <w:family w:val="auto"/>
    <w:pitch w:val="default"/>
    <w:sig w:usb0="00000000" w:usb1="00000000" w:usb2="00000000" w:usb3="00000000" w:csb0="00000000" w:csb1="00000000"/>
  </w:font>
  <w:font w:name="SourceHanSansCN-Regular">
    <w:altName w:val="XcGJSymbo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012D5">
    <w:pPr>
      <w:pStyle w:val="18"/>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B83F8">
    <w:pPr>
      <w:pStyle w:val="18"/>
      <w:jc w:val="center"/>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14:paraId="6112433D">
                <w:pPr>
                  <w:pStyle w:val="18"/>
                  <w:rPr>
                    <w:rFonts w:asciiTheme="minorEastAsia" w:hAnsiTheme="minorEastAsia" w:eastAsiaTheme="minorEastAsia" w:cstheme="minorEastAsia"/>
                  </w:rPr>
                </w:pPr>
                <w:r>
                  <w:rPr>
                    <w:rFonts w:hint="eastAsia" w:asciiTheme="minorEastAsia" w:hAnsiTheme="minorEastAsia" w:eastAsiaTheme="minorEastAsia" w:cstheme="minorEastAsia"/>
                  </w:rPr>
                  <w:t xml:space="preserve">第 </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asciiTheme="minorEastAsia" w:hAnsiTheme="minorEastAsia" w:eastAsiaTheme="minorEastAsia" w:cstheme="minorEastAsia"/>
                  </w:rPr>
                  <w:t>36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 xml:space="preserve"> 页 共 8</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A4930">
    <w:pPr>
      <w:pStyle w:val="19"/>
      <w:jc w:val="left"/>
      <w:rPr>
        <w:rFonts w:asciiTheme="minorEastAsia" w:hAnsiTheme="minorEastAsia" w:eastAsiaTheme="minorEastAsia"/>
      </w:rPr>
    </w:pPr>
    <w:r>
      <w:rPr>
        <w:rFonts w:hint="eastAsia" w:asciiTheme="minorEastAsia" w:hAnsiTheme="minorEastAsia" w:eastAsiaTheme="minorEastAsia"/>
      </w:rPr>
      <w:t>滁州市政府采购项目公开招标文件示范文本（物业类）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06854">
    <w:pPr>
      <w:pStyle w:val="19"/>
      <w:jc w:val="left"/>
    </w:pPr>
    <w:r>
      <w:rPr>
        <w:rFonts w:hint="eastAsia" w:asciiTheme="minorEastAsia" w:hAnsiTheme="minorEastAsia" w:eastAsiaTheme="minorEastAsia"/>
      </w:rPr>
      <w:t>滁州市政府采购项目公开招标文件示范文本（物业类）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9AA616"/>
    <w:multiLevelType w:val="singleLevel"/>
    <w:tmpl w:val="DD9AA616"/>
    <w:lvl w:ilvl="0" w:tentative="0">
      <w:start w:val="1"/>
      <w:numFmt w:val="decimal"/>
      <w:suff w:val="nothing"/>
      <w:lvlText w:val="（%1）"/>
      <w:lvlJc w:val="left"/>
    </w:lvl>
  </w:abstractNum>
  <w:abstractNum w:abstractNumId="1">
    <w:nsid w:val="FDF6910A"/>
    <w:multiLevelType w:val="singleLevel"/>
    <w:tmpl w:val="FDF6910A"/>
    <w:lvl w:ilvl="0" w:tentative="0">
      <w:start w:val="1"/>
      <w:numFmt w:val="chineseCounting"/>
      <w:suff w:val="nothing"/>
      <w:lvlText w:val="%1、"/>
      <w:lvlJc w:val="left"/>
      <w:rPr>
        <w:rFonts w:hint="eastAsia"/>
      </w:rPr>
    </w:lvl>
  </w:abstractNum>
  <w:abstractNum w:abstractNumId="2">
    <w:nsid w:val="2A064A37"/>
    <w:multiLevelType w:val="singleLevel"/>
    <w:tmpl w:val="2A064A37"/>
    <w:lvl w:ilvl="0" w:tentative="0">
      <w:start w:val="3"/>
      <w:numFmt w:val="chineseCounting"/>
      <w:suff w:val="space"/>
      <w:lvlText w:val="第%1章"/>
      <w:lvlJc w:val="left"/>
      <w:rPr>
        <w:rFonts w:hint="eastAsia"/>
      </w:rPr>
    </w:lvl>
  </w:abstractNum>
  <w:abstractNum w:abstractNumId="3">
    <w:nsid w:val="79CB9F99"/>
    <w:multiLevelType w:val="singleLevel"/>
    <w:tmpl w:val="79CB9F99"/>
    <w:lvl w:ilvl="0" w:tentative="0">
      <w:start w:val="2"/>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VlYjQzMDhiYzA3NWZlODA5OTkxMDRiNDU3ZjExNjEifQ=="/>
  </w:docVars>
  <w:rsids>
    <w:rsidRoot w:val="00276BA1"/>
    <w:rsid w:val="0000043F"/>
    <w:rsid w:val="00003F56"/>
    <w:rsid w:val="000049DA"/>
    <w:rsid w:val="00004F40"/>
    <w:rsid w:val="000056B7"/>
    <w:rsid w:val="00012A13"/>
    <w:rsid w:val="000131F7"/>
    <w:rsid w:val="0001445E"/>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B7C8B"/>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6810"/>
    <w:rsid w:val="00260860"/>
    <w:rsid w:val="00260B94"/>
    <w:rsid w:val="00264F2E"/>
    <w:rsid w:val="00271245"/>
    <w:rsid w:val="00272E6E"/>
    <w:rsid w:val="00274A9E"/>
    <w:rsid w:val="00276292"/>
    <w:rsid w:val="00276BA1"/>
    <w:rsid w:val="00277094"/>
    <w:rsid w:val="00286BB6"/>
    <w:rsid w:val="00295B4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56A9A"/>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4622"/>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01C6"/>
    <w:rsid w:val="00541C0B"/>
    <w:rsid w:val="0054317E"/>
    <w:rsid w:val="00544C2A"/>
    <w:rsid w:val="00546D49"/>
    <w:rsid w:val="00556D4C"/>
    <w:rsid w:val="005614B4"/>
    <w:rsid w:val="005616B5"/>
    <w:rsid w:val="00571315"/>
    <w:rsid w:val="00581327"/>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340"/>
    <w:rsid w:val="00613F7C"/>
    <w:rsid w:val="00614BF2"/>
    <w:rsid w:val="0061618E"/>
    <w:rsid w:val="00620560"/>
    <w:rsid w:val="006208CB"/>
    <w:rsid w:val="00623DE2"/>
    <w:rsid w:val="00627601"/>
    <w:rsid w:val="006300D0"/>
    <w:rsid w:val="00632012"/>
    <w:rsid w:val="00634694"/>
    <w:rsid w:val="00634BD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77047"/>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08B"/>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622A"/>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A7EEC"/>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179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167F7"/>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76A"/>
    <w:rsid w:val="00A91CA2"/>
    <w:rsid w:val="00A92FB8"/>
    <w:rsid w:val="00A948F1"/>
    <w:rsid w:val="00A95AAC"/>
    <w:rsid w:val="00AA1D7D"/>
    <w:rsid w:val="00AA6037"/>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3601"/>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2CC2"/>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E718C"/>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76DE1"/>
    <w:rsid w:val="00D80C36"/>
    <w:rsid w:val="00D86779"/>
    <w:rsid w:val="00D86EE1"/>
    <w:rsid w:val="00D87AC4"/>
    <w:rsid w:val="00D9120E"/>
    <w:rsid w:val="00D913B1"/>
    <w:rsid w:val="00D93793"/>
    <w:rsid w:val="00D96126"/>
    <w:rsid w:val="00DB4B1C"/>
    <w:rsid w:val="00DB5085"/>
    <w:rsid w:val="00DB7706"/>
    <w:rsid w:val="00DC1062"/>
    <w:rsid w:val="00DC132C"/>
    <w:rsid w:val="00DC774B"/>
    <w:rsid w:val="00DD43F0"/>
    <w:rsid w:val="00DD44DE"/>
    <w:rsid w:val="00DD47E7"/>
    <w:rsid w:val="00DE09AB"/>
    <w:rsid w:val="00DE4A3F"/>
    <w:rsid w:val="00DE4E53"/>
    <w:rsid w:val="00DE7AE9"/>
    <w:rsid w:val="00DF4367"/>
    <w:rsid w:val="00E02D86"/>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C81F50"/>
    <w:rsid w:val="0214602E"/>
    <w:rsid w:val="03486B27"/>
    <w:rsid w:val="040A094E"/>
    <w:rsid w:val="04E36C96"/>
    <w:rsid w:val="054933A7"/>
    <w:rsid w:val="056800F4"/>
    <w:rsid w:val="056F201D"/>
    <w:rsid w:val="05B664D4"/>
    <w:rsid w:val="07076C01"/>
    <w:rsid w:val="071C12AC"/>
    <w:rsid w:val="074E231E"/>
    <w:rsid w:val="07A934B3"/>
    <w:rsid w:val="08B15E54"/>
    <w:rsid w:val="096825ED"/>
    <w:rsid w:val="097430E9"/>
    <w:rsid w:val="0980799C"/>
    <w:rsid w:val="0A0F6376"/>
    <w:rsid w:val="0A353CEA"/>
    <w:rsid w:val="0A6A18DB"/>
    <w:rsid w:val="0AEF3828"/>
    <w:rsid w:val="0B923CFA"/>
    <w:rsid w:val="0BBB665B"/>
    <w:rsid w:val="0CAF61E6"/>
    <w:rsid w:val="0CB7664E"/>
    <w:rsid w:val="0D865199"/>
    <w:rsid w:val="0E816EC5"/>
    <w:rsid w:val="0EEA6FC1"/>
    <w:rsid w:val="0F954485"/>
    <w:rsid w:val="0FBF344F"/>
    <w:rsid w:val="10505F32"/>
    <w:rsid w:val="105A27E6"/>
    <w:rsid w:val="10BC5375"/>
    <w:rsid w:val="11457119"/>
    <w:rsid w:val="11763410"/>
    <w:rsid w:val="119B0711"/>
    <w:rsid w:val="12197477"/>
    <w:rsid w:val="12FC7CAB"/>
    <w:rsid w:val="13587E2C"/>
    <w:rsid w:val="137133DE"/>
    <w:rsid w:val="1466407E"/>
    <w:rsid w:val="14834E28"/>
    <w:rsid w:val="148E7D65"/>
    <w:rsid w:val="151D4243"/>
    <w:rsid w:val="15231BF9"/>
    <w:rsid w:val="15C02E2D"/>
    <w:rsid w:val="164204DC"/>
    <w:rsid w:val="16CD0055"/>
    <w:rsid w:val="175C434E"/>
    <w:rsid w:val="179F5278"/>
    <w:rsid w:val="185D498F"/>
    <w:rsid w:val="187C4867"/>
    <w:rsid w:val="1A3B68AA"/>
    <w:rsid w:val="1A3E1C1E"/>
    <w:rsid w:val="1A401EE0"/>
    <w:rsid w:val="1BC71E0B"/>
    <w:rsid w:val="1C141836"/>
    <w:rsid w:val="1DA92649"/>
    <w:rsid w:val="1DEF28E6"/>
    <w:rsid w:val="1E6B6A14"/>
    <w:rsid w:val="1FB931AC"/>
    <w:rsid w:val="1FDF606A"/>
    <w:rsid w:val="1FF44177"/>
    <w:rsid w:val="20550D9A"/>
    <w:rsid w:val="21714B53"/>
    <w:rsid w:val="218E2416"/>
    <w:rsid w:val="226915FE"/>
    <w:rsid w:val="22E14C32"/>
    <w:rsid w:val="23130E25"/>
    <w:rsid w:val="239A32F4"/>
    <w:rsid w:val="24B97929"/>
    <w:rsid w:val="24C70119"/>
    <w:rsid w:val="2520252D"/>
    <w:rsid w:val="25B45232"/>
    <w:rsid w:val="26163BC1"/>
    <w:rsid w:val="267F2A81"/>
    <w:rsid w:val="285F40CA"/>
    <w:rsid w:val="289D7681"/>
    <w:rsid w:val="28C01ECB"/>
    <w:rsid w:val="28E232E1"/>
    <w:rsid w:val="28EC3ECC"/>
    <w:rsid w:val="29BF71E3"/>
    <w:rsid w:val="2A027E45"/>
    <w:rsid w:val="2A127B63"/>
    <w:rsid w:val="2AAA4765"/>
    <w:rsid w:val="2AC21606"/>
    <w:rsid w:val="2AF63C5E"/>
    <w:rsid w:val="2B5A2BD3"/>
    <w:rsid w:val="2B7E7608"/>
    <w:rsid w:val="2B7F04E9"/>
    <w:rsid w:val="2B957EC3"/>
    <w:rsid w:val="2C027C88"/>
    <w:rsid w:val="2C305555"/>
    <w:rsid w:val="2C9A21B9"/>
    <w:rsid w:val="2CE20523"/>
    <w:rsid w:val="2D03015C"/>
    <w:rsid w:val="2D26209C"/>
    <w:rsid w:val="2D496D68"/>
    <w:rsid w:val="2D900D06"/>
    <w:rsid w:val="2DC83D3B"/>
    <w:rsid w:val="2E6672CB"/>
    <w:rsid w:val="2E7A48DE"/>
    <w:rsid w:val="2E963AE5"/>
    <w:rsid w:val="2EA95EAF"/>
    <w:rsid w:val="2EDC3ED8"/>
    <w:rsid w:val="2F2D046C"/>
    <w:rsid w:val="2F6351B4"/>
    <w:rsid w:val="2FC14132"/>
    <w:rsid w:val="2FCF199E"/>
    <w:rsid w:val="2FCFCB22"/>
    <w:rsid w:val="30483E83"/>
    <w:rsid w:val="30AA0E97"/>
    <w:rsid w:val="323963CE"/>
    <w:rsid w:val="334E4CD8"/>
    <w:rsid w:val="33F80EB7"/>
    <w:rsid w:val="343C0775"/>
    <w:rsid w:val="34AA76A9"/>
    <w:rsid w:val="356C50EC"/>
    <w:rsid w:val="361108CD"/>
    <w:rsid w:val="3700166C"/>
    <w:rsid w:val="3727617F"/>
    <w:rsid w:val="375969FE"/>
    <w:rsid w:val="37FFF786"/>
    <w:rsid w:val="381B0A50"/>
    <w:rsid w:val="38694EE9"/>
    <w:rsid w:val="38D6045F"/>
    <w:rsid w:val="39563985"/>
    <w:rsid w:val="39700E21"/>
    <w:rsid w:val="3A0515F6"/>
    <w:rsid w:val="3B363A0C"/>
    <w:rsid w:val="3B365CC9"/>
    <w:rsid w:val="3B9A7B88"/>
    <w:rsid w:val="3BC114FF"/>
    <w:rsid w:val="3C0319C4"/>
    <w:rsid w:val="3C2660C6"/>
    <w:rsid w:val="3CE5E6D6"/>
    <w:rsid w:val="3D0A4BEF"/>
    <w:rsid w:val="3D2C7AC8"/>
    <w:rsid w:val="3D77B2FC"/>
    <w:rsid w:val="3D855D12"/>
    <w:rsid w:val="3D8B42FF"/>
    <w:rsid w:val="3D8C02DD"/>
    <w:rsid w:val="3DC20089"/>
    <w:rsid w:val="3DD76309"/>
    <w:rsid w:val="3DF36A6E"/>
    <w:rsid w:val="3ED453F1"/>
    <w:rsid w:val="3F1138E1"/>
    <w:rsid w:val="3F723AFC"/>
    <w:rsid w:val="3F792F1E"/>
    <w:rsid w:val="3F951F40"/>
    <w:rsid w:val="3FA71D13"/>
    <w:rsid w:val="3FB34C03"/>
    <w:rsid w:val="401852DC"/>
    <w:rsid w:val="40824826"/>
    <w:rsid w:val="40E63923"/>
    <w:rsid w:val="417B430D"/>
    <w:rsid w:val="42555411"/>
    <w:rsid w:val="426B25D4"/>
    <w:rsid w:val="4283608B"/>
    <w:rsid w:val="42B443F4"/>
    <w:rsid w:val="42F43FD4"/>
    <w:rsid w:val="432B495E"/>
    <w:rsid w:val="43A91E5B"/>
    <w:rsid w:val="442D31F6"/>
    <w:rsid w:val="44BC3308"/>
    <w:rsid w:val="45BA48DB"/>
    <w:rsid w:val="45D420D0"/>
    <w:rsid w:val="463A3650"/>
    <w:rsid w:val="469F0116"/>
    <w:rsid w:val="46BA0431"/>
    <w:rsid w:val="475259B7"/>
    <w:rsid w:val="48285669"/>
    <w:rsid w:val="48831CF9"/>
    <w:rsid w:val="48A26623"/>
    <w:rsid w:val="49A165B8"/>
    <w:rsid w:val="49B1408D"/>
    <w:rsid w:val="49BF6D61"/>
    <w:rsid w:val="4A7D4FD2"/>
    <w:rsid w:val="4A913C9A"/>
    <w:rsid w:val="4AAA603E"/>
    <w:rsid w:val="4AE22D2F"/>
    <w:rsid w:val="4B1F70AC"/>
    <w:rsid w:val="4B240F94"/>
    <w:rsid w:val="4B386AE5"/>
    <w:rsid w:val="4BA75287"/>
    <w:rsid w:val="4BED70D6"/>
    <w:rsid w:val="4C3C565C"/>
    <w:rsid w:val="4CCC79C7"/>
    <w:rsid w:val="4D502AF2"/>
    <w:rsid w:val="4D684668"/>
    <w:rsid w:val="4D7555C7"/>
    <w:rsid w:val="4E3E6D40"/>
    <w:rsid w:val="4E7F9E8B"/>
    <w:rsid w:val="4E810A89"/>
    <w:rsid w:val="4EAE6DA0"/>
    <w:rsid w:val="4F5809DE"/>
    <w:rsid w:val="4FD037EF"/>
    <w:rsid w:val="4FEE90F6"/>
    <w:rsid w:val="5016514B"/>
    <w:rsid w:val="502857C7"/>
    <w:rsid w:val="50476D3D"/>
    <w:rsid w:val="50770396"/>
    <w:rsid w:val="50C51101"/>
    <w:rsid w:val="51A258E6"/>
    <w:rsid w:val="51CB1C78"/>
    <w:rsid w:val="51FD6A51"/>
    <w:rsid w:val="51FED7AB"/>
    <w:rsid w:val="521E31BF"/>
    <w:rsid w:val="5248023B"/>
    <w:rsid w:val="5248732F"/>
    <w:rsid w:val="526B680A"/>
    <w:rsid w:val="52C35F54"/>
    <w:rsid w:val="52C90BE7"/>
    <w:rsid w:val="53150D15"/>
    <w:rsid w:val="5352083E"/>
    <w:rsid w:val="53B840A0"/>
    <w:rsid w:val="541A5D30"/>
    <w:rsid w:val="544014C7"/>
    <w:rsid w:val="551F124E"/>
    <w:rsid w:val="552044B6"/>
    <w:rsid w:val="553E632F"/>
    <w:rsid w:val="55A35789"/>
    <w:rsid w:val="55F068CD"/>
    <w:rsid w:val="566C3136"/>
    <w:rsid w:val="568D04F2"/>
    <w:rsid w:val="57FCE78D"/>
    <w:rsid w:val="58201313"/>
    <w:rsid w:val="588D6DD7"/>
    <w:rsid w:val="58BF7467"/>
    <w:rsid w:val="58F85DEC"/>
    <w:rsid w:val="5981135B"/>
    <w:rsid w:val="5A526582"/>
    <w:rsid w:val="5A5F5C77"/>
    <w:rsid w:val="5AD563E4"/>
    <w:rsid w:val="5B425DA8"/>
    <w:rsid w:val="5BBE39CD"/>
    <w:rsid w:val="5BC11A60"/>
    <w:rsid w:val="5BD462C2"/>
    <w:rsid w:val="5C7A4D54"/>
    <w:rsid w:val="5C933840"/>
    <w:rsid w:val="5CD23B73"/>
    <w:rsid w:val="5DA4282D"/>
    <w:rsid w:val="5DB85C6E"/>
    <w:rsid w:val="5DB93D9B"/>
    <w:rsid w:val="5DDB071C"/>
    <w:rsid w:val="5E2F405E"/>
    <w:rsid w:val="5EC40C4A"/>
    <w:rsid w:val="5EEF3F2F"/>
    <w:rsid w:val="5EFA7CCD"/>
    <w:rsid w:val="5F127819"/>
    <w:rsid w:val="5F37567F"/>
    <w:rsid w:val="5F63752A"/>
    <w:rsid w:val="5FF52961"/>
    <w:rsid w:val="60BD00F8"/>
    <w:rsid w:val="60F1503F"/>
    <w:rsid w:val="61025188"/>
    <w:rsid w:val="61057D5F"/>
    <w:rsid w:val="611302FD"/>
    <w:rsid w:val="614D4977"/>
    <w:rsid w:val="618F6AE3"/>
    <w:rsid w:val="61DF4125"/>
    <w:rsid w:val="62703774"/>
    <w:rsid w:val="63C60FC0"/>
    <w:rsid w:val="645760BC"/>
    <w:rsid w:val="648A24CC"/>
    <w:rsid w:val="64BA3D7A"/>
    <w:rsid w:val="64F179BC"/>
    <w:rsid w:val="64F97173"/>
    <w:rsid w:val="654A5B21"/>
    <w:rsid w:val="65C94C55"/>
    <w:rsid w:val="665704D3"/>
    <w:rsid w:val="673148E2"/>
    <w:rsid w:val="675445CD"/>
    <w:rsid w:val="6764121C"/>
    <w:rsid w:val="67C065A4"/>
    <w:rsid w:val="67D359C9"/>
    <w:rsid w:val="68356714"/>
    <w:rsid w:val="68832E6D"/>
    <w:rsid w:val="68BC0BE4"/>
    <w:rsid w:val="68FE36DD"/>
    <w:rsid w:val="68FE5C6A"/>
    <w:rsid w:val="694E60FC"/>
    <w:rsid w:val="69EF4042"/>
    <w:rsid w:val="6A4F21CE"/>
    <w:rsid w:val="6AFE1680"/>
    <w:rsid w:val="6C410A63"/>
    <w:rsid w:val="6C4C227F"/>
    <w:rsid w:val="6C675CE6"/>
    <w:rsid w:val="6CEF35AF"/>
    <w:rsid w:val="6D25144D"/>
    <w:rsid w:val="6D4F4321"/>
    <w:rsid w:val="6D6F26C8"/>
    <w:rsid w:val="6DFF7360"/>
    <w:rsid w:val="6E7A5F73"/>
    <w:rsid w:val="6E7D2BC3"/>
    <w:rsid w:val="6F2E3798"/>
    <w:rsid w:val="6FBB27F8"/>
    <w:rsid w:val="6FD74228"/>
    <w:rsid w:val="702478F2"/>
    <w:rsid w:val="70FE5EDF"/>
    <w:rsid w:val="71633091"/>
    <w:rsid w:val="720C6738"/>
    <w:rsid w:val="728311AA"/>
    <w:rsid w:val="73081CA5"/>
    <w:rsid w:val="731A2D6E"/>
    <w:rsid w:val="73E7C00C"/>
    <w:rsid w:val="74545B7C"/>
    <w:rsid w:val="7487762D"/>
    <w:rsid w:val="751A7ACF"/>
    <w:rsid w:val="75385498"/>
    <w:rsid w:val="757DE146"/>
    <w:rsid w:val="769962BD"/>
    <w:rsid w:val="76A01A54"/>
    <w:rsid w:val="76BC207F"/>
    <w:rsid w:val="76E94B77"/>
    <w:rsid w:val="76EB4904"/>
    <w:rsid w:val="777378F5"/>
    <w:rsid w:val="777A2D3C"/>
    <w:rsid w:val="78537BEA"/>
    <w:rsid w:val="78DC3F71"/>
    <w:rsid w:val="78DE6954"/>
    <w:rsid w:val="79074B81"/>
    <w:rsid w:val="794F0939"/>
    <w:rsid w:val="796F9C0F"/>
    <w:rsid w:val="79AF0FCA"/>
    <w:rsid w:val="79EF2560"/>
    <w:rsid w:val="7AF9279C"/>
    <w:rsid w:val="7C1C34E2"/>
    <w:rsid w:val="7CC51958"/>
    <w:rsid w:val="7CC77E2B"/>
    <w:rsid w:val="7CEC40B6"/>
    <w:rsid w:val="7D0326CB"/>
    <w:rsid w:val="7D9F869E"/>
    <w:rsid w:val="7E2936C3"/>
    <w:rsid w:val="7E2E365C"/>
    <w:rsid w:val="7E3A462D"/>
    <w:rsid w:val="7E6411B9"/>
    <w:rsid w:val="7E7A2C7B"/>
    <w:rsid w:val="7EB79001"/>
    <w:rsid w:val="7F7D58EC"/>
    <w:rsid w:val="7FB50C5A"/>
    <w:rsid w:val="7FFE6351"/>
    <w:rsid w:val="7FFE6763"/>
    <w:rsid w:val="97BB54A3"/>
    <w:rsid w:val="9ADFABB6"/>
    <w:rsid w:val="9D4B5CFF"/>
    <w:rsid w:val="AFFFB040"/>
    <w:rsid w:val="BA7B23C6"/>
    <w:rsid w:val="CF79E5D3"/>
    <w:rsid w:val="D7FBEA8B"/>
    <w:rsid w:val="DFDF3853"/>
    <w:rsid w:val="E9F71EFB"/>
    <w:rsid w:val="F6F7AA4E"/>
    <w:rsid w:val="FAFBD339"/>
    <w:rsid w:val="FD83880B"/>
    <w:rsid w:val="FD9BBAE6"/>
    <w:rsid w:val="FE734873"/>
    <w:rsid w:val="FFC60645"/>
    <w:rsid w:val="FFF9B4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iPriority="39" w:semiHidden="0" w:name="toc 7"/>
    <w:lsdException w:qFormat="1" w:unhideWhenUsed="0" w:uiPriority="39" w:semiHidden="0"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7">
    <w:name w:val="heading 1"/>
    <w:basedOn w:val="1"/>
    <w:next w:val="1"/>
    <w:link w:val="61"/>
    <w:qFormat/>
    <w:uiPriority w:val="9"/>
    <w:pPr>
      <w:keepNext/>
      <w:keepLines/>
      <w:spacing w:before="340" w:after="330" w:line="578" w:lineRule="auto"/>
      <w:outlineLvl w:val="0"/>
    </w:pPr>
    <w:rPr>
      <w:b/>
      <w:bCs/>
      <w:kern w:val="44"/>
      <w:sz w:val="44"/>
      <w:szCs w:val="44"/>
    </w:rPr>
  </w:style>
  <w:style w:type="paragraph" w:styleId="8">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9">
    <w:name w:val="heading 3"/>
    <w:basedOn w:val="1"/>
    <w:next w:val="1"/>
    <w:link w:val="63"/>
    <w:semiHidden/>
    <w:unhideWhenUsed/>
    <w:qFormat/>
    <w:uiPriority w:val="9"/>
    <w:pPr>
      <w:keepNext/>
      <w:keepLines/>
      <w:spacing w:before="260" w:after="260" w:line="416" w:lineRule="auto"/>
      <w:outlineLvl w:val="2"/>
    </w:pPr>
    <w:rPr>
      <w:b/>
      <w:bCs/>
      <w:sz w:val="32"/>
      <w:szCs w:val="32"/>
    </w:rPr>
  </w:style>
  <w:style w:type="paragraph" w:styleId="10">
    <w:name w:val="heading 4"/>
    <w:basedOn w:val="1"/>
    <w:next w:val="1"/>
    <w:link w:val="68"/>
    <w:qFormat/>
    <w:uiPriority w:val="0"/>
    <w:pPr>
      <w:keepNext/>
      <w:keepLines/>
      <w:spacing w:before="280" w:after="290" w:line="376" w:lineRule="auto"/>
      <w:outlineLvl w:val="3"/>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3"/>
    <w:next w:val="5"/>
    <w:qFormat/>
    <w:uiPriority w:val="0"/>
    <w:pPr>
      <w:adjustRightInd w:val="0"/>
      <w:spacing w:line="420" w:lineRule="atLeast"/>
      <w:jc w:val="left"/>
      <w:textAlignment w:val="baseline"/>
    </w:pPr>
    <w:rPr>
      <w:kern w:val="0"/>
      <w:szCs w:val="20"/>
    </w:rPr>
  </w:style>
  <w:style w:type="paragraph" w:styleId="3">
    <w:name w:val="Body Text Indent"/>
    <w:basedOn w:val="1"/>
    <w:next w:val="4"/>
    <w:qFormat/>
    <w:uiPriority w:val="0"/>
    <w:pPr>
      <w:spacing w:after="120"/>
      <w:ind w:left="200" w:leftChars="200"/>
    </w:pPr>
  </w:style>
  <w:style w:type="paragraph" w:styleId="4">
    <w:name w:val="envelope return"/>
    <w:basedOn w:val="1"/>
    <w:qFormat/>
    <w:uiPriority w:val="0"/>
    <w:pPr>
      <w:snapToGrid w:val="0"/>
    </w:pPr>
    <w:rPr>
      <w:rFonts w:ascii="Arial" w:hAnsi="Arial"/>
    </w:rPr>
  </w:style>
  <w:style w:type="paragraph" w:styleId="5">
    <w:name w:val="Body Text"/>
    <w:basedOn w:val="1"/>
    <w:next w:val="6"/>
    <w:qFormat/>
    <w:uiPriority w:val="0"/>
    <w:pPr>
      <w:spacing w:after="120"/>
    </w:pPr>
    <w:rPr>
      <w:rFonts w:ascii="@微软简标宋" w:hAnsi="@微软简标宋" w:eastAsia="@微软简标宋" w:cs="@微软简标宋"/>
      <w:szCs w:val="24"/>
      <w:lang w:val="zh-CN"/>
    </w:rPr>
  </w:style>
  <w:style w:type="paragraph" w:styleId="6">
    <w:name w:val="toc 8"/>
    <w:basedOn w:val="1"/>
    <w:next w:val="1"/>
    <w:qFormat/>
    <w:uiPriority w:val="39"/>
    <w:pPr>
      <w:ind w:left="1470"/>
      <w:jc w:val="left"/>
    </w:pPr>
    <w:rPr>
      <w:rFonts w:ascii="Calibri" w:hAnsi="Calibri"/>
      <w:sz w:val="18"/>
      <w:szCs w:val="18"/>
    </w:rPr>
  </w:style>
  <w:style w:type="paragraph" w:styleId="11">
    <w:name w:val="toc 7"/>
    <w:basedOn w:val="1"/>
    <w:next w:val="1"/>
    <w:unhideWhenUsed/>
    <w:qFormat/>
    <w:uiPriority w:val="39"/>
    <w:pPr>
      <w:ind w:left="1260"/>
      <w:jc w:val="left"/>
    </w:pPr>
    <w:rPr>
      <w:rFonts w:ascii="Calibri" w:hAnsi="Calibri" w:cs="Calibri"/>
      <w:sz w:val="18"/>
      <w:szCs w:val="18"/>
    </w:rPr>
  </w:style>
  <w:style w:type="paragraph" w:styleId="12">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13">
    <w:name w:val="annotation text"/>
    <w:basedOn w:val="1"/>
    <w:link w:val="60"/>
    <w:qFormat/>
    <w:uiPriority w:val="0"/>
    <w:pPr>
      <w:jc w:val="left"/>
    </w:pPr>
    <w:rPr>
      <w:rFonts w:ascii="Arial" w:hAnsi="Arial" w:eastAsia="黑体" w:cs="Arial"/>
    </w:rPr>
  </w:style>
  <w:style w:type="paragraph" w:styleId="14">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5">
    <w:name w:val="Plain Text"/>
    <w:basedOn w:val="1"/>
    <w:link w:val="50"/>
    <w:qFormat/>
    <w:uiPriority w:val="99"/>
    <w:rPr>
      <w:rFonts w:ascii="宋体" w:hAnsi="Courier New" w:eastAsiaTheme="minorEastAsia" w:cstheme="minorBidi"/>
      <w:szCs w:val="22"/>
    </w:rPr>
  </w:style>
  <w:style w:type="paragraph" w:styleId="16">
    <w:name w:val="Date"/>
    <w:basedOn w:val="1"/>
    <w:next w:val="1"/>
    <w:link w:val="57"/>
    <w:qFormat/>
    <w:uiPriority w:val="0"/>
    <w:rPr>
      <w:rFonts w:ascii="Arial" w:hAnsi="Arial" w:eastAsia="宋体" w:cs="Arial"/>
      <w:b/>
      <w:sz w:val="28"/>
    </w:rPr>
  </w:style>
  <w:style w:type="paragraph" w:styleId="17">
    <w:name w:val="Balloon Text"/>
    <w:basedOn w:val="1"/>
    <w:link w:val="44"/>
    <w:semiHidden/>
    <w:unhideWhenUsed/>
    <w:qFormat/>
    <w:uiPriority w:val="99"/>
    <w:rPr>
      <w:sz w:val="18"/>
      <w:szCs w:val="18"/>
    </w:rPr>
  </w:style>
  <w:style w:type="paragraph" w:styleId="18">
    <w:name w:val="footer"/>
    <w:basedOn w:val="1"/>
    <w:link w:val="49"/>
    <w:unhideWhenUsed/>
    <w:qFormat/>
    <w:uiPriority w:val="99"/>
    <w:pPr>
      <w:tabs>
        <w:tab w:val="center" w:pos="4153"/>
        <w:tab w:val="right" w:pos="8306"/>
      </w:tabs>
      <w:snapToGrid w:val="0"/>
      <w:jc w:val="left"/>
    </w:pPr>
    <w:rPr>
      <w:sz w:val="18"/>
      <w:szCs w:val="18"/>
    </w:rPr>
  </w:style>
  <w:style w:type="paragraph" w:styleId="19">
    <w:name w:val="header"/>
    <w:basedOn w:val="1"/>
    <w:link w:val="48"/>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1">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2">
    <w:name w:val="Body Text 2"/>
    <w:basedOn w:val="1"/>
    <w:unhideWhenUsed/>
    <w:qFormat/>
    <w:uiPriority w:val="99"/>
    <w:pPr>
      <w:spacing w:after="120" w:line="480" w:lineRule="auto"/>
    </w:pPr>
  </w:style>
  <w:style w:type="paragraph" w:styleId="23">
    <w:name w:val="Normal (Web)"/>
    <w:basedOn w:val="1"/>
    <w:qFormat/>
    <w:uiPriority w:val="0"/>
    <w:pPr>
      <w:spacing w:before="100" w:beforeAutospacing="1" w:after="100" w:afterAutospacing="1"/>
      <w:jc w:val="left"/>
    </w:pPr>
    <w:rPr>
      <w:rFonts w:cs="Times New Roman"/>
      <w:kern w:val="0"/>
      <w:sz w:val="24"/>
    </w:rPr>
  </w:style>
  <w:style w:type="paragraph" w:styleId="24">
    <w:name w:val="index 1"/>
    <w:basedOn w:val="1"/>
    <w:next w:val="1"/>
    <w:qFormat/>
    <w:uiPriority w:val="0"/>
    <w:pPr>
      <w:jc w:val="center"/>
    </w:pPr>
    <w:rPr>
      <w:rFonts w:ascii="Arial" w:hAnsi="Arial" w:eastAsia="Arial" w:cs="Arial"/>
      <w:b/>
      <w:bCs/>
      <w:sz w:val="28"/>
    </w:rPr>
  </w:style>
  <w:style w:type="paragraph" w:styleId="25">
    <w:name w:val="annotation subject"/>
    <w:basedOn w:val="13"/>
    <w:next w:val="13"/>
    <w:link w:val="71"/>
    <w:semiHidden/>
    <w:unhideWhenUsed/>
    <w:qFormat/>
    <w:uiPriority w:val="99"/>
    <w:rPr>
      <w:rFonts w:ascii="@仿宋_GB2312" w:hAnsi="@仿宋_GB2312" w:eastAsia="@仿宋_GB2312" w:cs="@仿宋_GB2312"/>
      <w:b/>
      <w:bCs/>
    </w:rPr>
  </w:style>
  <w:style w:type="paragraph" w:styleId="26">
    <w:name w:val="Body Text First Indent"/>
    <w:basedOn w:val="5"/>
    <w:unhideWhenUsed/>
    <w:qFormat/>
    <w:uiPriority w:val="99"/>
    <w:pPr>
      <w:ind w:firstLine="420" w:firstLineChars="100"/>
    </w:pPr>
  </w:style>
  <w:style w:type="paragraph" w:styleId="27">
    <w:name w:val="Body Text First Indent 2"/>
    <w:basedOn w:val="3"/>
    <w:qFormat/>
    <w:uiPriority w:val="0"/>
    <w:pPr>
      <w:ind w:left="420" w:firstLine="420" w:firstLineChars="200"/>
    </w:pPr>
  </w:style>
  <w:style w:type="table" w:styleId="29">
    <w:name w:val="Table Grid"/>
    <w:basedOn w:val="28"/>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0"/>
    <w:rPr>
      <w:b/>
      <w:bCs/>
    </w:rPr>
  </w:style>
  <w:style w:type="character" w:styleId="32">
    <w:name w:val="FollowedHyperlink"/>
    <w:basedOn w:val="30"/>
    <w:semiHidden/>
    <w:unhideWhenUsed/>
    <w:qFormat/>
    <w:uiPriority w:val="99"/>
    <w:rPr>
      <w:color w:val="5C5C5C"/>
      <w:u w:val="none"/>
    </w:rPr>
  </w:style>
  <w:style w:type="character" w:styleId="33">
    <w:name w:val="Emphasis"/>
    <w:basedOn w:val="30"/>
    <w:qFormat/>
    <w:uiPriority w:val="20"/>
    <w:rPr>
      <w:b/>
      <w:bCs/>
    </w:rPr>
  </w:style>
  <w:style w:type="character" w:styleId="34">
    <w:name w:val="HTML Definition"/>
    <w:basedOn w:val="30"/>
    <w:semiHidden/>
    <w:unhideWhenUsed/>
    <w:qFormat/>
    <w:uiPriority w:val="99"/>
  </w:style>
  <w:style w:type="character" w:styleId="35">
    <w:name w:val="HTML Typewriter"/>
    <w:basedOn w:val="30"/>
    <w:semiHidden/>
    <w:unhideWhenUsed/>
    <w:qFormat/>
    <w:uiPriority w:val="99"/>
    <w:rPr>
      <w:rFonts w:hint="default" w:ascii="monospace" w:hAnsi="monospace" w:eastAsia="monospace" w:cs="monospace"/>
      <w:sz w:val="20"/>
    </w:rPr>
  </w:style>
  <w:style w:type="character" w:styleId="36">
    <w:name w:val="HTML Acronym"/>
    <w:basedOn w:val="30"/>
    <w:semiHidden/>
    <w:unhideWhenUsed/>
    <w:qFormat/>
    <w:uiPriority w:val="99"/>
    <w:rPr>
      <w:rFonts w:ascii="ActionIcon ! important" w:hAnsi="ActionIcon ! important" w:eastAsia="ActionIcon ! important" w:cs="ActionIcon ! important"/>
      <w:vanish/>
    </w:rPr>
  </w:style>
  <w:style w:type="character" w:styleId="37">
    <w:name w:val="HTML Variable"/>
    <w:basedOn w:val="30"/>
    <w:semiHidden/>
    <w:unhideWhenUsed/>
    <w:qFormat/>
    <w:uiPriority w:val="99"/>
  </w:style>
  <w:style w:type="character" w:styleId="38">
    <w:name w:val="Hyperlink"/>
    <w:basedOn w:val="30"/>
    <w:unhideWhenUsed/>
    <w:qFormat/>
    <w:uiPriority w:val="99"/>
    <w:rPr>
      <w:color w:val="0000FF" w:themeColor="hyperlink"/>
      <w:u w:val="single"/>
    </w:rPr>
  </w:style>
  <w:style w:type="character" w:styleId="39">
    <w:name w:val="HTML Code"/>
    <w:basedOn w:val="30"/>
    <w:semiHidden/>
    <w:unhideWhenUsed/>
    <w:qFormat/>
    <w:uiPriority w:val="99"/>
    <w:rPr>
      <w:rFonts w:ascii="monospace" w:hAnsi="monospace" w:eastAsia="monospace" w:cs="monospace"/>
      <w:sz w:val="20"/>
    </w:rPr>
  </w:style>
  <w:style w:type="character" w:styleId="40">
    <w:name w:val="annotation reference"/>
    <w:basedOn w:val="30"/>
    <w:semiHidden/>
    <w:unhideWhenUsed/>
    <w:qFormat/>
    <w:uiPriority w:val="99"/>
    <w:rPr>
      <w:sz w:val="21"/>
      <w:szCs w:val="21"/>
    </w:rPr>
  </w:style>
  <w:style w:type="character" w:styleId="41">
    <w:name w:val="HTML Cite"/>
    <w:basedOn w:val="30"/>
    <w:semiHidden/>
    <w:unhideWhenUsed/>
    <w:qFormat/>
    <w:uiPriority w:val="99"/>
  </w:style>
  <w:style w:type="character" w:styleId="42">
    <w:name w:val="HTML Keyboard"/>
    <w:basedOn w:val="30"/>
    <w:semiHidden/>
    <w:unhideWhenUsed/>
    <w:qFormat/>
    <w:uiPriority w:val="99"/>
    <w:rPr>
      <w:rFonts w:hint="default" w:ascii="monospace" w:hAnsi="monospace" w:eastAsia="monospace" w:cs="monospace"/>
      <w:sz w:val="20"/>
    </w:rPr>
  </w:style>
  <w:style w:type="character" w:styleId="43">
    <w:name w:val="HTML Sample"/>
    <w:basedOn w:val="30"/>
    <w:semiHidden/>
    <w:unhideWhenUsed/>
    <w:qFormat/>
    <w:uiPriority w:val="99"/>
    <w:rPr>
      <w:rFonts w:hint="default" w:ascii="monospace" w:hAnsi="monospace" w:eastAsia="monospace" w:cs="monospace"/>
    </w:rPr>
  </w:style>
  <w:style w:type="character" w:customStyle="1" w:styleId="44">
    <w:name w:val="批注框文本 Char"/>
    <w:basedOn w:val="30"/>
    <w:link w:val="17"/>
    <w:semiHidden/>
    <w:qFormat/>
    <w:uiPriority w:val="99"/>
    <w:rPr>
      <w:rFonts w:ascii="@仿宋_GB2312" w:hAnsi="@仿宋_GB2312" w:eastAsia="@仿宋_GB2312" w:cs="@仿宋_GB2312"/>
      <w:sz w:val="18"/>
      <w:szCs w:val="18"/>
    </w:rPr>
  </w:style>
  <w:style w:type="paragraph" w:customStyle="1" w:styleId="45">
    <w:name w:val="正文（缩进）"/>
    <w:basedOn w:val="1"/>
    <w:qFormat/>
    <w:uiPriority w:val="0"/>
    <w:pPr>
      <w:widowControl/>
      <w:spacing w:before="156" w:after="156"/>
      <w:ind w:firstLine="480" w:firstLineChars="200"/>
      <w:jc w:val="left"/>
    </w:pPr>
    <w:rPr>
      <w:kern w:val="0"/>
      <w:sz w:val="24"/>
      <w:szCs w:val="24"/>
    </w:rPr>
  </w:style>
  <w:style w:type="paragraph" w:customStyle="1" w:styleId="46">
    <w:name w:val="xl31"/>
    <w:basedOn w:val="1"/>
    <w:qFormat/>
    <w:uiPriority w:val="0"/>
    <w:pPr>
      <w:widowControl/>
      <w:spacing w:before="100" w:beforeAutospacing="1" w:after="100" w:afterAutospacing="1"/>
      <w:jc w:val="center"/>
    </w:pPr>
    <w:rPr>
      <w:b/>
      <w:bCs/>
      <w:kern w:val="0"/>
      <w:sz w:val="28"/>
      <w:szCs w:val="28"/>
    </w:rPr>
  </w:style>
  <w:style w:type="paragraph" w:customStyle="1" w:styleId="47">
    <w:name w:val="D&amp;L"/>
    <w:basedOn w:val="19"/>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8">
    <w:name w:val="页眉 Char"/>
    <w:basedOn w:val="30"/>
    <w:link w:val="19"/>
    <w:qFormat/>
    <w:uiPriority w:val="99"/>
    <w:rPr>
      <w:rFonts w:ascii="@仿宋_GB2312" w:hAnsi="@仿宋_GB2312" w:eastAsia="@仿宋_GB2312" w:cs="@仿宋_GB2312"/>
      <w:sz w:val="18"/>
      <w:szCs w:val="18"/>
    </w:rPr>
  </w:style>
  <w:style w:type="character" w:customStyle="1" w:styleId="49">
    <w:name w:val="页脚 Char"/>
    <w:basedOn w:val="30"/>
    <w:link w:val="18"/>
    <w:qFormat/>
    <w:uiPriority w:val="99"/>
    <w:rPr>
      <w:rFonts w:ascii="@仿宋_GB2312" w:hAnsi="@仿宋_GB2312" w:eastAsia="@仿宋_GB2312" w:cs="@仿宋_GB2312"/>
      <w:sz w:val="18"/>
      <w:szCs w:val="18"/>
    </w:rPr>
  </w:style>
  <w:style w:type="character" w:customStyle="1" w:styleId="50">
    <w:name w:val="纯文本 Char"/>
    <w:link w:val="15"/>
    <w:qFormat/>
    <w:uiPriority w:val="0"/>
    <w:rPr>
      <w:rFonts w:ascii="宋体" w:hAnsi="Courier New"/>
    </w:rPr>
  </w:style>
  <w:style w:type="character" w:customStyle="1" w:styleId="51">
    <w:name w:val="纯文本 字符1"/>
    <w:basedOn w:val="30"/>
    <w:semiHidden/>
    <w:qFormat/>
    <w:uiPriority w:val="99"/>
    <w:rPr>
      <w:rFonts w:hAnsi="Courier New" w:cs="Courier New" w:asciiTheme="minorEastAsia"/>
      <w:szCs w:val="20"/>
    </w:rPr>
  </w:style>
  <w:style w:type="character" w:customStyle="1" w:styleId="52">
    <w:name w:val="未处理的提及1"/>
    <w:basedOn w:val="30"/>
    <w:semiHidden/>
    <w:unhideWhenUsed/>
    <w:qFormat/>
    <w:uiPriority w:val="99"/>
    <w:rPr>
      <w:color w:val="605E5C"/>
      <w:shd w:val="clear" w:color="auto" w:fill="E1DFDD"/>
    </w:rPr>
  </w:style>
  <w:style w:type="paragraph" w:styleId="53">
    <w:name w:val="List Paragraph"/>
    <w:basedOn w:val="1"/>
    <w:qFormat/>
    <w:uiPriority w:val="34"/>
    <w:pPr>
      <w:ind w:firstLine="420" w:firstLineChars="200"/>
    </w:pPr>
  </w:style>
  <w:style w:type="paragraph" w:customStyle="1" w:styleId="54">
    <w:name w:val="Char Char Char Char Char Char Char1 Char"/>
    <w:basedOn w:val="1"/>
    <w:qFormat/>
    <w:uiPriority w:val="0"/>
    <w:rPr>
      <w:rFonts w:ascii="Arial" w:hAnsi="Arial" w:eastAsia="宋体" w:cs="Arial"/>
      <w:sz w:val="24"/>
    </w:rPr>
  </w:style>
  <w:style w:type="table" w:customStyle="1" w:styleId="55">
    <w:name w:val="网格表 1 浅色1"/>
    <w:basedOn w:val="28"/>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6">
    <w:name w:val="日期 字符"/>
    <w:basedOn w:val="30"/>
    <w:semiHidden/>
    <w:qFormat/>
    <w:uiPriority w:val="99"/>
    <w:rPr>
      <w:rFonts w:ascii="@仿宋_GB2312" w:hAnsi="@仿宋_GB2312" w:eastAsia="@仿宋_GB2312" w:cs="@仿宋_GB2312"/>
      <w:szCs w:val="20"/>
    </w:rPr>
  </w:style>
  <w:style w:type="character" w:customStyle="1" w:styleId="57">
    <w:name w:val="日期 Char"/>
    <w:link w:val="16"/>
    <w:qFormat/>
    <w:uiPriority w:val="0"/>
    <w:rPr>
      <w:rFonts w:ascii="Arial" w:hAnsi="Arial" w:eastAsia="宋体" w:cs="Arial"/>
      <w:b/>
      <w:sz w:val="28"/>
      <w:szCs w:val="20"/>
    </w:rPr>
  </w:style>
  <w:style w:type="character" w:customStyle="1" w:styleId="58">
    <w:name w:val="纯文本 Char1"/>
    <w:qFormat/>
    <w:locked/>
    <w:uiPriority w:val="99"/>
    <w:rPr>
      <w:rFonts w:ascii="Arial" w:hAnsi="Arial" w:eastAsia="Arial"/>
      <w:kern w:val="2"/>
      <w:sz w:val="21"/>
      <w:lang w:val="en-US" w:eastAsia="zh-CN" w:bidi="ar-SA"/>
    </w:rPr>
  </w:style>
  <w:style w:type="character" w:customStyle="1" w:styleId="59">
    <w:name w:val="批注文字 Char"/>
    <w:basedOn w:val="30"/>
    <w:semiHidden/>
    <w:qFormat/>
    <w:uiPriority w:val="99"/>
    <w:rPr>
      <w:rFonts w:ascii="@仿宋_GB2312" w:hAnsi="@仿宋_GB2312" w:eastAsia="@仿宋_GB2312" w:cs="@仿宋_GB2312"/>
      <w:szCs w:val="20"/>
    </w:rPr>
  </w:style>
  <w:style w:type="character" w:customStyle="1" w:styleId="60">
    <w:name w:val="批注文字 Char1"/>
    <w:link w:val="13"/>
    <w:qFormat/>
    <w:uiPriority w:val="0"/>
    <w:rPr>
      <w:rFonts w:ascii="Arial" w:hAnsi="Arial" w:eastAsia="黑体" w:cs="Arial"/>
      <w:szCs w:val="20"/>
    </w:rPr>
  </w:style>
  <w:style w:type="character" w:customStyle="1" w:styleId="61">
    <w:name w:val="标题 1 Char"/>
    <w:basedOn w:val="30"/>
    <w:link w:val="7"/>
    <w:qFormat/>
    <w:uiPriority w:val="9"/>
    <w:rPr>
      <w:rFonts w:ascii="@仿宋_GB2312" w:hAnsi="@仿宋_GB2312" w:eastAsia="@仿宋_GB2312" w:cs="@仿宋_GB2312"/>
      <w:b/>
      <w:bCs/>
      <w:kern w:val="44"/>
      <w:sz w:val="44"/>
      <w:szCs w:val="44"/>
    </w:rPr>
  </w:style>
  <w:style w:type="paragraph" w:customStyle="1" w:styleId="62">
    <w:name w:val="TOC 标题1"/>
    <w:basedOn w:val="7"/>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63">
    <w:name w:val="标题 3 Char"/>
    <w:basedOn w:val="30"/>
    <w:link w:val="9"/>
    <w:semiHidden/>
    <w:qFormat/>
    <w:uiPriority w:val="9"/>
    <w:rPr>
      <w:rFonts w:ascii="@仿宋_GB2312" w:hAnsi="@仿宋_GB2312" w:eastAsia="@仿宋_GB2312" w:cs="@仿宋_GB2312"/>
      <w:b/>
      <w:bCs/>
      <w:sz w:val="32"/>
      <w:szCs w:val="32"/>
    </w:rPr>
  </w:style>
  <w:style w:type="character" w:customStyle="1" w:styleId="64">
    <w:name w:val="fontstyle01"/>
    <w:basedOn w:val="30"/>
    <w:qFormat/>
    <w:uiPriority w:val="0"/>
    <w:rPr>
      <w:rFonts w:hint="eastAsia" w:ascii="宋体" w:hAnsi="宋体" w:eastAsia="宋体"/>
      <w:color w:val="000000"/>
      <w:sz w:val="22"/>
      <w:szCs w:val="22"/>
    </w:rPr>
  </w:style>
  <w:style w:type="character" w:customStyle="1" w:styleId="65">
    <w:name w:val="fontstyle21"/>
    <w:basedOn w:val="30"/>
    <w:qFormat/>
    <w:uiPriority w:val="0"/>
    <w:rPr>
      <w:rFonts w:hint="default" w:ascii="TimesNewRomanPSMT" w:hAnsi="TimesNewRomanPSMT"/>
      <w:color w:val="000000"/>
      <w:sz w:val="22"/>
      <w:szCs w:val="22"/>
    </w:rPr>
  </w:style>
  <w:style w:type="character" w:customStyle="1" w:styleId="66">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67">
    <w:name w:val="标题 4 字符"/>
    <w:basedOn w:val="30"/>
    <w:semiHidden/>
    <w:qFormat/>
    <w:uiPriority w:val="9"/>
    <w:rPr>
      <w:rFonts w:asciiTheme="majorHAnsi" w:hAnsiTheme="majorHAnsi" w:eastAsiaTheme="majorEastAsia" w:cstheme="majorBidi"/>
      <w:b/>
      <w:bCs/>
      <w:sz w:val="28"/>
      <w:szCs w:val="28"/>
    </w:rPr>
  </w:style>
  <w:style w:type="character" w:customStyle="1" w:styleId="68">
    <w:name w:val="标题 4 Char1"/>
    <w:link w:val="10"/>
    <w:qFormat/>
    <w:uiPriority w:val="0"/>
    <w:rPr>
      <w:rFonts w:ascii="@仿宋_GB2312" w:hAnsi="@仿宋_GB2312" w:eastAsia="@仿宋_GB2312" w:cs="@仿宋_GB2312"/>
      <w:b/>
      <w:bCs/>
      <w:sz w:val="28"/>
      <w:szCs w:val="28"/>
    </w:rPr>
  </w:style>
  <w:style w:type="character" w:customStyle="1" w:styleId="69">
    <w:name w:val="标题 4 Char"/>
    <w:qFormat/>
    <w:uiPriority w:val="0"/>
    <w:rPr>
      <w:rFonts w:ascii="Arial" w:hAnsi="Arial" w:eastAsia="Arial"/>
      <w:b/>
      <w:bCs/>
      <w:kern w:val="2"/>
      <w:sz w:val="28"/>
      <w:szCs w:val="28"/>
      <w:lang w:val="en-US" w:eastAsia="zh-CN" w:bidi="ar-SA"/>
    </w:rPr>
  </w:style>
  <w:style w:type="table" w:customStyle="1" w:styleId="70">
    <w:name w:val="网格型1"/>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1">
    <w:name w:val="批注主题 Char"/>
    <w:basedOn w:val="60"/>
    <w:link w:val="25"/>
    <w:semiHidden/>
    <w:qFormat/>
    <w:uiPriority w:val="99"/>
    <w:rPr>
      <w:rFonts w:ascii="@仿宋_GB2312" w:hAnsi="@仿宋_GB2312" w:eastAsia="@仿宋_GB2312" w:cs="@仿宋_GB2312"/>
      <w:b/>
      <w:bCs/>
      <w:szCs w:val="20"/>
    </w:rPr>
  </w:style>
  <w:style w:type="table" w:customStyle="1" w:styleId="72">
    <w:name w:val="Table Normal"/>
    <w:semiHidden/>
    <w:unhideWhenUsed/>
    <w:qFormat/>
    <w:uiPriority w:val="0"/>
    <w:tblPr>
      <w:tblCellMar>
        <w:top w:w="0" w:type="dxa"/>
        <w:left w:w="0" w:type="dxa"/>
        <w:bottom w:w="0" w:type="dxa"/>
        <w:right w:w="0" w:type="dxa"/>
      </w:tblCellMar>
    </w:tblPr>
  </w:style>
  <w:style w:type="paragraph" w:customStyle="1" w:styleId="73">
    <w:name w:val="Table Text"/>
    <w:basedOn w:val="1"/>
    <w:semiHidden/>
    <w:qFormat/>
    <w:uiPriority w:val="0"/>
    <w:rPr>
      <w:rFonts w:ascii="Arial" w:hAnsi="Arial" w:eastAsia="Arial" w:cs="Arial"/>
      <w:szCs w:val="21"/>
      <w:lang w:eastAsia="en-US"/>
    </w:rPr>
  </w:style>
  <w:style w:type="paragraph" w:customStyle="1" w:styleId="74">
    <w:name w:val="xl25"/>
    <w:basedOn w:val="1"/>
    <w:qFormat/>
    <w:uiPriority w:val="0"/>
    <w:pPr>
      <w:widowControl/>
      <w:spacing w:before="100" w:beforeAutospacing="1" w:after="100" w:afterAutospacing="1"/>
      <w:jc w:val="right"/>
    </w:pPr>
    <w:rPr>
      <w:rFonts w:ascii="Arial Unicode MS" w:hAnsi="Arial Unicode MS" w:eastAsia="宋体" w:cs="Arial Unicode MS"/>
      <w:color w:val="000000"/>
      <w:kern w:val="0"/>
      <w:sz w:val="18"/>
      <w:szCs w:val="18"/>
    </w:rPr>
  </w:style>
  <w:style w:type="paragraph" w:customStyle="1" w:styleId="75">
    <w:name w:val="_Style 13"/>
    <w:basedOn w:val="1"/>
    <w:qFormat/>
    <w:uiPriority w:val="0"/>
    <w:pPr>
      <w:widowControl/>
      <w:spacing w:before="120" w:after="120" w:line="288" w:lineRule="auto"/>
    </w:pPr>
    <w:rPr>
      <w:rFonts w:ascii="Arial" w:hAnsi="Arial" w:eastAsia="等线" w:cs="Arial"/>
      <w:kern w:val="0"/>
      <w:sz w:val="22"/>
      <w:szCs w:val="22"/>
    </w:rPr>
  </w:style>
  <w:style w:type="character" w:customStyle="1" w:styleId="76">
    <w:name w:val="hover"/>
    <w:basedOn w:val="30"/>
    <w:qFormat/>
    <w:uiPriority w:val="0"/>
    <w:rPr>
      <w:color w:val="2590EB"/>
      <w:shd w:val="clear" w:fill="E9F4FD"/>
    </w:rPr>
  </w:style>
  <w:style w:type="character" w:customStyle="1" w:styleId="77">
    <w:name w:val="hover1"/>
    <w:basedOn w:val="30"/>
    <w:qFormat/>
    <w:uiPriority w:val="0"/>
    <w:rPr>
      <w:color w:val="2590EB"/>
    </w:rPr>
  </w:style>
  <w:style w:type="character" w:customStyle="1" w:styleId="78">
    <w:name w:val="hover2"/>
    <w:basedOn w:val="30"/>
    <w:qFormat/>
    <w:uiPriority w:val="0"/>
    <w:rPr>
      <w:color w:val="2590EB"/>
    </w:rPr>
  </w:style>
  <w:style w:type="character" w:customStyle="1" w:styleId="79">
    <w:name w:val="hover3"/>
    <w:basedOn w:val="30"/>
    <w:qFormat/>
    <w:uiPriority w:val="0"/>
  </w:style>
  <w:style w:type="character" w:customStyle="1" w:styleId="80">
    <w:name w:val="hover4"/>
    <w:basedOn w:val="30"/>
    <w:qFormat/>
    <w:uiPriority w:val="0"/>
    <w:rPr>
      <w:color w:val="2590EB"/>
      <w:shd w:val="clear" w:fill="E9F4FD"/>
    </w:rPr>
  </w:style>
  <w:style w:type="paragraph" w:customStyle="1" w:styleId="81">
    <w:name w:val="_Style 3"/>
    <w:next w:val="26"/>
    <w:qFormat/>
    <w:uiPriority w:val="99"/>
    <w:pPr>
      <w:ind w:firstLine="420"/>
      <w:jc w:val="both"/>
    </w:pPr>
    <w:rPr>
      <w:rFonts w:ascii="Times New Roman" w:hAnsi="Times New Roman" w:eastAsia="宋体" w:cs="Times New Roman"/>
      <w:sz w:val="21"/>
      <w:szCs w:val="21"/>
      <w:lang w:val="en-US" w:eastAsia="zh-CN" w:bidi="ar-SA"/>
    </w:rPr>
  </w:style>
  <w:style w:type="character" w:customStyle="1" w:styleId="82">
    <w:name w:val="mini-outputtext1"/>
    <w:basedOn w:val="30"/>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83</Pages>
  <Words>2258</Words>
  <Characters>2559</Characters>
  <Lines>336</Lines>
  <Paragraphs>94</Paragraphs>
  <TotalTime>11</TotalTime>
  <ScaleCrop>false</ScaleCrop>
  <LinksUpToDate>false</LinksUpToDate>
  <CharactersWithSpaces>2609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2025-12-30T21:51:00Z</dcterms:created>
  <dc:creator>Anakin</dc:creator>
  <cp:lastModifiedBy>朱启</cp:lastModifiedBy>
  <cp:lastPrinted>2025-11-13T19:27:00Z</cp:lastPrinted>
  <dcterms:modified xsi:type="dcterms:W3CDTF">2026-03-24T01:02:11Z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1ECEA165F94845FFAF35C1C96E4FB9B0_12</vt:lpwstr>
  </property>
  <property fmtid="{D5CDD505-2E9C-101B-9397-08002B2CF9AE}" pid="4" name="KSOTemplateDocerSaveRecord">
    <vt:lpwstr>eyJoZGlkIjoiZTQ4OTM2MTIyODI3Njc5MTE5MDBiNjA4NzIzYTUzZmEiLCJ1c2VySWQiOiI3MDAwNjg2OTUifQ==</vt:lpwstr>
  </property>
</Properties>
</file>